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charts/chart7.xml" ContentType="application/vnd.openxmlformats-officedocument.drawingml.chart+xml"/>
  <Override PartName="/word/theme/themeOverride1.xml" ContentType="application/vnd.openxmlformats-officedocument.themeOverride+xml"/>
  <Override PartName="/word/charts/chart8.xml" ContentType="application/vnd.openxmlformats-officedocument.drawingml.chart+xml"/>
  <Override PartName="/word/theme/themeOverride2.xml" ContentType="application/vnd.openxmlformats-officedocument.themeOverride+xml"/>
  <Override PartName="/word/charts/chart9.xml" ContentType="application/vnd.openxmlformats-officedocument.drawingml.chart+xml"/>
  <Override PartName="/word/theme/themeOverride3.xml" ContentType="application/vnd.openxmlformats-officedocument.themeOverride+xml"/>
  <Override PartName="/word/charts/chart10.xml" ContentType="application/vnd.openxmlformats-officedocument.drawingml.chart+xml"/>
  <Override PartName="/word/theme/themeOverride4.xml" ContentType="application/vnd.openxmlformats-officedocument.themeOverride+xml"/>
  <Override PartName="/word/charts/chart11.xml" ContentType="application/vnd.openxmlformats-officedocument.drawingml.chart+xml"/>
  <Override PartName="/word/theme/themeOverride5.xml" ContentType="application/vnd.openxmlformats-officedocument.themeOverride+xml"/>
  <Override PartName="/word/charts/chart12.xml" ContentType="application/vnd.openxmlformats-officedocument.drawingml.chart+xml"/>
  <Override PartName="/word/theme/themeOverride6.xml" ContentType="application/vnd.openxmlformats-officedocument.themeOverride+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28092344" w:displacedByCustomXml="next"/>
    <w:bookmarkStart w:id="1" w:name="_Toc229155951" w:displacedByCustomXml="next"/>
    <w:bookmarkStart w:id="2" w:name="_Toc223451369" w:displacedByCustomXml="next"/>
    <w:sdt>
      <w:sdtPr>
        <w:id w:val="850076713"/>
        <w:docPartObj>
          <w:docPartGallery w:val="Cover Pages"/>
          <w:docPartUnique/>
        </w:docPartObj>
      </w:sdtPr>
      <w:sdtEndPr>
        <w:rPr>
          <w:rFonts w:ascii="Monotype Corsiva" w:hAnsi="Monotype Corsiva"/>
          <w:b/>
          <w:bCs/>
          <w:i/>
          <w:iCs/>
          <w:sz w:val="32"/>
          <w:szCs w:val="32"/>
        </w:rPr>
      </w:sdtEndPr>
      <w:sdtContent>
        <w:p w14:paraId="6BE6432F" w14:textId="77777777" w:rsidR="00437ADB" w:rsidRPr="00437ADB" w:rsidRDefault="00437ADB" w:rsidP="00056C6A">
          <w:pPr>
            <w:spacing w:before="0" w:beforeAutospacing="0"/>
            <w:ind w:firstLine="0"/>
            <w:rPr>
              <w:rFonts w:ascii="Times New Roman" w:hAnsi="Times New Roman" w:cs="Times New Roman"/>
              <w:b/>
              <w:bCs/>
              <w:color w:val="000000"/>
              <w:sz w:val="22"/>
            </w:rPr>
          </w:pPr>
          <w:r w:rsidRPr="00437ADB">
            <w:rPr>
              <w:rFonts w:ascii="Times New Roman" w:hAnsi="Times New Roman" w:cs="Times New Roman"/>
              <w:b/>
              <w:bCs/>
              <w:noProof/>
              <w:color w:val="000000"/>
              <w:sz w:val="22"/>
              <w:lang w:eastAsia="fr-FR"/>
            </w:rPr>
            <mc:AlternateContent>
              <mc:Choice Requires="wps">
                <w:drawing>
                  <wp:anchor distT="0" distB="0" distL="114300" distR="114300" simplePos="0" relativeHeight="252102656" behindDoc="0" locked="0" layoutInCell="1" allowOverlap="1" wp14:anchorId="5B04E0CF" wp14:editId="65314C60">
                    <wp:simplePos x="0" y="0"/>
                    <wp:positionH relativeFrom="column">
                      <wp:posOffset>5185410</wp:posOffset>
                    </wp:positionH>
                    <wp:positionV relativeFrom="paragraph">
                      <wp:posOffset>9525</wp:posOffset>
                    </wp:positionV>
                    <wp:extent cx="1260475" cy="1149350"/>
                    <wp:effectExtent l="1270" t="0" r="0" b="0"/>
                    <wp:wrapNone/>
                    <wp:docPr id="277" name="Rectangle 8" descr="ESM_Log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0475" cy="1149350"/>
                            </a:xfrm>
                            <a:prstGeom prst="rect">
                              <a:avLst/>
                            </a:prstGeom>
                            <a:blipFill dpi="0" rotWithShape="0">
                              <a:blip r:embed="rId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C01760" id="Rectangle 8" o:spid="_x0000_s1026" alt="ESM_Logo" style="position:absolute;margin-left:408.3pt;margin-top:.75pt;width:99.25pt;height:90.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" stroked="f">
                    <v:fill r:id="rId9" o:title="ESM_Logo" recolor="t" type="frame"/>
                  </v:rect>
                </w:pict>
              </mc:Fallback>
            </mc:AlternateContent>
          </w:r>
          <w:r w:rsidRPr="00437ADB">
            <w:rPr>
              <w:rFonts w:ascii="Times New Roman" w:hAnsi="Times New Roman" w:cs="Times New Roman"/>
              <w:b/>
              <w:bCs/>
              <w:noProof/>
              <w:color w:val="000000"/>
              <w:sz w:val="22"/>
              <w:lang w:eastAsia="fr-FR"/>
            </w:rPr>
            <mc:AlternateContent>
              <mc:Choice Requires="wps">
                <w:drawing>
                  <wp:anchor distT="0" distB="0" distL="114300" distR="114300" simplePos="0" relativeHeight="252101632" behindDoc="0" locked="0" layoutInCell="1" allowOverlap="1" wp14:anchorId="2F4BDD49" wp14:editId="0C750E44">
                    <wp:simplePos x="0" y="0"/>
                    <wp:positionH relativeFrom="column">
                      <wp:posOffset>-720725</wp:posOffset>
                    </wp:positionH>
                    <wp:positionV relativeFrom="paragraph">
                      <wp:posOffset>8890</wp:posOffset>
                    </wp:positionV>
                    <wp:extent cx="1260475" cy="1149350"/>
                    <wp:effectExtent l="635" t="0" r="0" b="0"/>
                    <wp:wrapNone/>
                    <wp:docPr id="278" name="Rectangle 6" descr="ESM_Log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0475" cy="1149350"/>
                            </a:xfrm>
                            <a:prstGeom prst="rect">
                              <a:avLst/>
                            </a:prstGeom>
                            <a:blipFill dpi="0" rotWithShape="0">
                              <a:blip r:embed="rId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A3BD72" id="Rectangle 6" o:spid="_x0000_s1026" alt="ESM_Logo" style="position:absolute;margin-left:-56.75pt;margin-top:.7pt;width:99.25pt;height:90.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" stroked="f">
                    <v:fill r:id="rId9" o:title="ESM_Logo" recolor="t" type="frame"/>
                  </v:rect>
                </w:pict>
              </mc:Fallback>
            </mc:AlternateContent>
          </w:r>
        </w:p>
        <w:p w14:paraId="7BAC5666" w14:textId="77777777" w:rsidR="00437ADB" w:rsidRPr="00437ADB" w:rsidRDefault="00437ADB" w:rsidP="00521AEB">
          <w:pPr>
            <w:spacing w:before="0" w:beforeAutospacing="0"/>
            <w:jc w:val="center"/>
            <w:rPr>
              <w:rFonts w:ascii="Times New Roman" w:hAnsi="Times New Roman" w:cs="Times New Roman"/>
              <w:b/>
              <w:bCs/>
              <w:color w:val="000000"/>
              <w:sz w:val="22"/>
            </w:rPr>
          </w:pPr>
          <w:r w:rsidRPr="00437ADB">
            <w:rPr>
              <w:rFonts w:ascii="Times New Roman" w:hAnsi="Times New Roman" w:cs="Times New Roman"/>
              <w:b/>
              <w:bCs/>
              <w:color w:val="000000"/>
              <w:sz w:val="22"/>
            </w:rPr>
            <w:t>REPUBLIQUE ALGERIENNE DEMOCRATIQUE ET POPULAIRE</w:t>
          </w:r>
        </w:p>
        <w:p w14:paraId="1D7B7414" w14:textId="77777777" w:rsidR="00437ADB" w:rsidRPr="00437ADB" w:rsidRDefault="00437ADB" w:rsidP="00521AEB">
          <w:pPr>
            <w:spacing w:before="0" w:beforeAutospacing="0"/>
            <w:jc w:val="center"/>
            <w:rPr>
              <w:rFonts w:ascii="Times New Roman" w:hAnsi="Times New Roman" w:cs="Times New Roman"/>
              <w:b/>
              <w:bCs/>
              <w:color w:val="000000"/>
              <w:sz w:val="22"/>
            </w:rPr>
          </w:pPr>
          <w:r w:rsidRPr="00437ADB">
            <w:rPr>
              <w:rFonts w:ascii="Times New Roman" w:hAnsi="Times New Roman" w:cs="Times New Roman"/>
              <w:b/>
              <w:bCs/>
              <w:color w:val="000000"/>
              <w:sz w:val="22"/>
            </w:rPr>
            <w:t>MINISTERE DE L’ENSEIGNNEMENT SUPERIEURE ET DE LA</w:t>
          </w:r>
        </w:p>
        <w:p w14:paraId="2420E1D5" w14:textId="77777777" w:rsidR="00437ADB" w:rsidRPr="00437ADB" w:rsidRDefault="00437ADB" w:rsidP="00521AEB">
          <w:pPr>
            <w:spacing w:before="0" w:beforeAutospacing="0"/>
            <w:jc w:val="center"/>
            <w:rPr>
              <w:rFonts w:ascii="Times New Roman" w:hAnsi="Times New Roman" w:cs="Times New Roman"/>
              <w:b/>
              <w:bCs/>
              <w:color w:val="000000"/>
              <w:sz w:val="22"/>
            </w:rPr>
          </w:pPr>
          <w:r w:rsidRPr="00437ADB">
            <w:rPr>
              <w:rFonts w:ascii="Times New Roman" w:hAnsi="Times New Roman" w:cs="Times New Roman"/>
              <w:b/>
              <w:bCs/>
              <w:color w:val="000000"/>
              <w:sz w:val="22"/>
            </w:rPr>
            <w:t>RECHERCHE SCIENTIFIQUE</w:t>
          </w:r>
        </w:p>
        <w:p w14:paraId="1C84758F" w14:textId="77777777" w:rsidR="00437ADB" w:rsidRPr="00437ADB" w:rsidRDefault="00437ADB" w:rsidP="00521AEB">
          <w:pPr>
            <w:spacing w:before="0" w:beforeAutospacing="0"/>
            <w:jc w:val="center"/>
            <w:rPr>
              <w:rFonts w:ascii="Times New Roman" w:hAnsi="Times New Roman" w:cs="Times New Roman"/>
              <w:b/>
              <w:bCs/>
              <w:color w:val="000000"/>
              <w:szCs w:val="24"/>
            </w:rPr>
          </w:pPr>
          <w:r w:rsidRPr="00437ADB">
            <w:rPr>
              <w:rFonts w:ascii="Times New Roman" w:hAnsi="Times New Roman" w:cs="Times New Roman"/>
              <w:b/>
              <w:bCs/>
              <w:color w:val="000000"/>
              <w:szCs w:val="24"/>
            </w:rPr>
            <w:t>Ecole supérieure de management</w:t>
          </w:r>
        </w:p>
        <w:p w14:paraId="209EA5E0" w14:textId="77777777" w:rsidR="00437ADB" w:rsidRPr="00437ADB" w:rsidRDefault="00437ADB" w:rsidP="00521AEB">
          <w:pPr>
            <w:spacing w:before="0" w:beforeAutospacing="0"/>
            <w:jc w:val="center"/>
            <w:rPr>
              <w:rFonts w:ascii="Times New Roman" w:hAnsi="Times New Roman" w:cs="Times New Roman"/>
              <w:b/>
              <w:bCs/>
              <w:color w:val="000000"/>
              <w:szCs w:val="24"/>
            </w:rPr>
          </w:pPr>
          <w:r w:rsidRPr="00437ADB">
            <w:rPr>
              <w:rFonts w:ascii="Times New Roman" w:hAnsi="Times New Roman" w:cs="Times New Roman"/>
              <w:b/>
              <w:bCs/>
              <w:color w:val="000000"/>
              <w:szCs w:val="24"/>
            </w:rPr>
            <w:t>-TLEMCEN-</w:t>
          </w:r>
        </w:p>
        <w:p w14:paraId="014E3B53" w14:textId="77777777" w:rsidR="00437ADB" w:rsidRPr="00437ADB" w:rsidRDefault="00437ADB" w:rsidP="00521AEB">
          <w:pPr>
            <w:spacing w:before="0" w:beforeAutospacing="0"/>
            <w:jc w:val="center"/>
            <w:rPr>
              <w:rFonts w:ascii="Times New Roman" w:hAnsi="Times New Roman" w:cs="Times New Roman"/>
              <w:b/>
              <w:bCs/>
              <w:color w:val="000000"/>
              <w:szCs w:val="24"/>
            </w:rPr>
          </w:pPr>
          <w:r w:rsidRPr="00437ADB">
            <w:rPr>
              <w:rFonts w:ascii="Times New Roman" w:hAnsi="Times New Roman" w:cs="Times New Roman"/>
              <w:b/>
              <w:bCs/>
              <w:color w:val="000000"/>
              <w:szCs w:val="24"/>
            </w:rPr>
            <w:t>En vue de l’obtention du Diplôme de Master en science de gestion</w:t>
          </w:r>
        </w:p>
        <w:p w14:paraId="3146946D" w14:textId="77777777" w:rsidR="00437ADB" w:rsidRPr="00437ADB" w:rsidRDefault="00437ADB" w:rsidP="00056C6A">
          <w:pPr>
            <w:spacing w:before="0" w:beforeAutospacing="0"/>
            <w:ind w:firstLine="0"/>
            <w:jc w:val="center"/>
            <w:rPr>
              <w:rFonts w:cstheme="majorBidi"/>
              <w:b/>
              <w:bCs/>
              <w:sz w:val="28"/>
              <w:szCs w:val="28"/>
            </w:rPr>
          </w:pPr>
          <w:r w:rsidRPr="00437ADB">
            <w:rPr>
              <w:rFonts w:cstheme="majorBidi"/>
              <w:b/>
              <w:bCs/>
              <w:noProof/>
              <w:sz w:val="28"/>
              <w:szCs w:val="28"/>
              <w:lang w:eastAsia="fr-FR"/>
            </w:rPr>
            <mc:AlternateContent>
              <mc:Choice Requires="wps">
                <w:drawing>
                  <wp:anchor distT="0" distB="0" distL="114300" distR="114300" simplePos="0" relativeHeight="252098560" behindDoc="0" locked="0" layoutInCell="1" allowOverlap="1" wp14:anchorId="01B10AE4" wp14:editId="7FFB8B8A">
                    <wp:simplePos x="0" y="0"/>
                    <wp:positionH relativeFrom="margin">
                      <wp:align>center</wp:align>
                    </wp:positionH>
                    <wp:positionV relativeFrom="paragraph">
                      <wp:posOffset>161290</wp:posOffset>
                    </wp:positionV>
                    <wp:extent cx="5353050" cy="2190750"/>
                    <wp:effectExtent l="0" t="0" r="19050" b="19050"/>
                    <wp:wrapNone/>
                    <wp:docPr id="28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190750"/>
                            </a:xfrm>
                            <a:prstGeom prst="horizontalScroll">
                              <a:avLst>
                                <a:gd name="adj" fmla="val 12500"/>
                              </a:avLst>
                            </a:prstGeom>
                            <a:solidFill>
                              <a:srgbClr val="5B9BD5">
                                <a:lumMod val="100000"/>
                                <a:lumOff val="0"/>
                              </a:srgbClr>
                            </a:solidFill>
                            <a:ln w="9525">
                              <a:solidFill>
                                <a:srgbClr val="4472C4">
                                  <a:lumMod val="75000"/>
                                  <a:lumOff val="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0E77E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3" o:spid="_x0000_s1026" type="#_x0000_t98" style="position:absolute;margin-left:0;margin-top:12.7pt;width:421.5pt;height:172.5pt;z-index:252098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" fillcolor="#5b9bd5" strokecolor="#2f5597">
                    <w10:wrap anchorx="margin"/>
                  </v:shape>
                </w:pict>
              </mc:Fallback>
            </mc:AlternateContent>
          </w:r>
          <w:r w:rsidRPr="00437ADB">
            <w:rPr>
              <w:rFonts w:cstheme="majorBidi"/>
              <w:b/>
              <w:bCs/>
              <w:sz w:val="28"/>
              <w:szCs w:val="28"/>
            </w:rPr>
            <w:t>Thème :</w:t>
          </w:r>
        </w:p>
        <w:p w14:paraId="7BB8F90E" w14:textId="77777777" w:rsidR="00437ADB" w:rsidRPr="00437ADB" w:rsidRDefault="00056C6A" w:rsidP="00521AEB">
          <w:pPr>
            <w:spacing w:before="0" w:beforeAutospacing="0"/>
            <w:jc w:val="left"/>
            <w:rPr>
              <w:rFonts w:cstheme="majorBidi"/>
              <w:sz w:val="28"/>
              <w:szCs w:val="28"/>
            </w:rPr>
          </w:pPr>
          <w:r w:rsidRPr="00437ADB">
            <w:rPr>
              <w:rFonts w:cstheme="majorBidi"/>
              <w:b/>
              <w:bCs/>
              <w:noProof/>
              <w:sz w:val="28"/>
              <w:szCs w:val="28"/>
              <w:lang w:eastAsia="fr-FR"/>
            </w:rPr>
            <mc:AlternateContent>
              <mc:Choice Requires="wps">
                <w:drawing>
                  <wp:anchor distT="0" distB="0" distL="114300" distR="114300" simplePos="0" relativeHeight="252099584" behindDoc="0" locked="0" layoutInCell="1" allowOverlap="1" wp14:anchorId="70252E9C" wp14:editId="5D7A02CB">
                    <wp:simplePos x="0" y="0"/>
                    <wp:positionH relativeFrom="margin">
                      <wp:posOffset>679450</wp:posOffset>
                    </wp:positionH>
                    <wp:positionV relativeFrom="paragraph">
                      <wp:posOffset>131445</wp:posOffset>
                    </wp:positionV>
                    <wp:extent cx="4572000" cy="1323975"/>
                    <wp:effectExtent l="0" t="0" r="0" b="9525"/>
                    <wp:wrapNone/>
                    <wp:docPr id="2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E54A4" w14:textId="77777777" w:rsidR="00A36231" w:rsidRDefault="00A36231" w:rsidP="00437ADB">
                                <w:pPr>
                                  <w:jc w:val="center"/>
                                  <w:rPr>
                                    <w:rFonts w:cstheme="majorBidi"/>
                                    <w:b/>
                                    <w:bCs/>
                                    <w:sz w:val="28"/>
                                    <w:szCs w:val="28"/>
                                  </w:rPr>
                                </w:pPr>
                                <w:r w:rsidRPr="007B74FE">
                                  <w:rPr>
                                    <w:rFonts w:cstheme="majorBidi"/>
                                    <w:b/>
                                    <w:bCs/>
                                    <w:sz w:val="28"/>
                                    <w:szCs w:val="28"/>
                                  </w:rPr>
                                  <w:t>Le rôle de la gouvernance d’entreprise dans la promotion de la responsabilité sociale des entreprises</w:t>
                                </w:r>
                                <w:r>
                                  <w:rPr>
                                    <w:rFonts w:cstheme="majorBidi"/>
                                    <w:b/>
                                    <w:bCs/>
                                    <w:sz w:val="28"/>
                                    <w:szCs w:val="28"/>
                                  </w:rPr>
                                  <w:t>.</w:t>
                                </w:r>
                              </w:p>
                              <w:p w14:paraId="7561E43A" w14:textId="77777777" w:rsidR="00A36231" w:rsidRPr="007B74FE" w:rsidRDefault="00A36231" w:rsidP="00437ADB">
                                <w:pPr>
                                  <w:jc w:val="center"/>
                                  <w:rPr>
                                    <w:rFonts w:cstheme="majorBidi"/>
                                    <w:b/>
                                    <w:bCs/>
                                    <w:sz w:val="28"/>
                                    <w:szCs w:val="28"/>
                                  </w:rPr>
                                </w:pPr>
                                <w:r w:rsidRPr="00AB5ABC">
                                  <w:rPr>
                                    <w:rFonts w:ascii="Times New Roman" w:hAnsi="Times New Roman" w:cs="Times New Roman"/>
                                    <w:color w:val="000000"/>
                                    <w:szCs w:val="24"/>
                                  </w:rPr>
                                  <w:t xml:space="preserve">Etude de cas « </w:t>
                                </w:r>
                                <w:r>
                                  <w:rPr>
                                    <w:rFonts w:ascii="Times New Roman" w:hAnsi="Times New Roman" w:cs="Times New Roman"/>
                                    <w:color w:val="000000"/>
                                    <w:szCs w:val="24"/>
                                  </w:rPr>
                                  <w:t>TAYAL SPA –RELIZANE</w:t>
                                </w:r>
                                <w:r w:rsidRPr="00AB5ABC">
                                  <w:rPr>
                                    <w:rFonts w:ascii="Times New Roman" w:hAnsi="Times New Roman" w:cs="Times New Roman"/>
                                    <w:color w:val="000000"/>
                                    <w:szCs w:val="24"/>
                                  </w:rPr>
                                  <w:t>–</w:t>
                                </w:r>
                                <w:r w:rsidRPr="00AB5ABC">
                                  <w:rPr>
                                    <w:rFonts w:ascii="Times New Roman" w:hAnsi="Times New Roman" w:cs="Times New Roman"/>
                                    <w:color w:val="000000"/>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252E9C" id="_x0000_t202" coordsize="21600,21600" o:spt="202" path="m,l,21600r21600,l21600,xe">
                    <v:stroke joinstyle="miter"/>
                    <v:path gradientshapeok="t" o:connecttype="rect"/>
                  </v:shapetype>
                  <v:shape id="Text Box 4" o:spid="_x0000_s1026" type="#_x0000_t202" style="position:absolute;left:0;text-align:left;margin-left:53.5pt;margin-top:10.35pt;width:5in;height:104.25pt;z-index:25209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" filled="f" stroked="f">
                    <v:textbox>
                      <w:txbxContent>
                        <w:p w14:paraId="1DDE54A4" w14:textId="77777777" w:rsidR="00A36231" w:rsidRDefault="00A36231" w:rsidP="00437ADB">
                          <w:pPr>
                            <w:jc w:val="center"/>
                            <w:rPr>
                              <w:rFonts w:cstheme="majorBidi"/>
                              <w:b/>
                              <w:bCs/>
                              <w:sz w:val="28"/>
                              <w:szCs w:val="28"/>
                            </w:rPr>
                          </w:pPr>
                          <w:r w:rsidRPr="007B74FE">
                            <w:rPr>
                              <w:rFonts w:cstheme="majorBidi"/>
                              <w:b/>
                              <w:bCs/>
                              <w:sz w:val="28"/>
                              <w:szCs w:val="28"/>
                            </w:rPr>
                            <w:t>Le rôle de la gouvernance d’entreprise dans la promotion de la responsabilité sociale des entreprises</w:t>
                          </w:r>
                          <w:r>
                            <w:rPr>
                              <w:rFonts w:cstheme="majorBidi"/>
                              <w:b/>
                              <w:bCs/>
                              <w:sz w:val="28"/>
                              <w:szCs w:val="28"/>
                            </w:rPr>
                            <w:t>.</w:t>
                          </w:r>
                        </w:p>
                        <w:p w14:paraId="7561E43A" w14:textId="77777777" w:rsidR="00A36231" w:rsidRPr="007B74FE" w:rsidRDefault="00A36231" w:rsidP="00437ADB">
                          <w:pPr>
                            <w:jc w:val="center"/>
                            <w:rPr>
                              <w:rFonts w:cstheme="majorBidi"/>
                              <w:b/>
                              <w:bCs/>
                              <w:sz w:val="28"/>
                              <w:szCs w:val="28"/>
                            </w:rPr>
                          </w:pPr>
                          <w:r w:rsidRPr="00AB5ABC">
                            <w:rPr>
                              <w:rFonts w:ascii="Times New Roman" w:hAnsi="Times New Roman" w:cs="Times New Roman"/>
                              <w:color w:val="000000"/>
                              <w:szCs w:val="24"/>
                            </w:rPr>
                            <w:t xml:space="preserve">Etude de cas « </w:t>
                          </w:r>
                          <w:r>
                            <w:rPr>
                              <w:rFonts w:ascii="Times New Roman" w:hAnsi="Times New Roman" w:cs="Times New Roman"/>
                              <w:color w:val="000000"/>
                              <w:szCs w:val="24"/>
                            </w:rPr>
                            <w:t>TAYAL SPA –RELIZANE</w:t>
                          </w:r>
                          <w:r w:rsidRPr="00AB5ABC">
                            <w:rPr>
                              <w:rFonts w:ascii="Times New Roman" w:hAnsi="Times New Roman" w:cs="Times New Roman"/>
                              <w:color w:val="000000"/>
                              <w:szCs w:val="24"/>
                            </w:rPr>
                            <w:t>–</w:t>
                          </w:r>
                          <w:r w:rsidRPr="00AB5ABC">
                            <w:rPr>
                              <w:rFonts w:ascii="Times New Roman" w:hAnsi="Times New Roman" w:cs="Times New Roman"/>
                              <w:color w:val="000000"/>
                              <w:sz w:val="32"/>
                              <w:szCs w:val="32"/>
                            </w:rPr>
                            <w:t xml:space="preserve"> »</w:t>
                          </w:r>
                        </w:p>
                      </w:txbxContent>
                    </v:textbox>
                    <w10:wrap anchorx="margin"/>
                  </v:shape>
                </w:pict>
              </mc:Fallback>
            </mc:AlternateContent>
          </w:r>
        </w:p>
        <w:p w14:paraId="0237832A" w14:textId="77777777" w:rsidR="00437ADB" w:rsidRPr="00437ADB" w:rsidRDefault="00437ADB" w:rsidP="00521AEB">
          <w:pPr>
            <w:spacing w:before="0" w:beforeAutospacing="0"/>
            <w:jc w:val="left"/>
            <w:rPr>
              <w:rFonts w:cstheme="majorBidi"/>
              <w:sz w:val="28"/>
              <w:szCs w:val="28"/>
            </w:rPr>
          </w:pPr>
        </w:p>
        <w:p w14:paraId="26AFA1E0" w14:textId="77777777" w:rsidR="00437ADB" w:rsidRPr="00437ADB" w:rsidRDefault="00437ADB" w:rsidP="00521AEB">
          <w:pPr>
            <w:spacing w:before="0" w:beforeAutospacing="0"/>
            <w:jc w:val="left"/>
            <w:rPr>
              <w:rFonts w:cstheme="majorBidi"/>
              <w:sz w:val="28"/>
              <w:szCs w:val="28"/>
            </w:rPr>
          </w:pPr>
        </w:p>
        <w:p w14:paraId="3AE1CA05" w14:textId="77777777" w:rsidR="00437ADB" w:rsidRPr="00437ADB" w:rsidRDefault="00437ADB" w:rsidP="00521AEB">
          <w:pPr>
            <w:spacing w:before="0" w:beforeAutospacing="0"/>
            <w:jc w:val="left"/>
            <w:rPr>
              <w:rFonts w:cstheme="majorBidi"/>
              <w:sz w:val="28"/>
              <w:szCs w:val="28"/>
            </w:rPr>
          </w:pPr>
        </w:p>
        <w:p w14:paraId="031002C7" w14:textId="77777777" w:rsidR="00056C6A" w:rsidRDefault="00056C6A" w:rsidP="00056C6A">
          <w:pPr>
            <w:tabs>
              <w:tab w:val="left" w:pos="7214"/>
            </w:tabs>
            <w:spacing w:before="0" w:beforeAutospacing="0"/>
            <w:ind w:firstLine="0"/>
            <w:rPr>
              <w:rFonts w:cstheme="majorBidi"/>
              <w:sz w:val="28"/>
              <w:szCs w:val="28"/>
            </w:rPr>
          </w:pPr>
        </w:p>
        <w:p w14:paraId="1847416B" w14:textId="77777777" w:rsidR="00437ADB" w:rsidRPr="00437ADB" w:rsidRDefault="00437ADB" w:rsidP="00056C6A">
          <w:pPr>
            <w:tabs>
              <w:tab w:val="left" w:pos="7214"/>
            </w:tabs>
            <w:spacing w:before="0" w:beforeAutospacing="0"/>
            <w:ind w:firstLine="0"/>
            <w:jc w:val="center"/>
            <w:rPr>
              <w:rFonts w:cstheme="majorBidi"/>
              <w:b/>
              <w:bCs/>
              <w:szCs w:val="24"/>
            </w:rPr>
          </w:pPr>
          <w:r w:rsidRPr="00437ADB">
            <w:rPr>
              <w:rFonts w:cstheme="majorBidi"/>
              <w:b/>
              <w:bCs/>
              <w:szCs w:val="24"/>
            </w:rPr>
            <w:t>Présenté par :</w:t>
          </w:r>
        </w:p>
        <w:tbl>
          <w:tblPr>
            <w:tblStyle w:val="Grilledutableau2"/>
            <w:tblW w:w="0" w:type="auto"/>
            <w:jc w:val="center"/>
            <w:tblLook w:val="04A0" w:firstRow="1" w:lastRow="0" w:firstColumn="1" w:lastColumn="0" w:noHBand="0" w:noVBand="1"/>
          </w:tblPr>
          <w:tblGrid>
            <w:gridCol w:w="2976"/>
            <w:gridCol w:w="5387"/>
          </w:tblGrid>
          <w:tr w:rsidR="00437ADB" w:rsidRPr="00437ADB" w14:paraId="10C3BF36" w14:textId="77777777" w:rsidTr="00C13D85">
            <w:trPr>
              <w:jc w:val="center"/>
            </w:trPr>
            <w:tc>
              <w:tcPr>
                <w:tcW w:w="2976" w:type="dxa"/>
              </w:tcPr>
              <w:p w14:paraId="00A57766" w14:textId="77777777" w:rsidR="00437ADB" w:rsidRPr="00437ADB" w:rsidRDefault="00437ADB" w:rsidP="00056C6A">
                <w:pPr>
                  <w:tabs>
                    <w:tab w:val="left" w:pos="7214"/>
                  </w:tabs>
                  <w:spacing w:after="160"/>
                  <w:ind w:firstLine="284"/>
                  <w:jc w:val="center"/>
                  <w:rPr>
                    <w:rFonts w:cstheme="majorBidi"/>
                    <w:b/>
                    <w:bCs/>
                    <w:szCs w:val="24"/>
                  </w:rPr>
                </w:pPr>
                <w:r w:rsidRPr="00437ADB">
                  <w:rPr>
                    <w:rFonts w:cstheme="majorBidi"/>
                    <w:b/>
                    <w:bCs/>
                    <w:szCs w:val="24"/>
                  </w:rPr>
                  <w:t>Nom et Prénom</w:t>
                </w:r>
              </w:p>
            </w:tc>
            <w:tc>
              <w:tcPr>
                <w:tcW w:w="5387" w:type="dxa"/>
              </w:tcPr>
              <w:p w14:paraId="66E24025" w14:textId="77777777" w:rsidR="00437ADB" w:rsidRPr="00437ADB" w:rsidRDefault="00437ADB" w:rsidP="00056C6A">
                <w:pPr>
                  <w:tabs>
                    <w:tab w:val="left" w:pos="7214"/>
                  </w:tabs>
                  <w:spacing w:after="160"/>
                  <w:ind w:firstLine="284"/>
                  <w:jc w:val="center"/>
                  <w:rPr>
                    <w:rFonts w:cstheme="majorBidi"/>
                    <w:b/>
                    <w:bCs/>
                    <w:szCs w:val="24"/>
                  </w:rPr>
                </w:pPr>
                <w:r w:rsidRPr="00437ADB">
                  <w:rPr>
                    <w:rFonts w:cstheme="majorBidi"/>
                    <w:b/>
                    <w:bCs/>
                    <w:szCs w:val="24"/>
                  </w:rPr>
                  <w:t>Spécialité</w:t>
                </w:r>
              </w:p>
            </w:tc>
          </w:tr>
          <w:tr w:rsidR="00437ADB" w:rsidRPr="00437ADB" w14:paraId="7AB1656F" w14:textId="77777777" w:rsidTr="00C13D85">
            <w:trPr>
              <w:jc w:val="center"/>
            </w:trPr>
            <w:tc>
              <w:tcPr>
                <w:tcW w:w="2976" w:type="dxa"/>
              </w:tcPr>
              <w:p w14:paraId="408B2B8C" w14:textId="77777777" w:rsidR="00437ADB" w:rsidRPr="00437ADB" w:rsidRDefault="00437ADB" w:rsidP="00056C6A">
                <w:pPr>
                  <w:tabs>
                    <w:tab w:val="left" w:pos="7214"/>
                  </w:tabs>
                  <w:spacing w:after="160"/>
                  <w:ind w:firstLine="284"/>
                  <w:jc w:val="center"/>
                  <w:rPr>
                    <w:rFonts w:cstheme="majorBidi"/>
                    <w:szCs w:val="24"/>
                  </w:rPr>
                </w:pPr>
                <w:r w:rsidRPr="00437ADB">
                  <w:rPr>
                    <w:rFonts w:cstheme="majorBidi"/>
                    <w:szCs w:val="24"/>
                  </w:rPr>
                  <w:t>BENKOU douaa</w:t>
                </w:r>
              </w:p>
            </w:tc>
            <w:tc>
              <w:tcPr>
                <w:tcW w:w="5387" w:type="dxa"/>
              </w:tcPr>
              <w:p w14:paraId="361264CA" w14:textId="77777777" w:rsidR="00437ADB" w:rsidRPr="00437ADB" w:rsidRDefault="00437ADB" w:rsidP="00056C6A">
                <w:pPr>
                  <w:tabs>
                    <w:tab w:val="left" w:pos="7214"/>
                  </w:tabs>
                  <w:spacing w:after="160"/>
                  <w:ind w:firstLine="284"/>
                  <w:jc w:val="center"/>
                  <w:rPr>
                    <w:rFonts w:cstheme="majorBidi"/>
                    <w:b/>
                    <w:bCs/>
                    <w:szCs w:val="24"/>
                  </w:rPr>
                </w:pPr>
                <w:r w:rsidRPr="00437ADB">
                  <w:rPr>
                    <w:rFonts w:cstheme="majorBidi"/>
                    <w:szCs w:val="24"/>
                  </w:rPr>
                  <w:t>Management et stratégies des entreprises</w:t>
                </w:r>
              </w:p>
            </w:tc>
          </w:tr>
          <w:tr w:rsidR="00437ADB" w:rsidRPr="00437ADB" w14:paraId="22D01E26" w14:textId="77777777" w:rsidTr="00C13D85">
            <w:trPr>
              <w:jc w:val="center"/>
            </w:trPr>
            <w:tc>
              <w:tcPr>
                <w:tcW w:w="2976" w:type="dxa"/>
              </w:tcPr>
              <w:p w14:paraId="028D3B2E" w14:textId="77777777" w:rsidR="00437ADB" w:rsidRPr="00437ADB" w:rsidRDefault="00437ADB" w:rsidP="00056C6A">
                <w:pPr>
                  <w:tabs>
                    <w:tab w:val="left" w:pos="7214"/>
                  </w:tabs>
                  <w:spacing w:after="160"/>
                  <w:ind w:firstLine="284"/>
                  <w:jc w:val="center"/>
                  <w:rPr>
                    <w:rFonts w:cstheme="majorBidi"/>
                    <w:szCs w:val="24"/>
                  </w:rPr>
                </w:pPr>
                <w:r w:rsidRPr="00437ADB">
                  <w:rPr>
                    <w:rFonts w:cstheme="majorBidi"/>
                    <w:szCs w:val="24"/>
                  </w:rPr>
                  <w:t>BOUZID siham</w:t>
                </w:r>
              </w:p>
            </w:tc>
            <w:tc>
              <w:tcPr>
                <w:tcW w:w="5387" w:type="dxa"/>
              </w:tcPr>
              <w:p w14:paraId="7F23FDE4" w14:textId="77777777" w:rsidR="00437ADB" w:rsidRPr="00437ADB" w:rsidRDefault="00437ADB" w:rsidP="00056C6A">
                <w:pPr>
                  <w:tabs>
                    <w:tab w:val="left" w:pos="7214"/>
                  </w:tabs>
                  <w:spacing w:after="160"/>
                  <w:ind w:firstLine="284"/>
                  <w:jc w:val="center"/>
                  <w:rPr>
                    <w:rFonts w:cstheme="majorBidi"/>
                    <w:b/>
                    <w:bCs/>
                    <w:szCs w:val="24"/>
                  </w:rPr>
                </w:pPr>
                <w:r w:rsidRPr="00437ADB">
                  <w:rPr>
                    <w:rFonts w:cstheme="majorBidi"/>
                    <w:szCs w:val="24"/>
                  </w:rPr>
                  <w:t>Management financier</w:t>
                </w:r>
              </w:p>
            </w:tc>
          </w:tr>
        </w:tbl>
        <w:p w14:paraId="25216E33" w14:textId="77777777" w:rsidR="00437ADB" w:rsidRPr="00437ADB" w:rsidRDefault="00437ADB" w:rsidP="00056C6A">
          <w:pPr>
            <w:tabs>
              <w:tab w:val="left" w:pos="7214"/>
            </w:tabs>
            <w:spacing w:before="0" w:beforeAutospacing="0" w:line="240" w:lineRule="auto"/>
            <w:ind w:firstLine="0"/>
            <w:jc w:val="center"/>
            <w:rPr>
              <w:rFonts w:ascii="Times New Roman" w:hAnsi="Times New Roman" w:cs="Times New Roman"/>
              <w:b/>
              <w:bCs/>
              <w:color w:val="000000"/>
              <w:szCs w:val="24"/>
            </w:rPr>
          </w:pPr>
          <w:r w:rsidRPr="00437ADB">
            <w:rPr>
              <w:rFonts w:ascii="Times New Roman" w:hAnsi="Times New Roman" w:cs="Times New Roman"/>
              <w:b/>
              <w:bCs/>
              <w:color w:val="000000"/>
              <w:szCs w:val="24"/>
            </w:rPr>
            <w:t>Soutenu le :</w:t>
          </w:r>
        </w:p>
        <w:p w14:paraId="0E8D5E91" w14:textId="77777777" w:rsidR="00437ADB" w:rsidRPr="00437ADB" w:rsidRDefault="0038654C" w:rsidP="00521AEB">
          <w:pPr>
            <w:tabs>
              <w:tab w:val="left" w:pos="7214"/>
            </w:tabs>
            <w:spacing w:before="0" w:beforeAutospacing="0"/>
            <w:jc w:val="center"/>
            <w:rPr>
              <w:rFonts w:ascii="Times New Roman" w:hAnsi="Times New Roman" w:cs="Times New Roman"/>
              <w:color w:val="000000"/>
              <w:szCs w:val="24"/>
            </w:rPr>
          </w:pPr>
          <w:r>
            <w:rPr>
              <w:rFonts w:ascii="Times New Roman" w:hAnsi="Times New Roman" w:cs="Times New Roman"/>
              <w:color w:val="000000"/>
              <w:szCs w:val="24"/>
            </w:rPr>
            <w:t>21</w:t>
          </w:r>
          <w:r w:rsidR="00437ADB" w:rsidRPr="00437ADB">
            <w:rPr>
              <w:rFonts w:ascii="Times New Roman" w:hAnsi="Times New Roman" w:cs="Times New Roman"/>
              <w:color w:val="000000"/>
              <w:szCs w:val="24"/>
            </w:rPr>
            <w:t>/06/2026</w:t>
          </w:r>
        </w:p>
        <w:p w14:paraId="60719174" w14:textId="77777777" w:rsidR="00437ADB" w:rsidRPr="00437ADB" w:rsidRDefault="00437ADB" w:rsidP="00056C6A">
          <w:pPr>
            <w:tabs>
              <w:tab w:val="left" w:pos="7214"/>
            </w:tabs>
            <w:spacing w:before="0" w:beforeAutospacing="0" w:line="240" w:lineRule="auto"/>
            <w:ind w:firstLine="0"/>
            <w:jc w:val="center"/>
            <w:rPr>
              <w:rFonts w:ascii="Times New Roman" w:hAnsi="Times New Roman" w:cs="Times New Roman"/>
              <w:b/>
              <w:bCs/>
              <w:color w:val="000000"/>
              <w:szCs w:val="24"/>
            </w:rPr>
          </w:pPr>
          <w:r w:rsidRPr="00437ADB">
            <w:rPr>
              <w:rFonts w:ascii="Times New Roman" w:hAnsi="Times New Roman" w:cs="Times New Roman"/>
              <w:b/>
              <w:bCs/>
              <w:color w:val="000000"/>
              <w:szCs w:val="24"/>
            </w:rPr>
            <w:t>Devant le jury composé de :</w:t>
          </w:r>
        </w:p>
        <w:tbl>
          <w:tblPr>
            <w:tblStyle w:val="Grilledutableau2"/>
            <w:tblW w:w="0" w:type="auto"/>
            <w:jc w:val="center"/>
            <w:tblLook w:val="04A0" w:firstRow="1" w:lastRow="0" w:firstColumn="1" w:lastColumn="0" w:noHBand="0" w:noVBand="1"/>
          </w:tblPr>
          <w:tblGrid>
            <w:gridCol w:w="3543"/>
            <w:gridCol w:w="1985"/>
            <w:gridCol w:w="2835"/>
          </w:tblGrid>
          <w:tr w:rsidR="00437ADB" w:rsidRPr="00437ADB" w14:paraId="616E8A1F" w14:textId="77777777" w:rsidTr="00C13D85">
            <w:trPr>
              <w:jc w:val="center"/>
            </w:trPr>
            <w:tc>
              <w:tcPr>
                <w:tcW w:w="3543" w:type="dxa"/>
              </w:tcPr>
              <w:p w14:paraId="7FE5F27E" w14:textId="77777777" w:rsidR="00437ADB" w:rsidRPr="00437ADB" w:rsidRDefault="00437ADB" w:rsidP="00056C6A">
                <w:pPr>
                  <w:tabs>
                    <w:tab w:val="left" w:pos="7214"/>
                  </w:tabs>
                  <w:spacing w:after="160"/>
                  <w:jc w:val="center"/>
                  <w:rPr>
                    <w:rFonts w:cstheme="majorBidi"/>
                    <w:b/>
                    <w:bCs/>
                    <w:szCs w:val="24"/>
                  </w:rPr>
                </w:pPr>
                <w:r w:rsidRPr="00437ADB">
                  <w:rPr>
                    <w:rFonts w:cstheme="majorBidi"/>
                    <w:b/>
                    <w:bCs/>
                    <w:szCs w:val="24"/>
                  </w:rPr>
                  <w:t>Nom et Prénom</w:t>
                </w:r>
              </w:p>
            </w:tc>
            <w:tc>
              <w:tcPr>
                <w:tcW w:w="1985" w:type="dxa"/>
              </w:tcPr>
              <w:p w14:paraId="3394C66F" w14:textId="77777777" w:rsidR="00437ADB" w:rsidRPr="00437ADB" w:rsidRDefault="00437ADB" w:rsidP="00056C6A">
                <w:pPr>
                  <w:tabs>
                    <w:tab w:val="left" w:pos="7214"/>
                  </w:tabs>
                  <w:spacing w:after="160"/>
                  <w:jc w:val="center"/>
                  <w:rPr>
                    <w:rFonts w:cstheme="majorBidi"/>
                    <w:b/>
                    <w:bCs/>
                    <w:szCs w:val="24"/>
                  </w:rPr>
                </w:pPr>
                <w:r w:rsidRPr="00437ADB">
                  <w:rPr>
                    <w:rFonts w:cstheme="majorBidi"/>
                    <w:b/>
                    <w:bCs/>
                    <w:szCs w:val="24"/>
                  </w:rPr>
                  <w:t xml:space="preserve">Grade </w:t>
                </w:r>
              </w:p>
            </w:tc>
            <w:tc>
              <w:tcPr>
                <w:tcW w:w="2835" w:type="dxa"/>
              </w:tcPr>
              <w:p w14:paraId="6D8D5122" w14:textId="77777777" w:rsidR="00437ADB" w:rsidRPr="00437ADB" w:rsidRDefault="00437ADB" w:rsidP="00056C6A">
                <w:pPr>
                  <w:tabs>
                    <w:tab w:val="left" w:pos="7214"/>
                  </w:tabs>
                  <w:spacing w:after="160"/>
                  <w:jc w:val="center"/>
                  <w:rPr>
                    <w:rFonts w:cstheme="majorBidi"/>
                    <w:b/>
                    <w:bCs/>
                    <w:szCs w:val="24"/>
                  </w:rPr>
                </w:pPr>
                <w:r w:rsidRPr="00437ADB">
                  <w:rPr>
                    <w:rFonts w:cstheme="majorBidi"/>
                    <w:b/>
                    <w:bCs/>
                    <w:szCs w:val="24"/>
                  </w:rPr>
                  <w:t>Qualité</w:t>
                </w:r>
              </w:p>
            </w:tc>
          </w:tr>
          <w:tr w:rsidR="00437ADB" w:rsidRPr="00437ADB" w14:paraId="005ECB24" w14:textId="77777777" w:rsidTr="00C13D85">
            <w:trPr>
              <w:jc w:val="center"/>
            </w:trPr>
            <w:tc>
              <w:tcPr>
                <w:tcW w:w="3543" w:type="dxa"/>
              </w:tcPr>
              <w:p w14:paraId="68B5C25E" w14:textId="77777777" w:rsidR="00437ADB" w:rsidRPr="00437ADB" w:rsidRDefault="00437ADB" w:rsidP="00056C6A">
                <w:pPr>
                  <w:tabs>
                    <w:tab w:val="left" w:pos="7214"/>
                  </w:tabs>
                  <w:spacing w:after="160"/>
                  <w:jc w:val="center"/>
                  <w:rPr>
                    <w:rFonts w:cstheme="majorBidi"/>
                    <w:szCs w:val="24"/>
                  </w:rPr>
                </w:pPr>
                <w:r w:rsidRPr="00437ADB">
                  <w:rPr>
                    <w:rFonts w:cstheme="majorBidi"/>
                    <w:szCs w:val="24"/>
                  </w:rPr>
                  <w:t xml:space="preserve">Dr.AMMAR </w:t>
                </w:r>
                <w:r w:rsidR="00C13D85" w:rsidRPr="00437ADB">
                  <w:rPr>
                    <w:rFonts w:cstheme="majorBidi"/>
                    <w:szCs w:val="24"/>
                  </w:rPr>
                  <w:t>Asmaa</w:t>
                </w:r>
              </w:p>
            </w:tc>
            <w:tc>
              <w:tcPr>
                <w:tcW w:w="1985" w:type="dxa"/>
              </w:tcPr>
              <w:p w14:paraId="1FEE7AB3" w14:textId="77777777" w:rsidR="00437ADB" w:rsidRPr="00437ADB" w:rsidRDefault="00873B48" w:rsidP="00056C6A">
                <w:pPr>
                  <w:tabs>
                    <w:tab w:val="left" w:pos="7214"/>
                  </w:tabs>
                  <w:spacing w:after="160"/>
                  <w:jc w:val="center"/>
                  <w:rPr>
                    <w:rFonts w:cstheme="majorBidi"/>
                    <w:szCs w:val="24"/>
                  </w:rPr>
                </w:pPr>
                <w:r>
                  <w:rPr>
                    <w:rFonts w:cstheme="majorBidi"/>
                    <w:szCs w:val="24"/>
                  </w:rPr>
                  <w:t>MCB</w:t>
                </w:r>
              </w:p>
            </w:tc>
            <w:tc>
              <w:tcPr>
                <w:tcW w:w="2835" w:type="dxa"/>
              </w:tcPr>
              <w:p w14:paraId="1AE5E3BF" w14:textId="77777777" w:rsidR="00437ADB" w:rsidRPr="00437ADB" w:rsidRDefault="00437ADB" w:rsidP="00056C6A">
                <w:pPr>
                  <w:tabs>
                    <w:tab w:val="left" w:pos="7214"/>
                  </w:tabs>
                  <w:spacing w:after="160"/>
                  <w:jc w:val="center"/>
                  <w:rPr>
                    <w:rFonts w:cstheme="majorBidi"/>
                    <w:szCs w:val="24"/>
                  </w:rPr>
                </w:pPr>
                <w:r w:rsidRPr="00437ADB">
                  <w:rPr>
                    <w:rFonts w:cstheme="majorBidi"/>
                    <w:szCs w:val="24"/>
                  </w:rPr>
                  <w:t>Président (e)</w:t>
                </w:r>
              </w:p>
            </w:tc>
          </w:tr>
          <w:tr w:rsidR="00437ADB" w:rsidRPr="00437ADB" w14:paraId="65E53B90" w14:textId="77777777" w:rsidTr="00C13D85">
            <w:trPr>
              <w:jc w:val="center"/>
            </w:trPr>
            <w:tc>
              <w:tcPr>
                <w:tcW w:w="3543" w:type="dxa"/>
              </w:tcPr>
              <w:p w14:paraId="4FA3D2C2" w14:textId="77777777" w:rsidR="00437ADB" w:rsidRPr="00C13D85" w:rsidRDefault="00C13D85" w:rsidP="00056C6A">
                <w:pPr>
                  <w:tabs>
                    <w:tab w:val="left" w:pos="7214"/>
                  </w:tabs>
                  <w:spacing w:after="160"/>
                  <w:jc w:val="center"/>
                  <w:rPr>
                    <w:rFonts w:cstheme="majorBidi"/>
                    <w:szCs w:val="24"/>
                  </w:rPr>
                </w:pPr>
                <w:r w:rsidRPr="00C13D85">
                  <w:rPr>
                    <w:rFonts w:cstheme="majorBidi"/>
                    <w:szCs w:val="24"/>
                  </w:rPr>
                  <w:t>Dr.BRAHIMI A</w:t>
                </w:r>
                <w:r w:rsidR="00437ADB" w:rsidRPr="00C13D85">
                  <w:rPr>
                    <w:rFonts w:cstheme="majorBidi"/>
                    <w:szCs w:val="24"/>
                  </w:rPr>
                  <w:t>ssia</w:t>
                </w:r>
              </w:p>
            </w:tc>
            <w:tc>
              <w:tcPr>
                <w:tcW w:w="1985" w:type="dxa"/>
              </w:tcPr>
              <w:p w14:paraId="5AD93C89" w14:textId="77777777" w:rsidR="00437ADB" w:rsidRPr="00C13D85" w:rsidRDefault="00437ADB" w:rsidP="00056C6A">
                <w:pPr>
                  <w:tabs>
                    <w:tab w:val="left" w:pos="7214"/>
                  </w:tabs>
                  <w:spacing w:after="160"/>
                  <w:jc w:val="center"/>
                  <w:rPr>
                    <w:rFonts w:cstheme="majorBidi"/>
                    <w:szCs w:val="24"/>
                  </w:rPr>
                </w:pPr>
                <w:r w:rsidRPr="00C13D85">
                  <w:rPr>
                    <w:rFonts w:cstheme="majorBidi"/>
                    <w:szCs w:val="24"/>
                  </w:rPr>
                  <w:t>MCA</w:t>
                </w:r>
              </w:p>
            </w:tc>
            <w:tc>
              <w:tcPr>
                <w:tcW w:w="2835" w:type="dxa"/>
              </w:tcPr>
              <w:p w14:paraId="5AF436C0" w14:textId="77777777" w:rsidR="00437ADB" w:rsidRPr="00C13D85" w:rsidRDefault="00437ADB" w:rsidP="00056C6A">
                <w:pPr>
                  <w:spacing w:after="160"/>
                  <w:jc w:val="center"/>
                  <w:rPr>
                    <w:rFonts w:asciiTheme="minorHAnsi" w:hAnsiTheme="minorHAnsi"/>
                    <w:szCs w:val="24"/>
                  </w:rPr>
                </w:pPr>
                <w:r w:rsidRPr="00C13D85">
                  <w:rPr>
                    <w:rFonts w:ascii="Times New Roman" w:hAnsi="Times New Roman" w:cs="Times New Roman"/>
                    <w:color w:val="000000"/>
                    <w:szCs w:val="24"/>
                  </w:rPr>
                  <w:t>Encadrant (e)</w:t>
                </w:r>
              </w:p>
            </w:tc>
          </w:tr>
          <w:tr w:rsidR="00437ADB" w:rsidRPr="00437ADB" w14:paraId="7FACA102" w14:textId="77777777" w:rsidTr="00C13D85">
            <w:trPr>
              <w:jc w:val="center"/>
            </w:trPr>
            <w:tc>
              <w:tcPr>
                <w:tcW w:w="3543" w:type="dxa"/>
              </w:tcPr>
              <w:p w14:paraId="262AFF05" w14:textId="77777777" w:rsidR="00437ADB" w:rsidRPr="00C13D85" w:rsidRDefault="00C13D85" w:rsidP="00056C6A">
                <w:pPr>
                  <w:tabs>
                    <w:tab w:val="left" w:pos="7214"/>
                  </w:tabs>
                  <w:spacing w:after="160"/>
                  <w:jc w:val="center"/>
                  <w:rPr>
                    <w:rFonts w:cstheme="majorBidi"/>
                    <w:szCs w:val="24"/>
                  </w:rPr>
                </w:pPr>
                <w:r w:rsidRPr="00C13D85">
                  <w:rPr>
                    <w:rFonts w:cstheme="majorBidi"/>
                    <w:szCs w:val="24"/>
                  </w:rPr>
                  <w:t>Dr.</w:t>
                </w:r>
                <w:r w:rsidRPr="00C13D85">
                  <w:rPr>
                    <w:rFonts w:ascii="Times New Roman" w:hAnsi="Times New Roman" w:cs="Times New Roman"/>
                    <w:color w:val="000000"/>
                    <w:szCs w:val="24"/>
                  </w:rPr>
                  <w:t xml:space="preserve"> AHMED</w:t>
                </w:r>
                <w:r w:rsidR="00437ADB" w:rsidRPr="00C13D85">
                  <w:rPr>
                    <w:rFonts w:ascii="Times New Roman" w:hAnsi="Times New Roman" w:cs="Times New Roman"/>
                    <w:color w:val="000000"/>
                    <w:szCs w:val="24"/>
                  </w:rPr>
                  <w:t xml:space="preserve"> BELBACHIR wafa</w:t>
                </w:r>
              </w:p>
            </w:tc>
            <w:tc>
              <w:tcPr>
                <w:tcW w:w="1985" w:type="dxa"/>
              </w:tcPr>
              <w:p w14:paraId="5A863862" w14:textId="77777777" w:rsidR="00437ADB" w:rsidRPr="00C13D85" w:rsidRDefault="00437ADB" w:rsidP="00056C6A">
                <w:pPr>
                  <w:tabs>
                    <w:tab w:val="left" w:pos="7214"/>
                  </w:tabs>
                  <w:spacing w:after="160"/>
                  <w:jc w:val="center"/>
                  <w:rPr>
                    <w:rFonts w:cstheme="majorBidi"/>
                    <w:szCs w:val="24"/>
                  </w:rPr>
                </w:pPr>
                <w:r w:rsidRPr="00C13D85">
                  <w:rPr>
                    <w:rFonts w:cstheme="majorBidi"/>
                    <w:szCs w:val="24"/>
                  </w:rPr>
                  <w:t>MCA</w:t>
                </w:r>
              </w:p>
            </w:tc>
            <w:tc>
              <w:tcPr>
                <w:tcW w:w="2835" w:type="dxa"/>
              </w:tcPr>
              <w:p w14:paraId="6A2DF213" w14:textId="77777777" w:rsidR="00437ADB" w:rsidRPr="00C13D85" w:rsidRDefault="00437ADB" w:rsidP="00056C6A">
                <w:pPr>
                  <w:spacing w:after="160"/>
                  <w:jc w:val="center"/>
                  <w:rPr>
                    <w:rFonts w:cstheme="majorBidi"/>
                    <w:szCs w:val="24"/>
                  </w:rPr>
                </w:pPr>
                <w:r w:rsidRPr="00C13D85">
                  <w:rPr>
                    <w:rFonts w:cstheme="majorBidi"/>
                    <w:color w:val="000000"/>
                    <w:szCs w:val="24"/>
                  </w:rPr>
                  <w:t>Examinateur (e</w:t>
                </w:r>
                <w:r w:rsidRPr="00C13D85">
                  <w:rPr>
                    <w:rFonts w:cstheme="majorBidi"/>
                    <w:szCs w:val="24"/>
                  </w:rPr>
                  <w:t>)</w:t>
                </w:r>
              </w:p>
            </w:tc>
          </w:tr>
        </w:tbl>
        <w:p w14:paraId="1CA9CF54" w14:textId="77777777" w:rsidR="000665C8" w:rsidRDefault="000665C8" w:rsidP="00521AEB">
          <w:pPr>
            <w:spacing w:before="0" w:beforeAutospacing="0"/>
            <w:jc w:val="left"/>
            <w:rPr>
              <w:rFonts w:cstheme="majorBidi"/>
              <w:szCs w:val="24"/>
            </w:rPr>
          </w:pPr>
        </w:p>
        <w:p w14:paraId="398377E6" w14:textId="77777777" w:rsidR="000665C8" w:rsidRDefault="00607B26" w:rsidP="00521AEB">
          <w:pPr>
            <w:tabs>
              <w:tab w:val="left" w:pos="6885"/>
            </w:tabs>
            <w:spacing w:before="0" w:beforeAutospacing="0"/>
            <w:rPr>
              <w:rFonts w:cstheme="majorBidi"/>
              <w:szCs w:val="24"/>
            </w:rPr>
            <w:sectPr w:rsidR="000665C8" w:rsidSect="00131853">
              <w:headerReference w:type="even" r:id="rId10"/>
              <w:headerReference w:type="default" r:id="rId11"/>
              <w:footerReference w:type="default" r:id="rId12"/>
              <w:headerReference w:type="first" r:id="rId13"/>
              <w:footerReference w:type="first" r:id="rId14"/>
              <w:pgSz w:w="11906" w:h="16838"/>
              <w:pgMar w:top="851" w:right="1418" w:bottom="1134" w:left="1418" w:header="709" w:footer="709" w:gutter="0"/>
              <w:pgNumType w:start="1"/>
              <w:cols w:space="708"/>
              <w:titlePg/>
              <w:docGrid w:linePitch="360"/>
            </w:sectPr>
          </w:pPr>
          <w:r w:rsidRPr="00437ADB">
            <w:rPr>
              <w:rFonts w:cstheme="majorBidi"/>
              <w:noProof/>
              <w:szCs w:val="24"/>
              <w:lang w:eastAsia="fr-FR"/>
            </w:rPr>
            <mc:AlternateContent>
              <mc:Choice Requires="wps">
                <w:drawing>
                  <wp:anchor distT="0" distB="0" distL="114300" distR="114300" simplePos="0" relativeHeight="252100608" behindDoc="0" locked="0" layoutInCell="1" allowOverlap="1" wp14:anchorId="2CCA03C8" wp14:editId="5CFFE7EC">
                    <wp:simplePos x="0" y="0"/>
                    <wp:positionH relativeFrom="margin">
                      <wp:align>center</wp:align>
                    </wp:positionH>
                    <wp:positionV relativeFrom="paragraph">
                      <wp:posOffset>13970</wp:posOffset>
                    </wp:positionV>
                    <wp:extent cx="2532380" cy="386715"/>
                    <wp:effectExtent l="0" t="0" r="20320" b="13335"/>
                    <wp:wrapNone/>
                    <wp:docPr id="28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2380" cy="386715"/>
                            </a:xfrm>
                            <a:prstGeom prst="horizontalScroll">
                              <a:avLst>
                                <a:gd name="adj" fmla="val 12500"/>
                              </a:avLst>
                            </a:prstGeom>
                            <a:solidFill>
                              <a:srgbClr val="5B9BD5">
                                <a:lumMod val="100000"/>
                                <a:lumOff val="0"/>
                              </a:srgbClr>
                            </a:solidFill>
                            <a:ln w="9525">
                              <a:solidFill>
                                <a:srgbClr val="000000"/>
                              </a:solidFill>
                              <a:round/>
                              <a:headEnd/>
                              <a:tailEnd/>
                            </a:ln>
                          </wps:spPr>
                          <wps:txbx>
                            <w:txbxContent>
                              <w:p w14:paraId="34634C48" w14:textId="77777777" w:rsidR="00A36231" w:rsidRPr="007A5091" w:rsidRDefault="00A36231" w:rsidP="00437ADB">
                                <w:pPr>
                                  <w:jc w:val="center"/>
                                  <w:rPr>
                                    <w:b/>
                                    <w:bCs/>
                                  </w:rPr>
                                </w:pPr>
                                <w:r w:rsidRPr="007A5091">
                                  <w:rPr>
                                    <w:rFonts w:ascii="Times New Roman" w:hAnsi="Times New Roman" w:cs="Times New Roman"/>
                                    <w:b/>
                                    <w:bCs/>
                                    <w:color w:val="000000"/>
                                    <w:szCs w:val="24"/>
                                  </w:rPr>
                                  <w:t>Année universitaire : 20</w:t>
                                </w:r>
                                <w:r>
                                  <w:rPr>
                                    <w:rFonts w:ascii="Times New Roman" w:hAnsi="Times New Roman" w:cs="Times New Roman"/>
                                    <w:b/>
                                    <w:bCs/>
                                    <w:color w:val="000000"/>
                                    <w:szCs w:val="24"/>
                                  </w:rPr>
                                  <w:t>25</w:t>
                                </w:r>
                                <w:r w:rsidRPr="007A5091">
                                  <w:rPr>
                                    <w:rFonts w:ascii="Times New Roman" w:hAnsi="Times New Roman" w:cs="Times New Roman"/>
                                    <w:b/>
                                    <w:bCs/>
                                    <w:color w:val="000000"/>
                                  </w:rPr>
                                  <w:t>/</w:t>
                                </w:r>
                                <w:r>
                                  <w:rPr>
                                    <w:rFonts w:ascii="Times New Roman" w:hAnsi="Times New Roman" w:cs="Times New Roman"/>
                                    <w:b/>
                                    <w:bCs/>
                                    <w:color w:val="000000"/>
                                    <w:szCs w:val="24"/>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CA03C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5" o:spid="_x0000_s1027" type="#_x0000_t98" style="position:absolute;left:0;text-align:left;margin-left:0;margin-top:1.1pt;width:199.4pt;height:30.45pt;z-index:252100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" fillcolor="#5b9bd5">
                    <v:textbox>
                      <w:txbxContent>
                        <w:p w14:paraId="34634C48" w14:textId="77777777" w:rsidR="00A36231" w:rsidRPr="007A5091" w:rsidRDefault="00A36231" w:rsidP="00437ADB">
                          <w:pPr>
                            <w:jc w:val="center"/>
                            <w:rPr>
                              <w:b/>
                              <w:bCs/>
                            </w:rPr>
                          </w:pPr>
                          <w:r w:rsidRPr="007A5091">
                            <w:rPr>
                              <w:rFonts w:ascii="Times New Roman" w:hAnsi="Times New Roman" w:cs="Times New Roman"/>
                              <w:b/>
                              <w:bCs/>
                              <w:color w:val="000000"/>
                              <w:szCs w:val="24"/>
                            </w:rPr>
                            <w:t>Année universitaire : 20</w:t>
                          </w:r>
                          <w:r>
                            <w:rPr>
                              <w:rFonts w:ascii="Times New Roman" w:hAnsi="Times New Roman" w:cs="Times New Roman"/>
                              <w:b/>
                              <w:bCs/>
                              <w:color w:val="000000"/>
                              <w:szCs w:val="24"/>
                            </w:rPr>
                            <w:t>25</w:t>
                          </w:r>
                          <w:r w:rsidRPr="007A5091">
                            <w:rPr>
                              <w:rFonts w:ascii="Times New Roman" w:hAnsi="Times New Roman" w:cs="Times New Roman"/>
                              <w:b/>
                              <w:bCs/>
                              <w:color w:val="000000"/>
                            </w:rPr>
                            <w:t>/</w:t>
                          </w:r>
                          <w:r>
                            <w:rPr>
                              <w:rFonts w:ascii="Times New Roman" w:hAnsi="Times New Roman" w:cs="Times New Roman"/>
                              <w:b/>
                              <w:bCs/>
                              <w:color w:val="000000"/>
                              <w:szCs w:val="24"/>
                            </w:rPr>
                            <w:t>2026</w:t>
                          </w:r>
                        </w:p>
                      </w:txbxContent>
                    </v:textbox>
                    <w10:wrap anchorx="margin"/>
                  </v:shape>
                </w:pict>
              </mc:Fallback>
            </mc:AlternateContent>
          </w:r>
          <w:r w:rsidR="000665C8">
            <w:rPr>
              <w:rFonts w:cstheme="majorBidi"/>
              <w:szCs w:val="24"/>
            </w:rPr>
            <w:tab/>
          </w:r>
        </w:p>
        <w:p w14:paraId="039B76BE" w14:textId="77777777" w:rsidR="000665C8" w:rsidRPr="00BE1795" w:rsidRDefault="000665C8" w:rsidP="00521AEB">
          <w:pPr>
            <w:tabs>
              <w:tab w:val="left" w:pos="9029"/>
            </w:tabs>
            <w:spacing w:before="0" w:beforeAutospacing="0"/>
            <w:ind w:left="284" w:right="284"/>
            <w:jc w:val="center"/>
            <w:rPr>
              <w:rFonts w:ascii="Monotype Corsiva" w:hAnsi="Monotype Corsiva"/>
              <w:b/>
              <w:bCs/>
              <w:i/>
              <w:iCs/>
              <w:sz w:val="32"/>
              <w:szCs w:val="32"/>
            </w:rPr>
          </w:pPr>
          <w:r>
            <w:rPr>
              <w:rFonts w:cstheme="majorBidi"/>
              <w:szCs w:val="24"/>
            </w:rPr>
            <w:lastRenderedPageBreak/>
            <w:tab/>
          </w:r>
          <w:r w:rsidRPr="00BE1795">
            <w:rPr>
              <w:rFonts w:ascii="Monotype Corsiva" w:hAnsi="Monotype Corsiva"/>
              <w:b/>
              <w:bCs/>
              <w:i/>
              <w:iCs/>
              <w:sz w:val="32"/>
              <w:szCs w:val="32"/>
            </w:rPr>
            <w:t>Remerciements</w:t>
          </w:r>
        </w:p>
        <w:p w14:paraId="7E2715BC" w14:textId="77777777" w:rsidR="000665C8" w:rsidRPr="000665C8" w:rsidRDefault="000665C8" w:rsidP="00521AEB">
          <w:pPr>
            <w:tabs>
              <w:tab w:val="left" w:pos="9029"/>
            </w:tabs>
            <w:spacing w:before="0" w:beforeAutospacing="0"/>
            <w:ind w:left="284" w:right="284"/>
            <w:jc w:val="center"/>
            <w:rPr>
              <w:rFonts w:ascii="Monotype Corsiva" w:hAnsi="Monotype Corsiva"/>
              <w:i/>
              <w:iCs/>
              <w:szCs w:val="24"/>
            </w:rPr>
          </w:pPr>
          <w:r w:rsidRPr="002A15CC">
            <w:rPr>
              <w:rFonts w:ascii="Monotype Corsiva" w:hAnsi="Monotype Corsiva"/>
              <w:i/>
              <w:iCs/>
              <w:szCs w:val="24"/>
            </w:rPr>
            <w:t>Avant toute chose, nous rendons grâce à Allah, le Très Miséricordieux, le Tout-Puissant, pour Ses innombrables bienfaits et Sa bénédiction qui nous ont accompagnés tout au long de notre parcours. Nous Le remercions de nous avoir accordé la foi, la patience, la sagesse, la force et la persévérance nécessaires afin de surmonter les difficultés et mener à bien ce modeste travail. Que toute louange Lui revienne pour nous avoir guidés sur le chemin du savoir, éclairé nos esprits et permis d’atteindre cette étape importante de notre vie académique. Nous implorons Allah d’accepter cet humble effort et de faire de ce travail une source de bénéfice et de réussite.</w:t>
          </w:r>
        </w:p>
        <w:p w14:paraId="3C79CEC6" w14:textId="77777777" w:rsidR="000665C8" w:rsidRPr="000665C8" w:rsidRDefault="000665C8" w:rsidP="00521AEB">
          <w:pPr>
            <w:tabs>
              <w:tab w:val="left" w:pos="9029"/>
            </w:tabs>
            <w:spacing w:before="0" w:beforeAutospacing="0"/>
            <w:ind w:left="284" w:right="284"/>
            <w:jc w:val="center"/>
            <w:rPr>
              <w:rFonts w:ascii="Monotype Corsiva" w:hAnsi="Monotype Corsiva"/>
              <w:i/>
              <w:iCs/>
              <w:szCs w:val="24"/>
            </w:rPr>
          </w:pPr>
          <w:r w:rsidRPr="002A15CC">
            <w:rPr>
              <w:rFonts w:ascii="Monotype Corsiva" w:hAnsi="Monotype Corsiva"/>
              <w:i/>
              <w:iCs/>
              <w:szCs w:val="24"/>
            </w:rPr>
            <w:t xml:space="preserve">Nous tenons à exprimer notre profonde reconnaissance et notre sincère gratitude à notre encadrante, </w:t>
          </w:r>
          <w:r w:rsidRPr="002A15CC">
            <w:rPr>
              <w:rFonts w:ascii="Monotype Corsiva" w:hAnsi="Monotype Corsiva"/>
              <w:b/>
              <w:bCs/>
              <w:i/>
              <w:iCs/>
              <w:szCs w:val="24"/>
            </w:rPr>
            <w:t>Madame</w:t>
          </w:r>
          <w:r w:rsidRPr="002A15CC">
            <w:rPr>
              <w:rFonts w:ascii="Monotype Corsiva" w:hAnsi="Monotype Corsiva"/>
              <w:i/>
              <w:iCs/>
              <w:szCs w:val="24"/>
            </w:rPr>
            <w:t xml:space="preserve"> </w:t>
          </w:r>
          <w:r w:rsidRPr="002A15CC">
            <w:rPr>
              <w:rFonts w:ascii="Monotype Corsiva" w:hAnsi="Monotype Corsiva"/>
              <w:b/>
              <w:bCs/>
              <w:i/>
              <w:iCs/>
              <w:szCs w:val="24"/>
            </w:rPr>
            <w:t>BRAHIMI</w:t>
          </w:r>
          <w:r w:rsidRPr="002A15CC">
            <w:rPr>
              <w:rFonts w:ascii="Monotype Corsiva" w:hAnsi="Monotype Corsiva"/>
              <w:i/>
              <w:iCs/>
              <w:szCs w:val="24"/>
            </w:rPr>
            <w:t xml:space="preserve"> </w:t>
          </w:r>
          <w:r w:rsidRPr="001908D1">
            <w:rPr>
              <w:rFonts w:ascii="Monotype Corsiva" w:hAnsi="Monotype Corsiva"/>
              <w:b/>
              <w:bCs/>
              <w:i/>
              <w:iCs/>
              <w:szCs w:val="24"/>
            </w:rPr>
            <w:t>Assia</w:t>
          </w:r>
          <w:r w:rsidRPr="002A15CC">
            <w:rPr>
              <w:rFonts w:ascii="Monotype Corsiva" w:hAnsi="Monotype Corsiva"/>
              <w:b/>
              <w:bCs/>
              <w:i/>
              <w:iCs/>
              <w:szCs w:val="24"/>
            </w:rPr>
            <w:t>,</w:t>
          </w:r>
          <w:r w:rsidRPr="002A15CC">
            <w:rPr>
              <w:rFonts w:ascii="Monotype Corsiva" w:hAnsi="Monotype Corsiva"/>
              <w:i/>
              <w:iCs/>
              <w:szCs w:val="24"/>
            </w:rPr>
            <w:t xml:space="preserve"> pour son précieux accompagnement, sa disponibilité constante et la qualité de ses orientations tout au long de l’élaboration de ce travail. Par ses conseils avisés, sa patience, sa compréhension et son soutien indéfectible, elle a su nous guider avec rigueur et bienveillance. Ses encouragements, son expertise et sa confiance ont constitué une source de motivation essentielle à l’aboutissement de ce mémoire. Qu’elle trouve ici l’expression de notre profond respect et de notre vive reconnaissance.</w:t>
          </w:r>
        </w:p>
        <w:p w14:paraId="27FE56FA" w14:textId="77777777" w:rsidR="000665C8" w:rsidRPr="002A15CC" w:rsidRDefault="000665C8" w:rsidP="00521AEB">
          <w:pPr>
            <w:tabs>
              <w:tab w:val="left" w:pos="9029"/>
            </w:tabs>
            <w:spacing w:before="0" w:beforeAutospacing="0"/>
            <w:ind w:left="284" w:right="284"/>
            <w:jc w:val="center"/>
            <w:rPr>
              <w:rFonts w:ascii="Monotype Corsiva" w:hAnsi="Monotype Corsiva"/>
              <w:i/>
              <w:iCs/>
              <w:szCs w:val="24"/>
            </w:rPr>
          </w:pPr>
          <w:r w:rsidRPr="002A15CC">
            <w:rPr>
              <w:rFonts w:ascii="Monotype Corsiva" w:hAnsi="Monotype Corsiva"/>
              <w:i/>
              <w:iCs/>
              <w:szCs w:val="24"/>
            </w:rPr>
            <w:t xml:space="preserve">Nous adressons nos sincères remerciements au Directeur de TAYAL SPA à Relizane, Monsieur </w:t>
          </w:r>
          <w:r w:rsidRPr="001908D1">
            <w:rPr>
              <w:rFonts w:ascii="Monotype Corsiva" w:hAnsi="Monotype Corsiva"/>
              <w:b/>
              <w:bCs/>
              <w:i/>
              <w:iCs/>
              <w:szCs w:val="24"/>
            </w:rPr>
            <w:t>Tarik EKERBICER</w:t>
          </w:r>
          <w:r>
            <w:rPr>
              <w:rFonts w:ascii="Monotype Corsiva" w:hAnsi="Monotype Corsiva"/>
              <w:b/>
              <w:bCs/>
              <w:i/>
              <w:iCs/>
              <w:szCs w:val="24"/>
            </w:rPr>
            <w:t xml:space="preserve">. </w:t>
          </w:r>
          <w:r w:rsidRPr="002A15CC">
            <w:rPr>
              <w:rFonts w:ascii="Monotype Corsiva" w:hAnsi="Monotype Corsiva"/>
              <w:i/>
              <w:iCs/>
              <w:szCs w:val="24"/>
            </w:rPr>
            <w:t>Pour son accueil, sa confiance et l’opportunité qui nous a été offerte d’effectuer notre stage au sein de cette institution. Nous exprimons également notre profonde gratitude à l’ensemble du personnel pour leur disponibilité, leur bienveillance, leur esprit de collaboration ainsi que les précieuses connaissances et l’expérience qu’ils ont partagées avec nous tout au long de cette période. Leur accompagnement et leurs conseils av</w:t>
          </w:r>
          <w:r w:rsidR="00442659">
            <w:rPr>
              <w:rFonts w:ascii="Monotype Corsiva" w:hAnsi="Monotype Corsiva"/>
              <w:i/>
              <w:iCs/>
              <w:szCs w:val="24"/>
            </w:rPr>
            <w:t xml:space="preserve">isés ont grandement contribué </w:t>
          </w:r>
          <w:r w:rsidRPr="002A15CC">
            <w:rPr>
              <w:rFonts w:ascii="Monotype Corsiva" w:hAnsi="Monotype Corsiva"/>
              <w:i/>
              <w:iCs/>
              <w:szCs w:val="24"/>
            </w:rPr>
            <w:t>l’enrichissement de notre parcours académique et professionnel.</w:t>
          </w:r>
        </w:p>
        <w:p w14:paraId="635B6E83" w14:textId="77777777" w:rsidR="00442659" w:rsidRDefault="000665C8" w:rsidP="00426E4E">
          <w:pPr>
            <w:tabs>
              <w:tab w:val="left" w:pos="9029"/>
            </w:tabs>
            <w:spacing w:before="0" w:beforeAutospacing="0"/>
            <w:ind w:left="284" w:right="284"/>
            <w:jc w:val="center"/>
            <w:rPr>
              <w:rFonts w:ascii="Monotype Corsiva" w:hAnsi="Monotype Corsiva"/>
              <w:i/>
              <w:iCs/>
              <w:szCs w:val="24"/>
            </w:rPr>
            <w:sectPr w:rsidR="00442659" w:rsidSect="00C457BE">
              <w:pgSz w:w="11906" w:h="16838"/>
              <w:pgMar w:top="851" w:right="1418" w:bottom="1134" w:left="1418" w:header="709" w:footer="709" w:gutter="0"/>
              <w:pgNumType w:start="2"/>
              <w:cols w:space="708"/>
              <w:titlePg/>
              <w:docGrid w:linePitch="360"/>
            </w:sectPr>
          </w:pPr>
          <w:r w:rsidRPr="002A15CC">
            <w:rPr>
              <w:rFonts w:ascii="Monotype Corsiva" w:hAnsi="Monotype Corsiva"/>
              <w:i/>
              <w:iCs/>
              <w:szCs w:val="24"/>
            </w:rPr>
            <w:t>Nous exprimons notre profonde gratitude aux honorables membres du jury pour l’intérêt qu’ils ont bien voulu porter à notre travail en acceptant de l’examiner et de l’évaluer. Nous leur adressons nos sincères remerciements pour le temps consacré à la lecture de ce mémoire, ainsi que pour leurs remarques, leurs observations et leurs précieuses appréciations, qui contribueront sans aucun doute à enrichir notre réflex</w:t>
          </w:r>
          <w:r w:rsidR="00426E4E">
            <w:rPr>
              <w:rFonts w:ascii="Monotype Corsiva" w:hAnsi="Monotype Corsiva"/>
              <w:i/>
              <w:iCs/>
              <w:szCs w:val="24"/>
            </w:rPr>
            <w:t>ion et notre parcours académique.</w:t>
          </w:r>
        </w:p>
        <w:p w14:paraId="45AB928C" w14:textId="77777777" w:rsidR="00442659" w:rsidRPr="00442659" w:rsidRDefault="00442659" w:rsidP="00521AEB">
          <w:pPr>
            <w:spacing w:before="0" w:beforeAutospacing="0"/>
            <w:jc w:val="center"/>
            <w:rPr>
              <w:rFonts w:ascii="Monotype Corsiva" w:hAnsi="Monotype Corsiva"/>
              <w:i/>
              <w:iCs/>
              <w:sz w:val="28"/>
              <w:szCs w:val="28"/>
            </w:rPr>
          </w:pPr>
          <w:r w:rsidRPr="00BE1795">
            <w:rPr>
              <w:rFonts w:ascii="Lucida Calligraphy" w:hAnsi="Lucida Calligraphy"/>
              <w:b/>
              <w:bCs/>
              <w:i/>
              <w:iCs/>
              <w:color w:val="000000"/>
              <w:szCs w:val="24"/>
            </w:rPr>
            <w:lastRenderedPageBreak/>
            <w:t>Dédicace Douaa</w:t>
          </w:r>
        </w:p>
        <w:p w14:paraId="6221E178" w14:textId="77777777" w:rsidR="00442659" w:rsidRPr="002A15CC" w:rsidRDefault="00442659" w:rsidP="00521AEB">
          <w:pPr>
            <w:tabs>
              <w:tab w:val="left" w:pos="9029"/>
            </w:tabs>
            <w:spacing w:before="0" w:beforeAutospacing="0"/>
            <w:ind w:left="284" w:right="284"/>
            <w:jc w:val="center"/>
            <w:rPr>
              <w:rFonts w:ascii="Monotype Corsiva" w:hAnsi="Monotype Corsiva"/>
              <w:i/>
              <w:iCs/>
              <w:szCs w:val="24"/>
            </w:rPr>
          </w:pPr>
          <w:r w:rsidRPr="002A15CC">
            <w:rPr>
              <w:rFonts w:ascii="Monotype Corsiva" w:hAnsi="Monotype Corsiva"/>
              <w:i/>
              <w:iCs/>
              <w:szCs w:val="24"/>
            </w:rPr>
            <w:t>Du plus profond de mon cœur, je dédie ce modeste travail à tous ceux qui me sont chers, pour leur amour, leur soutien et leurs précieux encouragements. Leur présence à mes côtés a été une source de force et de motivation tout au long de ce parcours. Qu’ils trouvent ici l’expression de ma sincère gratitude et de ma profonde affection.</w:t>
          </w:r>
        </w:p>
        <w:p w14:paraId="48D3A5EA" w14:textId="77777777" w:rsid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BE1795">
            <w:rPr>
              <w:rFonts w:ascii="Monotype Corsiva" w:hAnsi="Monotype Corsiva"/>
              <w:b/>
              <w:bCs/>
              <w:i/>
              <w:iCs/>
              <w:sz w:val="32"/>
              <w:szCs w:val="32"/>
            </w:rPr>
            <w:t>A mes chers parents</w:t>
          </w:r>
          <w:r>
            <w:rPr>
              <w:rFonts w:ascii="Monotype Corsiva" w:hAnsi="Monotype Corsiva"/>
              <w:b/>
              <w:bCs/>
              <w:i/>
              <w:iCs/>
              <w:sz w:val="32"/>
              <w:szCs w:val="32"/>
            </w:rPr>
            <w:t xml:space="preserve"> ABDELHAFID et RAFIKA</w:t>
          </w:r>
        </w:p>
        <w:p w14:paraId="7A90DC5E" w14:textId="77777777" w:rsidR="00442659" w:rsidRPr="00CF213D" w:rsidRDefault="00442659" w:rsidP="00521AEB">
          <w:pPr>
            <w:tabs>
              <w:tab w:val="left" w:pos="9029"/>
            </w:tabs>
            <w:spacing w:before="0" w:beforeAutospacing="0"/>
            <w:ind w:left="284" w:right="284"/>
            <w:jc w:val="center"/>
            <w:rPr>
              <w:rFonts w:ascii="Monotype Corsiva" w:hAnsi="Monotype Corsiva"/>
              <w:b/>
              <w:bCs/>
              <w:i/>
              <w:iCs/>
              <w:sz w:val="32"/>
              <w:szCs w:val="32"/>
            </w:rPr>
          </w:pPr>
          <w:r w:rsidRPr="002A15CC">
            <w:rPr>
              <w:rFonts w:ascii="Monotype Corsiva" w:hAnsi="Monotype Corsiva"/>
              <w:szCs w:val="24"/>
            </w:rPr>
            <w:t>À mes très chers parents, les êtres les plus chers à mon cœur, aucun mot ne saurait exprimer toute ma gratitude, mon respect et mon amour profond envers vous. Je vous remercie pour tous les sacrifices que vous avez consentis sans jamais hésiter afin de m’offrir les meilleures conditions possibles pour réussir mon parcours.</w:t>
          </w:r>
        </w:p>
        <w:p w14:paraId="2263049A" w14:textId="77777777" w:rsidR="00442659" w:rsidRPr="002A15CC" w:rsidRDefault="00442659" w:rsidP="00521AEB">
          <w:pPr>
            <w:pStyle w:val="isselectedend"/>
            <w:spacing w:before="0" w:beforeAutospacing="0" w:after="160" w:afterAutospacing="0" w:line="360" w:lineRule="auto"/>
            <w:ind w:left="284" w:right="284" w:firstLine="284"/>
            <w:jc w:val="center"/>
            <w:rPr>
              <w:rFonts w:ascii="Monotype Corsiva" w:hAnsi="Monotype Corsiva"/>
            </w:rPr>
          </w:pPr>
          <w:r w:rsidRPr="002A15CC">
            <w:rPr>
              <w:rFonts w:ascii="Monotype Corsiva" w:hAnsi="Monotype Corsiva"/>
            </w:rPr>
            <w:t>Votre présence constante à mes côtés, votre amour inconditionnel, votre patience et votre confiance ont été ma plus grande force et ma principale source de courage tout au long de mon parcours. Dans les moments de doute et de difficulté, vous avez toujours su m’encourager et me soutenir sans jamais faillir.</w:t>
          </w:r>
        </w:p>
        <w:p w14:paraId="4BB44490" w14:textId="77777777" w:rsidR="00442659" w:rsidRPr="002A15CC" w:rsidRDefault="00442659" w:rsidP="00521AEB">
          <w:pPr>
            <w:pStyle w:val="isselectedend"/>
            <w:spacing w:before="0" w:beforeAutospacing="0" w:after="160" w:afterAutospacing="0" w:line="360" w:lineRule="auto"/>
            <w:ind w:left="284" w:right="284" w:firstLine="284"/>
            <w:jc w:val="center"/>
            <w:rPr>
              <w:rFonts w:ascii="Monotype Corsiva" w:hAnsi="Monotype Corsiva"/>
            </w:rPr>
          </w:pPr>
          <w:r w:rsidRPr="002A15CC">
            <w:rPr>
              <w:rFonts w:ascii="Monotype Corsiva" w:hAnsi="Monotype Corsiva"/>
            </w:rPr>
            <w:t>Vous avez été pour moi une source inépuisable d’espoir et de confiance qui ont constitué les piliers essentiels de ma réussite. Ce modeste travail est le fruit de vos efforts, de vos prières et de votre dévouement.</w:t>
          </w:r>
        </w:p>
        <w:p w14:paraId="5DB72021" w14:textId="77777777" w:rsidR="00442659" w:rsidRPr="002A15CC" w:rsidRDefault="00442659" w:rsidP="00521AEB">
          <w:pPr>
            <w:pStyle w:val="NormalWeb"/>
            <w:spacing w:before="0" w:beforeAutospacing="0" w:line="360" w:lineRule="auto"/>
            <w:ind w:left="284" w:right="284"/>
            <w:jc w:val="center"/>
            <w:rPr>
              <w:rFonts w:ascii="Monotype Corsiva" w:hAnsi="Monotype Corsiva"/>
            </w:rPr>
          </w:pPr>
          <w:r w:rsidRPr="002A15CC">
            <w:rPr>
              <w:rFonts w:ascii="Monotype Corsiva" w:hAnsi="Monotype Corsiva"/>
            </w:rPr>
            <w:t>Puisse Allah, le Très-Haut, vous préserver, vous accorder une santé parfaite, une longue vie pleine de bonheur, de sérénité et de bénédictions, et vous récompenser au centuple pour tout ce que vous avez fait pour moi dans ce monde et dans l’au-delà.</w:t>
          </w:r>
        </w:p>
        <w:p w14:paraId="55586755" w14:textId="77777777" w:rsid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BE1795">
            <w:rPr>
              <w:rFonts w:ascii="Monotype Corsiva" w:hAnsi="Monotype Corsiva"/>
              <w:b/>
              <w:bCs/>
              <w:i/>
              <w:iCs/>
              <w:sz w:val="32"/>
              <w:szCs w:val="32"/>
            </w:rPr>
            <w:t xml:space="preserve">A mes chers </w:t>
          </w:r>
          <w:r>
            <w:rPr>
              <w:rFonts w:ascii="Monotype Corsiva" w:hAnsi="Monotype Corsiva"/>
              <w:b/>
              <w:bCs/>
              <w:i/>
              <w:iCs/>
              <w:sz w:val="32"/>
              <w:szCs w:val="32"/>
            </w:rPr>
            <w:t>frères MOHAMMED RYAD et WAIL</w:t>
          </w:r>
        </w:p>
        <w:p w14:paraId="3B80FD73" w14:textId="77777777" w:rsidR="00442659" w:rsidRP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2A15CC">
            <w:rPr>
              <w:rFonts w:ascii="Monotype Corsiva" w:hAnsi="Monotype Corsiva"/>
              <w:szCs w:val="24"/>
            </w:rPr>
            <w:t>À mes deux chers frères, mes yeux, chacun étant pour moi un œil précieux, je vous exprime toute ma gratitude et mon profond attachement. Je vous remercie pour votre présence, votre amour, vos encouragements et votre soutien constant tout au long de mon parcours. Vous êtes la source essentielle de ma force dans les moments difficiles comme dans les instants de réussite.</w:t>
          </w:r>
        </w:p>
        <w:p w14:paraId="5E87E8E3" w14:textId="77777777" w:rsidR="00442659" w:rsidRDefault="00442659" w:rsidP="00521AEB">
          <w:pPr>
            <w:tabs>
              <w:tab w:val="left" w:pos="9029"/>
            </w:tabs>
            <w:spacing w:before="0" w:beforeAutospacing="0"/>
            <w:ind w:left="284" w:right="284"/>
            <w:jc w:val="center"/>
            <w:rPr>
              <w:rFonts w:ascii="Monotype Corsiva" w:hAnsi="Monotype Corsiva"/>
              <w:b/>
              <w:bCs/>
              <w:i/>
              <w:iCs/>
              <w:sz w:val="28"/>
              <w:szCs w:val="28"/>
            </w:rPr>
          </w:pPr>
          <w:r w:rsidRPr="00EB22D0">
            <w:rPr>
              <w:rFonts w:ascii="Monotype Corsiva" w:hAnsi="Monotype Corsiva"/>
              <w:b/>
              <w:bCs/>
              <w:i/>
              <w:iCs/>
              <w:sz w:val="28"/>
              <w:szCs w:val="28"/>
            </w:rPr>
            <w:t>À mes chères grands-mères</w:t>
          </w:r>
          <w:r>
            <w:rPr>
              <w:rFonts w:ascii="Monotype Corsiva" w:hAnsi="Monotype Corsiva"/>
              <w:b/>
              <w:bCs/>
              <w:i/>
              <w:iCs/>
              <w:sz w:val="28"/>
              <w:szCs w:val="28"/>
            </w:rPr>
            <w:t xml:space="preserve"> ZAHRA et KHIRA, mes chères oncles et tantes NEBIA et RADIA</w:t>
          </w:r>
        </w:p>
        <w:p w14:paraId="1EFE2A94" w14:textId="77777777" w:rsidR="00131853" w:rsidRDefault="00442659" w:rsidP="00521AEB">
          <w:pPr>
            <w:tabs>
              <w:tab w:val="left" w:pos="9029"/>
            </w:tabs>
            <w:spacing w:before="0" w:beforeAutospacing="0"/>
            <w:ind w:left="284" w:right="284"/>
            <w:jc w:val="center"/>
            <w:rPr>
              <w:rFonts w:ascii="Monotype Corsiva" w:hAnsi="Monotype Corsiva"/>
              <w:i/>
              <w:iCs/>
              <w:szCs w:val="24"/>
            </w:rPr>
          </w:pPr>
          <w:r>
            <w:rPr>
              <w:rFonts w:ascii="Monotype Corsiva" w:hAnsi="Monotype Corsiva"/>
              <w:i/>
              <w:iCs/>
              <w:szCs w:val="24"/>
            </w:rPr>
            <w:t>J</w:t>
          </w:r>
          <w:r w:rsidRPr="00CF213D">
            <w:rPr>
              <w:rFonts w:ascii="Monotype Corsiva" w:hAnsi="Monotype Corsiva"/>
              <w:i/>
              <w:iCs/>
              <w:szCs w:val="24"/>
            </w:rPr>
            <w:t xml:space="preserve">e tiens à exprimer ma profonde reconnaissance et mon sincère attachement. Votre bienveillance, vos prières et votre présence chaleureuse ont toujours accompagné mon parcours et illuminé mes </w:t>
          </w:r>
          <w:r w:rsidRPr="00CF213D">
            <w:rPr>
              <w:rFonts w:ascii="Monotype Corsiva" w:hAnsi="Monotype Corsiva"/>
              <w:i/>
              <w:iCs/>
              <w:szCs w:val="24"/>
            </w:rPr>
            <w:lastRenderedPageBreak/>
            <w:t>étapes de vie. Votre soutien discret mais constant m’a apporté réconfort, sérénité et motivation, aussi bien dans les moments difficiles qu</w:t>
          </w:r>
          <w:r>
            <w:rPr>
              <w:rFonts w:ascii="Monotype Corsiva" w:hAnsi="Monotype Corsiva"/>
              <w:i/>
              <w:iCs/>
              <w:szCs w:val="24"/>
            </w:rPr>
            <w:t>e dans les périodes de réussite.</w:t>
          </w:r>
        </w:p>
        <w:p w14:paraId="17B428A4" w14:textId="77777777" w:rsidR="00731228" w:rsidRDefault="00731228" w:rsidP="00731228">
          <w:pPr>
            <w:spacing w:after="0"/>
            <w:jc w:val="center"/>
            <w:rPr>
              <w:rFonts w:ascii="Monotype Corsiva" w:eastAsia="Times New Roman" w:hAnsi="Monotype Corsiva" w:cs="Times New Roman"/>
              <w:b/>
              <w:bCs/>
              <w:i/>
              <w:iCs/>
              <w:color w:val="000000"/>
              <w:sz w:val="32"/>
              <w:szCs w:val="32"/>
              <w:lang w:eastAsia="fr-FR"/>
            </w:rPr>
          </w:pPr>
          <w:r>
            <w:rPr>
              <w:rFonts w:ascii="Monotype Corsiva" w:eastAsia="Times New Roman" w:hAnsi="Monotype Corsiva" w:cs="Times New Roman"/>
              <w:b/>
              <w:bCs/>
              <w:i/>
              <w:iCs/>
              <w:color w:val="000000"/>
              <w:sz w:val="32"/>
              <w:szCs w:val="32"/>
              <w:lang w:eastAsia="fr-FR"/>
            </w:rPr>
            <w:t>À ma chère</w:t>
          </w:r>
          <w:r w:rsidRPr="00432D52">
            <w:rPr>
              <w:rFonts w:ascii="Monotype Corsiva" w:eastAsia="Times New Roman" w:hAnsi="Monotype Corsiva" w:cs="Times New Roman"/>
              <w:b/>
              <w:bCs/>
              <w:i/>
              <w:iCs/>
              <w:color w:val="000000"/>
              <w:sz w:val="32"/>
              <w:szCs w:val="32"/>
              <w:lang w:eastAsia="fr-FR"/>
            </w:rPr>
            <w:t xml:space="preserve"> Encadrante</w:t>
          </w:r>
        </w:p>
        <w:p w14:paraId="7587C9E2" w14:textId="77777777" w:rsidR="00731228" w:rsidRPr="00731228" w:rsidRDefault="00731228" w:rsidP="00731228">
          <w:pPr>
            <w:spacing w:after="0"/>
            <w:jc w:val="center"/>
            <w:rPr>
              <w:rFonts w:ascii="Monotype Corsiva" w:eastAsia="Times New Roman" w:hAnsi="Monotype Corsiva" w:cs="Times New Roman"/>
              <w:i/>
              <w:iCs/>
              <w:color w:val="000000"/>
              <w:szCs w:val="24"/>
              <w:lang w:eastAsia="fr-FR"/>
            </w:rPr>
          </w:pPr>
          <w:r w:rsidRPr="002A15CC">
            <w:rPr>
              <w:rFonts w:ascii="Monotype Corsiva" w:eastAsia="Times New Roman" w:hAnsi="Monotype Corsiva" w:cs="Times New Roman"/>
              <w:i/>
              <w:iCs/>
              <w:color w:val="000000"/>
              <w:szCs w:val="24"/>
              <w:lang w:eastAsia="fr-FR"/>
            </w:rPr>
            <w:t>Madame BRAHIMI Assia</w:t>
          </w:r>
          <w:r>
            <w:rPr>
              <w:rFonts w:ascii="Monotype Corsiva" w:eastAsia="Times New Roman" w:hAnsi="Monotype Corsiva" w:cs="Times New Roman"/>
              <w:i/>
              <w:iCs/>
              <w:color w:val="000000"/>
              <w:szCs w:val="24"/>
              <w:lang w:eastAsia="fr-FR"/>
            </w:rPr>
            <w:t xml:space="preserve"> </w:t>
          </w:r>
          <w:r w:rsidRPr="00CF213D">
            <w:rPr>
              <w:rFonts w:ascii="Monotype Corsiva" w:eastAsia="Times New Roman" w:hAnsi="Monotype Corsiva" w:cs="Times New Roman"/>
              <w:i/>
              <w:iCs/>
              <w:color w:val="000000"/>
              <w:szCs w:val="24"/>
              <w:lang w:eastAsia="fr-FR"/>
            </w:rPr>
            <w:t xml:space="preserve">qui a été bien plus qu’une simple </w:t>
          </w:r>
          <w:r>
            <w:rPr>
              <w:rFonts w:ascii="Monotype Corsiva" w:eastAsia="Times New Roman" w:hAnsi="Monotype Corsiva" w:cs="Times New Roman"/>
              <w:i/>
              <w:iCs/>
              <w:color w:val="000000"/>
              <w:szCs w:val="24"/>
              <w:lang w:eastAsia="fr-FR"/>
            </w:rPr>
            <w:t xml:space="preserve">enseignante mais une vraie sœur. </w:t>
          </w:r>
        </w:p>
        <w:p w14:paraId="7558C6AE" w14:textId="77777777" w:rsidR="00731228" w:rsidRDefault="00731228" w:rsidP="00731228">
          <w:pPr>
            <w:spacing w:after="0" w:line="240" w:lineRule="auto"/>
            <w:ind w:left="284" w:right="284"/>
            <w:jc w:val="center"/>
            <w:rPr>
              <w:rFonts w:ascii="Monotype Corsiva" w:eastAsia="Times New Roman" w:hAnsi="Monotype Corsiva" w:cs="Times New Roman"/>
              <w:b/>
              <w:bCs/>
              <w:i/>
              <w:iCs/>
              <w:color w:val="000000"/>
              <w:sz w:val="32"/>
              <w:szCs w:val="32"/>
              <w:lang w:eastAsia="fr-FR"/>
            </w:rPr>
          </w:pPr>
          <w:r w:rsidRPr="00432D52">
            <w:rPr>
              <w:rFonts w:ascii="Monotype Corsiva" w:eastAsia="Times New Roman" w:hAnsi="Monotype Corsiva" w:cs="Times New Roman"/>
              <w:b/>
              <w:bCs/>
              <w:i/>
              <w:iCs/>
              <w:color w:val="000000"/>
              <w:sz w:val="32"/>
              <w:szCs w:val="32"/>
              <w:lang w:eastAsia="fr-FR"/>
            </w:rPr>
            <w:t xml:space="preserve">A ma chère </w:t>
          </w:r>
          <w:r>
            <w:rPr>
              <w:rFonts w:ascii="Monotype Corsiva" w:eastAsia="Times New Roman" w:hAnsi="Monotype Corsiva" w:cs="Times New Roman"/>
              <w:b/>
              <w:bCs/>
              <w:i/>
              <w:iCs/>
              <w:color w:val="000000"/>
              <w:sz w:val="32"/>
              <w:szCs w:val="32"/>
              <w:lang w:eastAsia="fr-FR"/>
            </w:rPr>
            <w:t xml:space="preserve">meilleure </w:t>
          </w:r>
          <w:r w:rsidRPr="00432D52">
            <w:rPr>
              <w:rFonts w:ascii="Monotype Corsiva" w:eastAsia="Times New Roman" w:hAnsi="Monotype Corsiva" w:cs="Times New Roman"/>
              <w:b/>
              <w:bCs/>
              <w:i/>
              <w:iCs/>
              <w:color w:val="000000"/>
              <w:sz w:val="32"/>
              <w:szCs w:val="32"/>
              <w:lang w:eastAsia="fr-FR"/>
            </w:rPr>
            <w:t>amie SIHAM</w:t>
          </w:r>
        </w:p>
        <w:p w14:paraId="69CAEA7C" w14:textId="77777777" w:rsidR="00731228" w:rsidRPr="00731228" w:rsidRDefault="00731228" w:rsidP="00731228">
          <w:pPr>
            <w:spacing w:after="0" w:line="240" w:lineRule="auto"/>
            <w:ind w:left="284" w:right="284"/>
            <w:jc w:val="center"/>
            <w:rPr>
              <w:rFonts w:ascii="Monotype Corsiva" w:eastAsia="Times New Roman" w:hAnsi="Monotype Corsiva" w:cs="Times New Roman"/>
              <w:i/>
              <w:iCs/>
              <w:color w:val="000000"/>
              <w:szCs w:val="24"/>
              <w:lang w:eastAsia="fr-FR"/>
            </w:rPr>
          </w:pPr>
          <w:r w:rsidRPr="00CF213D">
            <w:rPr>
              <w:rFonts w:ascii="Monotype Corsiva" w:hAnsi="Monotype Corsiva"/>
              <w:szCs w:val="24"/>
            </w:rPr>
            <w:t xml:space="preserve">Merci d’avoir été </w:t>
          </w:r>
          <w:r>
            <w:rPr>
              <w:rFonts w:ascii="Monotype Corsiva" w:hAnsi="Monotype Corsiva"/>
              <w:szCs w:val="24"/>
            </w:rPr>
            <w:t>de mon côté</w:t>
          </w:r>
          <w:r w:rsidRPr="00CF213D">
            <w:rPr>
              <w:rFonts w:ascii="Monotype Corsiva" w:hAnsi="Monotype Corsiva"/>
              <w:szCs w:val="24"/>
            </w:rPr>
            <w:t xml:space="preserve"> pendant cinq ans, dans les moments de joie comme dans les épreuves. Ta présence, ton aide et ta fidélité ont été pour moi une véritable source de réconfort, de courage et de motivation tout au long de notre parcours.</w:t>
          </w:r>
        </w:p>
        <w:p w14:paraId="289278D4" w14:textId="77777777" w:rsidR="00731228" w:rsidRDefault="00731228" w:rsidP="00731228">
          <w:pPr>
            <w:spacing w:after="0" w:line="240" w:lineRule="auto"/>
            <w:ind w:left="284" w:right="284"/>
            <w:jc w:val="center"/>
            <w:rPr>
              <w:rFonts w:ascii="Monotype Corsiva" w:eastAsia="Times New Roman" w:hAnsi="Monotype Corsiva" w:cs="Times New Roman"/>
              <w:b/>
              <w:bCs/>
              <w:i/>
              <w:iCs/>
              <w:color w:val="000000"/>
              <w:sz w:val="32"/>
              <w:szCs w:val="32"/>
              <w:lang w:eastAsia="fr-FR"/>
            </w:rPr>
          </w:pPr>
          <w:r w:rsidRPr="00432D52">
            <w:rPr>
              <w:rFonts w:ascii="Monotype Corsiva" w:eastAsia="Times New Roman" w:hAnsi="Monotype Corsiva" w:cs="Times New Roman"/>
              <w:b/>
              <w:bCs/>
              <w:i/>
              <w:iCs/>
              <w:color w:val="000000"/>
              <w:sz w:val="32"/>
              <w:szCs w:val="32"/>
              <w:lang w:eastAsia="fr-FR"/>
            </w:rPr>
            <w:t>A ma promotion</w:t>
          </w:r>
        </w:p>
        <w:p w14:paraId="1632386E" w14:textId="77777777" w:rsidR="00131853" w:rsidRPr="00731228" w:rsidRDefault="00731228" w:rsidP="00BC1AEC">
          <w:pPr>
            <w:spacing w:after="0" w:line="240" w:lineRule="auto"/>
            <w:ind w:left="284" w:right="284"/>
            <w:rPr>
              <w:rFonts w:ascii="Monotype Corsiva" w:eastAsia="Times New Roman" w:hAnsi="Monotype Corsiva" w:cs="Times New Roman"/>
              <w:b/>
              <w:bCs/>
              <w:i/>
              <w:iCs/>
              <w:color w:val="000000"/>
              <w:sz w:val="32"/>
              <w:szCs w:val="32"/>
              <w:lang w:eastAsia="fr-FR"/>
            </w:rPr>
          </w:pPr>
          <w:r w:rsidRPr="002A15CC">
            <w:rPr>
              <w:rFonts w:ascii="Monotype Corsiva" w:hAnsi="Monotype Corsiva"/>
              <w:i/>
              <w:iCs/>
              <w:color w:val="000000"/>
              <w:szCs w:val="24"/>
            </w:rPr>
            <w:t>Pour une sincérité si merveilleuse, jamais oubliable, en leur souhaitant tout le succès, et le bonheur.</w:t>
          </w:r>
        </w:p>
        <w:p w14:paraId="1FAB9E84" w14:textId="77777777" w:rsidR="00131853" w:rsidRPr="00BC1AEC" w:rsidRDefault="000B157B" w:rsidP="00BC1AEC">
          <w:pPr>
            <w:jc w:val="center"/>
            <w:rPr>
              <w:rFonts w:ascii="Monotype Corsiva" w:hAnsi="Monotype Corsiva"/>
              <w:szCs w:val="24"/>
            </w:rPr>
          </w:pPr>
          <w:r w:rsidRPr="00BC1AEC">
            <w:rPr>
              <w:rFonts w:ascii="Monotype Corsiva" w:hAnsi="Monotype Corsiva"/>
              <w:szCs w:val="24"/>
            </w:rPr>
            <w:t>3la Allah</w:t>
          </w:r>
        </w:p>
        <w:p w14:paraId="15ECFD88" w14:textId="77777777" w:rsidR="00131853" w:rsidRPr="00131853" w:rsidRDefault="00131853" w:rsidP="00131853">
          <w:pPr>
            <w:rPr>
              <w:rFonts w:ascii="Monotype Corsiva" w:hAnsi="Monotype Corsiva"/>
              <w:szCs w:val="24"/>
            </w:rPr>
          </w:pPr>
        </w:p>
        <w:p w14:paraId="3FC6FA23" w14:textId="77777777" w:rsidR="00442659" w:rsidRPr="00131853" w:rsidRDefault="00131853" w:rsidP="00470C13">
          <w:pPr>
            <w:tabs>
              <w:tab w:val="left" w:pos="4093"/>
            </w:tabs>
            <w:rPr>
              <w:rFonts w:ascii="Monotype Corsiva" w:hAnsi="Monotype Corsiva"/>
              <w:szCs w:val="24"/>
            </w:rPr>
            <w:sectPr w:rsidR="00442659" w:rsidRPr="00131853" w:rsidSect="00C457BE">
              <w:headerReference w:type="default" r:id="rId15"/>
              <w:pgSz w:w="11906" w:h="16838"/>
              <w:pgMar w:top="851" w:right="1418" w:bottom="1134" w:left="1418" w:header="709" w:footer="709" w:gutter="0"/>
              <w:pgNumType w:start="3"/>
              <w:cols w:space="708"/>
              <w:titlePg/>
              <w:docGrid w:linePitch="360"/>
            </w:sectPr>
          </w:pPr>
          <w:r>
            <w:rPr>
              <w:rFonts w:ascii="Monotype Corsiva" w:hAnsi="Monotype Corsiva"/>
              <w:szCs w:val="24"/>
            </w:rPr>
            <w:tab/>
          </w:r>
        </w:p>
        <w:p w14:paraId="4F76DF3D" w14:textId="77777777" w:rsidR="00442659" w:rsidRDefault="00442659" w:rsidP="00470C13">
          <w:pPr>
            <w:tabs>
              <w:tab w:val="left" w:pos="9029"/>
            </w:tabs>
            <w:spacing w:before="0" w:beforeAutospacing="0"/>
            <w:ind w:right="284" w:firstLine="0"/>
            <w:jc w:val="center"/>
            <w:rPr>
              <w:rFonts w:ascii="Lucida Calligraphy" w:hAnsi="Lucida Calligraphy"/>
              <w:b/>
              <w:bCs/>
              <w:i/>
              <w:iCs/>
              <w:color w:val="000000"/>
              <w:szCs w:val="24"/>
            </w:rPr>
          </w:pPr>
          <w:r w:rsidRPr="00BE1795">
            <w:rPr>
              <w:rFonts w:ascii="Lucida Calligraphy" w:hAnsi="Lucida Calligraphy"/>
              <w:b/>
              <w:bCs/>
              <w:i/>
              <w:iCs/>
              <w:color w:val="000000"/>
              <w:szCs w:val="24"/>
            </w:rPr>
            <w:lastRenderedPageBreak/>
            <w:t xml:space="preserve">Dédicace </w:t>
          </w:r>
          <w:r>
            <w:rPr>
              <w:rFonts w:ascii="Lucida Calligraphy" w:hAnsi="Lucida Calligraphy"/>
              <w:b/>
              <w:bCs/>
              <w:i/>
              <w:iCs/>
              <w:color w:val="000000"/>
              <w:szCs w:val="24"/>
            </w:rPr>
            <w:t>Siham</w:t>
          </w:r>
        </w:p>
        <w:p w14:paraId="1E5F0ECA" w14:textId="77777777" w:rsidR="00442659" w:rsidRPr="002A15CC" w:rsidRDefault="00442659" w:rsidP="00521AEB">
          <w:pPr>
            <w:tabs>
              <w:tab w:val="left" w:pos="9029"/>
            </w:tabs>
            <w:spacing w:before="0" w:beforeAutospacing="0"/>
            <w:ind w:left="284" w:right="284"/>
            <w:jc w:val="center"/>
            <w:rPr>
              <w:rFonts w:ascii="Monotype Corsiva" w:hAnsi="Monotype Corsiva"/>
              <w:i/>
              <w:iCs/>
              <w:szCs w:val="24"/>
            </w:rPr>
          </w:pPr>
          <w:r w:rsidRPr="002A15CC">
            <w:rPr>
              <w:rFonts w:ascii="Monotype Corsiva" w:hAnsi="Monotype Corsiva"/>
              <w:i/>
              <w:iCs/>
              <w:szCs w:val="24"/>
            </w:rPr>
            <w:t>Du plus profond de mon cœur, je dédie ce modeste travail à tous ceux qui me sont chers, pour leur amour, leur soutien et leurs précieux encouragements. Leur présence à mes côtés a été une source de force et de motivation tout au long de ce parcours. Qu’ils trouvent ici l’expression de ma sincère gratitude et de ma profonde affection.</w:t>
          </w:r>
        </w:p>
        <w:p w14:paraId="3FC716E0" w14:textId="77777777" w:rsid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BE1795">
            <w:rPr>
              <w:rFonts w:ascii="Monotype Corsiva" w:hAnsi="Monotype Corsiva"/>
              <w:b/>
              <w:bCs/>
              <w:i/>
              <w:iCs/>
              <w:sz w:val="32"/>
              <w:szCs w:val="32"/>
            </w:rPr>
            <w:t xml:space="preserve">A </w:t>
          </w:r>
          <w:r>
            <w:rPr>
              <w:rFonts w:ascii="Monotype Corsiva" w:hAnsi="Monotype Corsiva"/>
              <w:b/>
              <w:bCs/>
              <w:i/>
              <w:iCs/>
              <w:sz w:val="32"/>
              <w:szCs w:val="32"/>
            </w:rPr>
            <w:t>ma grand-mère HALIMA et mes</w:t>
          </w:r>
          <w:r w:rsidRPr="00BE1795">
            <w:rPr>
              <w:rFonts w:ascii="Monotype Corsiva" w:hAnsi="Monotype Corsiva"/>
              <w:b/>
              <w:bCs/>
              <w:i/>
              <w:iCs/>
              <w:sz w:val="32"/>
              <w:szCs w:val="32"/>
            </w:rPr>
            <w:t xml:space="preserve"> chers parents</w:t>
          </w:r>
          <w:r>
            <w:rPr>
              <w:rFonts w:ascii="Monotype Corsiva" w:hAnsi="Monotype Corsiva"/>
              <w:b/>
              <w:bCs/>
              <w:i/>
              <w:iCs/>
              <w:sz w:val="32"/>
              <w:szCs w:val="32"/>
            </w:rPr>
            <w:t xml:space="preserve"> ABDELKADER et FATIMA</w:t>
          </w:r>
        </w:p>
        <w:p w14:paraId="53C571C1" w14:textId="77777777" w:rsidR="00442659" w:rsidRPr="00CF213D" w:rsidRDefault="00442659" w:rsidP="00521AEB">
          <w:pPr>
            <w:tabs>
              <w:tab w:val="left" w:pos="9029"/>
            </w:tabs>
            <w:spacing w:before="0" w:beforeAutospacing="0"/>
            <w:ind w:left="284" w:right="284"/>
            <w:jc w:val="center"/>
            <w:rPr>
              <w:rFonts w:ascii="Monotype Corsiva" w:hAnsi="Monotype Corsiva"/>
              <w:b/>
              <w:bCs/>
              <w:i/>
              <w:iCs/>
              <w:sz w:val="32"/>
              <w:szCs w:val="32"/>
            </w:rPr>
          </w:pPr>
          <w:r w:rsidRPr="002A15CC">
            <w:rPr>
              <w:rFonts w:ascii="Monotype Corsiva" w:hAnsi="Monotype Corsiva"/>
              <w:szCs w:val="24"/>
            </w:rPr>
            <w:t>À mes très chers parents, les êtres les plus chers à mon cœur, aucun mot ne saurait exprimer toute ma gratitude, mon respect et mon amour profond envers vous. Je vous remercie pour tous les sacrifices que vous avez consentis sans jamais hésiter afin de m’offrir les meilleures conditions possibles pour réussir mon parcours.</w:t>
          </w:r>
        </w:p>
        <w:p w14:paraId="58A9E5E8" w14:textId="77777777" w:rsidR="00442659" w:rsidRPr="002A15CC" w:rsidRDefault="00442659" w:rsidP="00521AEB">
          <w:pPr>
            <w:pStyle w:val="isselectedend"/>
            <w:spacing w:before="0" w:beforeAutospacing="0" w:after="160" w:afterAutospacing="0" w:line="360" w:lineRule="auto"/>
            <w:ind w:left="284" w:right="284" w:firstLine="284"/>
            <w:jc w:val="center"/>
            <w:rPr>
              <w:rFonts w:ascii="Monotype Corsiva" w:hAnsi="Monotype Corsiva"/>
            </w:rPr>
          </w:pPr>
          <w:r w:rsidRPr="002A15CC">
            <w:rPr>
              <w:rFonts w:ascii="Monotype Corsiva" w:hAnsi="Monotype Corsiva"/>
            </w:rPr>
            <w:t>Votre présence constante à mes côtés, votre amour inconditionnel, votre patience et votre confiance ont été ma plus grande force et ma principale source de courage tout au long de mon parcours. Dans les moments de doute et de difficulté, vous avez toujours su m’encourager et me soutenir sans jamais faillir.</w:t>
          </w:r>
        </w:p>
        <w:p w14:paraId="08E5EB99" w14:textId="77777777" w:rsidR="00442659" w:rsidRPr="002A15CC" w:rsidRDefault="00442659" w:rsidP="00521AEB">
          <w:pPr>
            <w:pStyle w:val="isselectedend"/>
            <w:spacing w:before="0" w:beforeAutospacing="0" w:after="160" w:afterAutospacing="0" w:line="360" w:lineRule="auto"/>
            <w:ind w:left="284" w:right="284" w:firstLine="284"/>
            <w:jc w:val="center"/>
            <w:rPr>
              <w:rFonts w:ascii="Monotype Corsiva" w:hAnsi="Monotype Corsiva"/>
            </w:rPr>
          </w:pPr>
          <w:r w:rsidRPr="002A15CC">
            <w:rPr>
              <w:rFonts w:ascii="Monotype Corsiva" w:hAnsi="Monotype Corsiva"/>
            </w:rPr>
            <w:t>Vous avez été pour moi une source inépuisable d’espoir et de confiance qui ont constitué les piliers essentiels de ma réussite. Ce modeste travail est le fruit de vos efforts, de vos prières et de votre dévouement.</w:t>
          </w:r>
        </w:p>
        <w:p w14:paraId="778BF8C9" w14:textId="77777777" w:rsidR="00442659" w:rsidRPr="002A15CC" w:rsidRDefault="00442659" w:rsidP="00521AEB">
          <w:pPr>
            <w:pStyle w:val="NormalWeb"/>
            <w:spacing w:before="0" w:beforeAutospacing="0" w:line="360" w:lineRule="auto"/>
            <w:ind w:right="284"/>
            <w:rPr>
              <w:rFonts w:ascii="Monotype Corsiva" w:hAnsi="Monotype Corsiva"/>
            </w:rPr>
          </w:pPr>
          <w:r w:rsidRPr="002A15CC">
            <w:rPr>
              <w:rFonts w:ascii="Monotype Corsiva" w:hAnsi="Monotype Corsiva"/>
            </w:rPr>
            <w:t>Puisse Allah, le Très-Haut, vous préserver, vous accorder une santé parfaite, une longue vie pleine de bonheur, de sérénité et de bénédictions, et vous récompenser au centuple pour tout ce que vous avez fait pour moi dans ce monde et dans l’au-delà.</w:t>
          </w:r>
        </w:p>
        <w:p w14:paraId="4FD43DAA" w14:textId="77777777" w:rsid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BE1795">
            <w:rPr>
              <w:rFonts w:ascii="Monotype Corsiva" w:hAnsi="Monotype Corsiva"/>
              <w:b/>
              <w:bCs/>
              <w:i/>
              <w:iCs/>
              <w:sz w:val="32"/>
              <w:szCs w:val="32"/>
            </w:rPr>
            <w:t xml:space="preserve">A </w:t>
          </w:r>
          <w:r>
            <w:rPr>
              <w:rFonts w:ascii="Monotype Corsiva" w:hAnsi="Monotype Corsiva"/>
              <w:b/>
              <w:bCs/>
              <w:i/>
              <w:iCs/>
              <w:sz w:val="32"/>
              <w:szCs w:val="32"/>
            </w:rPr>
            <w:t>mon cher</w:t>
          </w:r>
          <w:r w:rsidRPr="00BE1795">
            <w:rPr>
              <w:rFonts w:ascii="Monotype Corsiva" w:hAnsi="Monotype Corsiva"/>
              <w:b/>
              <w:bCs/>
              <w:i/>
              <w:iCs/>
              <w:sz w:val="32"/>
              <w:szCs w:val="32"/>
            </w:rPr>
            <w:t xml:space="preserve"> </w:t>
          </w:r>
          <w:r>
            <w:rPr>
              <w:rFonts w:ascii="Monotype Corsiva" w:hAnsi="Monotype Corsiva"/>
              <w:b/>
              <w:bCs/>
              <w:i/>
              <w:iCs/>
              <w:sz w:val="32"/>
              <w:szCs w:val="32"/>
            </w:rPr>
            <w:t>frère W</w:t>
          </w:r>
          <w:r w:rsidR="007D1C8C">
            <w:rPr>
              <w:rFonts w:ascii="Monotype Corsiva" w:hAnsi="Monotype Corsiva"/>
              <w:b/>
              <w:bCs/>
              <w:i/>
              <w:iCs/>
              <w:sz w:val="32"/>
              <w:szCs w:val="32"/>
            </w:rPr>
            <w:t>ALID et mes deux sœurs IBTISSAM</w:t>
          </w:r>
          <w:r>
            <w:rPr>
              <w:rFonts w:ascii="Monotype Corsiva" w:hAnsi="Monotype Corsiva"/>
              <w:b/>
              <w:bCs/>
              <w:i/>
              <w:iCs/>
              <w:sz w:val="32"/>
              <w:szCs w:val="32"/>
            </w:rPr>
            <w:t xml:space="preserve"> et FERDAOUS</w:t>
          </w:r>
        </w:p>
        <w:p w14:paraId="1C4E8C56" w14:textId="77777777" w:rsidR="00442659" w:rsidRDefault="00442659" w:rsidP="00521AEB">
          <w:pPr>
            <w:tabs>
              <w:tab w:val="left" w:pos="9029"/>
            </w:tabs>
            <w:spacing w:before="0" w:beforeAutospacing="0"/>
            <w:ind w:left="284" w:right="284"/>
            <w:jc w:val="center"/>
            <w:rPr>
              <w:rFonts w:ascii="Monotype Corsiva" w:hAnsi="Monotype Corsiva"/>
              <w:szCs w:val="24"/>
            </w:rPr>
            <w:sectPr w:rsidR="00442659" w:rsidSect="007D1C8C">
              <w:pgSz w:w="11906" w:h="16838"/>
              <w:pgMar w:top="851" w:right="1418" w:bottom="1134" w:left="1418" w:header="709" w:footer="709" w:gutter="0"/>
              <w:pgNumType w:start="5"/>
              <w:cols w:space="708"/>
              <w:titlePg/>
              <w:docGrid w:linePitch="360"/>
            </w:sectPr>
          </w:pPr>
          <w:r w:rsidRPr="002A15CC">
            <w:rPr>
              <w:rFonts w:ascii="Monotype Corsiva" w:hAnsi="Monotype Corsiva"/>
              <w:szCs w:val="24"/>
            </w:rPr>
            <w:t xml:space="preserve">À </w:t>
          </w:r>
          <w:r>
            <w:rPr>
              <w:rFonts w:ascii="Monotype Corsiva" w:hAnsi="Monotype Corsiva"/>
              <w:szCs w:val="24"/>
            </w:rPr>
            <w:t>mon bras droit</w:t>
          </w:r>
          <w:r w:rsidRPr="002A15CC">
            <w:rPr>
              <w:rFonts w:ascii="Monotype Corsiva" w:hAnsi="Monotype Corsiva"/>
              <w:szCs w:val="24"/>
            </w:rPr>
            <w:t xml:space="preserve"> </w:t>
          </w:r>
          <w:r>
            <w:rPr>
              <w:rFonts w:ascii="Monotype Corsiva" w:hAnsi="Monotype Corsiva"/>
              <w:szCs w:val="24"/>
            </w:rPr>
            <w:t>et mes deux yeux,</w:t>
          </w:r>
          <w:r w:rsidRPr="002A15CC">
            <w:rPr>
              <w:rFonts w:ascii="Monotype Corsiva" w:hAnsi="Monotype Corsiva"/>
              <w:szCs w:val="24"/>
            </w:rPr>
            <w:t xml:space="preserve"> je vous exprime toute ma gratitude et mon profond attachement. Je vous remercie pour votre présence, votre amour, vos encouragements et votre soutien </w:t>
          </w:r>
        </w:p>
        <w:p w14:paraId="0C6A7019" w14:textId="77777777" w:rsidR="00442659" w:rsidRPr="00442659" w:rsidRDefault="00442659" w:rsidP="00521AEB">
          <w:pPr>
            <w:tabs>
              <w:tab w:val="left" w:pos="9029"/>
            </w:tabs>
            <w:spacing w:before="0" w:beforeAutospacing="0"/>
            <w:ind w:left="284" w:right="284"/>
            <w:jc w:val="center"/>
            <w:rPr>
              <w:rFonts w:ascii="Monotype Corsiva" w:hAnsi="Monotype Corsiva"/>
              <w:b/>
              <w:bCs/>
              <w:i/>
              <w:iCs/>
              <w:sz w:val="32"/>
              <w:szCs w:val="32"/>
            </w:rPr>
          </w:pPr>
          <w:r w:rsidRPr="002A15CC">
            <w:rPr>
              <w:rFonts w:ascii="Monotype Corsiva" w:hAnsi="Monotype Corsiva"/>
              <w:szCs w:val="24"/>
            </w:rPr>
            <w:lastRenderedPageBreak/>
            <w:t>Constant tout au long</w:t>
          </w:r>
          <w:r>
            <w:rPr>
              <w:rFonts w:ascii="Monotype Corsiva" w:hAnsi="Monotype Corsiva"/>
              <w:szCs w:val="24"/>
            </w:rPr>
            <w:t xml:space="preserve"> de mon parcours. Vous êtes la </w:t>
          </w:r>
          <w:r w:rsidRPr="002A15CC">
            <w:rPr>
              <w:rFonts w:ascii="Monotype Corsiva" w:hAnsi="Monotype Corsiva"/>
              <w:szCs w:val="24"/>
            </w:rPr>
            <w:t>source essentielle de ma force dans les moments difficiles comme dans les instants de réussite.</w:t>
          </w:r>
        </w:p>
        <w:p w14:paraId="6A5B330A" w14:textId="77777777" w:rsidR="00442659" w:rsidRDefault="00442659" w:rsidP="00521AEB">
          <w:pPr>
            <w:tabs>
              <w:tab w:val="left" w:pos="9029"/>
            </w:tabs>
            <w:spacing w:before="0" w:beforeAutospacing="0"/>
            <w:ind w:left="284" w:right="284"/>
            <w:jc w:val="center"/>
            <w:rPr>
              <w:rFonts w:ascii="Monotype Corsiva" w:hAnsi="Monotype Corsiva"/>
              <w:b/>
              <w:bCs/>
              <w:i/>
              <w:iCs/>
              <w:sz w:val="28"/>
              <w:szCs w:val="28"/>
            </w:rPr>
          </w:pPr>
          <w:r w:rsidRPr="00EB22D0">
            <w:rPr>
              <w:rFonts w:ascii="Monotype Corsiva" w:hAnsi="Monotype Corsiva"/>
              <w:b/>
              <w:bCs/>
              <w:i/>
              <w:iCs/>
              <w:sz w:val="28"/>
              <w:szCs w:val="28"/>
            </w:rPr>
            <w:t xml:space="preserve">À mes chères </w:t>
          </w:r>
          <w:r>
            <w:rPr>
              <w:rFonts w:ascii="Monotype Corsiva" w:hAnsi="Monotype Corsiva"/>
              <w:b/>
              <w:bCs/>
              <w:i/>
              <w:iCs/>
              <w:sz w:val="28"/>
              <w:szCs w:val="28"/>
            </w:rPr>
            <w:t xml:space="preserve">grands-parents, mes chères oncles et tentes </w:t>
          </w:r>
        </w:p>
        <w:p w14:paraId="47C1FD2B" w14:textId="77777777" w:rsidR="00442659" w:rsidRPr="00442659" w:rsidRDefault="00442659" w:rsidP="00521AEB">
          <w:pPr>
            <w:tabs>
              <w:tab w:val="left" w:pos="9029"/>
            </w:tabs>
            <w:spacing w:before="0" w:beforeAutospacing="0"/>
            <w:ind w:left="284" w:right="284"/>
            <w:jc w:val="center"/>
            <w:rPr>
              <w:rFonts w:ascii="Monotype Corsiva" w:hAnsi="Monotype Corsiva"/>
              <w:i/>
              <w:iCs/>
              <w:szCs w:val="24"/>
            </w:rPr>
          </w:pPr>
          <w:r>
            <w:rPr>
              <w:rFonts w:ascii="Monotype Corsiva" w:hAnsi="Monotype Corsiva"/>
              <w:i/>
              <w:iCs/>
              <w:szCs w:val="24"/>
            </w:rPr>
            <w:t>J</w:t>
          </w:r>
          <w:r w:rsidRPr="00CF213D">
            <w:rPr>
              <w:rFonts w:ascii="Monotype Corsiva" w:hAnsi="Monotype Corsiva"/>
              <w:i/>
              <w:iCs/>
              <w:szCs w:val="24"/>
            </w:rPr>
            <w:t>e tiens à exprimer ma profonde reconnaissance et mon sincère attachement. Votre bienveillance, vos prières et votre présence chaleureuse ont toujours accompagné mon parcours et illuminé mes étapes de vie. Votre soutien discret mais constant m’a apporté réconfort, sérénité et motivation, aussi bien dans les moments difficiles que dans les périodes de réussite.</w:t>
          </w:r>
        </w:p>
        <w:p w14:paraId="781A4218" w14:textId="77777777" w:rsidR="00442659" w:rsidRDefault="00442659" w:rsidP="00521AEB">
          <w:pPr>
            <w:spacing w:before="0" w:beforeAutospacing="0"/>
            <w:jc w:val="center"/>
            <w:rPr>
              <w:rFonts w:ascii="Monotype Corsiva" w:eastAsia="Times New Roman" w:hAnsi="Monotype Corsiva" w:cs="Times New Roman"/>
              <w:b/>
              <w:bCs/>
              <w:i/>
              <w:iCs/>
              <w:color w:val="000000"/>
              <w:sz w:val="32"/>
              <w:szCs w:val="32"/>
              <w:lang w:eastAsia="fr-FR"/>
            </w:rPr>
          </w:pPr>
          <w:r>
            <w:rPr>
              <w:rFonts w:ascii="Monotype Corsiva" w:eastAsia="Times New Roman" w:hAnsi="Monotype Corsiva" w:cs="Times New Roman"/>
              <w:b/>
              <w:bCs/>
              <w:i/>
              <w:iCs/>
              <w:color w:val="000000"/>
              <w:sz w:val="32"/>
              <w:szCs w:val="32"/>
              <w:lang w:eastAsia="fr-FR"/>
            </w:rPr>
            <w:t>À ma chère</w:t>
          </w:r>
          <w:r w:rsidRPr="00432D52">
            <w:rPr>
              <w:rFonts w:ascii="Monotype Corsiva" w:eastAsia="Times New Roman" w:hAnsi="Monotype Corsiva" w:cs="Times New Roman"/>
              <w:b/>
              <w:bCs/>
              <w:i/>
              <w:iCs/>
              <w:color w:val="000000"/>
              <w:sz w:val="32"/>
              <w:szCs w:val="32"/>
              <w:lang w:eastAsia="fr-FR"/>
            </w:rPr>
            <w:t xml:space="preserve"> Encadrante</w:t>
          </w:r>
        </w:p>
        <w:p w14:paraId="22668D01" w14:textId="77777777" w:rsidR="00442659" w:rsidRPr="00442659" w:rsidRDefault="00442659" w:rsidP="00521AEB">
          <w:pPr>
            <w:spacing w:before="0" w:beforeAutospacing="0"/>
            <w:jc w:val="center"/>
            <w:rPr>
              <w:rFonts w:ascii="Monotype Corsiva" w:eastAsia="Times New Roman" w:hAnsi="Monotype Corsiva" w:cs="Times New Roman"/>
              <w:i/>
              <w:iCs/>
              <w:color w:val="000000"/>
              <w:szCs w:val="24"/>
              <w:lang w:eastAsia="fr-FR"/>
            </w:rPr>
          </w:pPr>
          <w:r w:rsidRPr="002A15CC">
            <w:rPr>
              <w:rFonts w:ascii="Monotype Corsiva" w:eastAsia="Times New Roman" w:hAnsi="Monotype Corsiva" w:cs="Times New Roman"/>
              <w:i/>
              <w:iCs/>
              <w:color w:val="000000"/>
              <w:szCs w:val="24"/>
              <w:lang w:eastAsia="fr-FR"/>
            </w:rPr>
            <w:t>Madame BRAHIMI Assia</w:t>
          </w:r>
          <w:r>
            <w:rPr>
              <w:rFonts w:ascii="Monotype Corsiva" w:eastAsia="Times New Roman" w:hAnsi="Monotype Corsiva" w:cs="Times New Roman"/>
              <w:i/>
              <w:iCs/>
              <w:color w:val="000000"/>
              <w:szCs w:val="24"/>
              <w:lang w:eastAsia="fr-FR"/>
            </w:rPr>
            <w:t xml:space="preserve"> </w:t>
          </w:r>
          <w:r w:rsidRPr="00CF213D">
            <w:rPr>
              <w:rFonts w:ascii="Monotype Corsiva" w:eastAsia="Times New Roman" w:hAnsi="Monotype Corsiva" w:cs="Times New Roman"/>
              <w:i/>
              <w:iCs/>
              <w:color w:val="000000"/>
              <w:szCs w:val="24"/>
              <w:lang w:eastAsia="fr-FR"/>
            </w:rPr>
            <w:t xml:space="preserve">qui a été bien plus qu’une simple </w:t>
          </w:r>
          <w:r>
            <w:rPr>
              <w:rFonts w:ascii="Monotype Corsiva" w:eastAsia="Times New Roman" w:hAnsi="Monotype Corsiva" w:cs="Times New Roman"/>
              <w:i/>
              <w:iCs/>
              <w:color w:val="000000"/>
              <w:szCs w:val="24"/>
              <w:lang w:eastAsia="fr-FR"/>
            </w:rPr>
            <w:t xml:space="preserve">enseignante mais une vraie sœur. </w:t>
          </w:r>
        </w:p>
        <w:p w14:paraId="533C239F" w14:textId="77777777" w:rsidR="00442659" w:rsidRDefault="00442659" w:rsidP="00521AEB">
          <w:pPr>
            <w:spacing w:before="0" w:beforeAutospacing="0"/>
            <w:jc w:val="center"/>
            <w:rPr>
              <w:rFonts w:ascii="Monotype Corsiva" w:eastAsia="Times New Roman" w:hAnsi="Monotype Corsiva" w:cs="Times New Roman"/>
              <w:b/>
              <w:bCs/>
              <w:i/>
              <w:iCs/>
              <w:color w:val="000000"/>
              <w:sz w:val="32"/>
              <w:szCs w:val="32"/>
              <w:lang w:eastAsia="fr-FR"/>
            </w:rPr>
          </w:pPr>
          <w:r>
            <w:rPr>
              <w:rFonts w:ascii="Monotype Corsiva" w:eastAsia="Times New Roman" w:hAnsi="Monotype Corsiva" w:cs="Times New Roman"/>
              <w:b/>
              <w:bCs/>
              <w:i/>
              <w:iCs/>
              <w:color w:val="000000"/>
              <w:sz w:val="32"/>
              <w:szCs w:val="32"/>
              <w:lang w:eastAsia="fr-FR"/>
            </w:rPr>
            <w:t>À ma personne préférée</w:t>
          </w:r>
        </w:p>
        <w:p w14:paraId="452F76CF" w14:textId="77777777" w:rsidR="00442659" w:rsidRPr="00FE432D" w:rsidRDefault="00442659" w:rsidP="00521AEB">
          <w:pPr>
            <w:spacing w:before="0" w:beforeAutospacing="0"/>
            <w:jc w:val="center"/>
            <w:rPr>
              <w:rFonts w:ascii="Monotype Corsiva" w:eastAsia="Times New Roman" w:hAnsi="Monotype Corsiva" w:cs="Times New Roman"/>
              <w:i/>
              <w:iCs/>
              <w:color w:val="000000"/>
              <w:szCs w:val="24"/>
              <w:lang w:eastAsia="fr-FR"/>
            </w:rPr>
          </w:pPr>
          <w:r w:rsidRPr="00FE432D">
            <w:rPr>
              <w:rFonts w:ascii="Monotype Corsiva" w:eastAsia="Times New Roman" w:hAnsi="Monotype Corsiva" w:cs="Times New Roman"/>
              <w:i/>
              <w:iCs/>
              <w:color w:val="000000"/>
              <w:szCs w:val="24"/>
              <w:lang w:eastAsia="fr-FR"/>
            </w:rPr>
            <w:t>Ta présence, ton amour, ta patience et tes encouragements ont été une source constante de force et d'inspiration. Chaque succès que j'accomplis porte une part de toi, car tu as toujours été à mes côtés pour m'aider à avancer et à donner le meilleur de moi-même.</w:t>
          </w:r>
        </w:p>
        <w:p w14:paraId="48EDBA31" w14:textId="77777777" w:rsidR="00442659" w:rsidRDefault="00442659" w:rsidP="00521AEB">
          <w:pPr>
            <w:spacing w:before="0" w:beforeAutospacing="0"/>
            <w:ind w:left="284" w:right="284"/>
            <w:jc w:val="center"/>
            <w:rPr>
              <w:rFonts w:ascii="Monotype Corsiva" w:eastAsia="Times New Roman" w:hAnsi="Monotype Corsiva" w:cs="Times New Roman"/>
              <w:b/>
              <w:bCs/>
              <w:i/>
              <w:iCs/>
              <w:color w:val="000000"/>
              <w:sz w:val="32"/>
              <w:szCs w:val="32"/>
              <w:lang w:eastAsia="fr-FR"/>
            </w:rPr>
          </w:pPr>
          <w:r w:rsidRPr="00432D52">
            <w:rPr>
              <w:rFonts w:ascii="Monotype Corsiva" w:eastAsia="Times New Roman" w:hAnsi="Monotype Corsiva" w:cs="Times New Roman"/>
              <w:b/>
              <w:bCs/>
              <w:i/>
              <w:iCs/>
              <w:color w:val="000000"/>
              <w:sz w:val="32"/>
              <w:szCs w:val="32"/>
              <w:lang w:eastAsia="fr-FR"/>
            </w:rPr>
            <w:t xml:space="preserve">A ma chère </w:t>
          </w:r>
          <w:r>
            <w:rPr>
              <w:rFonts w:ascii="Monotype Corsiva" w:eastAsia="Times New Roman" w:hAnsi="Monotype Corsiva" w:cs="Times New Roman"/>
              <w:b/>
              <w:bCs/>
              <w:i/>
              <w:iCs/>
              <w:color w:val="000000"/>
              <w:sz w:val="32"/>
              <w:szCs w:val="32"/>
              <w:lang w:eastAsia="fr-FR"/>
            </w:rPr>
            <w:t xml:space="preserve">meilleure </w:t>
          </w:r>
          <w:r w:rsidRPr="00432D52">
            <w:rPr>
              <w:rFonts w:ascii="Monotype Corsiva" w:eastAsia="Times New Roman" w:hAnsi="Monotype Corsiva" w:cs="Times New Roman"/>
              <w:b/>
              <w:bCs/>
              <w:i/>
              <w:iCs/>
              <w:color w:val="000000"/>
              <w:sz w:val="32"/>
              <w:szCs w:val="32"/>
              <w:lang w:eastAsia="fr-FR"/>
            </w:rPr>
            <w:t xml:space="preserve">amie </w:t>
          </w:r>
          <w:r>
            <w:rPr>
              <w:rFonts w:ascii="Monotype Corsiva" w:eastAsia="Times New Roman" w:hAnsi="Monotype Corsiva" w:cs="Times New Roman"/>
              <w:b/>
              <w:bCs/>
              <w:i/>
              <w:iCs/>
              <w:color w:val="000000"/>
              <w:sz w:val="32"/>
              <w:szCs w:val="32"/>
              <w:lang w:eastAsia="fr-FR"/>
            </w:rPr>
            <w:t>DOUAA</w:t>
          </w:r>
        </w:p>
        <w:p w14:paraId="630CBF38" w14:textId="77777777" w:rsidR="00442659" w:rsidRPr="00442659" w:rsidRDefault="00442659" w:rsidP="00521AEB">
          <w:pPr>
            <w:spacing w:before="0" w:beforeAutospacing="0"/>
            <w:ind w:left="284" w:right="284"/>
            <w:jc w:val="center"/>
            <w:rPr>
              <w:rFonts w:ascii="Monotype Corsiva" w:eastAsia="Times New Roman" w:hAnsi="Monotype Corsiva" w:cs="Times New Roman"/>
              <w:i/>
              <w:iCs/>
              <w:color w:val="000000"/>
              <w:szCs w:val="24"/>
              <w:lang w:eastAsia="fr-FR"/>
            </w:rPr>
          </w:pPr>
          <w:r w:rsidRPr="00CF213D">
            <w:rPr>
              <w:rFonts w:ascii="Monotype Corsiva" w:hAnsi="Monotype Corsiva"/>
              <w:szCs w:val="24"/>
            </w:rPr>
            <w:t xml:space="preserve">Merci d’avoir été </w:t>
          </w:r>
          <w:r>
            <w:rPr>
              <w:rFonts w:ascii="Monotype Corsiva" w:hAnsi="Monotype Corsiva"/>
              <w:szCs w:val="24"/>
            </w:rPr>
            <w:t>de mon côté</w:t>
          </w:r>
          <w:r w:rsidRPr="00CF213D">
            <w:rPr>
              <w:rFonts w:ascii="Monotype Corsiva" w:hAnsi="Monotype Corsiva"/>
              <w:szCs w:val="24"/>
            </w:rPr>
            <w:t xml:space="preserve"> pendant cinq ans, dans les moments de joie comme dans les épreuves. Ta présence, ton aide et ta fidélité ont été pour moi une véritable source de réconfort, de courage et de motivation tout au long de notre parcours.</w:t>
          </w:r>
        </w:p>
        <w:p w14:paraId="7B10A3E0" w14:textId="77777777" w:rsidR="00442659" w:rsidRDefault="00442659" w:rsidP="00521AEB">
          <w:pPr>
            <w:spacing w:before="0" w:beforeAutospacing="0"/>
            <w:ind w:left="284" w:right="284"/>
            <w:jc w:val="center"/>
            <w:rPr>
              <w:rFonts w:ascii="Monotype Corsiva" w:eastAsia="Times New Roman" w:hAnsi="Monotype Corsiva" w:cs="Times New Roman"/>
              <w:b/>
              <w:bCs/>
              <w:i/>
              <w:iCs/>
              <w:color w:val="000000"/>
              <w:sz w:val="32"/>
              <w:szCs w:val="32"/>
              <w:lang w:eastAsia="fr-FR"/>
            </w:rPr>
          </w:pPr>
          <w:r w:rsidRPr="00432D52">
            <w:rPr>
              <w:rFonts w:ascii="Monotype Corsiva" w:eastAsia="Times New Roman" w:hAnsi="Monotype Corsiva" w:cs="Times New Roman"/>
              <w:b/>
              <w:bCs/>
              <w:i/>
              <w:iCs/>
              <w:color w:val="000000"/>
              <w:sz w:val="32"/>
              <w:szCs w:val="32"/>
              <w:lang w:eastAsia="fr-FR"/>
            </w:rPr>
            <w:t>A ma promotion</w:t>
          </w:r>
        </w:p>
        <w:p w14:paraId="486BD517" w14:textId="77777777" w:rsidR="00442659" w:rsidRPr="00213C8C" w:rsidRDefault="00442659" w:rsidP="00521AEB">
          <w:pPr>
            <w:spacing w:before="0" w:beforeAutospacing="0"/>
            <w:ind w:left="284" w:right="284"/>
            <w:jc w:val="center"/>
            <w:rPr>
              <w:rFonts w:ascii="Monotype Corsiva" w:eastAsia="Times New Roman" w:hAnsi="Monotype Corsiva" w:cs="Times New Roman"/>
              <w:b/>
              <w:bCs/>
              <w:i/>
              <w:iCs/>
              <w:color w:val="000000"/>
              <w:sz w:val="32"/>
              <w:szCs w:val="32"/>
              <w:lang w:eastAsia="fr-FR"/>
            </w:rPr>
            <w:sectPr w:rsidR="00442659" w:rsidRPr="00213C8C" w:rsidSect="007D1C8C">
              <w:pgSz w:w="11906" w:h="16838"/>
              <w:pgMar w:top="851" w:right="1418" w:bottom="1134" w:left="1418" w:header="709" w:footer="709" w:gutter="0"/>
              <w:pgNumType w:start="6"/>
              <w:cols w:space="708"/>
              <w:titlePg/>
              <w:docGrid w:linePitch="360"/>
            </w:sectPr>
          </w:pPr>
          <w:r w:rsidRPr="002A15CC">
            <w:rPr>
              <w:rFonts w:ascii="Monotype Corsiva" w:hAnsi="Monotype Corsiva"/>
              <w:i/>
              <w:iCs/>
              <w:color w:val="000000"/>
              <w:szCs w:val="24"/>
            </w:rPr>
            <w:t>Pour une sincérité si merveilleuse, jamais oubliable, en leur souhaitan</w:t>
          </w:r>
          <w:r w:rsidR="00213C8C">
            <w:rPr>
              <w:rFonts w:ascii="Monotype Corsiva" w:hAnsi="Monotype Corsiva"/>
              <w:i/>
              <w:iCs/>
              <w:color w:val="000000"/>
              <w:szCs w:val="24"/>
            </w:rPr>
            <w:t>t</w:t>
          </w:r>
          <w:r w:rsidR="00BD6820">
            <w:rPr>
              <w:rFonts w:ascii="Monotype Corsiva" w:hAnsi="Monotype Corsiva"/>
              <w:i/>
              <w:iCs/>
              <w:color w:val="000000"/>
              <w:szCs w:val="24"/>
            </w:rPr>
            <w:t xml:space="preserve"> tout le succès, et le bonheur.</w:t>
          </w:r>
        </w:p>
        <w:p w14:paraId="6BDAB1FD" w14:textId="77777777" w:rsidR="003B6F7B" w:rsidRPr="003B6F7B" w:rsidRDefault="00131853" w:rsidP="00BC1AEC">
          <w:pPr>
            <w:pStyle w:val="Titre1"/>
            <w:rPr>
              <w:rFonts w:asciiTheme="minorHAnsi" w:eastAsiaTheme="minorEastAsia" w:hAnsiTheme="minorHAnsi"/>
              <w:noProof/>
              <w:lang w:eastAsia="fr-FR"/>
            </w:rPr>
          </w:pPr>
          <w:bookmarkStart w:id="3" w:name="_Toc231752174"/>
          <w:bookmarkStart w:id="4" w:name="_Toc231810047"/>
          <w:bookmarkStart w:id="5" w:name="_Toc231810477"/>
          <w:bookmarkStart w:id="6" w:name="_Toc231811413"/>
          <w:bookmarkStart w:id="7" w:name="_Toc231811820"/>
          <w:bookmarkStart w:id="8" w:name="_Toc231812100"/>
          <w:bookmarkStart w:id="9" w:name="_Toc231814984"/>
          <w:bookmarkStart w:id="10" w:name="_Toc231742155"/>
          <w:bookmarkStart w:id="11" w:name="_Toc231746767"/>
          <w:r>
            <w:lastRenderedPageBreak/>
            <w:t>Sommaire :</w:t>
          </w:r>
          <w:bookmarkEnd w:id="3"/>
          <w:bookmarkEnd w:id="4"/>
          <w:bookmarkEnd w:id="5"/>
          <w:bookmarkEnd w:id="6"/>
          <w:bookmarkEnd w:id="7"/>
          <w:bookmarkEnd w:id="8"/>
          <w:bookmarkEnd w:id="9"/>
          <w:r w:rsidRPr="00EF1116">
            <w:fldChar w:fldCharType="begin"/>
          </w:r>
          <w:r w:rsidRPr="00EF1116">
            <w:instrText xml:space="preserve"> TOC \o "1-1" \h \z \u </w:instrText>
          </w:r>
          <w:r w:rsidRPr="00EF1116">
            <w:fldChar w:fldCharType="separate"/>
          </w:r>
        </w:p>
        <w:p w14:paraId="3FEB208F" w14:textId="77777777" w:rsidR="003B6F7B" w:rsidRPr="003B6F7B" w:rsidRDefault="00351FDE" w:rsidP="009F60D1">
          <w:pPr>
            <w:pStyle w:val="TM1"/>
            <w:rPr>
              <w:rFonts w:asciiTheme="minorHAnsi" w:eastAsiaTheme="minorEastAsia" w:hAnsiTheme="minorHAnsi"/>
              <w:sz w:val="18"/>
              <w:lang w:eastAsia="fr-FR"/>
            </w:rPr>
          </w:pPr>
          <w:hyperlink w:anchor="_Toc231811418" w:history="1">
            <w:r w:rsidR="003B6F7B" w:rsidRPr="003B6F7B">
              <w:rPr>
                <w:rStyle w:val="Lienhypertexte"/>
              </w:rPr>
              <w:t>Introduction générale :</w:t>
            </w:r>
            <w:r w:rsidR="003B6F7B" w:rsidRPr="003B6F7B">
              <w:rPr>
                <w:webHidden/>
              </w:rPr>
              <w:tab/>
            </w:r>
            <w:r w:rsidR="003B6F7B" w:rsidRPr="003B6F7B">
              <w:rPr>
                <w:webHidden/>
              </w:rPr>
              <w:fldChar w:fldCharType="begin"/>
            </w:r>
            <w:r w:rsidR="003B6F7B" w:rsidRPr="003B6F7B">
              <w:rPr>
                <w:webHidden/>
              </w:rPr>
              <w:instrText xml:space="preserve"> PAGEREF _Toc231811418 \h </w:instrText>
            </w:r>
            <w:r w:rsidR="003B6F7B" w:rsidRPr="003B6F7B">
              <w:rPr>
                <w:webHidden/>
              </w:rPr>
            </w:r>
            <w:r w:rsidR="003B6F7B" w:rsidRPr="003B6F7B">
              <w:rPr>
                <w:webHidden/>
              </w:rPr>
              <w:fldChar w:fldCharType="separate"/>
            </w:r>
            <w:r w:rsidR="00E74A88">
              <w:rPr>
                <w:webHidden/>
              </w:rPr>
              <w:t>A</w:t>
            </w:r>
            <w:r w:rsidR="003B6F7B" w:rsidRPr="003B6F7B">
              <w:rPr>
                <w:webHidden/>
              </w:rPr>
              <w:fldChar w:fldCharType="end"/>
            </w:r>
          </w:hyperlink>
        </w:p>
        <w:p w14:paraId="3A4CEC49" w14:textId="77777777" w:rsidR="003B6F7B" w:rsidRPr="003B6F7B" w:rsidRDefault="00351FDE" w:rsidP="009F60D1">
          <w:pPr>
            <w:pStyle w:val="TM1"/>
            <w:rPr>
              <w:rFonts w:asciiTheme="minorHAnsi" w:eastAsiaTheme="minorEastAsia" w:hAnsiTheme="minorHAnsi"/>
              <w:sz w:val="18"/>
              <w:lang w:eastAsia="fr-FR"/>
            </w:rPr>
          </w:pPr>
          <w:hyperlink w:anchor="_Toc231811419" w:history="1">
            <w:r w:rsidR="003B6F7B" w:rsidRPr="003B6F7B">
              <w:rPr>
                <w:rStyle w:val="Lienhypertexte"/>
              </w:rPr>
              <w:t>Chapitre 01 : La gouvernance comme pierre angulaire de l’entreprise :</w:t>
            </w:r>
            <w:r w:rsidR="003B6F7B" w:rsidRPr="003B6F7B">
              <w:rPr>
                <w:webHidden/>
              </w:rPr>
              <w:tab/>
            </w:r>
            <w:r w:rsidR="003B6F7B" w:rsidRPr="003B6F7B">
              <w:rPr>
                <w:webHidden/>
              </w:rPr>
              <w:fldChar w:fldCharType="begin"/>
            </w:r>
            <w:r w:rsidR="003B6F7B" w:rsidRPr="003B6F7B">
              <w:rPr>
                <w:webHidden/>
              </w:rPr>
              <w:instrText xml:space="preserve"> PAGEREF _Toc231811419 \h </w:instrText>
            </w:r>
            <w:r w:rsidR="003B6F7B" w:rsidRPr="003B6F7B">
              <w:rPr>
                <w:webHidden/>
              </w:rPr>
            </w:r>
            <w:r w:rsidR="003B6F7B" w:rsidRPr="003B6F7B">
              <w:rPr>
                <w:webHidden/>
              </w:rPr>
              <w:fldChar w:fldCharType="separate"/>
            </w:r>
            <w:r w:rsidR="00E74A88">
              <w:rPr>
                <w:webHidden/>
              </w:rPr>
              <w:t>2</w:t>
            </w:r>
            <w:r w:rsidR="003B6F7B" w:rsidRPr="003B6F7B">
              <w:rPr>
                <w:webHidden/>
              </w:rPr>
              <w:fldChar w:fldCharType="end"/>
            </w:r>
          </w:hyperlink>
        </w:p>
        <w:p w14:paraId="34117A4C" w14:textId="77777777" w:rsidR="003B6F7B" w:rsidRPr="003B6F7B" w:rsidRDefault="00351FDE" w:rsidP="009F60D1">
          <w:pPr>
            <w:pStyle w:val="TM1"/>
            <w:rPr>
              <w:rFonts w:asciiTheme="minorHAnsi" w:eastAsiaTheme="minorEastAsia" w:hAnsiTheme="minorHAnsi"/>
              <w:sz w:val="18"/>
              <w:lang w:eastAsia="fr-FR"/>
            </w:rPr>
          </w:pPr>
          <w:hyperlink w:anchor="_Toc231811420" w:history="1">
            <w:r w:rsidR="003B6F7B" w:rsidRPr="003B6F7B">
              <w:rPr>
                <w:rStyle w:val="Lienhypertexte"/>
              </w:rPr>
              <w:t>Introduction du chapitre :</w:t>
            </w:r>
            <w:r w:rsidR="003B6F7B" w:rsidRPr="003B6F7B">
              <w:rPr>
                <w:webHidden/>
              </w:rPr>
              <w:tab/>
            </w:r>
            <w:r w:rsidR="003B6F7B" w:rsidRPr="003B6F7B">
              <w:rPr>
                <w:webHidden/>
              </w:rPr>
              <w:fldChar w:fldCharType="begin"/>
            </w:r>
            <w:r w:rsidR="003B6F7B" w:rsidRPr="003B6F7B">
              <w:rPr>
                <w:webHidden/>
              </w:rPr>
              <w:instrText xml:space="preserve"> PAGEREF _Toc231811420 \h </w:instrText>
            </w:r>
            <w:r w:rsidR="003B6F7B" w:rsidRPr="003B6F7B">
              <w:rPr>
                <w:webHidden/>
              </w:rPr>
            </w:r>
            <w:r w:rsidR="003B6F7B" w:rsidRPr="003B6F7B">
              <w:rPr>
                <w:webHidden/>
              </w:rPr>
              <w:fldChar w:fldCharType="separate"/>
            </w:r>
            <w:r w:rsidR="00E74A88">
              <w:rPr>
                <w:webHidden/>
              </w:rPr>
              <w:t>2</w:t>
            </w:r>
            <w:r w:rsidR="003B6F7B" w:rsidRPr="003B6F7B">
              <w:rPr>
                <w:webHidden/>
              </w:rPr>
              <w:fldChar w:fldCharType="end"/>
            </w:r>
          </w:hyperlink>
        </w:p>
        <w:p w14:paraId="1D8D7DEB" w14:textId="77777777" w:rsidR="003B6F7B" w:rsidRPr="003B6F7B" w:rsidRDefault="00351FDE" w:rsidP="009F60D1">
          <w:pPr>
            <w:pStyle w:val="TM1"/>
            <w:rPr>
              <w:rFonts w:asciiTheme="minorHAnsi" w:eastAsiaTheme="minorEastAsia" w:hAnsiTheme="minorHAnsi"/>
              <w:sz w:val="18"/>
              <w:lang w:eastAsia="fr-FR"/>
            </w:rPr>
          </w:pPr>
          <w:hyperlink w:anchor="_Toc231811421" w:history="1">
            <w:r w:rsidR="003B6F7B" w:rsidRPr="003B6F7B">
              <w:rPr>
                <w:rStyle w:val="Lienhypertexte"/>
                <w:b w:val="0"/>
                <w:bCs w:val="0"/>
              </w:rPr>
              <w:t>Section 01 : le cadre conceptuel de la gouvernance :</w:t>
            </w:r>
            <w:r w:rsidR="003B6F7B" w:rsidRPr="003B6F7B">
              <w:rPr>
                <w:webHidden/>
              </w:rPr>
              <w:tab/>
            </w:r>
            <w:r w:rsidR="003B6F7B" w:rsidRPr="003B6F7B">
              <w:rPr>
                <w:webHidden/>
              </w:rPr>
              <w:fldChar w:fldCharType="begin"/>
            </w:r>
            <w:r w:rsidR="003B6F7B" w:rsidRPr="003B6F7B">
              <w:rPr>
                <w:webHidden/>
              </w:rPr>
              <w:instrText xml:space="preserve"> PAGEREF _Toc231811421 \h </w:instrText>
            </w:r>
            <w:r w:rsidR="003B6F7B" w:rsidRPr="003B6F7B">
              <w:rPr>
                <w:webHidden/>
              </w:rPr>
            </w:r>
            <w:r w:rsidR="003B6F7B" w:rsidRPr="003B6F7B">
              <w:rPr>
                <w:webHidden/>
              </w:rPr>
              <w:fldChar w:fldCharType="separate"/>
            </w:r>
            <w:r w:rsidR="00E74A88">
              <w:rPr>
                <w:webHidden/>
              </w:rPr>
              <w:t>3</w:t>
            </w:r>
            <w:r w:rsidR="003B6F7B" w:rsidRPr="003B6F7B">
              <w:rPr>
                <w:webHidden/>
              </w:rPr>
              <w:fldChar w:fldCharType="end"/>
            </w:r>
          </w:hyperlink>
        </w:p>
        <w:p w14:paraId="58245EB6" w14:textId="77777777" w:rsidR="003B6F7B" w:rsidRPr="003B6F7B" w:rsidRDefault="00351FDE" w:rsidP="009F60D1">
          <w:pPr>
            <w:pStyle w:val="TM1"/>
            <w:rPr>
              <w:rFonts w:asciiTheme="minorHAnsi" w:eastAsiaTheme="minorEastAsia" w:hAnsiTheme="minorHAnsi"/>
              <w:sz w:val="18"/>
              <w:lang w:eastAsia="fr-FR"/>
            </w:rPr>
          </w:pPr>
          <w:hyperlink w:anchor="_Toc231811422" w:history="1">
            <w:r w:rsidR="003B6F7B" w:rsidRPr="003B6F7B">
              <w:rPr>
                <w:rStyle w:val="Lienhypertexte"/>
                <w:b w:val="0"/>
                <w:bCs w:val="0"/>
              </w:rPr>
              <w:t>Section 02 : les fondements théoriques de la gouvernance d’entreprise :</w:t>
            </w:r>
            <w:r w:rsidR="003B6F7B" w:rsidRPr="003B6F7B">
              <w:rPr>
                <w:webHidden/>
              </w:rPr>
              <w:tab/>
            </w:r>
            <w:r w:rsidR="003B6F7B" w:rsidRPr="003B6F7B">
              <w:rPr>
                <w:webHidden/>
              </w:rPr>
              <w:fldChar w:fldCharType="begin"/>
            </w:r>
            <w:r w:rsidR="003B6F7B" w:rsidRPr="003B6F7B">
              <w:rPr>
                <w:webHidden/>
              </w:rPr>
              <w:instrText xml:space="preserve"> PAGEREF _Toc231811422 \h </w:instrText>
            </w:r>
            <w:r w:rsidR="003B6F7B" w:rsidRPr="003B6F7B">
              <w:rPr>
                <w:webHidden/>
              </w:rPr>
            </w:r>
            <w:r w:rsidR="003B6F7B" w:rsidRPr="003B6F7B">
              <w:rPr>
                <w:webHidden/>
              </w:rPr>
              <w:fldChar w:fldCharType="separate"/>
            </w:r>
            <w:r w:rsidR="00E74A88">
              <w:rPr>
                <w:webHidden/>
              </w:rPr>
              <w:t>15</w:t>
            </w:r>
            <w:r w:rsidR="003B6F7B" w:rsidRPr="003B6F7B">
              <w:rPr>
                <w:webHidden/>
              </w:rPr>
              <w:fldChar w:fldCharType="end"/>
            </w:r>
          </w:hyperlink>
        </w:p>
        <w:p w14:paraId="06524AC1" w14:textId="77777777" w:rsidR="003B6F7B" w:rsidRPr="003B6F7B" w:rsidRDefault="00351FDE" w:rsidP="009F60D1">
          <w:pPr>
            <w:pStyle w:val="TM1"/>
            <w:rPr>
              <w:rFonts w:asciiTheme="minorHAnsi" w:eastAsiaTheme="minorEastAsia" w:hAnsiTheme="minorHAnsi"/>
              <w:sz w:val="18"/>
              <w:lang w:eastAsia="fr-FR"/>
            </w:rPr>
          </w:pPr>
          <w:hyperlink w:anchor="_Toc231811423" w:history="1">
            <w:r w:rsidR="003B6F7B" w:rsidRPr="003B6F7B">
              <w:rPr>
                <w:rStyle w:val="Lienhypertexte"/>
                <w:b w:val="0"/>
                <w:bCs w:val="0"/>
              </w:rPr>
              <w:t>Section 03 : Cadre opérationnel de la gouvernance d’entreprise :</w:t>
            </w:r>
            <w:r w:rsidR="003B6F7B" w:rsidRPr="003B6F7B">
              <w:rPr>
                <w:webHidden/>
              </w:rPr>
              <w:tab/>
            </w:r>
            <w:r w:rsidR="003B6F7B" w:rsidRPr="003B6F7B">
              <w:rPr>
                <w:webHidden/>
              </w:rPr>
              <w:fldChar w:fldCharType="begin"/>
            </w:r>
            <w:r w:rsidR="003B6F7B" w:rsidRPr="003B6F7B">
              <w:rPr>
                <w:webHidden/>
              </w:rPr>
              <w:instrText xml:space="preserve"> PAGEREF _Toc231811423 \h </w:instrText>
            </w:r>
            <w:r w:rsidR="003B6F7B" w:rsidRPr="003B6F7B">
              <w:rPr>
                <w:webHidden/>
              </w:rPr>
            </w:r>
            <w:r w:rsidR="003B6F7B" w:rsidRPr="003B6F7B">
              <w:rPr>
                <w:webHidden/>
              </w:rPr>
              <w:fldChar w:fldCharType="separate"/>
            </w:r>
            <w:r w:rsidR="00E74A88">
              <w:rPr>
                <w:webHidden/>
              </w:rPr>
              <w:t>39</w:t>
            </w:r>
            <w:r w:rsidR="003B6F7B" w:rsidRPr="003B6F7B">
              <w:rPr>
                <w:webHidden/>
              </w:rPr>
              <w:fldChar w:fldCharType="end"/>
            </w:r>
          </w:hyperlink>
        </w:p>
        <w:p w14:paraId="1E0A9167" w14:textId="77777777" w:rsidR="003B6F7B" w:rsidRPr="003B6F7B" w:rsidRDefault="00351FDE" w:rsidP="009F60D1">
          <w:pPr>
            <w:pStyle w:val="TM1"/>
            <w:rPr>
              <w:rFonts w:asciiTheme="minorHAnsi" w:eastAsiaTheme="minorEastAsia" w:hAnsiTheme="minorHAnsi"/>
              <w:sz w:val="18"/>
              <w:lang w:eastAsia="fr-FR"/>
            </w:rPr>
          </w:pPr>
          <w:hyperlink w:anchor="_Toc231811424" w:history="1">
            <w:r w:rsidR="003B6F7B" w:rsidRPr="003B6F7B">
              <w:rPr>
                <w:rStyle w:val="Lienhypertexte"/>
              </w:rPr>
              <w:t>Conclusion du chapitre :</w:t>
            </w:r>
            <w:r w:rsidR="003B6F7B" w:rsidRPr="003B6F7B">
              <w:rPr>
                <w:webHidden/>
              </w:rPr>
              <w:tab/>
            </w:r>
            <w:r w:rsidR="003B6F7B" w:rsidRPr="003B6F7B">
              <w:rPr>
                <w:webHidden/>
              </w:rPr>
              <w:fldChar w:fldCharType="begin"/>
            </w:r>
            <w:r w:rsidR="003B6F7B" w:rsidRPr="003B6F7B">
              <w:rPr>
                <w:webHidden/>
              </w:rPr>
              <w:instrText xml:space="preserve"> PAGEREF _Toc231811424 \h </w:instrText>
            </w:r>
            <w:r w:rsidR="003B6F7B" w:rsidRPr="003B6F7B">
              <w:rPr>
                <w:webHidden/>
              </w:rPr>
            </w:r>
            <w:r w:rsidR="003B6F7B" w:rsidRPr="003B6F7B">
              <w:rPr>
                <w:webHidden/>
              </w:rPr>
              <w:fldChar w:fldCharType="separate"/>
            </w:r>
            <w:r w:rsidR="00E74A88">
              <w:rPr>
                <w:webHidden/>
              </w:rPr>
              <w:t>65</w:t>
            </w:r>
            <w:r w:rsidR="003B6F7B" w:rsidRPr="003B6F7B">
              <w:rPr>
                <w:webHidden/>
              </w:rPr>
              <w:fldChar w:fldCharType="end"/>
            </w:r>
          </w:hyperlink>
        </w:p>
        <w:p w14:paraId="1678D43E" w14:textId="77777777" w:rsidR="003B6F7B" w:rsidRPr="003B6F7B" w:rsidRDefault="00351FDE" w:rsidP="009F60D1">
          <w:pPr>
            <w:pStyle w:val="TM1"/>
            <w:rPr>
              <w:rFonts w:asciiTheme="minorHAnsi" w:eastAsiaTheme="minorEastAsia" w:hAnsiTheme="minorHAnsi"/>
              <w:sz w:val="18"/>
              <w:lang w:eastAsia="fr-FR"/>
            </w:rPr>
          </w:pPr>
          <w:hyperlink w:anchor="_Toc231811425" w:history="1">
            <w:r w:rsidR="003B6F7B" w:rsidRPr="003B6F7B">
              <w:rPr>
                <w:rStyle w:val="Lienhypertexte"/>
              </w:rPr>
              <w:t>Chapitre 02 : La responsabilité sociale des entreprises comme levier d’intégrité pour les entreprises :</w:t>
            </w:r>
            <w:r w:rsidR="003B6F7B" w:rsidRPr="003B6F7B">
              <w:rPr>
                <w:webHidden/>
              </w:rPr>
              <w:tab/>
            </w:r>
            <w:r w:rsidR="003B6F7B" w:rsidRPr="003B6F7B">
              <w:rPr>
                <w:webHidden/>
              </w:rPr>
              <w:fldChar w:fldCharType="begin"/>
            </w:r>
            <w:r w:rsidR="003B6F7B" w:rsidRPr="003B6F7B">
              <w:rPr>
                <w:webHidden/>
              </w:rPr>
              <w:instrText xml:space="preserve"> PAGEREF _Toc231811425 \h </w:instrText>
            </w:r>
            <w:r w:rsidR="003B6F7B" w:rsidRPr="003B6F7B">
              <w:rPr>
                <w:webHidden/>
              </w:rPr>
            </w:r>
            <w:r w:rsidR="003B6F7B" w:rsidRPr="003B6F7B">
              <w:rPr>
                <w:webHidden/>
              </w:rPr>
              <w:fldChar w:fldCharType="separate"/>
            </w:r>
            <w:r w:rsidR="00E74A88">
              <w:rPr>
                <w:webHidden/>
              </w:rPr>
              <w:t>67</w:t>
            </w:r>
            <w:r w:rsidR="003B6F7B" w:rsidRPr="003B6F7B">
              <w:rPr>
                <w:webHidden/>
              </w:rPr>
              <w:fldChar w:fldCharType="end"/>
            </w:r>
          </w:hyperlink>
        </w:p>
        <w:p w14:paraId="34730E5D" w14:textId="77777777" w:rsidR="003B6F7B" w:rsidRPr="003B6F7B" w:rsidRDefault="00351FDE" w:rsidP="009F60D1">
          <w:pPr>
            <w:pStyle w:val="TM1"/>
            <w:rPr>
              <w:rFonts w:asciiTheme="minorHAnsi" w:eastAsiaTheme="minorEastAsia" w:hAnsiTheme="minorHAnsi"/>
              <w:sz w:val="18"/>
              <w:lang w:eastAsia="fr-FR"/>
            </w:rPr>
          </w:pPr>
          <w:hyperlink w:anchor="_Toc231811426" w:history="1">
            <w:r w:rsidR="003B6F7B" w:rsidRPr="003B6F7B">
              <w:rPr>
                <w:rStyle w:val="Lienhypertexte"/>
              </w:rPr>
              <w:t>Introduction du chapitre :</w:t>
            </w:r>
            <w:r w:rsidR="003B6F7B" w:rsidRPr="003B6F7B">
              <w:rPr>
                <w:webHidden/>
              </w:rPr>
              <w:tab/>
            </w:r>
            <w:r w:rsidR="003B6F7B" w:rsidRPr="003B6F7B">
              <w:rPr>
                <w:webHidden/>
              </w:rPr>
              <w:fldChar w:fldCharType="begin"/>
            </w:r>
            <w:r w:rsidR="003B6F7B" w:rsidRPr="003B6F7B">
              <w:rPr>
                <w:webHidden/>
              </w:rPr>
              <w:instrText xml:space="preserve"> PAGEREF _Toc231811426 \h </w:instrText>
            </w:r>
            <w:r w:rsidR="003B6F7B" w:rsidRPr="003B6F7B">
              <w:rPr>
                <w:webHidden/>
              </w:rPr>
            </w:r>
            <w:r w:rsidR="003B6F7B" w:rsidRPr="003B6F7B">
              <w:rPr>
                <w:webHidden/>
              </w:rPr>
              <w:fldChar w:fldCharType="separate"/>
            </w:r>
            <w:r w:rsidR="00E74A88">
              <w:rPr>
                <w:webHidden/>
              </w:rPr>
              <w:t>67</w:t>
            </w:r>
            <w:r w:rsidR="003B6F7B" w:rsidRPr="003B6F7B">
              <w:rPr>
                <w:webHidden/>
              </w:rPr>
              <w:fldChar w:fldCharType="end"/>
            </w:r>
          </w:hyperlink>
        </w:p>
        <w:p w14:paraId="3CFAD655" w14:textId="77777777" w:rsidR="003B6F7B" w:rsidRPr="003B6F7B" w:rsidRDefault="00351FDE" w:rsidP="009F60D1">
          <w:pPr>
            <w:pStyle w:val="TM1"/>
            <w:rPr>
              <w:rFonts w:asciiTheme="minorHAnsi" w:eastAsiaTheme="minorEastAsia" w:hAnsiTheme="minorHAnsi"/>
              <w:sz w:val="18"/>
              <w:lang w:eastAsia="fr-FR"/>
            </w:rPr>
          </w:pPr>
          <w:hyperlink w:anchor="_Toc231811427" w:history="1">
            <w:r w:rsidR="003B6F7B" w:rsidRPr="003B6F7B">
              <w:rPr>
                <w:rStyle w:val="Lienhypertexte"/>
                <w:b w:val="0"/>
                <w:bCs w:val="0"/>
              </w:rPr>
              <w:t>Section 01 : La notion de la responsabilité sociétale des entreprises :</w:t>
            </w:r>
            <w:r w:rsidR="003B6F7B" w:rsidRPr="003B6F7B">
              <w:rPr>
                <w:webHidden/>
              </w:rPr>
              <w:tab/>
            </w:r>
            <w:r w:rsidR="003B6F7B" w:rsidRPr="003B6F7B">
              <w:rPr>
                <w:webHidden/>
              </w:rPr>
              <w:fldChar w:fldCharType="begin"/>
            </w:r>
            <w:r w:rsidR="003B6F7B" w:rsidRPr="003B6F7B">
              <w:rPr>
                <w:webHidden/>
              </w:rPr>
              <w:instrText xml:space="preserve"> PAGEREF _Toc231811427 \h </w:instrText>
            </w:r>
            <w:r w:rsidR="003B6F7B" w:rsidRPr="003B6F7B">
              <w:rPr>
                <w:webHidden/>
              </w:rPr>
            </w:r>
            <w:r w:rsidR="003B6F7B" w:rsidRPr="003B6F7B">
              <w:rPr>
                <w:webHidden/>
              </w:rPr>
              <w:fldChar w:fldCharType="separate"/>
            </w:r>
            <w:r w:rsidR="00E74A88">
              <w:rPr>
                <w:webHidden/>
              </w:rPr>
              <w:t>69</w:t>
            </w:r>
            <w:r w:rsidR="003B6F7B" w:rsidRPr="003B6F7B">
              <w:rPr>
                <w:webHidden/>
              </w:rPr>
              <w:fldChar w:fldCharType="end"/>
            </w:r>
          </w:hyperlink>
        </w:p>
        <w:p w14:paraId="7DFD5ED4" w14:textId="77777777" w:rsidR="003B6F7B" w:rsidRPr="003B6F7B" w:rsidRDefault="00351FDE" w:rsidP="009F60D1">
          <w:pPr>
            <w:pStyle w:val="TM1"/>
            <w:rPr>
              <w:rFonts w:asciiTheme="minorHAnsi" w:eastAsiaTheme="minorEastAsia" w:hAnsiTheme="minorHAnsi"/>
              <w:sz w:val="18"/>
              <w:lang w:eastAsia="fr-FR"/>
            </w:rPr>
          </w:pPr>
          <w:hyperlink w:anchor="_Toc231811428" w:history="1">
            <w:r w:rsidR="003B6F7B" w:rsidRPr="003B6F7B">
              <w:rPr>
                <w:rStyle w:val="Lienhypertexte"/>
                <w:b w:val="0"/>
                <w:bCs w:val="0"/>
              </w:rPr>
              <w:t>Section 02 : Le cadre opérationnelle de la responsabilité sociale des entreprises :</w:t>
            </w:r>
            <w:r w:rsidR="003B6F7B" w:rsidRPr="003B6F7B">
              <w:rPr>
                <w:webHidden/>
              </w:rPr>
              <w:tab/>
            </w:r>
            <w:r w:rsidR="003B6F7B" w:rsidRPr="003B6F7B">
              <w:rPr>
                <w:webHidden/>
              </w:rPr>
              <w:fldChar w:fldCharType="begin"/>
            </w:r>
            <w:r w:rsidR="003B6F7B" w:rsidRPr="003B6F7B">
              <w:rPr>
                <w:webHidden/>
              </w:rPr>
              <w:instrText xml:space="preserve"> PAGEREF _Toc231811428 \h </w:instrText>
            </w:r>
            <w:r w:rsidR="003B6F7B" w:rsidRPr="003B6F7B">
              <w:rPr>
                <w:webHidden/>
              </w:rPr>
            </w:r>
            <w:r w:rsidR="003B6F7B" w:rsidRPr="003B6F7B">
              <w:rPr>
                <w:webHidden/>
              </w:rPr>
              <w:fldChar w:fldCharType="separate"/>
            </w:r>
            <w:r w:rsidR="00E74A88">
              <w:rPr>
                <w:webHidden/>
              </w:rPr>
              <w:t>92</w:t>
            </w:r>
            <w:r w:rsidR="003B6F7B" w:rsidRPr="003B6F7B">
              <w:rPr>
                <w:webHidden/>
              </w:rPr>
              <w:fldChar w:fldCharType="end"/>
            </w:r>
          </w:hyperlink>
        </w:p>
        <w:p w14:paraId="7C2BF70E" w14:textId="77777777" w:rsidR="003B6F7B" w:rsidRPr="003B6F7B" w:rsidRDefault="00351FDE" w:rsidP="009F60D1">
          <w:pPr>
            <w:pStyle w:val="TM1"/>
            <w:rPr>
              <w:rFonts w:asciiTheme="minorHAnsi" w:eastAsiaTheme="minorEastAsia" w:hAnsiTheme="minorHAnsi"/>
              <w:sz w:val="18"/>
              <w:lang w:eastAsia="fr-FR"/>
            </w:rPr>
          </w:pPr>
          <w:hyperlink w:anchor="_Toc231811429" w:history="1">
            <w:r w:rsidR="003B6F7B" w:rsidRPr="003B6F7B">
              <w:rPr>
                <w:rStyle w:val="Lienhypertexte"/>
                <w:b w:val="0"/>
                <w:bCs w:val="0"/>
              </w:rPr>
              <w:t>Section 03 : Le cadre opérationnelle de la responsabilité sociale des entreprises :</w:t>
            </w:r>
            <w:r w:rsidR="003B6F7B" w:rsidRPr="003B6F7B">
              <w:rPr>
                <w:webHidden/>
              </w:rPr>
              <w:tab/>
            </w:r>
            <w:r w:rsidR="003B6F7B" w:rsidRPr="003B6F7B">
              <w:rPr>
                <w:webHidden/>
              </w:rPr>
              <w:fldChar w:fldCharType="begin"/>
            </w:r>
            <w:r w:rsidR="003B6F7B" w:rsidRPr="003B6F7B">
              <w:rPr>
                <w:webHidden/>
              </w:rPr>
              <w:instrText xml:space="preserve"> PAGEREF _Toc231811429 \h </w:instrText>
            </w:r>
            <w:r w:rsidR="003B6F7B" w:rsidRPr="003B6F7B">
              <w:rPr>
                <w:webHidden/>
              </w:rPr>
            </w:r>
            <w:r w:rsidR="003B6F7B" w:rsidRPr="003B6F7B">
              <w:rPr>
                <w:webHidden/>
              </w:rPr>
              <w:fldChar w:fldCharType="separate"/>
            </w:r>
            <w:r w:rsidR="00E74A88">
              <w:rPr>
                <w:webHidden/>
              </w:rPr>
              <w:t>120</w:t>
            </w:r>
            <w:r w:rsidR="003B6F7B" w:rsidRPr="003B6F7B">
              <w:rPr>
                <w:webHidden/>
              </w:rPr>
              <w:fldChar w:fldCharType="end"/>
            </w:r>
          </w:hyperlink>
        </w:p>
        <w:p w14:paraId="3DB1C0A8" w14:textId="77777777" w:rsidR="003B6F7B" w:rsidRPr="003B6F7B" w:rsidRDefault="00351FDE" w:rsidP="009F60D1">
          <w:pPr>
            <w:pStyle w:val="TM1"/>
            <w:rPr>
              <w:rFonts w:asciiTheme="minorHAnsi" w:eastAsiaTheme="minorEastAsia" w:hAnsiTheme="minorHAnsi"/>
              <w:sz w:val="18"/>
              <w:lang w:eastAsia="fr-FR"/>
            </w:rPr>
          </w:pPr>
          <w:hyperlink w:anchor="_Toc231811430" w:history="1">
            <w:r w:rsidR="003B6F7B" w:rsidRPr="003B6F7B">
              <w:rPr>
                <w:rStyle w:val="Lienhypertexte"/>
                <w:lang w:eastAsia="fr-FR"/>
              </w:rPr>
              <w:t>Conclusion du chapitre :</w:t>
            </w:r>
            <w:r w:rsidR="003B6F7B" w:rsidRPr="003B6F7B">
              <w:rPr>
                <w:webHidden/>
              </w:rPr>
              <w:tab/>
            </w:r>
            <w:r w:rsidR="003B6F7B" w:rsidRPr="003B6F7B">
              <w:rPr>
                <w:webHidden/>
              </w:rPr>
              <w:fldChar w:fldCharType="begin"/>
            </w:r>
            <w:r w:rsidR="003B6F7B" w:rsidRPr="003B6F7B">
              <w:rPr>
                <w:webHidden/>
              </w:rPr>
              <w:instrText xml:space="preserve"> PAGEREF _Toc231811430 \h </w:instrText>
            </w:r>
            <w:r w:rsidR="003B6F7B" w:rsidRPr="003B6F7B">
              <w:rPr>
                <w:webHidden/>
              </w:rPr>
            </w:r>
            <w:r w:rsidR="003B6F7B" w:rsidRPr="003B6F7B">
              <w:rPr>
                <w:webHidden/>
              </w:rPr>
              <w:fldChar w:fldCharType="separate"/>
            </w:r>
            <w:r w:rsidR="00E74A88">
              <w:rPr>
                <w:webHidden/>
              </w:rPr>
              <w:t>132</w:t>
            </w:r>
            <w:r w:rsidR="003B6F7B" w:rsidRPr="003B6F7B">
              <w:rPr>
                <w:webHidden/>
              </w:rPr>
              <w:fldChar w:fldCharType="end"/>
            </w:r>
          </w:hyperlink>
        </w:p>
        <w:p w14:paraId="6738CE83" w14:textId="77777777" w:rsidR="003B6F7B" w:rsidRPr="003B6F7B" w:rsidRDefault="00351FDE" w:rsidP="009F60D1">
          <w:pPr>
            <w:pStyle w:val="TM1"/>
            <w:rPr>
              <w:rFonts w:asciiTheme="minorHAnsi" w:eastAsiaTheme="minorEastAsia" w:hAnsiTheme="minorHAnsi"/>
              <w:sz w:val="18"/>
              <w:lang w:eastAsia="fr-FR"/>
            </w:rPr>
          </w:pPr>
          <w:hyperlink w:anchor="_Toc231811431" w:history="1">
            <w:r w:rsidR="003B6F7B" w:rsidRPr="003B6F7B">
              <w:rPr>
                <w:rStyle w:val="Lienhypertexte"/>
                <w:rFonts w:eastAsia="Times New Roman"/>
              </w:rPr>
              <w:t>Chapitre 03 : Etude de cas « L’Algérienne des Industries Textiles : TAYAL SPA » :</w:t>
            </w:r>
            <w:r w:rsidR="003B6F7B" w:rsidRPr="003B6F7B">
              <w:rPr>
                <w:webHidden/>
              </w:rPr>
              <w:tab/>
            </w:r>
            <w:r w:rsidR="003B6F7B" w:rsidRPr="003B6F7B">
              <w:rPr>
                <w:webHidden/>
              </w:rPr>
              <w:fldChar w:fldCharType="begin"/>
            </w:r>
            <w:r w:rsidR="003B6F7B" w:rsidRPr="003B6F7B">
              <w:rPr>
                <w:webHidden/>
              </w:rPr>
              <w:instrText xml:space="preserve"> PAGEREF _Toc231811431 \h </w:instrText>
            </w:r>
            <w:r w:rsidR="003B6F7B" w:rsidRPr="003B6F7B">
              <w:rPr>
                <w:webHidden/>
              </w:rPr>
            </w:r>
            <w:r w:rsidR="003B6F7B" w:rsidRPr="003B6F7B">
              <w:rPr>
                <w:webHidden/>
              </w:rPr>
              <w:fldChar w:fldCharType="separate"/>
            </w:r>
            <w:r w:rsidR="00E74A88">
              <w:rPr>
                <w:webHidden/>
              </w:rPr>
              <w:t>135</w:t>
            </w:r>
            <w:r w:rsidR="003B6F7B" w:rsidRPr="003B6F7B">
              <w:rPr>
                <w:webHidden/>
              </w:rPr>
              <w:fldChar w:fldCharType="end"/>
            </w:r>
          </w:hyperlink>
        </w:p>
        <w:p w14:paraId="09575D7F" w14:textId="77777777" w:rsidR="003B6F7B" w:rsidRPr="003B6F7B" w:rsidRDefault="00351FDE" w:rsidP="009F60D1">
          <w:pPr>
            <w:pStyle w:val="TM1"/>
            <w:rPr>
              <w:rFonts w:asciiTheme="minorHAnsi" w:eastAsiaTheme="minorEastAsia" w:hAnsiTheme="minorHAnsi"/>
              <w:sz w:val="18"/>
              <w:lang w:eastAsia="fr-FR"/>
            </w:rPr>
          </w:pPr>
          <w:hyperlink w:anchor="_Toc231811432" w:history="1">
            <w:r w:rsidR="003B6F7B" w:rsidRPr="003B6F7B">
              <w:rPr>
                <w:rStyle w:val="Lienhypertexte"/>
              </w:rPr>
              <w:t>Introduction du chapitre :</w:t>
            </w:r>
            <w:r w:rsidR="003B6F7B" w:rsidRPr="003B6F7B">
              <w:rPr>
                <w:webHidden/>
              </w:rPr>
              <w:tab/>
            </w:r>
            <w:r w:rsidR="003B6F7B" w:rsidRPr="003B6F7B">
              <w:rPr>
                <w:webHidden/>
              </w:rPr>
              <w:fldChar w:fldCharType="begin"/>
            </w:r>
            <w:r w:rsidR="003B6F7B" w:rsidRPr="003B6F7B">
              <w:rPr>
                <w:webHidden/>
              </w:rPr>
              <w:instrText xml:space="preserve"> PAGEREF _Toc231811432 \h </w:instrText>
            </w:r>
            <w:r w:rsidR="003B6F7B" w:rsidRPr="003B6F7B">
              <w:rPr>
                <w:webHidden/>
              </w:rPr>
            </w:r>
            <w:r w:rsidR="003B6F7B" w:rsidRPr="003B6F7B">
              <w:rPr>
                <w:webHidden/>
              </w:rPr>
              <w:fldChar w:fldCharType="separate"/>
            </w:r>
            <w:r w:rsidR="00E74A88">
              <w:rPr>
                <w:webHidden/>
              </w:rPr>
              <w:t>135</w:t>
            </w:r>
            <w:r w:rsidR="003B6F7B" w:rsidRPr="003B6F7B">
              <w:rPr>
                <w:webHidden/>
              </w:rPr>
              <w:fldChar w:fldCharType="end"/>
            </w:r>
          </w:hyperlink>
        </w:p>
        <w:p w14:paraId="77AA85CF" w14:textId="77777777" w:rsidR="003B6F7B" w:rsidRPr="003B6F7B" w:rsidRDefault="00351FDE" w:rsidP="009F60D1">
          <w:pPr>
            <w:pStyle w:val="TM1"/>
            <w:rPr>
              <w:rFonts w:asciiTheme="minorHAnsi" w:eastAsiaTheme="minorEastAsia" w:hAnsiTheme="minorHAnsi"/>
              <w:sz w:val="18"/>
              <w:lang w:eastAsia="fr-FR"/>
            </w:rPr>
          </w:pPr>
          <w:hyperlink w:anchor="_Toc231811433" w:history="1">
            <w:r w:rsidR="003B6F7B" w:rsidRPr="003B6F7B">
              <w:rPr>
                <w:rStyle w:val="Lienhypertexte"/>
                <w:rFonts w:eastAsia="Times New Roman"/>
                <w:b w:val="0"/>
                <w:bCs w:val="0"/>
              </w:rPr>
              <w:t>Section 01 : Profil institutionnel de la société « TAYAL SPA » :</w:t>
            </w:r>
            <w:r w:rsidR="003B6F7B" w:rsidRPr="003B6F7B">
              <w:rPr>
                <w:webHidden/>
              </w:rPr>
              <w:tab/>
            </w:r>
            <w:r w:rsidR="003B6F7B" w:rsidRPr="003B6F7B">
              <w:rPr>
                <w:webHidden/>
              </w:rPr>
              <w:fldChar w:fldCharType="begin"/>
            </w:r>
            <w:r w:rsidR="003B6F7B" w:rsidRPr="003B6F7B">
              <w:rPr>
                <w:webHidden/>
              </w:rPr>
              <w:instrText xml:space="preserve"> PAGEREF _Toc231811433 \h </w:instrText>
            </w:r>
            <w:r w:rsidR="003B6F7B" w:rsidRPr="003B6F7B">
              <w:rPr>
                <w:webHidden/>
              </w:rPr>
            </w:r>
            <w:r w:rsidR="003B6F7B" w:rsidRPr="003B6F7B">
              <w:rPr>
                <w:webHidden/>
              </w:rPr>
              <w:fldChar w:fldCharType="separate"/>
            </w:r>
            <w:r w:rsidR="00E74A88">
              <w:rPr>
                <w:webHidden/>
              </w:rPr>
              <w:t>135</w:t>
            </w:r>
            <w:r w:rsidR="003B6F7B" w:rsidRPr="003B6F7B">
              <w:rPr>
                <w:webHidden/>
              </w:rPr>
              <w:fldChar w:fldCharType="end"/>
            </w:r>
          </w:hyperlink>
        </w:p>
        <w:p w14:paraId="63DC4AA3" w14:textId="77777777" w:rsidR="003B6F7B" w:rsidRPr="003B6F7B" w:rsidRDefault="00351FDE" w:rsidP="009F60D1">
          <w:pPr>
            <w:pStyle w:val="TM1"/>
            <w:rPr>
              <w:rFonts w:asciiTheme="minorHAnsi" w:eastAsiaTheme="minorEastAsia" w:hAnsiTheme="minorHAnsi"/>
              <w:sz w:val="18"/>
              <w:lang w:eastAsia="fr-FR"/>
            </w:rPr>
          </w:pPr>
          <w:hyperlink w:anchor="_Toc231811434" w:history="1">
            <w:r w:rsidR="003B6F7B" w:rsidRPr="003B6F7B">
              <w:rPr>
                <w:rStyle w:val="Lienhypertexte"/>
                <w:b w:val="0"/>
                <w:bCs w:val="0"/>
              </w:rPr>
              <w:t>Section 02 : Analyse des données d’étude :</w:t>
            </w:r>
            <w:r w:rsidR="003B6F7B" w:rsidRPr="003B6F7B">
              <w:rPr>
                <w:webHidden/>
              </w:rPr>
              <w:tab/>
            </w:r>
            <w:r w:rsidR="003B6F7B" w:rsidRPr="003B6F7B">
              <w:rPr>
                <w:webHidden/>
              </w:rPr>
              <w:fldChar w:fldCharType="begin"/>
            </w:r>
            <w:r w:rsidR="003B6F7B" w:rsidRPr="003B6F7B">
              <w:rPr>
                <w:webHidden/>
              </w:rPr>
              <w:instrText xml:space="preserve"> PAGEREF _Toc231811434 \h </w:instrText>
            </w:r>
            <w:r w:rsidR="003B6F7B" w:rsidRPr="003B6F7B">
              <w:rPr>
                <w:webHidden/>
              </w:rPr>
            </w:r>
            <w:r w:rsidR="003B6F7B" w:rsidRPr="003B6F7B">
              <w:rPr>
                <w:webHidden/>
              </w:rPr>
              <w:fldChar w:fldCharType="separate"/>
            </w:r>
            <w:r w:rsidR="00E74A88">
              <w:rPr>
                <w:webHidden/>
              </w:rPr>
              <w:t>155</w:t>
            </w:r>
            <w:r w:rsidR="003B6F7B" w:rsidRPr="003B6F7B">
              <w:rPr>
                <w:webHidden/>
              </w:rPr>
              <w:fldChar w:fldCharType="end"/>
            </w:r>
          </w:hyperlink>
        </w:p>
        <w:p w14:paraId="1528338C" w14:textId="77777777" w:rsidR="003B6F7B" w:rsidRPr="003B6F7B" w:rsidRDefault="00351FDE" w:rsidP="009F60D1">
          <w:pPr>
            <w:pStyle w:val="TM1"/>
            <w:rPr>
              <w:rFonts w:asciiTheme="minorHAnsi" w:eastAsiaTheme="minorEastAsia" w:hAnsiTheme="minorHAnsi"/>
              <w:sz w:val="18"/>
              <w:lang w:eastAsia="fr-FR"/>
            </w:rPr>
          </w:pPr>
          <w:hyperlink w:anchor="_Toc231811435" w:history="1">
            <w:r w:rsidR="003B6F7B" w:rsidRPr="003B6F7B">
              <w:rPr>
                <w:rStyle w:val="Lienhypertexte"/>
                <w:b w:val="0"/>
                <w:bCs w:val="0"/>
              </w:rPr>
              <w:t>Section 03 : Tester les hypothèses et discuter des résultats de l’étude :</w:t>
            </w:r>
            <w:r w:rsidR="003B6F7B" w:rsidRPr="003B6F7B">
              <w:rPr>
                <w:webHidden/>
              </w:rPr>
              <w:tab/>
            </w:r>
            <w:r w:rsidR="003B6F7B" w:rsidRPr="003B6F7B">
              <w:rPr>
                <w:webHidden/>
              </w:rPr>
              <w:fldChar w:fldCharType="begin"/>
            </w:r>
            <w:r w:rsidR="003B6F7B" w:rsidRPr="003B6F7B">
              <w:rPr>
                <w:webHidden/>
              </w:rPr>
              <w:instrText xml:space="preserve"> PAGEREF _Toc231811435 \h </w:instrText>
            </w:r>
            <w:r w:rsidR="003B6F7B" w:rsidRPr="003B6F7B">
              <w:rPr>
                <w:webHidden/>
              </w:rPr>
            </w:r>
            <w:r w:rsidR="003B6F7B" w:rsidRPr="003B6F7B">
              <w:rPr>
                <w:webHidden/>
              </w:rPr>
              <w:fldChar w:fldCharType="separate"/>
            </w:r>
            <w:r w:rsidR="00E74A88">
              <w:rPr>
                <w:webHidden/>
              </w:rPr>
              <w:t>178</w:t>
            </w:r>
            <w:r w:rsidR="003B6F7B" w:rsidRPr="003B6F7B">
              <w:rPr>
                <w:webHidden/>
              </w:rPr>
              <w:fldChar w:fldCharType="end"/>
            </w:r>
          </w:hyperlink>
        </w:p>
        <w:p w14:paraId="424E3DA7" w14:textId="77777777" w:rsidR="003B6F7B" w:rsidRPr="003B6F7B" w:rsidRDefault="00351FDE" w:rsidP="009F60D1">
          <w:pPr>
            <w:pStyle w:val="TM1"/>
            <w:rPr>
              <w:rFonts w:asciiTheme="minorHAnsi" w:eastAsiaTheme="minorEastAsia" w:hAnsiTheme="minorHAnsi"/>
              <w:sz w:val="18"/>
              <w:lang w:eastAsia="fr-FR"/>
            </w:rPr>
          </w:pPr>
          <w:hyperlink w:anchor="_Toc231811436" w:history="1">
            <w:r w:rsidR="003B6F7B" w:rsidRPr="003B6F7B">
              <w:rPr>
                <w:rStyle w:val="Lienhypertexte"/>
              </w:rPr>
              <w:t>Conclusion du chapitre :</w:t>
            </w:r>
            <w:r w:rsidR="003B6F7B" w:rsidRPr="003B6F7B">
              <w:rPr>
                <w:webHidden/>
              </w:rPr>
              <w:tab/>
            </w:r>
            <w:r w:rsidR="003B6F7B" w:rsidRPr="003B6F7B">
              <w:rPr>
                <w:webHidden/>
              </w:rPr>
              <w:fldChar w:fldCharType="begin"/>
            </w:r>
            <w:r w:rsidR="003B6F7B" w:rsidRPr="003B6F7B">
              <w:rPr>
                <w:webHidden/>
              </w:rPr>
              <w:instrText xml:space="preserve"> PAGEREF _Toc231811436 \h </w:instrText>
            </w:r>
            <w:r w:rsidR="003B6F7B" w:rsidRPr="003B6F7B">
              <w:rPr>
                <w:webHidden/>
              </w:rPr>
            </w:r>
            <w:r w:rsidR="003B6F7B" w:rsidRPr="003B6F7B">
              <w:rPr>
                <w:webHidden/>
              </w:rPr>
              <w:fldChar w:fldCharType="separate"/>
            </w:r>
            <w:r w:rsidR="00E74A88">
              <w:rPr>
                <w:webHidden/>
              </w:rPr>
              <w:t>202</w:t>
            </w:r>
            <w:r w:rsidR="003B6F7B" w:rsidRPr="003B6F7B">
              <w:rPr>
                <w:webHidden/>
              </w:rPr>
              <w:fldChar w:fldCharType="end"/>
            </w:r>
          </w:hyperlink>
        </w:p>
        <w:p w14:paraId="4EA0078F" w14:textId="77777777" w:rsidR="003B6F7B" w:rsidRPr="003B6F7B" w:rsidRDefault="00351FDE" w:rsidP="009F60D1">
          <w:pPr>
            <w:pStyle w:val="TM1"/>
            <w:rPr>
              <w:rFonts w:asciiTheme="minorHAnsi" w:eastAsiaTheme="minorEastAsia" w:hAnsiTheme="minorHAnsi"/>
              <w:sz w:val="18"/>
              <w:lang w:eastAsia="fr-FR"/>
            </w:rPr>
          </w:pPr>
          <w:hyperlink w:anchor="_Toc231811437" w:history="1">
            <w:r w:rsidR="003B6F7B" w:rsidRPr="003B6F7B">
              <w:rPr>
                <w:rStyle w:val="Lienhypertexte"/>
              </w:rPr>
              <w:t>Conclusion Générale :</w:t>
            </w:r>
            <w:r w:rsidR="003B6F7B" w:rsidRPr="003B6F7B">
              <w:rPr>
                <w:webHidden/>
              </w:rPr>
              <w:tab/>
            </w:r>
            <w:r w:rsidR="003B6F7B" w:rsidRPr="003B6F7B">
              <w:rPr>
                <w:webHidden/>
              </w:rPr>
              <w:fldChar w:fldCharType="begin"/>
            </w:r>
            <w:r w:rsidR="003B6F7B" w:rsidRPr="003B6F7B">
              <w:rPr>
                <w:webHidden/>
              </w:rPr>
              <w:instrText xml:space="preserve"> PAGEREF _Toc231811437 \h </w:instrText>
            </w:r>
            <w:r w:rsidR="003B6F7B" w:rsidRPr="003B6F7B">
              <w:rPr>
                <w:webHidden/>
              </w:rPr>
            </w:r>
            <w:r w:rsidR="003B6F7B" w:rsidRPr="003B6F7B">
              <w:rPr>
                <w:webHidden/>
              </w:rPr>
              <w:fldChar w:fldCharType="separate"/>
            </w:r>
            <w:r w:rsidR="00E74A88">
              <w:rPr>
                <w:webHidden/>
              </w:rPr>
              <w:t>205</w:t>
            </w:r>
            <w:r w:rsidR="003B6F7B" w:rsidRPr="003B6F7B">
              <w:rPr>
                <w:webHidden/>
              </w:rPr>
              <w:fldChar w:fldCharType="end"/>
            </w:r>
          </w:hyperlink>
        </w:p>
        <w:p w14:paraId="6C4ED542" w14:textId="77777777" w:rsidR="003B6F7B" w:rsidRDefault="00351FDE" w:rsidP="009F60D1">
          <w:pPr>
            <w:pStyle w:val="TM1"/>
            <w:rPr>
              <w:rFonts w:asciiTheme="minorHAnsi" w:eastAsiaTheme="minorEastAsia" w:hAnsiTheme="minorHAnsi"/>
              <w:sz w:val="22"/>
              <w:lang w:eastAsia="fr-FR"/>
            </w:rPr>
          </w:pPr>
          <w:hyperlink w:anchor="_Toc231811442" w:history="1">
            <w:r w:rsidR="003B6F7B" w:rsidRPr="003B6F7B">
              <w:rPr>
                <w:rStyle w:val="Lienhypertexte"/>
              </w:rPr>
              <w:t>Bibliographie</w:t>
            </w:r>
            <w:r w:rsidR="003B6F7B" w:rsidRPr="003B6F7B">
              <w:rPr>
                <w:webHidden/>
              </w:rPr>
              <w:tab/>
            </w:r>
            <w:r w:rsidR="003B6F7B" w:rsidRPr="003B6F7B">
              <w:rPr>
                <w:webHidden/>
              </w:rPr>
              <w:fldChar w:fldCharType="begin"/>
            </w:r>
            <w:r w:rsidR="003B6F7B" w:rsidRPr="003B6F7B">
              <w:rPr>
                <w:webHidden/>
              </w:rPr>
              <w:instrText xml:space="preserve"> PAGEREF _Toc231811442 \h </w:instrText>
            </w:r>
            <w:r w:rsidR="003B6F7B" w:rsidRPr="003B6F7B">
              <w:rPr>
                <w:webHidden/>
              </w:rPr>
            </w:r>
            <w:r w:rsidR="003B6F7B" w:rsidRPr="003B6F7B">
              <w:rPr>
                <w:webHidden/>
              </w:rPr>
              <w:fldChar w:fldCharType="separate"/>
            </w:r>
            <w:r w:rsidR="00E74A88">
              <w:rPr>
                <w:webHidden/>
              </w:rPr>
              <w:t>210</w:t>
            </w:r>
            <w:r w:rsidR="003B6F7B" w:rsidRPr="003B6F7B">
              <w:rPr>
                <w:webHidden/>
              </w:rPr>
              <w:fldChar w:fldCharType="end"/>
            </w:r>
          </w:hyperlink>
        </w:p>
        <w:p w14:paraId="27583CCA" w14:textId="77777777" w:rsidR="003B6F7B" w:rsidRPr="003B6F7B" w:rsidRDefault="00351FDE" w:rsidP="009F60D1">
          <w:pPr>
            <w:pStyle w:val="TM1"/>
            <w:rPr>
              <w:rFonts w:asciiTheme="minorHAnsi" w:eastAsiaTheme="minorEastAsia" w:hAnsiTheme="minorHAnsi"/>
              <w:sz w:val="18"/>
              <w:lang w:eastAsia="fr-FR"/>
            </w:rPr>
          </w:pPr>
          <w:hyperlink w:anchor="_Toc231811443" w:history="1">
            <w:r w:rsidR="003B6F7B" w:rsidRPr="003B6F7B">
              <w:rPr>
                <w:rStyle w:val="Lienhypertexte"/>
              </w:rPr>
              <w:t>Les annexes :</w:t>
            </w:r>
            <w:r w:rsidR="003B6F7B" w:rsidRPr="003B6F7B">
              <w:rPr>
                <w:webHidden/>
              </w:rPr>
              <w:tab/>
            </w:r>
            <w:r w:rsidR="003B6F7B" w:rsidRPr="003B6F7B">
              <w:rPr>
                <w:webHidden/>
              </w:rPr>
              <w:fldChar w:fldCharType="begin"/>
            </w:r>
            <w:r w:rsidR="003B6F7B" w:rsidRPr="003B6F7B">
              <w:rPr>
                <w:webHidden/>
              </w:rPr>
              <w:instrText xml:space="preserve"> PAGEREF _Toc231811443 \h </w:instrText>
            </w:r>
            <w:r w:rsidR="003B6F7B" w:rsidRPr="003B6F7B">
              <w:rPr>
                <w:webHidden/>
              </w:rPr>
            </w:r>
            <w:r w:rsidR="003B6F7B" w:rsidRPr="003B6F7B">
              <w:rPr>
                <w:webHidden/>
              </w:rPr>
              <w:fldChar w:fldCharType="separate"/>
            </w:r>
            <w:r w:rsidR="00E74A88">
              <w:rPr>
                <w:webHidden/>
              </w:rPr>
              <w:t>221</w:t>
            </w:r>
            <w:r w:rsidR="003B6F7B" w:rsidRPr="003B6F7B">
              <w:rPr>
                <w:webHidden/>
              </w:rPr>
              <w:fldChar w:fldCharType="end"/>
            </w:r>
          </w:hyperlink>
        </w:p>
        <w:p w14:paraId="7F20D5F0" w14:textId="77777777" w:rsidR="00E55C23" w:rsidRPr="00262B5D" w:rsidRDefault="00131853" w:rsidP="00BC1AEC">
          <w:pPr>
            <w:pStyle w:val="Titre1"/>
          </w:pPr>
          <w:r w:rsidRPr="00EF1116">
            <w:lastRenderedPageBreak/>
            <w:fldChar w:fldCharType="end"/>
          </w:r>
          <w:bookmarkStart w:id="12" w:name="_Toc231752175"/>
          <w:bookmarkStart w:id="13" w:name="_Toc231810048"/>
          <w:bookmarkStart w:id="14" w:name="_Toc231810478"/>
          <w:bookmarkStart w:id="15" w:name="_Toc231811414"/>
          <w:bookmarkStart w:id="16" w:name="_Toc231811821"/>
          <w:bookmarkStart w:id="17" w:name="_Toc231812101"/>
          <w:bookmarkStart w:id="18" w:name="_Toc231814985"/>
          <w:r w:rsidR="00E55C23" w:rsidRPr="00262B5D">
            <w:t>LISTE DES FIGURES :</w:t>
          </w:r>
          <w:bookmarkEnd w:id="10"/>
          <w:bookmarkEnd w:id="11"/>
          <w:bookmarkEnd w:id="12"/>
          <w:bookmarkEnd w:id="13"/>
          <w:bookmarkEnd w:id="14"/>
          <w:bookmarkEnd w:id="15"/>
          <w:bookmarkEnd w:id="16"/>
          <w:bookmarkEnd w:id="17"/>
          <w:bookmarkEnd w:id="18"/>
        </w:p>
        <w:tbl>
          <w:tblPr>
            <w:tblStyle w:val="Grilledutableau"/>
            <w:tblW w:w="0" w:type="auto"/>
            <w:tblLook w:val="04A0" w:firstRow="1" w:lastRow="0" w:firstColumn="1" w:lastColumn="0" w:noHBand="0" w:noVBand="1"/>
          </w:tblPr>
          <w:tblGrid>
            <w:gridCol w:w="1129"/>
            <w:gridCol w:w="6802"/>
            <w:gridCol w:w="1129"/>
          </w:tblGrid>
          <w:tr w:rsidR="00E55C23" w:rsidRPr="00262B5D" w14:paraId="4A77FBD3" w14:textId="77777777" w:rsidTr="002D02CC">
            <w:trPr>
              <w:trHeight w:val="725"/>
            </w:trPr>
            <w:tc>
              <w:tcPr>
                <w:tcW w:w="1129" w:type="dxa"/>
                <w:shd w:val="clear" w:color="auto" w:fill="8EAADB" w:themeFill="accent1" w:themeFillTint="99"/>
              </w:tcPr>
              <w:p w14:paraId="29BC601C" w14:textId="77777777" w:rsidR="00E55C23" w:rsidRPr="00262B5D" w:rsidRDefault="00E55C23" w:rsidP="00BC1AEC">
                <w:pPr>
                  <w:spacing w:before="0" w:beforeAutospacing="0" w:after="160"/>
                  <w:ind w:firstLine="0"/>
                  <w:jc w:val="center"/>
                  <w:rPr>
                    <w:rFonts w:cstheme="majorBidi"/>
                    <w:b/>
                    <w:bCs/>
                    <w:sz w:val="22"/>
                  </w:rPr>
                </w:pPr>
                <w:r w:rsidRPr="00262B5D">
                  <w:rPr>
                    <w:rFonts w:cstheme="majorBidi"/>
                    <w:b/>
                    <w:bCs/>
                    <w:sz w:val="22"/>
                  </w:rPr>
                  <w:t>N° de la</w:t>
                </w:r>
              </w:p>
              <w:p w14:paraId="3ABFD8D4" w14:textId="77777777" w:rsidR="00E55C23" w:rsidRPr="00262B5D" w:rsidRDefault="00E55C23" w:rsidP="00BC1AEC">
                <w:pPr>
                  <w:spacing w:before="0" w:beforeAutospacing="0" w:after="160"/>
                  <w:ind w:firstLine="0"/>
                  <w:jc w:val="center"/>
                  <w:rPr>
                    <w:rFonts w:cstheme="majorBidi"/>
                    <w:b/>
                    <w:bCs/>
                    <w:sz w:val="22"/>
                  </w:rPr>
                </w:pPr>
                <w:r w:rsidRPr="00262B5D">
                  <w:rPr>
                    <w:rFonts w:cstheme="majorBidi"/>
                    <w:b/>
                    <w:bCs/>
                    <w:sz w:val="22"/>
                  </w:rPr>
                  <w:t>Figure</w:t>
                </w:r>
              </w:p>
            </w:tc>
            <w:tc>
              <w:tcPr>
                <w:tcW w:w="6802" w:type="dxa"/>
                <w:shd w:val="clear" w:color="auto" w:fill="8EAADB" w:themeFill="accent1" w:themeFillTint="99"/>
              </w:tcPr>
              <w:p w14:paraId="6CEE21DE" w14:textId="77777777" w:rsidR="00E55C23" w:rsidRPr="00262B5D" w:rsidRDefault="00E55C23" w:rsidP="006821A4">
                <w:pPr>
                  <w:spacing w:before="0" w:beforeAutospacing="0" w:after="160"/>
                  <w:rPr>
                    <w:rFonts w:cstheme="majorBidi"/>
                    <w:b/>
                    <w:bCs/>
                    <w:sz w:val="22"/>
                  </w:rPr>
                </w:pPr>
                <w:r w:rsidRPr="00262B5D">
                  <w:rPr>
                    <w:rFonts w:cstheme="majorBidi"/>
                    <w:b/>
                    <w:bCs/>
                    <w:sz w:val="22"/>
                  </w:rPr>
                  <w:t>Titre de la figure</w:t>
                </w:r>
              </w:p>
            </w:tc>
            <w:tc>
              <w:tcPr>
                <w:tcW w:w="1129" w:type="dxa"/>
                <w:shd w:val="clear" w:color="auto" w:fill="8EAADB" w:themeFill="accent1" w:themeFillTint="99"/>
              </w:tcPr>
              <w:p w14:paraId="06962E39" w14:textId="77777777" w:rsidR="00E55C23" w:rsidRPr="00262B5D" w:rsidRDefault="00E55C23" w:rsidP="006821A4">
                <w:pPr>
                  <w:spacing w:before="0" w:beforeAutospacing="0" w:after="160"/>
                  <w:rPr>
                    <w:rFonts w:cstheme="majorBidi"/>
                    <w:b/>
                    <w:bCs/>
                    <w:sz w:val="22"/>
                  </w:rPr>
                </w:pPr>
                <w:r w:rsidRPr="00262B5D">
                  <w:rPr>
                    <w:rFonts w:cstheme="majorBidi"/>
                    <w:b/>
                    <w:bCs/>
                    <w:sz w:val="22"/>
                  </w:rPr>
                  <w:t>Page</w:t>
                </w:r>
              </w:p>
            </w:tc>
          </w:tr>
          <w:tr w:rsidR="00E55C23" w:rsidRPr="00262B5D" w14:paraId="6769299F" w14:textId="77777777" w:rsidTr="002D02CC">
            <w:tc>
              <w:tcPr>
                <w:tcW w:w="9060" w:type="dxa"/>
                <w:gridSpan w:val="3"/>
                <w:shd w:val="clear" w:color="auto" w:fill="D9E2F3" w:themeFill="accent1" w:themeFillTint="33"/>
              </w:tcPr>
              <w:p w14:paraId="7804B38D" w14:textId="77777777" w:rsidR="00E55C23" w:rsidRPr="00262B5D" w:rsidRDefault="00E55C23" w:rsidP="00D77DE1">
                <w:pPr>
                  <w:spacing w:before="0" w:beforeAutospacing="0" w:after="160"/>
                  <w:jc w:val="center"/>
                  <w:rPr>
                    <w:rFonts w:cstheme="majorBidi"/>
                    <w:b/>
                    <w:bCs/>
                    <w:sz w:val="22"/>
                  </w:rPr>
                </w:pPr>
                <w:r w:rsidRPr="00262B5D">
                  <w:rPr>
                    <w:rFonts w:cstheme="majorBidi"/>
                    <w:b/>
                    <w:bCs/>
                    <w:sz w:val="22"/>
                  </w:rPr>
                  <w:t>Introduction</w:t>
                </w:r>
              </w:p>
            </w:tc>
          </w:tr>
          <w:tr w:rsidR="00E55C23" w:rsidRPr="00262B5D" w14:paraId="45EBF0CB" w14:textId="77777777" w:rsidTr="002D02CC">
            <w:tc>
              <w:tcPr>
                <w:tcW w:w="1129" w:type="dxa"/>
              </w:tcPr>
              <w:p w14:paraId="486EAD46"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w:t>
                </w:r>
              </w:p>
            </w:tc>
            <w:tc>
              <w:tcPr>
                <w:tcW w:w="6802" w:type="dxa"/>
              </w:tcPr>
              <w:p w14:paraId="58FA4193" w14:textId="77777777" w:rsidR="00E55C23" w:rsidRPr="00262B5D" w:rsidRDefault="00E55C23" w:rsidP="00D77DE1">
                <w:pPr>
                  <w:spacing w:before="0" w:beforeAutospacing="0" w:after="160"/>
                  <w:ind w:firstLine="0"/>
                  <w:jc w:val="left"/>
                  <w:rPr>
                    <w:rFonts w:cstheme="majorBidi"/>
                    <w:sz w:val="22"/>
                  </w:rPr>
                </w:pPr>
                <w:r w:rsidRPr="00262B5D">
                  <w:rPr>
                    <w:rFonts w:cstheme="majorBidi"/>
                    <w:sz w:val="22"/>
                  </w:rPr>
                  <w:t>Les variables d’étude</w:t>
                </w:r>
              </w:p>
            </w:tc>
            <w:tc>
              <w:tcPr>
                <w:tcW w:w="1129" w:type="dxa"/>
              </w:tcPr>
              <w:p w14:paraId="13B29ADE" w14:textId="77777777" w:rsidR="00E55C23" w:rsidRPr="00262B5D" w:rsidRDefault="00196BD2" w:rsidP="006821A4">
                <w:pPr>
                  <w:spacing w:before="0" w:beforeAutospacing="0" w:after="160"/>
                  <w:rPr>
                    <w:rFonts w:cstheme="majorBidi"/>
                    <w:b/>
                    <w:bCs/>
                    <w:sz w:val="22"/>
                  </w:rPr>
                </w:pPr>
                <w:r>
                  <w:rPr>
                    <w:rFonts w:cstheme="majorBidi"/>
                    <w:b/>
                    <w:bCs/>
                    <w:sz w:val="22"/>
                  </w:rPr>
                  <w:t>E</w:t>
                </w:r>
              </w:p>
            </w:tc>
          </w:tr>
          <w:tr w:rsidR="00E55C23" w:rsidRPr="00262B5D" w14:paraId="0C43D045" w14:textId="77777777" w:rsidTr="002D02CC">
            <w:tc>
              <w:tcPr>
                <w:tcW w:w="9060" w:type="dxa"/>
                <w:gridSpan w:val="3"/>
                <w:shd w:val="clear" w:color="auto" w:fill="D9E2F3" w:themeFill="accent1" w:themeFillTint="33"/>
              </w:tcPr>
              <w:p w14:paraId="078173CA" w14:textId="77777777" w:rsidR="00E55C23" w:rsidRPr="00262B5D" w:rsidRDefault="00E55C23" w:rsidP="00D77DE1">
                <w:pPr>
                  <w:spacing w:before="0" w:beforeAutospacing="0" w:after="160"/>
                  <w:jc w:val="center"/>
                  <w:rPr>
                    <w:rFonts w:cstheme="majorBidi"/>
                    <w:b/>
                    <w:bCs/>
                    <w:sz w:val="22"/>
                  </w:rPr>
                </w:pPr>
                <w:r w:rsidRPr="00262B5D">
                  <w:rPr>
                    <w:rFonts w:cstheme="majorBidi"/>
                    <w:b/>
                    <w:bCs/>
                    <w:sz w:val="22"/>
                  </w:rPr>
                  <w:t>Chapitre 02</w:t>
                </w:r>
              </w:p>
            </w:tc>
          </w:tr>
          <w:tr w:rsidR="00E55C23" w:rsidRPr="00262B5D" w14:paraId="1AEDB31F" w14:textId="77777777" w:rsidTr="002D02CC">
            <w:tc>
              <w:tcPr>
                <w:tcW w:w="1129" w:type="dxa"/>
              </w:tcPr>
              <w:p w14:paraId="2099B046" w14:textId="77777777" w:rsidR="00E55C23" w:rsidRPr="00262B5D" w:rsidRDefault="002D02CC" w:rsidP="00D77DE1">
                <w:pPr>
                  <w:spacing w:before="0" w:beforeAutospacing="0" w:after="160"/>
                  <w:ind w:firstLine="0"/>
                  <w:jc w:val="center"/>
                  <w:rPr>
                    <w:rFonts w:cstheme="majorBidi"/>
                    <w:b/>
                    <w:bCs/>
                    <w:sz w:val="22"/>
                  </w:rPr>
                </w:pPr>
                <w:r>
                  <w:rPr>
                    <w:rFonts w:cstheme="majorBidi"/>
                    <w:b/>
                    <w:bCs/>
                    <w:sz w:val="22"/>
                  </w:rPr>
                  <w:t>2</w:t>
                </w:r>
              </w:p>
            </w:tc>
            <w:tc>
              <w:tcPr>
                <w:tcW w:w="6802" w:type="dxa"/>
              </w:tcPr>
              <w:p w14:paraId="430C32AA"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Le modèle triple concentrique de la responsabilité sociale des entreprises.</w:t>
                </w:r>
              </w:p>
            </w:tc>
            <w:tc>
              <w:tcPr>
                <w:tcW w:w="1129" w:type="dxa"/>
              </w:tcPr>
              <w:p w14:paraId="4600774E" w14:textId="77777777" w:rsidR="00E55C23" w:rsidRPr="00262B5D" w:rsidRDefault="00196BD2" w:rsidP="006821A4">
                <w:pPr>
                  <w:spacing w:before="0" w:beforeAutospacing="0" w:after="160"/>
                  <w:rPr>
                    <w:rFonts w:cstheme="majorBidi"/>
                    <w:b/>
                    <w:bCs/>
                    <w:sz w:val="22"/>
                  </w:rPr>
                </w:pPr>
                <w:r>
                  <w:rPr>
                    <w:rFonts w:cstheme="majorBidi"/>
                    <w:b/>
                    <w:bCs/>
                    <w:sz w:val="22"/>
                  </w:rPr>
                  <w:t>79</w:t>
                </w:r>
              </w:p>
            </w:tc>
          </w:tr>
          <w:tr w:rsidR="00E55C23" w:rsidRPr="00262B5D" w14:paraId="7D7CA381" w14:textId="77777777" w:rsidTr="002D02CC">
            <w:tc>
              <w:tcPr>
                <w:tcW w:w="1129" w:type="dxa"/>
              </w:tcPr>
              <w:p w14:paraId="2BFD6030" w14:textId="77777777" w:rsidR="00E55C23" w:rsidRPr="00262B5D" w:rsidRDefault="002D02CC" w:rsidP="00D77DE1">
                <w:pPr>
                  <w:spacing w:before="0" w:beforeAutospacing="0" w:after="160"/>
                  <w:ind w:firstLine="0"/>
                  <w:jc w:val="center"/>
                  <w:rPr>
                    <w:rFonts w:cstheme="majorBidi"/>
                    <w:b/>
                    <w:bCs/>
                    <w:sz w:val="22"/>
                  </w:rPr>
                </w:pPr>
                <w:r>
                  <w:rPr>
                    <w:rFonts w:cstheme="majorBidi"/>
                    <w:b/>
                    <w:bCs/>
                    <w:sz w:val="22"/>
                  </w:rPr>
                  <w:t>3</w:t>
                </w:r>
              </w:p>
            </w:tc>
            <w:tc>
              <w:tcPr>
                <w:tcW w:w="6802" w:type="dxa"/>
              </w:tcPr>
              <w:p w14:paraId="325FE68F"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La matrice Légalité-Responsabilité de Dalton et Cosier (1982).</w:t>
                </w:r>
              </w:p>
            </w:tc>
            <w:tc>
              <w:tcPr>
                <w:tcW w:w="1129" w:type="dxa"/>
              </w:tcPr>
              <w:p w14:paraId="241CBC9D" w14:textId="77777777" w:rsidR="00E55C23" w:rsidRPr="00262B5D" w:rsidRDefault="00196BD2" w:rsidP="006821A4">
                <w:pPr>
                  <w:spacing w:before="0" w:beforeAutospacing="0" w:after="160"/>
                  <w:rPr>
                    <w:rFonts w:cstheme="majorBidi"/>
                    <w:b/>
                    <w:bCs/>
                    <w:sz w:val="22"/>
                  </w:rPr>
                </w:pPr>
                <w:r>
                  <w:rPr>
                    <w:rFonts w:cstheme="majorBidi"/>
                    <w:b/>
                    <w:bCs/>
                    <w:sz w:val="22"/>
                  </w:rPr>
                  <w:t>80</w:t>
                </w:r>
              </w:p>
            </w:tc>
          </w:tr>
          <w:tr w:rsidR="00E55C23" w:rsidRPr="00262B5D" w14:paraId="7A68D256" w14:textId="77777777" w:rsidTr="002D02CC">
            <w:tc>
              <w:tcPr>
                <w:tcW w:w="1129" w:type="dxa"/>
              </w:tcPr>
              <w:p w14:paraId="31998F37" w14:textId="77777777" w:rsidR="00E55C23" w:rsidRPr="00262B5D" w:rsidRDefault="002D02CC" w:rsidP="00D77DE1">
                <w:pPr>
                  <w:spacing w:before="0" w:beforeAutospacing="0" w:after="160"/>
                  <w:ind w:firstLine="0"/>
                  <w:jc w:val="center"/>
                  <w:rPr>
                    <w:rFonts w:cstheme="majorBidi"/>
                    <w:b/>
                    <w:bCs/>
                    <w:sz w:val="22"/>
                  </w:rPr>
                </w:pPr>
                <w:r>
                  <w:rPr>
                    <w:rFonts w:cstheme="majorBidi"/>
                    <w:b/>
                    <w:bCs/>
                    <w:sz w:val="22"/>
                  </w:rPr>
                  <w:t>4</w:t>
                </w:r>
              </w:p>
            </w:tc>
            <w:tc>
              <w:tcPr>
                <w:tcW w:w="6802" w:type="dxa"/>
              </w:tcPr>
              <w:p w14:paraId="6B17F47D"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Les différents niveaux de RSE.</w:t>
                </w:r>
              </w:p>
            </w:tc>
            <w:tc>
              <w:tcPr>
                <w:tcW w:w="1129" w:type="dxa"/>
              </w:tcPr>
              <w:p w14:paraId="110B5281" w14:textId="77777777" w:rsidR="00E55C23" w:rsidRPr="00262B5D" w:rsidRDefault="00196BD2" w:rsidP="006821A4">
                <w:pPr>
                  <w:spacing w:before="0" w:beforeAutospacing="0" w:after="160"/>
                  <w:rPr>
                    <w:rFonts w:cstheme="majorBidi"/>
                    <w:b/>
                    <w:bCs/>
                    <w:sz w:val="22"/>
                  </w:rPr>
                </w:pPr>
                <w:r>
                  <w:rPr>
                    <w:rFonts w:cstheme="majorBidi"/>
                    <w:b/>
                    <w:bCs/>
                    <w:sz w:val="22"/>
                  </w:rPr>
                  <w:t>85</w:t>
                </w:r>
              </w:p>
            </w:tc>
          </w:tr>
          <w:tr w:rsidR="00E55C23" w:rsidRPr="00262B5D" w14:paraId="3775DCA8" w14:textId="77777777" w:rsidTr="002D02CC">
            <w:tc>
              <w:tcPr>
                <w:tcW w:w="1129" w:type="dxa"/>
              </w:tcPr>
              <w:p w14:paraId="225A2548" w14:textId="77777777" w:rsidR="00E55C23" w:rsidRPr="00262B5D" w:rsidRDefault="002D02CC" w:rsidP="00D77DE1">
                <w:pPr>
                  <w:spacing w:before="0" w:beforeAutospacing="0" w:after="160"/>
                  <w:ind w:firstLine="0"/>
                  <w:jc w:val="center"/>
                  <w:rPr>
                    <w:rFonts w:cstheme="majorBidi"/>
                    <w:b/>
                    <w:bCs/>
                    <w:sz w:val="22"/>
                  </w:rPr>
                </w:pPr>
                <w:r>
                  <w:rPr>
                    <w:rFonts w:cstheme="majorBidi"/>
                    <w:b/>
                    <w:bCs/>
                    <w:sz w:val="22"/>
                  </w:rPr>
                  <w:t>5</w:t>
                </w:r>
              </w:p>
            </w:tc>
            <w:tc>
              <w:tcPr>
                <w:tcW w:w="6802" w:type="dxa"/>
              </w:tcPr>
              <w:p w14:paraId="7754EE54"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LES TROIS DIMENSIONS DE LA RSE.</w:t>
                </w:r>
              </w:p>
            </w:tc>
            <w:tc>
              <w:tcPr>
                <w:tcW w:w="1129" w:type="dxa"/>
              </w:tcPr>
              <w:p w14:paraId="10480F0B" w14:textId="77777777" w:rsidR="00E55C23" w:rsidRPr="00262B5D" w:rsidRDefault="00196BD2" w:rsidP="006821A4">
                <w:pPr>
                  <w:spacing w:before="0" w:beforeAutospacing="0" w:after="160"/>
                  <w:rPr>
                    <w:rFonts w:cstheme="majorBidi"/>
                    <w:b/>
                    <w:bCs/>
                    <w:sz w:val="22"/>
                  </w:rPr>
                </w:pPr>
                <w:r>
                  <w:rPr>
                    <w:rFonts w:cstheme="majorBidi"/>
                    <w:b/>
                    <w:bCs/>
                    <w:sz w:val="22"/>
                  </w:rPr>
                  <w:t>95</w:t>
                </w:r>
              </w:p>
            </w:tc>
          </w:tr>
          <w:tr w:rsidR="002D02CC" w:rsidRPr="00262B5D" w14:paraId="081AA431" w14:textId="77777777" w:rsidTr="002D02CC">
            <w:tc>
              <w:tcPr>
                <w:tcW w:w="1129" w:type="dxa"/>
              </w:tcPr>
              <w:p w14:paraId="3F9EF3B2" w14:textId="77777777" w:rsidR="002D02CC" w:rsidRPr="00262B5D" w:rsidRDefault="002D02CC" w:rsidP="00D77DE1">
                <w:pPr>
                  <w:spacing w:before="0" w:beforeAutospacing="0"/>
                  <w:ind w:firstLine="0"/>
                  <w:jc w:val="center"/>
                  <w:rPr>
                    <w:rFonts w:cstheme="majorBidi"/>
                    <w:b/>
                    <w:bCs/>
                    <w:sz w:val="22"/>
                  </w:rPr>
                </w:pPr>
                <w:r>
                  <w:rPr>
                    <w:rFonts w:cstheme="majorBidi"/>
                    <w:b/>
                    <w:bCs/>
                    <w:sz w:val="22"/>
                  </w:rPr>
                  <w:t>6</w:t>
                </w:r>
              </w:p>
            </w:tc>
            <w:tc>
              <w:tcPr>
                <w:tcW w:w="6802" w:type="dxa"/>
              </w:tcPr>
              <w:p w14:paraId="4FF7C543" w14:textId="77777777" w:rsidR="002D02CC" w:rsidRPr="00196BD2" w:rsidRDefault="002D02CC" w:rsidP="002D02CC">
                <w:pPr>
                  <w:spacing w:before="0" w:beforeAutospacing="0"/>
                  <w:ind w:firstLine="0"/>
                  <w:rPr>
                    <w:rFonts w:cstheme="majorBidi"/>
                    <w:sz w:val="22"/>
                  </w:rPr>
                </w:pPr>
                <w:r w:rsidRPr="00196BD2">
                  <w:rPr>
                    <w:rFonts w:cstheme="majorBidi"/>
                    <w:sz w:val="22"/>
                  </w:rPr>
                  <w:t>La durabilité.</w:t>
                </w:r>
              </w:p>
            </w:tc>
            <w:tc>
              <w:tcPr>
                <w:tcW w:w="1129" w:type="dxa"/>
              </w:tcPr>
              <w:p w14:paraId="6F576DC2" w14:textId="77777777" w:rsidR="002D02CC" w:rsidRPr="00262B5D" w:rsidRDefault="00196BD2" w:rsidP="006821A4">
                <w:pPr>
                  <w:spacing w:before="0" w:beforeAutospacing="0"/>
                  <w:rPr>
                    <w:rFonts w:cstheme="majorBidi"/>
                    <w:b/>
                    <w:bCs/>
                    <w:sz w:val="22"/>
                  </w:rPr>
                </w:pPr>
                <w:r>
                  <w:rPr>
                    <w:rFonts w:cstheme="majorBidi"/>
                    <w:b/>
                    <w:bCs/>
                    <w:sz w:val="22"/>
                  </w:rPr>
                  <w:t>120</w:t>
                </w:r>
              </w:p>
            </w:tc>
          </w:tr>
          <w:tr w:rsidR="00E55C23" w:rsidRPr="00262B5D" w14:paraId="0265B486" w14:textId="77777777" w:rsidTr="002D02CC">
            <w:tc>
              <w:tcPr>
                <w:tcW w:w="1129" w:type="dxa"/>
              </w:tcPr>
              <w:p w14:paraId="011990E5"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7</w:t>
                </w:r>
              </w:p>
            </w:tc>
            <w:tc>
              <w:tcPr>
                <w:tcW w:w="6802" w:type="dxa"/>
              </w:tcPr>
              <w:p w14:paraId="4CD8514B"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La représentation des responsabilités Socio-sociétales des entreprises.</w:t>
                </w:r>
              </w:p>
            </w:tc>
            <w:tc>
              <w:tcPr>
                <w:tcW w:w="1129" w:type="dxa"/>
              </w:tcPr>
              <w:p w14:paraId="21B39B9E" w14:textId="77777777" w:rsidR="00E55C23" w:rsidRPr="00262B5D" w:rsidRDefault="00196BD2" w:rsidP="006821A4">
                <w:pPr>
                  <w:spacing w:before="0" w:beforeAutospacing="0" w:after="160"/>
                  <w:rPr>
                    <w:rFonts w:cstheme="majorBidi"/>
                    <w:b/>
                    <w:bCs/>
                    <w:sz w:val="22"/>
                  </w:rPr>
                </w:pPr>
                <w:r>
                  <w:rPr>
                    <w:rFonts w:cstheme="majorBidi"/>
                    <w:b/>
                    <w:bCs/>
                    <w:sz w:val="22"/>
                  </w:rPr>
                  <w:t>125</w:t>
                </w:r>
              </w:p>
            </w:tc>
          </w:tr>
          <w:tr w:rsidR="00E55C23" w:rsidRPr="00262B5D" w14:paraId="17B1A8FA" w14:textId="77777777" w:rsidTr="002D02CC">
            <w:tc>
              <w:tcPr>
                <w:tcW w:w="9060" w:type="dxa"/>
                <w:gridSpan w:val="3"/>
                <w:shd w:val="clear" w:color="auto" w:fill="D9E2F3" w:themeFill="accent1" w:themeFillTint="33"/>
              </w:tcPr>
              <w:p w14:paraId="12CB2E08"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Chapitre 03</w:t>
                </w:r>
              </w:p>
            </w:tc>
          </w:tr>
          <w:tr w:rsidR="00E55C23" w:rsidRPr="00262B5D" w14:paraId="2991ECF3" w14:textId="77777777" w:rsidTr="002D02CC">
            <w:tc>
              <w:tcPr>
                <w:tcW w:w="1129" w:type="dxa"/>
              </w:tcPr>
              <w:p w14:paraId="15AC2E8D"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8</w:t>
                </w:r>
              </w:p>
            </w:tc>
            <w:tc>
              <w:tcPr>
                <w:tcW w:w="6802" w:type="dxa"/>
              </w:tcPr>
              <w:p w14:paraId="0982A5C0" w14:textId="77777777" w:rsidR="00E55C23" w:rsidRPr="00262B5D" w:rsidRDefault="00E55C23" w:rsidP="00D77DE1">
                <w:pPr>
                  <w:spacing w:before="0" w:beforeAutospacing="0" w:after="160"/>
                  <w:ind w:firstLine="0"/>
                  <w:rPr>
                    <w:rFonts w:cstheme="majorBidi"/>
                    <w:sz w:val="22"/>
                  </w:rPr>
                </w:pPr>
                <w:r w:rsidRPr="00262B5D">
                  <w:rPr>
                    <w:rFonts w:cstheme="majorBidi"/>
                    <w:sz w:val="22"/>
                  </w:rPr>
                  <w:t>PartenariatAlgero-turc.</w:t>
                </w:r>
              </w:p>
            </w:tc>
            <w:tc>
              <w:tcPr>
                <w:tcW w:w="1129" w:type="dxa"/>
              </w:tcPr>
              <w:p w14:paraId="741D7802" w14:textId="77777777" w:rsidR="00E55C23" w:rsidRPr="00262B5D" w:rsidRDefault="00196BD2" w:rsidP="006821A4">
                <w:pPr>
                  <w:spacing w:before="0" w:beforeAutospacing="0" w:after="160"/>
                  <w:rPr>
                    <w:rFonts w:cstheme="majorBidi"/>
                    <w:b/>
                    <w:bCs/>
                    <w:sz w:val="22"/>
                  </w:rPr>
                </w:pPr>
                <w:r>
                  <w:rPr>
                    <w:rFonts w:cstheme="majorBidi"/>
                    <w:b/>
                    <w:bCs/>
                    <w:sz w:val="22"/>
                  </w:rPr>
                  <w:t>136</w:t>
                </w:r>
              </w:p>
            </w:tc>
          </w:tr>
          <w:tr w:rsidR="00E55C23" w:rsidRPr="00262B5D" w14:paraId="741E9BE3" w14:textId="77777777" w:rsidTr="002D02CC">
            <w:tc>
              <w:tcPr>
                <w:tcW w:w="1129" w:type="dxa"/>
              </w:tcPr>
              <w:p w14:paraId="5E3BE271"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9</w:t>
                </w:r>
              </w:p>
            </w:tc>
            <w:tc>
              <w:tcPr>
                <w:tcW w:w="6802" w:type="dxa"/>
              </w:tcPr>
              <w:p w14:paraId="3A6B03C9" w14:textId="77777777" w:rsidR="00E55C23" w:rsidRPr="00262B5D" w:rsidRDefault="00E55C23" w:rsidP="00D77DE1">
                <w:pPr>
                  <w:spacing w:before="0" w:beforeAutospacing="0" w:after="160"/>
                  <w:ind w:firstLine="0"/>
                  <w:rPr>
                    <w:rFonts w:cstheme="majorBidi"/>
                    <w:sz w:val="22"/>
                  </w:rPr>
                </w:pPr>
                <w:r w:rsidRPr="00262B5D">
                  <w:rPr>
                    <w:rFonts w:cstheme="majorBidi"/>
                    <w:sz w:val="22"/>
                  </w:rPr>
                  <w:t>conventions.</w:t>
                </w:r>
              </w:p>
            </w:tc>
            <w:tc>
              <w:tcPr>
                <w:tcW w:w="1129" w:type="dxa"/>
              </w:tcPr>
              <w:p w14:paraId="367CFDBA" w14:textId="77777777" w:rsidR="00E55C23" w:rsidRPr="00262B5D" w:rsidRDefault="00196BD2" w:rsidP="006821A4">
                <w:pPr>
                  <w:spacing w:before="0" w:beforeAutospacing="0" w:after="160"/>
                  <w:rPr>
                    <w:rFonts w:cstheme="majorBidi"/>
                    <w:b/>
                    <w:bCs/>
                    <w:sz w:val="22"/>
                  </w:rPr>
                </w:pPr>
                <w:r>
                  <w:rPr>
                    <w:rFonts w:cstheme="majorBidi"/>
                    <w:b/>
                    <w:bCs/>
                    <w:sz w:val="22"/>
                  </w:rPr>
                  <w:t>137</w:t>
                </w:r>
              </w:p>
            </w:tc>
          </w:tr>
          <w:tr w:rsidR="00E55C23" w:rsidRPr="00262B5D" w14:paraId="47EC5E35" w14:textId="77777777" w:rsidTr="002D02CC">
            <w:tc>
              <w:tcPr>
                <w:tcW w:w="1129" w:type="dxa"/>
              </w:tcPr>
              <w:p w14:paraId="554F5311"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10</w:t>
                </w:r>
              </w:p>
            </w:tc>
            <w:tc>
              <w:tcPr>
                <w:tcW w:w="6802" w:type="dxa"/>
              </w:tcPr>
              <w:p w14:paraId="5F3299E7" w14:textId="77777777" w:rsidR="00E55C23" w:rsidRPr="00262B5D" w:rsidRDefault="00E55C23" w:rsidP="00D77DE1">
                <w:pPr>
                  <w:spacing w:before="0" w:beforeAutospacing="0" w:after="160"/>
                  <w:ind w:firstLine="0"/>
                  <w:rPr>
                    <w:rFonts w:cstheme="majorBidi"/>
                    <w:sz w:val="22"/>
                  </w:rPr>
                </w:pPr>
                <w:r w:rsidRPr="00262B5D">
                  <w:rPr>
                    <w:rFonts w:cstheme="majorBidi"/>
                    <w:sz w:val="22"/>
                  </w:rPr>
                  <w:t>Plan de l’entreprise TAYAL.</w:t>
                </w:r>
              </w:p>
            </w:tc>
            <w:tc>
              <w:tcPr>
                <w:tcW w:w="1129" w:type="dxa"/>
              </w:tcPr>
              <w:p w14:paraId="33470DE2" w14:textId="77777777" w:rsidR="00E55C23" w:rsidRPr="00262B5D" w:rsidRDefault="008D4E63" w:rsidP="006821A4">
                <w:pPr>
                  <w:spacing w:before="0" w:beforeAutospacing="0" w:after="160"/>
                  <w:rPr>
                    <w:rFonts w:cstheme="majorBidi"/>
                    <w:b/>
                    <w:bCs/>
                    <w:sz w:val="22"/>
                  </w:rPr>
                </w:pPr>
                <w:r>
                  <w:rPr>
                    <w:rFonts w:cstheme="majorBidi"/>
                    <w:b/>
                    <w:bCs/>
                    <w:sz w:val="22"/>
                  </w:rPr>
                  <w:t>138</w:t>
                </w:r>
              </w:p>
            </w:tc>
          </w:tr>
          <w:tr w:rsidR="00E55C23" w:rsidRPr="00262B5D" w14:paraId="2F5B2834" w14:textId="77777777" w:rsidTr="002D02CC">
            <w:tc>
              <w:tcPr>
                <w:tcW w:w="1129" w:type="dxa"/>
              </w:tcPr>
              <w:p w14:paraId="51E6FF8E"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11</w:t>
                </w:r>
              </w:p>
            </w:tc>
            <w:tc>
              <w:tcPr>
                <w:tcW w:w="6802" w:type="dxa"/>
              </w:tcPr>
              <w:p w14:paraId="25E6BE6F" w14:textId="77777777" w:rsidR="00E55C23" w:rsidRPr="00262B5D" w:rsidRDefault="00E55C23" w:rsidP="00D77DE1">
                <w:pPr>
                  <w:spacing w:before="0" w:beforeAutospacing="0" w:after="160"/>
                  <w:ind w:firstLine="0"/>
                  <w:rPr>
                    <w:rFonts w:cstheme="majorBidi"/>
                    <w:sz w:val="22"/>
                  </w:rPr>
                </w:pPr>
                <w:r w:rsidRPr="00262B5D">
                  <w:rPr>
                    <w:rFonts w:cstheme="majorBidi"/>
                    <w:sz w:val="22"/>
                  </w:rPr>
                  <w:t>Evolution des effectifs</w:t>
                </w:r>
              </w:p>
            </w:tc>
            <w:tc>
              <w:tcPr>
                <w:tcW w:w="1129" w:type="dxa"/>
              </w:tcPr>
              <w:p w14:paraId="2024659E" w14:textId="77777777" w:rsidR="00E55C23" w:rsidRPr="00262B5D" w:rsidRDefault="008D4E63" w:rsidP="006821A4">
                <w:pPr>
                  <w:spacing w:before="0" w:beforeAutospacing="0" w:after="160"/>
                  <w:rPr>
                    <w:rFonts w:cstheme="majorBidi"/>
                    <w:b/>
                    <w:bCs/>
                    <w:sz w:val="22"/>
                  </w:rPr>
                </w:pPr>
                <w:r>
                  <w:rPr>
                    <w:rFonts w:cstheme="majorBidi"/>
                    <w:b/>
                    <w:bCs/>
                    <w:sz w:val="22"/>
                  </w:rPr>
                  <w:t>140</w:t>
                </w:r>
              </w:p>
            </w:tc>
          </w:tr>
          <w:tr w:rsidR="00E55C23" w:rsidRPr="00262B5D" w14:paraId="5119BA88" w14:textId="77777777" w:rsidTr="002D02CC">
            <w:tc>
              <w:tcPr>
                <w:tcW w:w="1129" w:type="dxa"/>
              </w:tcPr>
              <w:p w14:paraId="57222982"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12</w:t>
                </w:r>
              </w:p>
            </w:tc>
            <w:tc>
              <w:tcPr>
                <w:tcW w:w="6802" w:type="dxa"/>
              </w:tcPr>
              <w:p w14:paraId="549F392A" w14:textId="77777777" w:rsidR="00E55C23" w:rsidRPr="00262B5D" w:rsidRDefault="00E55C23" w:rsidP="00D77DE1">
                <w:pPr>
                  <w:spacing w:before="0" w:beforeAutospacing="0" w:after="160"/>
                  <w:ind w:firstLine="0"/>
                  <w:rPr>
                    <w:rFonts w:cstheme="majorBidi"/>
                    <w:sz w:val="22"/>
                  </w:rPr>
                </w:pPr>
                <w:r w:rsidRPr="00262B5D">
                  <w:rPr>
                    <w:rFonts w:cstheme="majorBidi"/>
                    <w:sz w:val="22"/>
                  </w:rPr>
                  <w:t>Certifications.</w:t>
                </w:r>
              </w:p>
            </w:tc>
            <w:tc>
              <w:tcPr>
                <w:tcW w:w="1129" w:type="dxa"/>
              </w:tcPr>
              <w:p w14:paraId="7B60F165" w14:textId="77777777" w:rsidR="00E55C23" w:rsidRPr="00262B5D" w:rsidRDefault="008D4E63" w:rsidP="006821A4">
                <w:pPr>
                  <w:spacing w:before="0" w:beforeAutospacing="0" w:after="160"/>
                  <w:rPr>
                    <w:rFonts w:cstheme="majorBidi"/>
                    <w:b/>
                    <w:bCs/>
                    <w:sz w:val="22"/>
                  </w:rPr>
                </w:pPr>
                <w:r>
                  <w:rPr>
                    <w:rFonts w:cstheme="majorBidi"/>
                    <w:b/>
                    <w:bCs/>
                    <w:sz w:val="22"/>
                  </w:rPr>
                  <w:t>141</w:t>
                </w:r>
              </w:p>
            </w:tc>
          </w:tr>
          <w:tr w:rsidR="00E55C23" w:rsidRPr="00262B5D" w14:paraId="43B5D241" w14:textId="77777777" w:rsidTr="002D02CC">
            <w:tc>
              <w:tcPr>
                <w:tcW w:w="1129" w:type="dxa"/>
              </w:tcPr>
              <w:p w14:paraId="6315E392"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13</w:t>
                </w:r>
              </w:p>
            </w:tc>
            <w:tc>
              <w:tcPr>
                <w:tcW w:w="6802" w:type="dxa"/>
              </w:tcPr>
              <w:p w14:paraId="59C85505" w14:textId="77777777" w:rsidR="00E55C23" w:rsidRPr="00262B5D" w:rsidRDefault="00E55C23" w:rsidP="00D77DE1">
                <w:pPr>
                  <w:spacing w:before="0" w:beforeAutospacing="0" w:after="160"/>
                  <w:ind w:firstLine="0"/>
                  <w:rPr>
                    <w:rFonts w:cstheme="majorBidi"/>
                    <w:sz w:val="22"/>
                  </w:rPr>
                </w:pPr>
                <w:r w:rsidRPr="00262B5D">
                  <w:rPr>
                    <w:rFonts w:cstheme="majorBidi"/>
                    <w:sz w:val="22"/>
                  </w:rPr>
                  <w:t>les marchés internationaux.</w:t>
                </w:r>
              </w:p>
            </w:tc>
            <w:tc>
              <w:tcPr>
                <w:tcW w:w="1129" w:type="dxa"/>
              </w:tcPr>
              <w:p w14:paraId="757279C1" w14:textId="77777777" w:rsidR="00E55C23" w:rsidRPr="00262B5D" w:rsidRDefault="008D4E63" w:rsidP="006821A4">
                <w:pPr>
                  <w:spacing w:before="0" w:beforeAutospacing="0" w:after="160"/>
                  <w:rPr>
                    <w:rFonts w:cstheme="majorBidi"/>
                    <w:b/>
                    <w:bCs/>
                    <w:sz w:val="22"/>
                  </w:rPr>
                </w:pPr>
                <w:r>
                  <w:rPr>
                    <w:rFonts w:cstheme="majorBidi"/>
                    <w:b/>
                    <w:bCs/>
                    <w:sz w:val="22"/>
                  </w:rPr>
                  <w:t>142</w:t>
                </w:r>
              </w:p>
            </w:tc>
          </w:tr>
          <w:tr w:rsidR="00E55C23" w:rsidRPr="00262B5D" w14:paraId="52686010" w14:textId="77777777" w:rsidTr="002D02CC">
            <w:tc>
              <w:tcPr>
                <w:tcW w:w="1129" w:type="dxa"/>
              </w:tcPr>
              <w:p w14:paraId="314FEC3E" w14:textId="77777777" w:rsidR="00E55C23" w:rsidRPr="00262B5D" w:rsidRDefault="00E55C23" w:rsidP="00D77DE1">
                <w:pPr>
                  <w:spacing w:before="0" w:beforeAutospacing="0" w:after="160"/>
                  <w:ind w:firstLine="0"/>
                  <w:jc w:val="center"/>
                  <w:rPr>
                    <w:rFonts w:cstheme="majorBidi"/>
                    <w:b/>
                    <w:bCs/>
                    <w:sz w:val="22"/>
                  </w:rPr>
                </w:pPr>
                <w:r w:rsidRPr="00262B5D">
                  <w:rPr>
                    <w:rFonts w:cstheme="majorBidi"/>
                    <w:b/>
                    <w:bCs/>
                    <w:sz w:val="22"/>
                  </w:rPr>
                  <w:t>14</w:t>
                </w:r>
              </w:p>
            </w:tc>
            <w:tc>
              <w:tcPr>
                <w:tcW w:w="6802" w:type="dxa"/>
              </w:tcPr>
              <w:p w14:paraId="6226DE30" w14:textId="77777777" w:rsidR="00E55C23" w:rsidRPr="00262B5D" w:rsidRDefault="00E55C23" w:rsidP="00D77DE1">
                <w:pPr>
                  <w:spacing w:before="0" w:beforeAutospacing="0" w:after="160"/>
                  <w:ind w:firstLine="0"/>
                  <w:rPr>
                    <w:rFonts w:cstheme="majorBidi"/>
                    <w:sz w:val="22"/>
                  </w:rPr>
                </w:pPr>
                <w:r w:rsidRPr="00262B5D">
                  <w:rPr>
                    <w:rFonts w:cstheme="majorBidi"/>
                    <w:sz w:val="22"/>
                  </w:rPr>
                  <w:t>Audits clients.</w:t>
                </w:r>
              </w:p>
            </w:tc>
            <w:tc>
              <w:tcPr>
                <w:tcW w:w="1129" w:type="dxa"/>
              </w:tcPr>
              <w:p w14:paraId="0826C536" w14:textId="77777777" w:rsidR="00E55C23" w:rsidRPr="00262B5D" w:rsidRDefault="008D4E63" w:rsidP="006821A4">
                <w:pPr>
                  <w:spacing w:before="0" w:beforeAutospacing="0" w:after="160"/>
                  <w:rPr>
                    <w:rFonts w:cstheme="majorBidi"/>
                    <w:b/>
                    <w:bCs/>
                    <w:sz w:val="22"/>
                  </w:rPr>
                </w:pPr>
                <w:r>
                  <w:rPr>
                    <w:rFonts w:cstheme="majorBidi"/>
                    <w:b/>
                    <w:bCs/>
                    <w:sz w:val="22"/>
                  </w:rPr>
                  <w:t>142</w:t>
                </w:r>
              </w:p>
            </w:tc>
          </w:tr>
          <w:tr w:rsidR="008D4E63" w:rsidRPr="00262B5D" w14:paraId="12E1BCDA" w14:textId="77777777" w:rsidTr="002D02CC">
            <w:tc>
              <w:tcPr>
                <w:tcW w:w="1129" w:type="dxa"/>
              </w:tcPr>
              <w:p w14:paraId="093A2F8A" w14:textId="77777777" w:rsidR="008D4E63" w:rsidRPr="00262B5D" w:rsidRDefault="008D4E63" w:rsidP="00D77DE1">
                <w:pPr>
                  <w:spacing w:before="0" w:beforeAutospacing="0"/>
                  <w:ind w:firstLine="0"/>
                  <w:jc w:val="center"/>
                  <w:rPr>
                    <w:rFonts w:cstheme="majorBidi"/>
                    <w:b/>
                    <w:bCs/>
                    <w:sz w:val="22"/>
                  </w:rPr>
                </w:pPr>
                <w:r>
                  <w:rPr>
                    <w:rFonts w:cstheme="majorBidi"/>
                    <w:b/>
                    <w:bCs/>
                    <w:sz w:val="22"/>
                  </w:rPr>
                  <w:t>15</w:t>
                </w:r>
              </w:p>
            </w:tc>
            <w:tc>
              <w:tcPr>
                <w:tcW w:w="6802" w:type="dxa"/>
              </w:tcPr>
              <w:p w14:paraId="183E7FED" w14:textId="77777777" w:rsidR="008D4E63" w:rsidRPr="00262B5D" w:rsidRDefault="008D4E63" w:rsidP="00D77DE1">
                <w:pPr>
                  <w:spacing w:before="0" w:beforeAutospacing="0"/>
                  <w:ind w:firstLine="0"/>
                  <w:rPr>
                    <w:rFonts w:cstheme="majorBidi"/>
                    <w:sz w:val="22"/>
                  </w:rPr>
                </w:pPr>
                <w:r>
                  <w:t>Organigramme de l’entreprise TAYAL.</w:t>
                </w:r>
              </w:p>
            </w:tc>
            <w:tc>
              <w:tcPr>
                <w:tcW w:w="1129" w:type="dxa"/>
              </w:tcPr>
              <w:p w14:paraId="30BE62D1" w14:textId="77777777" w:rsidR="008D4E63" w:rsidRDefault="008D4E63" w:rsidP="006821A4">
                <w:pPr>
                  <w:spacing w:before="0" w:beforeAutospacing="0"/>
                  <w:rPr>
                    <w:rFonts w:cstheme="majorBidi"/>
                    <w:b/>
                    <w:bCs/>
                    <w:sz w:val="22"/>
                  </w:rPr>
                </w:pPr>
                <w:r>
                  <w:rPr>
                    <w:rFonts w:cstheme="majorBidi"/>
                    <w:b/>
                    <w:bCs/>
                    <w:sz w:val="22"/>
                  </w:rPr>
                  <w:t>143</w:t>
                </w:r>
              </w:p>
            </w:tc>
          </w:tr>
          <w:tr w:rsidR="00E55C23" w:rsidRPr="00262B5D" w14:paraId="46FA429E" w14:textId="77777777" w:rsidTr="002D02CC">
            <w:tc>
              <w:tcPr>
                <w:tcW w:w="1129" w:type="dxa"/>
              </w:tcPr>
              <w:p w14:paraId="7916B143"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16</w:t>
                </w:r>
              </w:p>
            </w:tc>
            <w:tc>
              <w:tcPr>
                <w:tcW w:w="6802" w:type="dxa"/>
              </w:tcPr>
              <w:p w14:paraId="769B4EC6"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Représentation graphique de la répartition</w:t>
                </w:r>
                <w:r w:rsidR="00D77DE1">
                  <w:rPr>
                    <w:rFonts w:cstheme="majorBidi"/>
                    <w:sz w:val="22"/>
                  </w:rPr>
                  <w:t xml:space="preserve"> des employées de l’échantillon </w:t>
                </w:r>
                <w:r w:rsidRPr="00262B5D">
                  <w:rPr>
                    <w:rFonts w:cstheme="majorBidi"/>
                    <w:sz w:val="22"/>
                  </w:rPr>
                  <w:t>selon le sexe.</w:t>
                </w:r>
              </w:p>
            </w:tc>
            <w:tc>
              <w:tcPr>
                <w:tcW w:w="1129" w:type="dxa"/>
              </w:tcPr>
              <w:p w14:paraId="3F29F073" w14:textId="77777777" w:rsidR="00E55C23" w:rsidRPr="00262B5D" w:rsidRDefault="008D4E63" w:rsidP="006821A4">
                <w:pPr>
                  <w:spacing w:before="0" w:beforeAutospacing="0" w:after="160"/>
                  <w:rPr>
                    <w:rFonts w:cstheme="majorBidi"/>
                    <w:b/>
                    <w:bCs/>
                    <w:sz w:val="22"/>
                  </w:rPr>
                </w:pPr>
                <w:r>
                  <w:rPr>
                    <w:rFonts w:cstheme="majorBidi"/>
                    <w:b/>
                    <w:bCs/>
                    <w:sz w:val="22"/>
                  </w:rPr>
                  <w:t>155</w:t>
                </w:r>
              </w:p>
            </w:tc>
          </w:tr>
          <w:tr w:rsidR="00E55C23" w:rsidRPr="00262B5D" w14:paraId="0E480FEF" w14:textId="77777777" w:rsidTr="002D02CC">
            <w:tc>
              <w:tcPr>
                <w:tcW w:w="1129" w:type="dxa"/>
              </w:tcPr>
              <w:p w14:paraId="09DA953F"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17</w:t>
                </w:r>
              </w:p>
            </w:tc>
            <w:tc>
              <w:tcPr>
                <w:tcW w:w="6802" w:type="dxa"/>
              </w:tcPr>
              <w:p w14:paraId="219C504E"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Représentation graphique de la répartition des employées de l’échantillon selon l’âge.</w:t>
                </w:r>
              </w:p>
            </w:tc>
            <w:tc>
              <w:tcPr>
                <w:tcW w:w="1129" w:type="dxa"/>
              </w:tcPr>
              <w:p w14:paraId="04C17F94" w14:textId="77777777" w:rsidR="00E55C23" w:rsidRPr="00262B5D" w:rsidRDefault="008D4E63" w:rsidP="006821A4">
                <w:pPr>
                  <w:spacing w:before="0" w:beforeAutospacing="0" w:after="160"/>
                  <w:rPr>
                    <w:rFonts w:cstheme="majorBidi"/>
                    <w:b/>
                    <w:bCs/>
                    <w:sz w:val="22"/>
                  </w:rPr>
                </w:pPr>
                <w:r>
                  <w:rPr>
                    <w:rFonts w:cstheme="majorBidi"/>
                    <w:b/>
                    <w:bCs/>
                    <w:sz w:val="22"/>
                  </w:rPr>
                  <w:t>156</w:t>
                </w:r>
              </w:p>
            </w:tc>
          </w:tr>
          <w:tr w:rsidR="00E55C23" w:rsidRPr="00262B5D" w14:paraId="439AD4C0" w14:textId="77777777" w:rsidTr="002D02CC">
            <w:tc>
              <w:tcPr>
                <w:tcW w:w="1129" w:type="dxa"/>
              </w:tcPr>
              <w:p w14:paraId="7D97FC04"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18</w:t>
                </w:r>
              </w:p>
            </w:tc>
            <w:tc>
              <w:tcPr>
                <w:tcW w:w="6802" w:type="dxa"/>
              </w:tcPr>
              <w:p w14:paraId="4AAC2E7F"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Répartition relative des membres de l'</w:t>
                </w:r>
                <w:r w:rsidR="00D77DE1">
                  <w:rPr>
                    <w:rFonts w:cstheme="majorBidi"/>
                    <w:sz w:val="22"/>
                  </w:rPr>
                  <w:t xml:space="preserve">échantillon d'étude par niveaux </w:t>
                </w:r>
                <w:r w:rsidRPr="00262B5D">
                  <w:rPr>
                    <w:rFonts w:cstheme="majorBidi"/>
                    <w:sz w:val="22"/>
                  </w:rPr>
                  <w:t>d'étude.</w:t>
                </w:r>
              </w:p>
            </w:tc>
            <w:tc>
              <w:tcPr>
                <w:tcW w:w="1129" w:type="dxa"/>
              </w:tcPr>
              <w:p w14:paraId="4A80A084" w14:textId="77777777" w:rsidR="00E55C23" w:rsidRPr="00262B5D" w:rsidRDefault="008D4E63" w:rsidP="006821A4">
                <w:pPr>
                  <w:spacing w:before="0" w:beforeAutospacing="0" w:after="160"/>
                  <w:rPr>
                    <w:rFonts w:cstheme="majorBidi"/>
                    <w:b/>
                    <w:bCs/>
                    <w:sz w:val="22"/>
                  </w:rPr>
                </w:pPr>
                <w:r>
                  <w:rPr>
                    <w:rFonts w:cstheme="majorBidi"/>
                    <w:b/>
                    <w:bCs/>
                    <w:sz w:val="22"/>
                  </w:rPr>
                  <w:t>157</w:t>
                </w:r>
              </w:p>
            </w:tc>
          </w:tr>
          <w:tr w:rsidR="00E55C23" w:rsidRPr="00262B5D" w14:paraId="497A0AC9" w14:textId="77777777" w:rsidTr="002D02CC">
            <w:tc>
              <w:tcPr>
                <w:tcW w:w="1129" w:type="dxa"/>
              </w:tcPr>
              <w:p w14:paraId="25E099B3"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19</w:t>
                </w:r>
              </w:p>
            </w:tc>
            <w:tc>
              <w:tcPr>
                <w:tcW w:w="6802" w:type="dxa"/>
              </w:tcPr>
              <w:p w14:paraId="34753A99"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Répartition relative des membres de l'échantillon d'étude par domaines d'étude.</w:t>
                </w:r>
              </w:p>
            </w:tc>
            <w:tc>
              <w:tcPr>
                <w:tcW w:w="1129" w:type="dxa"/>
              </w:tcPr>
              <w:p w14:paraId="1055DFDE" w14:textId="77777777" w:rsidR="00E55C23" w:rsidRPr="00262B5D" w:rsidRDefault="008D4E63" w:rsidP="006821A4">
                <w:pPr>
                  <w:spacing w:before="0" w:beforeAutospacing="0" w:after="160"/>
                  <w:rPr>
                    <w:rFonts w:cstheme="majorBidi"/>
                    <w:b/>
                    <w:bCs/>
                    <w:sz w:val="22"/>
                  </w:rPr>
                </w:pPr>
                <w:r>
                  <w:rPr>
                    <w:rFonts w:cstheme="majorBidi"/>
                    <w:b/>
                    <w:bCs/>
                    <w:sz w:val="22"/>
                  </w:rPr>
                  <w:t>158</w:t>
                </w:r>
              </w:p>
            </w:tc>
          </w:tr>
          <w:tr w:rsidR="00E55C23" w:rsidRPr="00262B5D" w14:paraId="0E4407F2" w14:textId="77777777" w:rsidTr="002D02CC">
            <w:tc>
              <w:tcPr>
                <w:tcW w:w="1129" w:type="dxa"/>
              </w:tcPr>
              <w:p w14:paraId="69FC9144"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20</w:t>
                </w:r>
              </w:p>
            </w:tc>
            <w:tc>
              <w:tcPr>
                <w:tcW w:w="6802" w:type="dxa"/>
              </w:tcPr>
              <w:p w14:paraId="195DCC26"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Répartition relative des membres de l'échantillon d'étude par poste occupé.</w:t>
                </w:r>
              </w:p>
            </w:tc>
            <w:tc>
              <w:tcPr>
                <w:tcW w:w="1129" w:type="dxa"/>
              </w:tcPr>
              <w:p w14:paraId="3E6D9D9B" w14:textId="77777777" w:rsidR="00E55C23" w:rsidRPr="00262B5D" w:rsidRDefault="008D4E63" w:rsidP="006821A4">
                <w:pPr>
                  <w:spacing w:before="0" w:beforeAutospacing="0" w:after="160"/>
                  <w:rPr>
                    <w:rFonts w:cstheme="majorBidi"/>
                    <w:b/>
                    <w:bCs/>
                    <w:sz w:val="22"/>
                  </w:rPr>
                </w:pPr>
                <w:r>
                  <w:rPr>
                    <w:rFonts w:cstheme="majorBidi"/>
                    <w:b/>
                    <w:bCs/>
                    <w:sz w:val="22"/>
                  </w:rPr>
                  <w:t>162</w:t>
                </w:r>
              </w:p>
            </w:tc>
          </w:tr>
          <w:tr w:rsidR="00E55C23" w:rsidRPr="00262B5D" w14:paraId="219C4F4C" w14:textId="77777777" w:rsidTr="002D02CC">
            <w:tc>
              <w:tcPr>
                <w:tcW w:w="1129" w:type="dxa"/>
              </w:tcPr>
              <w:p w14:paraId="62F19113" w14:textId="77777777" w:rsidR="00E55C23" w:rsidRPr="00262B5D" w:rsidRDefault="008D4E63" w:rsidP="00D77DE1">
                <w:pPr>
                  <w:spacing w:before="0" w:beforeAutospacing="0" w:after="160"/>
                  <w:ind w:firstLine="0"/>
                  <w:jc w:val="center"/>
                  <w:rPr>
                    <w:rFonts w:cstheme="majorBidi"/>
                    <w:b/>
                    <w:bCs/>
                    <w:sz w:val="22"/>
                  </w:rPr>
                </w:pPr>
                <w:r>
                  <w:rPr>
                    <w:rFonts w:cstheme="majorBidi"/>
                    <w:b/>
                    <w:bCs/>
                    <w:sz w:val="22"/>
                  </w:rPr>
                  <w:t>21</w:t>
                </w:r>
              </w:p>
            </w:tc>
            <w:tc>
              <w:tcPr>
                <w:tcW w:w="6802" w:type="dxa"/>
              </w:tcPr>
              <w:p w14:paraId="68576EA6" w14:textId="77777777" w:rsidR="00E55C23" w:rsidRPr="00262B5D" w:rsidRDefault="00E55C23" w:rsidP="00D77DE1">
                <w:pPr>
                  <w:spacing w:before="0" w:beforeAutospacing="0" w:after="160"/>
                  <w:ind w:firstLine="0"/>
                  <w:rPr>
                    <w:rFonts w:cstheme="majorBidi"/>
                    <w:sz w:val="22"/>
                  </w:rPr>
                </w:pPr>
                <w:r w:rsidRPr="00262B5D">
                  <w:rPr>
                    <w:rFonts w:cstheme="majorBidi"/>
                    <w:sz w:val="22"/>
                  </w:rPr>
                  <w:t>Répartition relative des membres de l'éch</w:t>
                </w:r>
                <w:r w:rsidR="00D77DE1">
                  <w:rPr>
                    <w:rFonts w:cstheme="majorBidi"/>
                    <w:sz w:val="22"/>
                  </w:rPr>
                  <w:t xml:space="preserve">antillon d'étude par expérience </w:t>
                </w:r>
                <w:r w:rsidRPr="00262B5D">
                  <w:rPr>
                    <w:rFonts w:cstheme="majorBidi"/>
                    <w:sz w:val="22"/>
                  </w:rPr>
                  <w:t>professionnelle.</w:t>
                </w:r>
              </w:p>
            </w:tc>
            <w:tc>
              <w:tcPr>
                <w:tcW w:w="1129" w:type="dxa"/>
              </w:tcPr>
              <w:p w14:paraId="7D3CD3F5" w14:textId="77777777" w:rsidR="00E55C23" w:rsidRPr="00262B5D" w:rsidRDefault="008D4E63" w:rsidP="006821A4">
                <w:pPr>
                  <w:spacing w:before="0" w:beforeAutospacing="0" w:after="160"/>
                  <w:rPr>
                    <w:rFonts w:cstheme="majorBidi"/>
                    <w:b/>
                    <w:bCs/>
                    <w:sz w:val="22"/>
                  </w:rPr>
                </w:pPr>
                <w:r>
                  <w:rPr>
                    <w:rFonts w:cstheme="majorBidi"/>
                    <w:b/>
                    <w:bCs/>
                    <w:sz w:val="22"/>
                  </w:rPr>
                  <w:t>163</w:t>
                </w:r>
              </w:p>
            </w:tc>
          </w:tr>
        </w:tbl>
        <w:p w14:paraId="049AE2AA" w14:textId="77777777" w:rsidR="00E55C23" w:rsidRPr="001C3CE2" w:rsidRDefault="00E55C23" w:rsidP="00BC1AEC">
          <w:pPr>
            <w:pStyle w:val="Titre1"/>
          </w:pPr>
          <w:bookmarkStart w:id="19" w:name="_Toc231742156"/>
          <w:bookmarkStart w:id="20" w:name="_Toc231746768"/>
          <w:bookmarkStart w:id="21" w:name="_Toc231752176"/>
          <w:bookmarkStart w:id="22" w:name="_Toc231810049"/>
          <w:bookmarkStart w:id="23" w:name="_Toc231810479"/>
          <w:bookmarkStart w:id="24" w:name="_Toc231811415"/>
          <w:bookmarkStart w:id="25" w:name="_Toc231811822"/>
          <w:bookmarkStart w:id="26" w:name="_Toc231812102"/>
          <w:bookmarkStart w:id="27" w:name="_Toc231814986"/>
          <w:r w:rsidRPr="001C3CE2">
            <w:t>LISTE DES TABLEAUX :</w:t>
          </w:r>
          <w:bookmarkEnd w:id="19"/>
          <w:bookmarkEnd w:id="20"/>
          <w:bookmarkEnd w:id="21"/>
          <w:bookmarkEnd w:id="22"/>
          <w:bookmarkEnd w:id="23"/>
          <w:bookmarkEnd w:id="24"/>
          <w:bookmarkEnd w:id="25"/>
          <w:bookmarkEnd w:id="26"/>
          <w:bookmarkEnd w:id="27"/>
        </w:p>
        <w:tbl>
          <w:tblPr>
            <w:tblStyle w:val="Grilledutableau"/>
            <w:tblW w:w="0" w:type="auto"/>
            <w:tblLook w:val="04A0" w:firstRow="1" w:lastRow="0" w:firstColumn="1" w:lastColumn="0" w:noHBand="0" w:noVBand="1"/>
          </w:tblPr>
          <w:tblGrid>
            <w:gridCol w:w="1129"/>
            <w:gridCol w:w="6802"/>
            <w:gridCol w:w="1129"/>
          </w:tblGrid>
          <w:tr w:rsidR="00D57746" w14:paraId="05D615B1" w14:textId="77777777" w:rsidTr="00B679BA">
            <w:tc>
              <w:tcPr>
                <w:tcW w:w="1129" w:type="dxa"/>
                <w:shd w:val="clear" w:color="auto" w:fill="8EAADB" w:themeFill="accent1" w:themeFillTint="99"/>
              </w:tcPr>
              <w:p w14:paraId="44F6553F" w14:textId="77777777" w:rsidR="00D57746" w:rsidRPr="00C16D13" w:rsidRDefault="00D57746" w:rsidP="00B679BA">
                <w:pPr>
                  <w:ind w:firstLine="0"/>
                  <w:jc w:val="center"/>
                  <w:rPr>
                    <w:rFonts w:cstheme="majorBidi"/>
                    <w:b/>
                    <w:bCs/>
                    <w:szCs w:val="24"/>
                  </w:rPr>
                </w:pPr>
                <w:r w:rsidRPr="00C16D13">
                  <w:rPr>
                    <w:rFonts w:cstheme="majorBidi"/>
                    <w:b/>
                    <w:bCs/>
                    <w:szCs w:val="24"/>
                  </w:rPr>
                  <w:t>N° du tableau</w:t>
                </w:r>
              </w:p>
            </w:tc>
            <w:tc>
              <w:tcPr>
                <w:tcW w:w="6804" w:type="dxa"/>
                <w:shd w:val="clear" w:color="auto" w:fill="8EAADB" w:themeFill="accent1" w:themeFillTint="99"/>
              </w:tcPr>
              <w:p w14:paraId="39312249" w14:textId="77777777" w:rsidR="00D57746" w:rsidRPr="00C16D13" w:rsidRDefault="00D57746" w:rsidP="00B679BA">
                <w:pPr>
                  <w:ind w:firstLine="0"/>
                  <w:jc w:val="center"/>
                  <w:rPr>
                    <w:rFonts w:cstheme="majorBidi"/>
                    <w:b/>
                    <w:bCs/>
                    <w:szCs w:val="24"/>
                  </w:rPr>
                </w:pPr>
                <w:r w:rsidRPr="00C16D13">
                  <w:rPr>
                    <w:rFonts w:cstheme="majorBidi"/>
                    <w:b/>
                    <w:bCs/>
                    <w:szCs w:val="24"/>
                  </w:rPr>
                  <w:t>Titre du tableau</w:t>
                </w:r>
              </w:p>
            </w:tc>
            <w:tc>
              <w:tcPr>
                <w:tcW w:w="1129" w:type="dxa"/>
                <w:shd w:val="clear" w:color="auto" w:fill="8EAADB" w:themeFill="accent1" w:themeFillTint="99"/>
              </w:tcPr>
              <w:p w14:paraId="2CFD208A" w14:textId="77777777" w:rsidR="00D57746" w:rsidRPr="00C16D13" w:rsidRDefault="00D57746" w:rsidP="00B679BA">
                <w:pPr>
                  <w:ind w:firstLine="0"/>
                  <w:jc w:val="center"/>
                  <w:rPr>
                    <w:rFonts w:cstheme="majorBidi"/>
                    <w:b/>
                    <w:bCs/>
                    <w:szCs w:val="24"/>
                  </w:rPr>
                </w:pPr>
                <w:r w:rsidRPr="00C16D13">
                  <w:rPr>
                    <w:rFonts w:cstheme="majorBidi"/>
                    <w:b/>
                    <w:bCs/>
                    <w:szCs w:val="24"/>
                  </w:rPr>
                  <w:t>Page</w:t>
                </w:r>
              </w:p>
            </w:tc>
          </w:tr>
          <w:tr w:rsidR="00D57746" w14:paraId="1B26D70F" w14:textId="77777777" w:rsidTr="00B679BA">
            <w:tc>
              <w:tcPr>
                <w:tcW w:w="9062" w:type="dxa"/>
                <w:gridSpan w:val="3"/>
                <w:shd w:val="clear" w:color="auto" w:fill="D9E2F3" w:themeFill="accent1" w:themeFillTint="33"/>
              </w:tcPr>
              <w:p w14:paraId="010AECB0" w14:textId="77777777" w:rsidR="00D57746" w:rsidRPr="00C16D13" w:rsidRDefault="00D57746" w:rsidP="00B679BA">
                <w:pPr>
                  <w:ind w:firstLine="0"/>
                  <w:jc w:val="center"/>
                  <w:rPr>
                    <w:rFonts w:cstheme="majorBidi"/>
                    <w:b/>
                    <w:bCs/>
                    <w:szCs w:val="24"/>
                  </w:rPr>
                </w:pPr>
                <w:r w:rsidRPr="00C16D13">
                  <w:rPr>
                    <w:rFonts w:cstheme="majorBidi"/>
                    <w:b/>
                    <w:bCs/>
                    <w:szCs w:val="24"/>
                  </w:rPr>
                  <w:t>Chapitre 01</w:t>
                </w:r>
              </w:p>
            </w:tc>
          </w:tr>
          <w:tr w:rsidR="00D57746" w14:paraId="3E070807" w14:textId="77777777" w:rsidTr="00B679BA">
            <w:tc>
              <w:tcPr>
                <w:tcW w:w="1129" w:type="dxa"/>
              </w:tcPr>
              <w:p w14:paraId="3C1519FD" w14:textId="77777777" w:rsidR="00D57746" w:rsidRPr="00C16D13" w:rsidRDefault="00D57746" w:rsidP="00B679BA">
                <w:pPr>
                  <w:ind w:firstLine="0"/>
                  <w:jc w:val="center"/>
                  <w:rPr>
                    <w:rFonts w:cstheme="majorBidi"/>
                    <w:b/>
                    <w:bCs/>
                    <w:szCs w:val="24"/>
                  </w:rPr>
                </w:pPr>
                <w:r>
                  <w:rPr>
                    <w:rFonts w:cstheme="majorBidi"/>
                    <w:b/>
                    <w:bCs/>
                    <w:szCs w:val="24"/>
                  </w:rPr>
                  <w:lastRenderedPageBreak/>
                  <w:t>1</w:t>
                </w:r>
              </w:p>
            </w:tc>
            <w:tc>
              <w:tcPr>
                <w:tcW w:w="6804" w:type="dxa"/>
              </w:tcPr>
              <w:p w14:paraId="1092E574" w14:textId="77777777" w:rsidR="00D57746" w:rsidRPr="00C16D13" w:rsidRDefault="00D57746" w:rsidP="00B679BA">
                <w:pPr>
                  <w:ind w:firstLine="0"/>
                  <w:rPr>
                    <w:rFonts w:cstheme="majorBidi"/>
                    <w:szCs w:val="24"/>
                  </w:rPr>
                </w:pPr>
                <w:r w:rsidRPr="00C16D13">
                  <w:rPr>
                    <w:rFonts w:cstheme="majorBidi"/>
                    <w:szCs w:val="24"/>
                  </w:rPr>
                  <w:t>Grille comparative des théories de la firme – Adaptation à partir de Williamson (1988)</w:t>
                </w:r>
                <w:r>
                  <w:rPr>
                    <w:rFonts w:cstheme="majorBidi"/>
                    <w:szCs w:val="24"/>
                  </w:rPr>
                  <w:t>.</w:t>
                </w:r>
              </w:p>
            </w:tc>
            <w:tc>
              <w:tcPr>
                <w:tcW w:w="1129" w:type="dxa"/>
              </w:tcPr>
              <w:p w14:paraId="6E794989" w14:textId="77777777" w:rsidR="00D57746" w:rsidRPr="00C16D13" w:rsidRDefault="00CE3FEE" w:rsidP="00B679BA">
                <w:pPr>
                  <w:ind w:firstLine="0"/>
                  <w:jc w:val="center"/>
                  <w:rPr>
                    <w:rFonts w:cstheme="majorBidi"/>
                    <w:b/>
                    <w:bCs/>
                    <w:szCs w:val="24"/>
                  </w:rPr>
                </w:pPr>
                <w:r>
                  <w:rPr>
                    <w:rFonts w:cstheme="majorBidi"/>
                    <w:b/>
                    <w:bCs/>
                    <w:szCs w:val="24"/>
                  </w:rPr>
                  <w:t>28</w:t>
                </w:r>
              </w:p>
            </w:tc>
          </w:tr>
          <w:tr w:rsidR="00D57746" w14:paraId="5BC2DED5" w14:textId="77777777" w:rsidTr="00B679BA">
            <w:tc>
              <w:tcPr>
                <w:tcW w:w="1129" w:type="dxa"/>
              </w:tcPr>
              <w:p w14:paraId="2ECBC6BE" w14:textId="77777777" w:rsidR="00D57746" w:rsidRPr="00C16D13" w:rsidRDefault="00D57746" w:rsidP="00B679BA">
                <w:pPr>
                  <w:ind w:firstLine="0"/>
                  <w:jc w:val="center"/>
                  <w:rPr>
                    <w:rFonts w:cstheme="majorBidi"/>
                    <w:b/>
                    <w:bCs/>
                    <w:szCs w:val="24"/>
                  </w:rPr>
                </w:pPr>
                <w:r>
                  <w:rPr>
                    <w:rFonts w:cstheme="majorBidi"/>
                    <w:b/>
                    <w:bCs/>
                    <w:szCs w:val="24"/>
                  </w:rPr>
                  <w:t>2</w:t>
                </w:r>
              </w:p>
            </w:tc>
            <w:tc>
              <w:tcPr>
                <w:tcW w:w="6804" w:type="dxa"/>
              </w:tcPr>
              <w:p w14:paraId="5A942477" w14:textId="77777777" w:rsidR="00D57746" w:rsidRPr="00C16D13" w:rsidRDefault="00D57746" w:rsidP="00B679BA">
                <w:pPr>
                  <w:ind w:firstLine="0"/>
                  <w:rPr>
                    <w:rFonts w:cstheme="majorBidi"/>
                    <w:szCs w:val="24"/>
                  </w:rPr>
                </w:pPr>
                <w:r w:rsidRPr="00C16D13">
                  <w:rPr>
                    <w:rFonts w:cstheme="majorBidi"/>
                    <w:szCs w:val="24"/>
                  </w:rPr>
                  <w:t>Le SGE Allemand vs le SGE Japonais.</w:t>
                </w:r>
              </w:p>
            </w:tc>
            <w:tc>
              <w:tcPr>
                <w:tcW w:w="1129" w:type="dxa"/>
              </w:tcPr>
              <w:p w14:paraId="0047C0FA" w14:textId="77777777" w:rsidR="00D57746" w:rsidRPr="00C16D13" w:rsidRDefault="00CE3FEE" w:rsidP="00B679BA">
                <w:pPr>
                  <w:ind w:firstLine="0"/>
                  <w:jc w:val="center"/>
                  <w:rPr>
                    <w:rFonts w:cstheme="majorBidi"/>
                    <w:b/>
                    <w:bCs/>
                    <w:szCs w:val="24"/>
                  </w:rPr>
                </w:pPr>
                <w:r>
                  <w:rPr>
                    <w:rFonts w:cstheme="majorBidi"/>
                    <w:b/>
                    <w:bCs/>
                    <w:szCs w:val="24"/>
                  </w:rPr>
                  <w:t>37</w:t>
                </w:r>
              </w:p>
            </w:tc>
          </w:tr>
          <w:tr w:rsidR="00D57746" w14:paraId="2B7763A9" w14:textId="77777777" w:rsidTr="00B679BA">
            <w:tc>
              <w:tcPr>
                <w:tcW w:w="9062" w:type="dxa"/>
                <w:gridSpan w:val="3"/>
                <w:shd w:val="clear" w:color="auto" w:fill="D9E2F3" w:themeFill="accent1" w:themeFillTint="33"/>
              </w:tcPr>
              <w:p w14:paraId="5DEB6B11" w14:textId="77777777" w:rsidR="00D57746" w:rsidRPr="00C16D13" w:rsidRDefault="00D57746" w:rsidP="00B679BA">
                <w:pPr>
                  <w:ind w:firstLine="0"/>
                  <w:jc w:val="center"/>
                  <w:rPr>
                    <w:rFonts w:cstheme="majorBidi"/>
                    <w:b/>
                    <w:bCs/>
                    <w:szCs w:val="24"/>
                  </w:rPr>
                </w:pPr>
                <w:r>
                  <w:rPr>
                    <w:rFonts w:cstheme="majorBidi"/>
                    <w:b/>
                    <w:bCs/>
                    <w:szCs w:val="24"/>
                  </w:rPr>
                  <w:t>Chapitre 02</w:t>
                </w:r>
              </w:p>
            </w:tc>
          </w:tr>
          <w:tr w:rsidR="00D57746" w14:paraId="32F058E2" w14:textId="77777777" w:rsidTr="00B679BA">
            <w:tc>
              <w:tcPr>
                <w:tcW w:w="1129" w:type="dxa"/>
              </w:tcPr>
              <w:p w14:paraId="1E37273C" w14:textId="77777777" w:rsidR="00D57746" w:rsidRPr="00C16D13" w:rsidRDefault="00D57746" w:rsidP="00B679BA">
                <w:pPr>
                  <w:ind w:firstLine="0"/>
                  <w:jc w:val="center"/>
                  <w:rPr>
                    <w:rFonts w:cstheme="majorBidi"/>
                    <w:b/>
                    <w:bCs/>
                    <w:szCs w:val="24"/>
                  </w:rPr>
                </w:pPr>
                <w:r>
                  <w:rPr>
                    <w:rFonts w:cstheme="majorBidi"/>
                    <w:b/>
                    <w:bCs/>
                    <w:szCs w:val="24"/>
                  </w:rPr>
                  <w:t>3</w:t>
                </w:r>
              </w:p>
            </w:tc>
            <w:tc>
              <w:tcPr>
                <w:tcW w:w="6804" w:type="dxa"/>
              </w:tcPr>
              <w:p w14:paraId="44E8DE4C" w14:textId="77777777" w:rsidR="00D57746" w:rsidRPr="00C16D13" w:rsidRDefault="00D57746" w:rsidP="00B679BA">
                <w:pPr>
                  <w:ind w:firstLine="0"/>
                  <w:rPr>
                    <w:rFonts w:cstheme="majorBidi"/>
                    <w:szCs w:val="24"/>
                  </w:rPr>
                </w:pPr>
                <w:r w:rsidRPr="00C16D13">
                  <w:rPr>
                    <w:rFonts w:cstheme="majorBidi"/>
                    <w:szCs w:val="24"/>
                  </w:rPr>
                  <w:t>Indicateurs RSE liés aux employés.</w:t>
                </w:r>
              </w:p>
            </w:tc>
            <w:tc>
              <w:tcPr>
                <w:tcW w:w="1129" w:type="dxa"/>
              </w:tcPr>
              <w:p w14:paraId="34A4D79C" w14:textId="77777777" w:rsidR="00D57746" w:rsidRPr="00C16D13" w:rsidRDefault="00CE3FEE" w:rsidP="00B679BA">
                <w:pPr>
                  <w:ind w:firstLine="0"/>
                  <w:jc w:val="center"/>
                  <w:rPr>
                    <w:rFonts w:cstheme="majorBidi"/>
                    <w:b/>
                    <w:bCs/>
                    <w:szCs w:val="24"/>
                  </w:rPr>
                </w:pPr>
                <w:r>
                  <w:rPr>
                    <w:rFonts w:cstheme="majorBidi"/>
                    <w:b/>
                    <w:bCs/>
                    <w:szCs w:val="24"/>
                  </w:rPr>
                  <w:t>106</w:t>
                </w:r>
              </w:p>
            </w:tc>
          </w:tr>
          <w:tr w:rsidR="00D57746" w14:paraId="4D17AF41" w14:textId="77777777" w:rsidTr="00B679BA">
            <w:tc>
              <w:tcPr>
                <w:tcW w:w="1129" w:type="dxa"/>
              </w:tcPr>
              <w:p w14:paraId="498EAE71" w14:textId="77777777" w:rsidR="00D57746" w:rsidRPr="00C16D13" w:rsidRDefault="00D57746" w:rsidP="00B679BA">
                <w:pPr>
                  <w:ind w:firstLine="0"/>
                  <w:jc w:val="center"/>
                  <w:rPr>
                    <w:rFonts w:cstheme="majorBidi"/>
                    <w:b/>
                    <w:bCs/>
                    <w:szCs w:val="24"/>
                  </w:rPr>
                </w:pPr>
                <w:r>
                  <w:rPr>
                    <w:rFonts w:cstheme="majorBidi"/>
                    <w:b/>
                    <w:bCs/>
                    <w:szCs w:val="24"/>
                  </w:rPr>
                  <w:t>4</w:t>
                </w:r>
              </w:p>
            </w:tc>
            <w:tc>
              <w:tcPr>
                <w:tcW w:w="6804" w:type="dxa"/>
              </w:tcPr>
              <w:p w14:paraId="01C704D0" w14:textId="77777777" w:rsidR="00D57746" w:rsidRPr="00C16D13" w:rsidRDefault="00D57746" w:rsidP="00B679BA">
                <w:pPr>
                  <w:ind w:firstLine="0"/>
                  <w:rPr>
                    <w:rFonts w:cstheme="majorBidi"/>
                    <w:szCs w:val="24"/>
                  </w:rPr>
                </w:pPr>
                <w:r w:rsidRPr="00C16D13">
                  <w:rPr>
                    <w:rFonts w:cstheme="majorBidi"/>
                    <w:szCs w:val="24"/>
                  </w:rPr>
                  <w:t>Indicateurs RSE liés aux actionnaires.</w:t>
                </w:r>
              </w:p>
            </w:tc>
            <w:tc>
              <w:tcPr>
                <w:tcW w:w="1129" w:type="dxa"/>
              </w:tcPr>
              <w:p w14:paraId="4B105848" w14:textId="77777777" w:rsidR="00D57746" w:rsidRPr="00C16D13" w:rsidRDefault="00CE3FEE" w:rsidP="00B679BA">
                <w:pPr>
                  <w:ind w:firstLine="0"/>
                  <w:jc w:val="center"/>
                  <w:rPr>
                    <w:rFonts w:cstheme="majorBidi"/>
                    <w:b/>
                    <w:bCs/>
                    <w:szCs w:val="24"/>
                  </w:rPr>
                </w:pPr>
                <w:r>
                  <w:rPr>
                    <w:rFonts w:cstheme="majorBidi"/>
                    <w:b/>
                    <w:bCs/>
                    <w:szCs w:val="24"/>
                  </w:rPr>
                  <w:t>108</w:t>
                </w:r>
              </w:p>
            </w:tc>
          </w:tr>
          <w:tr w:rsidR="00D57746" w14:paraId="13BAA6F7" w14:textId="77777777" w:rsidTr="00B679BA">
            <w:tc>
              <w:tcPr>
                <w:tcW w:w="1129" w:type="dxa"/>
              </w:tcPr>
              <w:p w14:paraId="20AB2D14" w14:textId="77777777" w:rsidR="00D57746" w:rsidRPr="00C16D13" w:rsidRDefault="00D57746" w:rsidP="00B679BA">
                <w:pPr>
                  <w:ind w:firstLine="0"/>
                  <w:jc w:val="center"/>
                  <w:rPr>
                    <w:rFonts w:cstheme="majorBidi"/>
                    <w:b/>
                    <w:bCs/>
                    <w:szCs w:val="24"/>
                  </w:rPr>
                </w:pPr>
                <w:r>
                  <w:rPr>
                    <w:rFonts w:cstheme="majorBidi"/>
                    <w:b/>
                    <w:bCs/>
                    <w:szCs w:val="24"/>
                  </w:rPr>
                  <w:t>5</w:t>
                </w:r>
              </w:p>
            </w:tc>
            <w:tc>
              <w:tcPr>
                <w:tcW w:w="6804" w:type="dxa"/>
              </w:tcPr>
              <w:p w14:paraId="61ED1149" w14:textId="77777777" w:rsidR="00D57746" w:rsidRPr="00C16D13" w:rsidRDefault="00D57746" w:rsidP="00B679BA">
                <w:pPr>
                  <w:ind w:firstLine="0"/>
                  <w:rPr>
                    <w:rFonts w:cstheme="majorBidi"/>
                    <w:szCs w:val="24"/>
                  </w:rPr>
                </w:pPr>
                <w:r w:rsidRPr="00C16D13">
                  <w:rPr>
                    <w:rFonts w:cstheme="majorBidi"/>
                    <w:szCs w:val="24"/>
                  </w:rPr>
                  <w:t>Indicateurs RSE relatifs aux clients.</w:t>
                </w:r>
              </w:p>
            </w:tc>
            <w:tc>
              <w:tcPr>
                <w:tcW w:w="1129" w:type="dxa"/>
              </w:tcPr>
              <w:p w14:paraId="5EBD0020" w14:textId="77777777" w:rsidR="00D57746" w:rsidRPr="00C16D13" w:rsidRDefault="00CE3FEE" w:rsidP="00B679BA">
                <w:pPr>
                  <w:ind w:firstLine="0"/>
                  <w:jc w:val="center"/>
                  <w:rPr>
                    <w:rFonts w:cstheme="majorBidi"/>
                    <w:b/>
                    <w:bCs/>
                    <w:szCs w:val="24"/>
                  </w:rPr>
                </w:pPr>
                <w:r>
                  <w:rPr>
                    <w:rFonts w:cstheme="majorBidi"/>
                    <w:b/>
                    <w:bCs/>
                    <w:szCs w:val="24"/>
                  </w:rPr>
                  <w:t>109</w:t>
                </w:r>
              </w:p>
            </w:tc>
          </w:tr>
          <w:tr w:rsidR="00D57746" w14:paraId="6B3BF919" w14:textId="77777777" w:rsidTr="00B679BA">
            <w:tc>
              <w:tcPr>
                <w:tcW w:w="1129" w:type="dxa"/>
              </w:tcPr>
              <w:p w14:paraId="7AA41550" w14:textId="77777777" w:rsidR="00D57746" w:rsidRDefault="00D57746" w:rsidP="00B679BA">
                <w:pPr>
                  <w:ind w:firstLine="0"/>
                  <w:jc w:val="center"/>
                  <w:rPr>
                    <w:rFonts w:cstheme="majorBidi"/>
                    <w:b/>
                    <w:bCs/>
                    <w:szCs w:val="24"/>
                  </w:rPr>
                </w:pPr>
                <w:r>
                  <w:rPr>
                    <w:rFonts w:cstheme="majorBidi"/>
                    <w:b/>
                    <w:bCs/>
                    <w:szCs w:val="24"/>
                  </w:rPr>
                  <w:t>6</w:t>
                </w:r>
              </w:p>
            </w:tc>
            <w:tc>
              <w:tcPr>
                <w:tcW w:w="6804" w:type="dxa"/>
              </w:tcPr>
              <w:p w14:paraId="03D29820" w14:textId="77777777" w:rsidR="00D57746" w:rsidRPr="00C16D13" w:rsidRDefault="00D57746" w:rsidP="00B679BA">
                <w:pPr>
                  <w:ind w:firstLine="0"/>
                  <w:rPr>
                    <w:rFonts w:cstheme="majorBidi"/>
                    <w:szCs w:val="24"/>
                  </w:rPr>
                </w:pPr>
                <w:r w:rsidRPr="00C16D13">
                  <w:rPr>
                    <w:rFonts w:cstheme="majorBidi"/>
                    <w:szCs w:val="24"/>
                  </w:rPr>
                  <w:t>Indicateurs RSE relatifs aux fournisseurs et partenaires.</w:t>
                </w:r>
              </w:p>
            </w:tc>
            <w:tc>
              <w:tcPr>
                <w:tcW w:w="1129" w:type="dxa"/>
              </w:tcPr>
              <w:p w14:paraId="4122B30E" w14:textId="77777777" w:rsidR="00D57746" w:rsidRPr="00C16D13" w:rsidRDefault="00CE3FEE" w:rsidP="00B679BA">
                <w:pPr>
                  <w:ind w:firstLine="0"/>
                  <w:jc w:val="center"/>
                  <w:rPr>
                    <w:rFonts w:cstheme="majorBidi"/>
                    <w:b/>
                    <w:bCs/>
                    <w:szCs w:val="24"/>
                  </w:rPr>
                </w:pPr>
                <w:r>
                  <w:rPr>
                    <w:rFonts w:cstheme="majorBidi"/>
                    <w:b/>
                    <w:bCs/>
                    <w:szCs w:val="24"/>
                  </w:rPr>
                  <w:t>109</w:t>
                </w:r>
              </w:p>
            </w:tc>
          </w:tr>
          <w:tr w:rsidR="00D57746" w14:paraId="5F59BCE3" w14:textId="77777777" w:rsidTr="00B679BA">
            <w:tc>
              <w:tcPr>
                <w:tcW w:w="1129" w:type="dxa"/>
              </w:tcPr>
              <w:p w14:paraId="76D02C30" w14:textId="77777777" w:rsidR="00D57746" w:rsidRDefault="00D57746" w:rsidP="00B679BA">
                <w:pPr>
                  <w:ind w:firstLine="0"/>
                  <w:jc w:val="center"/>
                  <w:rPr>
                    <w:rFonts w:cstheme="majorBidi"/>
                    <w:b/>
                    <w:bCs/>
                    <w:szCs w:val="24"/>
                  </w:rPr>
                </w:pPr>
                <w:r>
                  <w:rPr>
                    <w:rFonts w:cstheme="majorBidi"/>
                    <w:b/>
                    <w:bCs/>
                    <w:szCs w:val="24"/>
                  </w:rPr>
                  <w:t>7</w:t>
                </w:r>
              </w:p>
            </w:tc>
            <w:tc>
              <w:tcPr>
                <w:tcW w:w="6804" w:type="dxa"/>
              </w:tcPr>
              <w:p w14:paraId="2B3C343C" w14:textId="77777777" w:rsidR="00D57746" w:rsidRPr="00C16D13" w:rsidRDefault="00D57746" w:rsidP="00B679BA">
                <w:pPr>
                  <w:ind w:firstLine="0"/>
                  <w:rPr>
                    <w:rFonts w:cstheme="majorBidi"/>
                    <w:szCs w:val="24"/>
                  </w:rPr>
                </w:pPr>
                <w:r w:rsidRPr="00C16D13">
                  <w:rPr>
                    <w:rFonts w:cstheme="majorBidi"/>
                    <w:szCs w:val="24"/>
                  </w:rPr>
                  <w:t>Indicateurs RSE relatifs aux concurrents.</w:t>
                </w:r>
              </w:p>
            </w:tc>
            <w:tc>
              <w:tcPr>
                <w:tcW w:w="1129" w:type="dxa"/>
              </w:tcPr>
              <w:p w14:paraId="3FACB2F2" w14:textId="77777777" w:rsidR="00D57746" w:rsidRPr="00C16D13" w:rsidRDefault="00CE3FEE" w:rsidP="00B679BA">
                <w:pPr>
                  <w:ind w:firstLine="0"/>
                  <w:jc w:val="center"/>
                  <w:rPr>
                    <w:rFonts w:cstheme="majorBidi"/>
                    <w:b/>
                    <w:bCs/>
                    <w:szCs w:val="24"/>
                  </w:rPr>
                </w:pPr>
                <w:r>
                  <w:rPr>
                    <w:rFonts w:cstheme="majorBidi"/>
                    <w:b/>
                    <w:bCs/>
                    <w:szCs w:val="24"/>
                  </w:rPr>
                  <w:t>110</w:t>
                </w:r>
              </w:p>
            </w:tc>
          </w:tr>
          <w:tr w:rsidR="00D57746" w14:paraId="47850DC2" w14:textId="77777777" w:rsidTr="00B679BA">
            <w:tc>
              <w:tcPr>
                <w:tcW w:w="1129" w:type="dxa"/>
              </w:tcPr>
              <w:p w14:paraId="10B03B8A" w14:textId="77777777" w:rsidR="00D57746" w:rsidRDefault="00D57746" w:rsidP="00B679BA">
                <w:pPr>
                  <w:ind w:firstLine="0"/>
                  <w:jc w:val="center"/>
                  <w:rPr>
                    <w:rFonts w:cstheme="majorBidi"/>
                    <w:b/>
                    <w:bCs/>
                    <w:szCs w:val="24"/>
                  </w:rPr>
                </w:pPr>
                <w:r>
                  <w:rPr>
                    <w:rFonts w:cstheme="majorBidi"/>
                    <w:b/>
                    <w:bCs/>
                    <w:szCs w:val="24"/>
                  </w:rPr>
                  <w:t>8</w:t>
                </w:r>
              </w:p>
            </w:tc>
            <w:tc>
              <w:tcPr>
                <w:tcW w:w="6804" w:type="dxa"/>
              </w:tcPr>
              <w:p w14:paraId="53E8E643" w14:textId="77777777" w:rsidR="00D57746" w:rsidRPr="00C16D13" w:rsidRDefault="00D57746" w:rsidP="00B679BA">
                <w:pPr>
                  <w:ind w:firstLine="0"/>
                  <w:rPr>
                    <w:rFonts w:cstheme="majorBidi"/>
                    <w:szCs w:val="24"/>
                  </w:rPr>
                </w:pPr>
                <w:r w:rsidRPr="00C16D13">
                  <w:rPr>
                    <w:rFonts w:cstheme="majorBidi"/>
                    <w:szCs w:val="24"/>
                  </w:rPr>
                  <w:t>Indicateurs RSE relatifs aux concurrents.</w:t>
                </w:r>
              </w:p>
            </w:tc>
            <w:tc>
              <w:tcPr>
                <w:tcW w:w="1129" w:type="dxa"/>
              </w:tcPr>
              <w:p w14:paraId="28D67CF8" w14:textId="77777777" w:rsidR="00D57746" w:rsidRPr="00C16D13" w:rsidRDefault="00CE3FEE" w:rsidP="00B679BA">
                <w:pPr>
                  <w:ind w:firstLine="0"/>
                  <w:jc w:val="center"/>
                  <w:rPr>
                    <w:rFonts w:cstheme="majorBidi"/>
                    <w:b/>
                    <w:bCs/>
                    <w:szCs w:val="24"/>
                  </w:rPr>
                </w:pPr>
                <w:r>
                  <w:rPr>
                    <w:rFonts w:cstheme="majorBidi"/>
                    <w:b/>
                    <w:bCs/>
                    <w:szCs w:val="24"/>
                  </w:rPr>
                  <w:t>111</w:t>
                </w:r>
              </w:p>
            </w:tc>
          </w:tr>
          <w:tr w:rsidR="00D57746" w14:paraId="4A6883B2" w14:textId="77777777" w:rsidTr="00B679BA">
            <w:tc>
              <w:tcPr>
                <w:tcW w:w="9062" w:type="dxa"/>
                <w:gridSpan w:val="3"/>
                <w:shd w:val="clear" w:color="auto" w:fill="D9E2F3" w:themeFill="accent1" w:themeFillTint="33"/>
              </w:tcPr>
              <w:p w14:paraId="566DB93F" w14:textId="77777777" w:rsidR="00D57746" w:rsidRPr="00C16D13" w:rsidRDefault="00D57746" w:rsidP="00B679BA">
                <w:pPr>
                  <w:ind w:firstLine="0"/>
                  <w:jc w:val="center"/>
                  <w:rPr>
                    <w:rFonts w:cstheme="majorBidi"/>
                    <w:b/>
                    <w:bCs/>
                    <w:szCs w:val="24"/>
                  </w:rPr>
                </w:pPr>
                <w:r>
                  <w:rPr>
                    <w:rFonts w:cstheme="majorBidi"/>
                    <w:b/>
                    <w:bCs/>
                    <w:szCs w:val="24"/>
                  </w:rPr>
                  <w:t>Chapitre 03</w:t>
                </w:r>
              </w:p>
            </w:tc>
          </w:tr>
          <w:tr w:rsidR="00D57746" w14:paraId="0E95021C" w14:textId="77777777" w:rsidTr="00B679BA">
            <w:tc>
              <w:tcPr>
                <w:tcW w:w="1129" w:type="dxa"/>
              </w:tcPr>
              <w:p w14:paraId="26912D64" w14:textId="77777777" w:rsidR="00D57746" w:rsidRDefault="00D57746" w:rsidP="00B679BA">
                <w:pPr>
                  <w:ind w:firstLine="0"/>
                  <w:jc w:val="center"/>
                  <w:rPr>
                    <w:rFonts w:cstheme="majorBidi"/>
                    <w:b/>
                    <w:bCs/>
                    <w:szCs w:val="24"/>
                  </w:rPr>
                </w:pPr>
                <w:r>
                  <w:rPr>
                    <w:rFonts w:cstheme="majorBidi"/>
                    <w:b/>
                    <w:bCs/>
                    <w:szCs w:val="24"/>
                  </w:rPr>
                  <w:t>9</w:t>
                </w:r>
              </w:p>
            </w:tc>
            <w:tc>
              <w:tcPr>
                <w:tcW w:w="6804" w:type="dxa"/>
              </w:tcPr>
              <w:p w14:paraId="2A87141F" w14:textId="77777777" w:rsidR="00D57746" w:rsidRPr="00C16D13" w:rsidRDefault="00D57746" w:rsidP="00B679BA">
                <w:pPr>
                  <w:ind w:firstLine="0"/>
                  <w:rPr>
                    <w:rFonts w:cstheme="majorBidi"/>
                    <w:szCs w:val="24"/>
                  </w:rPr>
                </w:pPr>
                <w:r w:rsidRPr="001438E5">
                  <w:rPr>
                    <w:rFonts w:cstheme="majorBidi"/>
                    <w:szCs w:val="24"/>
                  </w:rPr>
                  <w:t>Statistiques sur les questionnaires distribués, perdus ou rejetés au sein des entreprises enquêtées.</w:t>
                </w:r>
              </w:p>
            </w:tc>
            <w:tc>
              <w:tcPr>
                <w:tcW w:w="1129" w:type="dxa"/>
              </w:tcPr>
              <w:p w14:paraId="1B1BA4FB" w14:textId="77777777" w:rsidR="00D57746" w:rsidRPr="00C16D13" w:rsidRDefault="00CE3FEE" w:rsidP="00B679BA">
                <w:pPr>
                  <w:ind w:firstLine="0"/>
                  <w:jc w:val="center"/>
                  <w:rPr>
                    <w:rFonts w:cstheme="majorBidi"/>
                    <w:b/>
                    <w:bCs/>
                    <w:szCs w:val="24"/>
                  </w:rPr>
                </w:pPr>
                <w:r>
                  <w:rPr>
                    <w:rFonts w:cstheme="majorBidi"/>
                    <w:b/>
                    <w:bCs/>
                    <w:szCs w:val="24"/>
                  </w:rPr>
                  <w:t>151</w:t>
                </w:r>
              </w:p>
            </w:tc>
          </w:tr>
          <w:tr w:rsidR="00D57746" w14:paraId="5E6D9BAF" w14:textId="77777777" w:rsidTr="00B679BA">
            <w:tc>
              <w:tcPr>
                <w:tcW w:w="1129" w:type="dxa"/>
              </w:tcPr>
              <w:p w14:paraId="057EA63F" w14:textId="77777777" w:rsidR="00D57746" w:rsidRDefault="00D57746" w:rsidP="00B679BA">
                <w:pPr>
                  <w:ind w:firstLine="0"/>
                  <w:jc w:val="center"/>
                  <w:rPr>
                    <w:rFonts w:cstheme="majorBidi"/>
                    <w:b/>
                    <w:bCs/>
                    <w:szCs w:val="24"/>
                  </w:rPr>
                </w:pPr>
                <w:r>
                  <w:rPr>
                    <w:rFonts w:cstheme="majorBidi"/>
                    <w:b/>
                    <w:bCs/>
                    <w:szCs w:val="24"/>
                  </w:rPr>
                  <w:t>10</w:t>
                </w:r>
              </w:p>
            </w:tc>
            <w:tc>
              <w:tcPr>
                <w:tcW w:w="6804" w:type="dxa"/>
              </w:tcPr>
              <w:p w14:paraId="66BC6998" w14:textId="77777777" w:rsidR="00D57746" w:rsidRPr="001438E5" w:rsidRDefault="00D57746" w:rsidP="00B679BA">
                <w:pPr>
                  <w:ind w:firstLine="0"/>
                  <w:rPr>
                    <w:rFonts w:cstheme="majorBidi"/>
                    <w:szCs w:val="24"/>
                  </w:rPr>
                </w:pPr>
                <w:r w:rsidRPr="001438E5">
                  <w:rPr>
                    <w:rFonts w:cstheme="majorBidi"/>
                    <w:szCs w:val="24"/>
                  </w:rPr>
                  <w:t>l’échelle de mesure selon « LIKERT ».</w:t>
                </w:r>
              </w:p>
            </w:tc>
            <w:tc>
              <w:tcPr>
                <w:tcW w:w="1129" w:type="dxa"/>
              </w:tcPr>
              <w:p w14:paraId="652BDA96" w14:textId="77777777" w:rsidR="00D57746" w:rsidRPr="00C16D13" w:rsidRDefault="00CE3FEE" w:rsidP="00B679BA">
                <w:pPr>
                  <w:ind w:firstLine="0"/>
                  <w:jc w:val="center"/>
                  <w:rPr>
                    <w:rFonts w:cstheme="majorBidi"/>
                    <w:b/>
                    <w:bCs/>
                    <w:szCs w:val="24"/>
                  </w:rPr>
                </w:pPr>
                <w:r>
                  <w:rPr>
                    <w:rFonts w:cstheme="majorBidi"/>
                    <w:b/>
                    <w:bCs/>
                    <w:szCs w:val="24"/>
                  </w:rPr>
                  <w:t>152</w:t>
                </w:r>
              </w:p>
            </w:tc>
          </w:tr>
          <w:tr w:rsidR="00D57746" w14:paraId="16FAF155" w14:textId="77777777" w:rsidTr="00B679BA">
            <w:tc>
              <w:tcPr>
                <w:tcW w:w="1129" w:type="dxa"/>
              </w:tcPr>
              <w:p w14:paraId="2DFA77B2" w14:textId="77777777" w:rsidR="00D57746" w:rsidRDefault="00D57746" w:rsidP="00B679BA">
                <w:pPr>
                  <w:ind w:firstLine="0"/>
                  <w:jc w:val="center"/>
                  <w:rPr>
                    <w:rFonts w:cstheme="majorBidi"/>
                    <w:b/>
                    <w:bCs/>
                    <w:szCs w:val="24"/>
                  </w:rPr>
                </w:pPr>
                <w:r>
                  <w:rPr>
                    <w:rFonts w:cstheme="majorBidi"/>
                    <w:b/>
                    <w:bCs/>
                    <w:szCs w:val="24"/>
                  </w:rPr>
                  <w:t>11</w:t>
                </w:r>
              </w:p>
            </w:tc>
            <w:tc>
              <w:tcPr>
                <w:tcW w:w="6804" w:type="dxa"/>
              </w:tcPr>
              <w:p w14:paraId="7CCEA973" w14:textId="77777777" w:rsidR="00D57746" w:rsidRPr="00C16D13" w:rsidRDefault="00D57746" w:rsidP="00B679BA">
                <w:pPr>
                  <w:ind w:firstLine="0"/>
                  <w:rPr>
                    <w:rFonts w:cstheme="majorBidi"/>
                    <w:szCs w:val="24"/>
                  </w:rPr>
                </w:pPr>
                <w:r w:rsidRPr="001438E5">
                  <w:rPr>
                    <w:rFonts w:cstheme="majorBidi"/>
                    <w:szCs w:val="24"/>
                  </w:rPr>
                  <w:t>Les axes de l’étude de la deuxième partie de questionnaire (les principes de la gouvernance).</w:t>
                </w:r>
              </w:p>
            </w:tc>
            <w:tc>
              <w:tcPr>
                <w:tcW w:w="1129" w:type="dxa"/>
              </w:tcPr>
              <w:p w14:paraId="1F478D0D" w14:textId="77777777" w:rsidR="00D57746" w:rsidRPr="00C16D13" w:rsidRDefault="00CE3FEE" w:rsidP="00B679BA">
                <w:pPr>
                  <w:ind w:firstLine="0"/>
                  <w:jc w:val="center"/>
                  <w:rPr>
                    <w:rFonts w:cstheme="majorBidi"/>
                    <w:b/>
                    <w:bCs/>
                    <w:szCs w:val="24"/>
                  </w:rPr>
                </w:pPr>
                <w:r>
                  <w:rPr>
                    <w:rFonts w:cstheme="majorBidi"/>
                    <w:b/>
                    <w:bCs/>
                    <w:szCs w:val="24"/>
                  </w:rPr>
                  <w:t>153</w:t>
                </w:r>
              </w:p>
            </w:tc>
          </w:tr>
          <w:tr w:rsidR="00D57746" w14:paraId="5EDDA3A1" w14:textId="77777777" w:rsidTr="00B679BA">
            <w:tc>
              <w:tcPr>
                <w:tcW w:w="1129" w:type="dxa"/>
              </w:tcPr>
              <w:p w14:paraId="340919E7" w14:textId="77777777" w:rsidR="00D57746" w:rsidRDefault="00D57746" w:rsidP="00B679BA">
                <w:pPr>
                  <w:ind w:firstLine="0"/>
                  <w:jc w:val="center"/>
                  <w:rPr>
                    <w:rFonts w:cstheme="majorBidi"/>
                    <w:b/>
                    <w:bCs/>
                    <w:szCs w:val="24"/>
                  </w:rPr>
                </w:pPr>
                <w:r>
                  <w:rPr>
                    <w:rFonts w:cstheme="majorBidi"/>
                    <w:b/>
                    <w:bCs/>
                    <w:szCs w:val="24"/>
                  </w:rPr>
                  <w:t>12</w:t>
                </w:r>
              </w:p>
            </w:tc>
            <w:tc>
              <w:tcPr>
                <w:tcW w:w="6804" w:type="dxa"/>
              </w:tcPr>
              <w:p w14:paraId="5C338C75" w14:textId="77777777" w:rsidR="00D57746" w:rsidRPr="00C16D13" w:rsidRDefault="00D57746" w:rsidP="00B679BA">
                <w:pPr>
                  <w:ind w:firstLine="0"/>
                  <w:rPr>
                    <w:rFonts w:cstheme="majorBidi"/>
                    <w:szCs w:val="24"/>
                  </w:rPr>
                </w:pPr>
                <w:r w:rsidRPr="001438E5">
                  <w:rPr>
                    <w:rFonts w:cstheme="majorBidi"/>
                    <w:szCs w:val="24"/>
                  </w:rPr>
                  <w:t>Répartition des membres de l'échantillon interrogés par sexe.</w:t>
                </w:r>
              </w:p>
            </w:tc>
            <w:tc>
              <w:tcPr>
                <w:tcW w:w="1129" w:type="dxa"/>
              </w:tcPr>
              <w:p w14:paraId="40A040AA" w14:textId="77777777" w:rsidR="00D57746" w:rsidRPr="00C16D13" w:rsidRDefault="00452A64" w:rsidP="00B679BA">
                <w:pPr>
                  <w:ind w:firstLine="0"/>
                  <w:jc w:val="center"/>
                  <w:rPr>
                    <w:rFonts w:cstheme="majorBidi"/>
                    <w:b/>
                    <w:bCs/>
                    <w:szCs w:val="24"/>
                  </w:rPr>
                </w:pPr>
                <w:r>
                  <w:rPr>
                    <w:rFonts w:cstheme="majorBidi"/>
                    <w:b/>
                    <w:bCs/>
                    <w:szCs w:val="24"/>
                  </w:rPr>
                  <w:t>155</w:t>
                </w:r>
              </w:p>
            </w:tc>
          </w:tr>
          <w:tr w:rsidR="00D57746" w14:paraId="5BB34671" w14:textId="77777777" w:rsidTr="00B679BA">
            <w:tc>
              <w:tcPr>
                <w:tcW w:w="1129" w:type="dxa"/>
              </w:tcPr>
              <w:p w14:paraId="77DB4A93" w14:textId="77777777" w:rsidR="00D57746" w:rsidRDefault="00D57746" w:rsidP="00B679BA">
                <w:pPr>
                  <w:ind w:firstLine="0"/>
                  <w:jc w:val="center"/>
                  <w:rPr>
                    <w:rFonts w:cstheme="majorBidi"/>
                    <w:b/>
                    <w:bCs/>
                    <w:szCs w:val="24"/>
                  </w:rPr>
                </w:pPr>
                <w:r>
                  <w:rPr>
                    <w:rFonts w:cstheme="majorBidi"/>
                    <w:b/>
                    <w:bCs/>
                    <w:szCs w:val="24"/>
                  </w:rPr>
                  <w:t>13</w:t>
                </w:r>
              </w:p>
            </w:tc>
            <w:tc>
              <w:tcPr>
                <w:tcW w:w="6804" w:type="dxa"/>
              </w:tcPr>
              <w:p w14:paraId="32C8E99B" w14:textId="77777777" w:rsidR="00D57746" w:rsidRPr="00C16D13" w:rsidRDefault="00D57746" w:rsidP="00B679BA">
                <w:pPr>
                  <w:ind w:firstLine="0"/>
                  <w:rPr>
                    <w:rFonts w:cstheme="majorBidi"/>
                    <w:szCs w:val="24"/>
                  </w:rPr>
                </w:pPr>
                <w:r w:rsidRPr="001438E5">
                  <w:rPr>
                    <w:rFonts w:cstheme="majorBidi"/>
                    <w:szCs w:val="24"/>
                  </w:rPr>
                  <w:t>Répartition des membres de l'échantillon interrogés selon l’âge.</w:t>
                </w:r>
              </w:p>
            </w:tc>
            <w:tc>
              <w:tcPr>
                <w:tcW w:w="1129" w:type="dxa"/>
              </w:tcPr>
              <w:p w14:paraId="60B6B10E" w14:textId="77777777" w:rsidR="00D57746" w:rsidRPr="00C16D13" w:rsidRDefault="00452A64" w:rsidP="00B679BA">
                <w:pPr>
                  <w:ind w:firstLine="0"/>
                  <w:jc w:val="center"/>
                  <w:rPr>
                    <w:rFonts w:cstheme="majorBidi"/>
                    <w:b/>
                    <w:bCs/>
                    <w:szCs w:val="24"/>
                  </w:rPr>
                </w:pPr>
                <w:r>
                  <w:rPr>
                    <w:rFonts w:cstheme="majorBidi"/>
                    <w:b/>
                    <w:bCs/>
                    <w:szCs w:val="24"/>
                  </w:rPr>
                  <w:t>156</w:t>
                </w:r>
              </w:p>
            </w:tc>
          </w:tr>
          <w:tr w:rsidR="00D57746" w14:paraId="092D0B5E" w14:textId="77777777" w:rsidTr="00B679BA">
            <w:tc>
              <w:tcPr>
                <w:tcW w:w="1129" w:type="dxa"/>
              </w:tcPr>
              <w:p w14:paraId="07A24D86" w14:textId="77777777" w:rsidR="00D57746" w:rsidRDefault="00D57746" w:rsidP="00B679BA">
                <w:pPr>
                  <w:ind w:firstLine="0"/>
                  <w:jc w:val="center"/>
                  <w:rPr>
                    <w:rFonts w:cstheme="majorBidi"/>
                    <w:b/>
                    <w:bCs/>
                    <w:szCs w:val="24"/>
                  </w:rPr>
                </w:pPr>
                <w:r>
                  <w:rPr>
                    <w:rFonts w:cstheme="majorBidi"/>
                    <w:b/>
                    <w:bCs/>
                    <w:szCs w:val="24"/>
                  </w:rPr>
                  <w:t>14</w:t>
                </w:r>
              </w:p>
            </w:tc>
            <w:tc>
              <w:tcPr>
                <w:tcW w:w="6804" w:type="dxa"/>
              </w:tcPr>
              <w:p w14:paraId="7884B371" w14:textId="77777777" w:rsidR="00D57746" w:rsidRPr="00C16D13" w:rsidRDefault="00D57746" w:rsidP="00B679BA">
                <w:pPr>
                  <w:ind w:firstLine="0"/>
                  <w:rPr>
                    <w:rFonts w:cstheme="majorBidi"/>
                    <w:szCs w:val="24"/>
                  </w:rPr>
                </w:pPr>
                <w:r w:rsidRPr="001858EA">
                  <w:rPr>
                    <w:rFonts w:cstheme="majorBidi"/>
                    <w:szCs w:val="24"/>
                  </w:rPr>
                  <w:t>Répartition des membres de l'échantillon interrogés par niveaux d'étude.</w:t>
                </w:r>
              </w:p>
            </w:tc>
            <w:tc>
              <w:tcPr>
                <w:tcW w:w="1129" w:type="dxa"/>
              </w:tcPr>
              <w:p w14:paraId="15E4E4DF" w14:textId="77777777" w:rsidR="00D57746" w:rsidRPr="00C16D13" w:rsidRDefault="00452A64" w:rsidP="00B679BA">
                <w:pPr>
                  <w:ind w:firstLine="0"/>
                  <w:jc w:val="center"/>
                  <w:rPr>
                    <w:rFonts w:cstheme="majorBidi"/>
                    <w:b/>
                    <w:bCs/>
                    <w:szCs w:val="24"/>
                  </w:rPr>
                </w:pPr>
                <w:r>
                  <w:rPr>
                    <w:rFonts w:cstheme="majorBidi"/>
                    <w:b/>
                    <w:bCs/>
                    <w:szCs w:val="24"/>
                  </w:rPr>
                  <w:t>156</w:t>
                </w:r>
              </w:p>
            </w:tc>
          </w:tr>
          <w:tr w:rsidR="00D57746" w14:paraId="124DE042" w14:textId="77777777" w:rsidTr="00B679BA">
            <w:tc>
              <w:tcPr>
                <w:tcW w:w="1129" w:type="dxa"/>
              </w:tcPr>
              <w:p w14:paraId="2019CC26" w14:textId="77777777" w:rsidR="00D57746" w:rsidRDefault="00D57746" w:rsidP="00B679BA">
                <w:pPr>
                  <w:ind w:firstLine="0"/>
                  <w:jc w:val="center"/>
                  <w:rPr>
                    <w:rFonts w:cstheme="majorBidi"/>
                    <w:b/>
                    <w:bCs/>
                    <w:szCs w:val="24"/>
                  </w:rPr>
                </w:pPr>
                <w:r>
                  <w:rPr>
                    <w:rFonts w:cstheme="majorBidi"/>
                    <w:b/>
                    <w:bCs/>
                    <w:szCs w:val="24"/>
                  </w:rPr>
                  <w:t>15</w:t>
                </w:r>
              </w:p>
            </w:tc>
            <w:tc>
              <w:tcPr>
                <w:tcW w:w="6804" w:type="dxa"/>
              </w:tcPr>
              <w:p w14:paraId="18B98DB9" w14:textId="77777777" w:rsidR="00D57746" w:rsidRPr="00C16D13" w:rsidRDefault="00D57746" w:rsidP="00B679BA">
                <w:pPr>
                  <w:ind w:firstLine="0"/>
                  <w:rPr>
                    <w:rFonts w:cstheme="majorBidi"/>
                    <w:szCs w:val="24"/>
                  </w:rPr>
                </w:pPr>
                <w:r w:rsidRPr="001858EA">
                  <w:rPr>
                    <w:rFonts w:cstheme="majorBidi"/>
                    <w:szCs w:val="24"/>
                  </w:rPr>
                  <w:t>Répartition des membres de l'échantillon interrogés par domaines d'étude.</w:t>
                </w:r>
              </w:p>
            </w:tc>
            <w:tc>
              <w:tcPr>
                <w:tcW w:w="1129" w:type="dxa"/>
              </w:tcPr>
              <w:p w14:paraId="217EA35D" w14:textId="77777777" w:rsidR="00D57746" w:rsidRPr="00C16D13" w:rsidRDefault="00452A64" w:rsidP="00B679BA">
                <w:pPr>
                  <w:ind w:firstLine="0"/>
                  <w:jc w:val="center"/>
                  <w:rPr>
                    <w:rFonts w:cstheme="majorBidi"/>
                    <w:b/>
                    <w:bCs/>
                    <w:szCs w:val="24"/>
                  </w:rPr>
                </w:pPr>
                <w:r>
                  <w:rPr>
                    <w:rFonts w:cstheme="majorBidi"/>
                    <w:b/>
                    <w:bCs/>
                    <w:szCs w:val="24"/>
                  </w:rPr>
                  <w:t>157</w:t>
                </w:r>
              </w:p>
            </w:tc>
          </w:tr>
          <w:tr w:rsidR="00D57746" w14:paraId="28D7C1EB" w14:textId="77777777" w:rsidTr="00B679BA">
            <w:tc>
              <w:tcPr>
                <w:tcW w:w="1129" w:type="dxa"/>
              </w:tcPr>
              <w:p w14:paraId="50A103AA" w14:textId="77777777" w:rsidR="00D57746" w:rsidRDefault="00D57746" w:rsidP="00B679BA">
                <w:pPr>
                  <w:ind w:firstLine="0"/>
                  <w:jc w:val="center"/>
                  <w:rPr>
                    <w:rFonts w:cstheme="majorBidi"/>
                    <w:b/>
                    <w:bCs/>
                    <w:szCs w:val="24"/>
                  </w:rPr>
                </w:pPr>
                <w:r>
                  <w:rPr>
                    <w:rFonts w:cstheme="majorBidi"/>
                    <w:b/>
                    <w:bCs/>
                    <w:szCs w:val="24"/>
                  </w:rPr>
                  <w:t>16</w:t>
                </w:r>
              </w:p>
            </w:tc>
            <w:tc>
              <w:tcPr>
                <w:tcW w:w="6804" w:type="dxa"/>
              </w:tcPr>
              <w:p w14:paraId="4C1679BB" w14:textId="77777777" w:rsidR="00D57746" w:rsidRPr="00C16D13" w:rsidRDefault="00D57746" w:rsidP="00B679BA">
                <w:pPr>
                  <w:ind w:firstLine="0"/>
                  <w:rPr>
                    <w:rFonts w:cstheme="majorBidi"/>
                    <w:szCs w:val="24"/>
                  </w:rPr>
                </w:pPr>
                <w:r w:rsidRPr="00086FF4">
                  <w:rPr>
                    <w:rFonts w:cstheme="majorBidi"/>
                    <w:color w:val="000000"/>
                    <w:szCs w:val="24"/>
                  </w:rPr>
                  <w:t>Répartition des membres de l'échantillon interrogés par poste occupé</w:t>
                </w:r>
                <w:r w:rsidRPr="00086FF4">
                  <w:rPr>
                    <w:rFonts w:cstheme="majorBidi"/>
                    <w:b/>
                    <w:bCs/>
                    <w:color w:val="000000"/>
                    <w:szCs w:val="24"/>
                  </w:rPr>
                  <w:t>.</w:t>
                </w:r>
              </w:p>
            </w:tc>
            <w:tc>
              <w:tcPr>
                <w:tcW w:w="1129" w:type="dxa"/>
              </w:tcPr>
              <w:p w14:paraId="1548E722" w14:textId="77777777" w:rsidR="00D57746" w:rsidRPr="00C16D13" w:rsidRDefault="00452A64" w:rsidP="00B679BA">
                <w:pPr>
                  <w:ind w:firstLine="0"/>
                  <w:jc w:val="center"/>
                  <w:rPr>
                    <w:rFonts w:cstheme="majorBidi"/>
                    <w:b/>
                    <w:bCs/>
                    <w:szCs w:val="24"/>
                  </w:rPr>
                </w:pPr>
                <w:r>
                  <w:rPr>
                    <w:rFonts w:cstheme="majorBidi"/>
                    <w:b/>
                    <w:bCs/>
                    <w:szCs w:val="24"/>
                  </w:rPr>
                  <w:t>159</w:t>
                </w:r>
              </w:p>
            </w:tc>
          </w:tr>
          <w:tr w:rsidR="00D57746" w14:paraId="3C7F4055" w14:textId="77777777" w:rsidTr="00B679BA">
            <w:tc>
              <w:tcPr>
                <w:tcW w:w="1129" w:type="dxa"/>
              </w:tcPr>
              <w:p w14:paraId="7837218B" w14:textId="77777777" w:rsidR="00D57746" w:rsidRDefault="00D57746" w:rsidP="00B679BA">
                <w:pPr>
                  <w:ind w:firstLine="0"/>
                  <w:jc w:val="center"/>
                  <w:rPr>
                    <w:rFonts w:cstheme="majorBidi"/>
                    <w:b/>
                    <w:bCs/>
                    <w:szCs w:val="24"/>
                  </w:rPr>
                </w:pPr>
                <w:r>
                  <w:rPr>
                    <w:rFonts w:cstheme="majorBidi"/>
                    <w:b/>
                    <w:bCs/>
                    <w:szCs w:val="24"/>
                  </w:rPr>
                  <w:t>17</w:t>
                </w:r>
              </w:p>
            </w:tc>
            <w:tc>
              <w:tcPr>
                <w:tcW w:w="6804" w:type="dxa"/>
              </w:tcPr>
              <w:p w14:paraId="760ED524" w14:textId="77777777" w:rsidR="00D57746" w:rsidRPr="00C16D13" w:rsidRDefault="00D57746" w:rsidP="00B679BA">
                <w:pPr>
                  <w:ind w:firstLine="0"/>
                  <w:rPr>
                    <w:rFonts w:cstheme="majorBidi"/>
                    <w:szCs w:val="24"/>
                  </w:rPr>
                </w:pPr>
                <w:r w:rsidRPr="00A3249F">
                  <w:rPr>
                    <w:rFonts w:cstheme="majorBidi"/>
                    <w:szCs w:val="24"/>
                  </w:rPr>
                  <w:t>Répartition des membres de l'échantillon interrogés par expérience professionnelle.</w:t>
                </w:r>
              </w:p>
            </w:tc>
            <w:tc>
              <w:tcPr>
                <w:tcW w:w="1129" w:type="dxa"/>
              </w:tcPr>
              <w:p w14:paraId="3213CBD4" w14:textId="77777777" w:rsidR="00D57746" w:rsidRPr="00C16D13" w:rsidRDefault="00452A64" w:rsidP="00B679BA">
                <w:pPr>
                  <w:ind w:firstLine="0"/>
                  <w:jc w:val="center"/>
                  <w:rPr>
                    <w:rFonts w:cstheme="majorBidi"/>
                    <w:b/>
                    <w:bCs/>
                    <w:szCs w:val="24"/>
                  </w:rPr>
                </w:pPr>
                <w:r>
                  <w:rPr>
                    <w:rFonts w:cstheme="majorBidi"/>
                    <w:b/>
                    <w:bCs/>
                    <w:szCs w:val="24"/>
                  </w:rPr>
                  <w:t>163</w:t>
                </w:r>
              </w:p>
            </w:tc>
          </w:tr>
          <w:tr w:rsidR="00D57746" w14:paraId="406A740D" w14:textId="77777777" w:rsidTr="00B679BA">
            <w:tc>
              <w:tcPr>
                <w:tcW w:w="1129" w:type="dxa"/>
              </w:tcPr>
              <w:p w14:paraId="78D3DF2F" w14:textId="77777777" w:rsidR="00D57746" w:rsidRDefault="00D57746" w:rsidP="00B679BA">
                <w:pPr>
                  <w:ind w:firstLine="0"/>
                  <w:jc w:val="center"/>
                  <w:rPr>
                    <w:rFonts w:cstheme="majorBidi"/>
                    <w:b/>
                    <w:bCs/>
                    <w:szCs w:val="24"/>
                  </w:rPr>
                </w:pPr>
                <w:r>
                  <w:rPr>
                    <w:rFonts w:cstheme="majorBidi"/>
                    <w:b/>
                    <w:bCs/>
                    <w:szCs w:val="24"/>
                  </w:rPr>
                  <w:t>18</w:t>
                </w:r>
              </w:p>
            </w:tc>
            <w:tc>
              <w:tcPr>
                <w:tcW w:w="6804" w:type="dxa"/>
              </w:tcPr>
              <w:p w14:paraId="7325F3E6" w14:textId="77777777" w:rsidR="00D57746" w:rsidRPr="00C16D13" w:rsidRDefault="00D57746" w:rsidP="00B679BA">
                <w:pPr>
                  <w:ind w:firstLine="0"/>
                  <w:rPr>
                    <w:rFonts w:cstheme="majorBidi"/>
                    <w:szCs w:val="24"/>
                  </w:rPr>
                </w:pPr>
                <w:r w:rsidRPr="00A3249F">
                  <w:rPr>
                    <w:rFonts w:cstheme="majorBidi"/>
                    <w:szCs w:val="24"/>
                  </w:rPr>
                  <w:t>Coefficient de fiabilité des parties des principes de la gouvernance.</w:t>
                </w:r>
              </w:p>
            </w:tc>
            <w:tc>
              <w:tcPr>
                <w:tcW w:w="1129" w:type="dxa"/>
              </w:tcPr>
              <w:p w14:paraId="120AB911" w14:textId="77777777" w:rsidR="00D57746" w:rsidRPr="00C16D13" w:rsidRDefault="00452A64" w:rsidP="00B679BA">
                <w:pPr>
                  <w:ind w:firstLine="0"/>
                  <w:jc w:val="center"/>
                  <w:rPr>
                    <w:rFonts w:cstheme="majorBidi"/>
                    <w:b/>
                    <w:bCs/>
                    <w:szCs w:val="24"/>
                  </w:rPr>
                </w:pPr>
                <w:r>
                  <w:rPr>
                    <w:rFonts w:cstheme="majorBidi"/>
                    <w:b/>
                    <w:bCs/>
                    <w:szCs w:val="24"/>
                  </w:rPr>
                  <w:t>164</w:t>
                </w:r>
              </w:p>
            </w:tc>
          </w:tr>
          <w:tr w:rsidR="00D57746" w14:paraId="67860115" w14:textId="77777777" w:rsidTr="00B679BA">
            <w:tc>
              <w:tcPr>
                <w:tcW w:w="1129" w:type="dxa"/>
              </w:tcPr>
              <w:p w14:paraId="4EF2FD60" w14:textId="77777777" w:rsidR="00D57746" w:rsidRDefault="00D57746" w:rsidP="00B679BA">
                <w:pPr>
                  <w:ind w:firstLine="0"/>
                  <w:jc w:val="center"/>
                  <w:rPr>
                    <w:rFonts w:cstheme="majorBidi"/>
                    <w:b/>
                    <w:bCs/>
                    <w:szCs w:val="24"/>
                  </w:rPr>
                </w:pPr>
                <w:r>
                  <w:rPr>
                    <w:rFonts w:cstheme="majorBidi"/>
                    <w:b/>
                    <w:bCs/>
                    <w:szCs w:val="24"/>
                  </w:rPr>
                  <w:t>19</w:t>
                </w:r>
              </w:p>
            </w:tc>
            <w:tc>
              <w:tcPr>
                <w:tcW w:w="6804" w:type="dxa"/>
              </w:tcPr>
              <w:p w14:paraId="5AEF1FDE" w14:textId="77777777" w:rsidR="00D57746" w:rsidRPr="00C16D13" w:rsidRDefault="00D57746" w:rsidP="00B679BA">
                <w:pPr>
                  <w:ind w:firstLine="0"/>
                  <w:rPr>
                    <w:rFonts w:cstheme="majorBidi"/>
                    <w:szCs w:val="24"/>
                  </w:rPr>
                </w:pPr>
                <w:r w:rsidRPr="00A3249F">
                  <w:rPr>
                    <w:rFonts w:cstheme="majorBidi"/>
                    <w:szCs w:val="24"/>
                  </w:rPr>
                  <w:t>Plage de moyenne arithmétique pondérée et niveau d'évaluation selon l'échelle de Likert à cinq points (ScaleLikert).</w:t>
                </w:r>
              </w:p>
            </w:tc>
            <w:tc>
              <w:tcPr>
                <w:tcW w:w="1129" w:type="dxa"/>
              </w:tcPr>
              <w:p w14:paraId="22A6793E" w14:textId="77777777" w:rsidR="00D57746" w:rsidRPr="00C16D13" w:rsidRDefault="00452A64" w:rsidP="00B679BA">
                <w:pPr>
                  <w:ind w:firstLine="0"/>
                  <w:jc w:val="center"/>
                  <w:rPr>
                    <w:rFonts w:cstheme="majorBidi"/>
                    <w:b/>
                    <w:bCs/>
                    <w:szCs w:val="24"/>
                  </w:rPr>
                </w:pPr>
                <w:r>
                  <w:rPr>
                    <w:rFonts w:cstheme="majorBidi"/>
                    <w:b/>
                    <w:bCs/>
                    <w:szCs w:val="24"/>
                  </w:rPr>
                  <w:t>164</w:t>
                </w:r>
              </w:p>
            </w:tc>
          </w:tr>
          <w:tr w:rsidR="00D57746" w14:paraId="4792DB12" w14:textId="77777777" w:rsidTr="00B679BA">
            <w:tc>
              <w:tcPr>
                <w:tcW w:w="1129" w:type="dxa"/>
              </w:tcPr>
              <w:p w14:paraId="1AE4805C" w14:textId="77777777" w:rsidR="00D57746" w:rsidRDefault="00D57746" w:rsidP="00B679BA">
                <w:pPr>
                  <w:ind w:firstLine="0"/>
                  <w:jc w:val="center"/>
                  <w:rPr>
                    <w:rFonts w:cstheme="majorBidi"/>
                    <w:b/>
                    <w:bCs/>
                    <w:szCs w:val="24"/>
                  </w:rPr>
                </w:pPr>
                <w:r>
                  <w:rPr>
                    <w:rFonts w:cstheme="majorBidi"/>
                    <w:b/>
                    <w:bCs/>
                    <w:szCs w:val="24"/>
                  </w:rPr>
                  <w:t>20</w:t>
                </w:r>
              </w:p>
            </w:tc>
            <w:tc>
              <w:tcPr>
                <w:tcW w:w="6804" w:type="dxa"/>
              </w:tcPr>
              <w:p w14:paraId="4B1D1B51" w14:textId="77777777" w:rsidR="00D57746" w:rsidRPr="00C16D13" w:rsidRDefault="00D57746" w:rsidP="00B679BA">
                <w:pPr>
                  <w:ind w:firstLine="0"/>
                  <w:rPr>
                    <w:rFonts w:cstheme="majorBidi"/>
                    <w:szCs w:val="24"/>
                  </w:rPr>
                </w:pPr>
                <w:r w:rsidRPr="00CD4528">
                  <w:rPr>
                    <w:rFonts w:cstheme="majorBidi"/>
                    <w:szCs w:val="24"/>
                  </w:rPr>
                  <w:t>Analyse descriptive des données de l’axe</w:t>
                </w:r>
                <w:r>
                  <w:rPr>
                    <w:rFonts w:cstheme="majorBidi"/>
                    <w:szCs w:val="24"/>
                  </w:rPr>
                  <w:t xml:space="preserve"> L'existence d'une base pour un </w:t>
                </w:r>
                <w:r w:rsidRPr="00CD4528">
                  <w:rPr>
                    <w:rFonts w:cstheme="majorBidi"/>
                    <w:szCs w:val="24"/>
                  </w:rPr>
                  <w:t>cadre efficace de la gouvernance.</w:t>
                </w:r>
              </w:p>
            </w:tc>
            <w:tc>
              <w:tcPr>
                <w:tcW w:w="1129" w:type="dxa"/>
              </w:tcPr>
              <w:p w14:paraId="36ADE0B9" w14:textId="77777777" w:rsidR="00D57746" w:rsidRPr="00C16D13" w:rsidRDefault="00452A64" w:rsidP="00B679BA">
                <w:pPr>
                  <w:ind w:firstLine="0"/>
                  <w:jc w:val="center"/>
                  <w:rPr>
                    <w:rFonts w:cstheme="majorBidi"/>
                    <w:b/>
                    <w:bCs/>
                    <w:szCs w:val="24"/>
                  </w:rPr>
                </w:pPr>
                <w:r>
                  <w:rPr>
                    <w:rFonts w:cstheme="majorBidi"/>
                    <w:b/>
                    <w:bCs/>
                    <w:szCs w:val="24"/>
                  </w:rPr>
                  <w:t>165</w:t>
                </w:r>
              </w:p>
            </w:tc>
          </w:tr>
          <w:tr w:rsidR="00D57746" w14:paraId="6D89596A" w14:textId="77777777" w:rsidTr="00B679BA">
            <w:tc>
              <w:tcPr>
                <w:tcW w:w="1129" w:type="dxa"/>
              </w:tcPr>
              <w:p w14:paraId="67EB0E6A" w14:textId="77777777" w:rsidR="00D57746" w:rsidRDefault="00D57746" w:rsidP="00B679BA">
                <w:pPr>
                  <w:ind w:firstLine="0"/>
                  <w:jc w:val="center"/>
                  <w:rPr>
                    <w:rFonts w:cstheme="majorBidi"/>
                    <w:b/>
                    <w:bCs/>
                    <w:szCs w:val="24"/>
                  </w:rPr>
                </w:pPr>
                <w:r>
                  <w:rPr>
                    <w:rFonts w:cstheme="majorBidi"/>
                    <w:b/>
                    <w:bCs/>
                    <w:szCs w:val="24"/>
                  </w:rPr>
                  <w:t>21</w:t>
                </w:r>
              </w:p>
            </w:tc>
            <w:tc>
              <w:tcPr>
                <w:tcW w:w="6804" w:type="dxa"/>
              </w:tcPr>
              <w:p w14:paraId="3F94E049" w14:textId="77777777" w:rsidR="00D57746" w:rsidRPr="00CD4528" w:rsidRDefault="00D57746" w:rsidP="00B679BA">
                <w:pPr>
                  <w:ind w:firstLine="0"/>
                  <w:rPr>
                    <w:rFonts w:cstheme="majorBidi"/>
                    <w:szCs w:val="24"/>
                  </w:rPr>
                </w:pPr>
                <w:r w:rsidRPr="00CD4528">
                  <w:rPr>
                    <w:rFonts w:cstheme="majorBidi"/>
                    <w:szCs w:val="24"/>
                  </w:rPr>
                  <w:t>Analyse descriptive des données de l’axe la préservation des droits des actionnaires.</w:t>
                </w:r>
              </w:p>
            </w:tc>
            <w:tc>
              <w:tcPr>
                <w:tcW w:w="1129" w:type="dxa"/>
              </w:tcPr>
              <w:p w14:paraId="4D6D19F3" w14:textId="77777777" w:rsidR="00D57746" w:rsidRPr="00C16D13" w:rsidRDefault="00452A64" w:rsidP="00B679BA">
                <w:pPr>
                  <w:ind w:firstLine="0"/>
                  <w:jc w:val="center"/>
                  <w:rPr>
                    <w:rFonts w:cstheme="majorBidi"/>
                    <w:b/>
                    <w:bCs/>
                    <w:szCs w:val="24"/>
                  </w:rPr>
                </w:pPr>
                <w:r>
                  <w:rPr>
                    <w:rFonts w:cstheme="majorBidi"/>
                    <w:b/>
                    <w:bCs/>
                    <w:szCs w:val="24"/>
                  </w:rPr>
                  <w:t>166</w:t>
                </w:r>
              </w:p>
            </w:tc>
          </w:tr>
          <w:tr w:rsidR="00D57746" w14:paraId="4A215372" w14:textId="77777777" w:rsidTr="00B679BA">
            <w:tc>
              <w:tcPr>
                <w:tcW w:w="1129" w:type="dxa"/>
              </w:tcPr>
              <w:p w14:paraId="4938250E" w14:textId="77777777" w:rsidR="00D57746" w:rsidRDefault="00D57746" w:rsidP="00B679BA">
                <w:pPr>
                  <w:ind w:firstLine="0"/>
                  <w:jc w:val="center"/>
                  <w:rPr>
                    <w:rFonts w:cstheme="majorBidi"/>
                    <w:b/>
                    <w:bCs/>
                    <w:szCs w:val="24"/>
                  </w:rPr>
                </w:pPr>
                <w:r>
                  <w:rPr>
                    <w:rFonts w:cstheme="majorBidi"/>
                    <w:b/>
                    <w:bCs/>
                    <w:szCs w:val="24"/>
                  </w:rPr>
                  <w:t>22</w:t>
                </w:r>
              </w:p>
            </w:tc>
            <w:tc>
              <w:tcPr>
                <w:tcW w:w="6804" w:type="dxa"/>
              </w:tcPr>
              <w:p w14:paraId="09F25325" w14:textId="77777777" w:rsidR="00D57746" w:rsidRPr="00CD4528" w:rsidRDefault="00D57746" w:rsidP="00B679BA">
                <w:pPr>
                  <w:ind w:firstLine="0"/>
                  <w:rPr>
                    <w:rFonts w:cstheme="majorBidi"/>
                    <w:szCs w:val="24"/>
                  </w:rPr>
                </w:pPr>
                <w:r w:rsidRPr="004975B1">
                  <w:rPr>
                    <w:rFonts w:cstheme="majorBidi"/>
                    <w:szCs w:val="24"/>
                  </w:rPr>
                  <w:t>Analyse descriptive des données de l’axe le traitement équitable des actionnaires.</w:t>
                </w:r>
              </w:p>
            </w:tc>
            <w:tc>
              <w:tcPr>
                <w:tcW w:w="1129" w:type="dxa"/>
              </w:tcPr>
              <w:p w14:paraId="306C69BD" w14:textId="77777777" w:rsidR="00D57746" w:rsidRPr="00C16D13" w:rsidRDefault="00452A64" w:rsidP="00B679BA">
                <w:pPr>
                  <w:ind w:firstLine="0"/>
                  <w:jc w:val="center"/>
                  <w:rPr>
                    <w:rFonts w:cstheme="majorBidi"/>
                    <w:b/>
                    <w:bCs/>
                    <w:szCs w:val="24"/>
                  </w:rPr>
                </w:pPr>
                <w:r>
                  <w:rPr>
                    <w:rFonts w:cstheme="majorBidi"/>
                    <w:b/>
                    <w:bCs/>
                    <w:szCs w:val="24"/>
                  </w:rPr>
                  <w:t>167</w:t>
                </w:r>
              </w:p>
            </w:tc>
          </w:tr>
          <w:tr w:rsidR="00D57746" w14:paraId="29AB17AA" w14:textId="77777777" w:rsidTr="00B679BA">
            <w:tc>
              <w:tcPr>
                <w:tcW w:w="1129" w:type="dxa"/>
              </w:tcPr>
              <w:p w14:paraId="7B8B29CE" w14:textId="77777777" w:rsidR="00D57746" w:rsidRDefault="00D57746" w:rsidP="00B679BA">
                <w:pPr>
                  <w:ind w:firstLine="0"/>
                  <w:jc w:val="center"/>
                  <w:rPr>
                    <w:rFonts w:cstheme="majorBidi"/>
                    <w:b/>
                    <w:bCs/>
                    <w:szCs w:val="24"/>
                  </w:rPr>
                </w:pPr>
                <w:r>
                  <w:rPr>
                    <w:rFonts w:cstheme="majorBidi"/>
                    <w:b/>
                    <w:bCs/>
                    <w:szCs w:val="24"/>
                  </w:rPr>
                  <w:t>23</w:t>
                </w:r>
              </w:p>
            </w:tc>
            <w:tc>
              <w:tcPr>
                <w:tcW w:w="6804" w:type="dxa"/>
              </w:tcPr>
              <w:p w14:paraId="24CFCB88" w14:textId="77777777" w:rsidR="00D57746" w:rsidRPr="00CD4528" w:rsidRDefault="00D57746" w:rsidP="00B679BA">
                <w:pPr>
                  <w:ind w:firstLine="0"/>
                  <w:rPr>
                    <w:rFonts w:cstheme="majorBidi"/>
                    <w:szCs w:val="24"/>
                  </w:rPr>
                </w:pPr>
                <w:r w:rsidRPr="004975B1">
                  <w:rPr>
                    <w:rFonts w:cstheme="majorBidi"/>
                    <w:szCs w:val="24"/>
                  </w:rPr>
                  <w:t>Analyse descriptive des données de l’axe le rôle des parties prenantes.</w:t>
                </w:r>
              </w:p>
            </w:tc>
            <w:tc>
              <w:tcPr>
                <w:tcW w:w="1129" w:type="dxa"/>
              </w:tcPr>
              <w:p w14:paraId="52BFF872" w14:textId="77777777" w:rsidR="00D57746" w:rsidRPr="00C16D13" w:rsidRDefault="00452A64" w:rsidP="00B679BA">
                <w:pPr>
                  <w:ind w:firstLine="0"/>
                  <w:jc w:val="center"/>
                  <w:rPr>
                    <w:rFonts w:cstheme="majorBidi"/>
                    <w:b/>
                    <w:bCs/>
                    <w:szCs w:val="24"/>
                  </w:rPr>
                </w:pPr>
                <w:r>
                  <w:rPr>
                    <w:rFonts w:cstheme="majorBidi"/>
                    <w:b/>
                    <w:bCs/>
                    <w:szCs w:val="24"/>
                  </w:rPr>
                  <w:t>169</w:t>
                </w:r>
              </w:p>
            </w:tc>
          </w:tr>
          <w:tr w:rsidR="00D57746" w14:paraId="41189F93" w14:textId="77777777" w:rsidTr="00B679BA">
            <w:tc>
              <w:tcPr>
                <w:tcW w:w="1129" w:type="dxa"/>
              </w:tcPr>
              <w:p w14:paraId="23B79DF7" w14:textId="77777777" w:rsidR="00D57746" w:rsidRDefault="00D57746" w:rsidP="00B679BA">
                <w:pPr>
                  <w:ind w:firstLine="0"/>
                  <w:jc w:val="center"/>
                  <w:rPr>
                    <w:rFonts w:cstheme="majorBidi"/>
                    <w:b/>
                    <w:bCs/>
                    <w:szCs w:val="24"/>
                  </w:rPr>
                </w:pPr>
                <w:r>
                  <w:rPr>
                    <w:rFonts w:cstheme="majorBidi"/>
                    <w:b/>
                    <w:bCs/>
                    <w:szCs w:val="24"/>
                  </w:rPr>
                  <w:t>24</w:t>
                </w:r>
              </w:p>
            </w:tc>
            <w:tc>
              <w:tcPr>
                <w:tcW w:w="6804" w:type="dxa"/>
              </w:tcPr>
              <w:p w14:paraId="5633D1F7" w14:textId="77777777" w:rsidR="00D57746" w:rsidRPr="00CD4528" w:rsidRDefault="00D57746" w:rsidP="00B679BA">
                <w:pPr>
                  <w:ind w:firstLine="0"/>
                  <w:rPr>
                    <w:rFonts w:cstheme="majorBidi"/>
                    <w:szCs w:val="24"/>
                  </w:rPr>
                </w:pPr>
                <w:r w:rsidRPr="004975B1">
                  <w:rPr>
                    <w:rFonts w:cstheme="majorBidi"/>
                    <w:szCs w:val="24"/>
                  </w:rPr>
                  <w:t>Analyse descriptive des données de l’axe la transparence et la divulgation.</w:t>
                </w:r>
              </w:p>
            </w:tc>
            <w:tc>
              <w:tcPr>
                <w:tcW w:w="1129" w:type="dxa"/>
              </w:tcPr>
              <w:p w14:paraId="1D0AC447" w14:textId="77777777" w:rsidR="00D57746" w:rsidRPr="00C16D13" w:rsidRDefault="00452A64" w:rsidP="00B679BA">
                <w:pPr>
                  <w:ind w:firstLine="0"/>
                  <w:jc w:val="center"/>
                  <w:rPr>
                    <w:rFonts w:cstheme="majorBidi"/>
                    <w:b/>
                    <w:bCs/>
                    <w:szCs w:val="24"/>
                  </w:rPr>
                </w:pPr>
                <w:r>
                  <w:rPr>
                    <w:rFonts w:cstheme="majorBidi"/>
                    <w:b/>
                    <w:bCs/>
                    <w:szCs w:val="24"/>
                  </w:rPr>
                  <w:t>170</w:t>
                </w:r>
              </w:p>
            </w:tc>
          </w:tr>
          <w:tr w:rsidR="00D57746" w14:paraId="2CCAC207" w14:textId="77777777" w:rsidTr="00B679BA">
            <w:tc>
              <w:tcPr>
                <w:tcW w:w="1129" w:type="dxa"/>
              </w:tcPr>
              <w:p w14:paraId="68AEA4B0" w14:textId="77777777" w:rsidR="00D57746" w:rsidRDefault="00D57746" w:rsidP="00B679BA">
                <w:pPr>
                  <w:ind w:firstLine="0"/>
                  <w:jc w:val="center"/>
                  <w:rPr>
                    <w:rFonts w:cstheme="majorBidi"/>
                    <w:b/>
                    <w:bCs/>
                    <w:szCs w:val="24"/>
                  </w:rPr>
                </w:pPr>
                <w:r>
                  <w:rPr>
                    <w:rFonts w:cstheme="majorBidi"/>
                    <w:b/>
                    <w:bCs/>
                    <w:szCs w:val="24"/>
                  </w:rPr>
                  <w:t>25</w:t>
                </w:r>
              </w:p>
            </w:tc>
            <w:tc>
              <w:tcPr>
                <w:tcW w:w="6804" w:type="dxa"/>
              </w:tcPr>
              <w:p w14:paraId="0EF0EF6C" w14:textId="77777777" w:rsidR="00D57746" w:rsidRPr="00CD4528" w:rsidRDefault="00D57746" w:rsidP="00B679BA">
                <w:pPr>
                  <w:ind w:firstLine="0"/>
                  <w:rPr>
                    <w:rFonts w:cstheme="majorBidi"/>
                    <w:szCs w:val="24"/>
                  </w:rPr>
                </w:pPr>
                <w:r w:rsidRPr="004975B1">
                  <w:rPr>
                    <w:rFonts w:cstheme="majorBidi"/>
                    <w:szCs w:val="24"/>
                  </w:rPr>
                  <w:t>Analyse descriptive des données de l’axe la responsabilité du conseil d’administration.</w:t>
                </w:r>
              </w:p>
            </w:tc>
            <w:tc>
              <w:tcPr>
                <w:tcW w:w="1129" w:type="dxa"/>
              </w:tcPr>
              <w:p w14:paraId="4C1DC2E6" w14:textId="77777777" w:rsidR="00D57746" w:rsidRPr="00C16D13" w:rsidRDefault="00452A64" w:rsidP="00B679BA">
                <w:pPr>
                  <w:ind w:firstLine="0"/>
                  <w:jc w:val="center"/>
                  <w:rPr>
                    <w:rFonts w:cstheme="majorBidi"/>
                    <w:b/>
                    <w:bCs/>
                    <w:szCs w:val="24"/>
                  </w:rPr>
                </w:pPr>
                <w:r>
                  <w:rPr>
                    <w:rFonts w:cstheme="majorBidi"/>
                    <w:b/>
                    <w:bCs/>
                    <w:szCs w:val="24"/>
                  </w:rPr>
                  <w:t>171</w:t>
                </w:r>
              </w:p>
            </w:tc>
          </w:tr>
          <w:tr w:rsidR="00D57746" w14:paraId="2450D608" w14:textId="77777777" w:rsidTr="00B679BA">
            <w:trPr>
              <w:trHeight w:val="282"/>
            </w:trPr>
            <w:tc>
              <w:tcPr>
                <w:tcW w:w="1129" w:type="dxa"/>
              </w:tcPr>
              <w:p w14:paraId="79826387" w14:textId="77777777" w:rsidR="00D57746" w:rsidRDefault="00D57746" w:rsidP="00B679BA">
                <w:pPr>
                  <w:ind w:firstLine="0"/>
                  <w:jc w:val="center"/>
                  <w:rPr>
                    <w:rFonts w:cstheme="majorBidi"/>
                    <w:b/>
                    <w:bCs/>
                    <w:szCs w:val="24"/>
                  </w:rPr>
                </w:pPr>
                <w:r>
                  <w:rPr>
                    <w:rFonts w:cstheme="majorBidi"/>
                    <w:b/>
                    <w:bCs/>
                    <w:szCs w:val="24"/>
                  </w:rPr>
                  <w:t>26</w:t>
                </w:r>
              </w:p>
            </w:tc>
            <w:tc>
              <w:tcPr>
                <w:tcW w:w="6804" w:type="dxa"/>
              </w:tcPr>
              <w:p w14:paraId="1A311BD8" w14:textId="77777777" w:rsidR="00D57746" w:rsidRPr="00BF5F65" w:rsidRDefault="00D57746" w:rsidP="00B679BA">
                <w:pPr>
                  <w:ind w:firstLine="0"/>
                  <w:rPr>
                    <w:rFonts w:cstheme="majorBidi"/>
                    <w:color w:val="000000"/>
                    <w:szCs w:val="24"/>
                  </w:rPr>
                </w:pPr>
                <w:r>
                  <w:rPr>
                    <w:rFonts w:cstheme="majorBidi"/>
                    <w:color w:val="000000"/>
                    <w:szCs w:val="24"/>
                  </w:rPr>
                  <w:t>Le degré global de la partie 01.</w:t>
                </w:r>
              </w:p>
            </w:tc>
            <w:tc>
              <w:tcPr>
                <w:tcW w:w="1129" w:type="dxa"/>
              </w:tcPr>
              <w:p w14:paraId="6905F33A" w14:textId="77777777" w:rsidR="00D57746" w:rsidRPr="00C16D13" w:rsidRDefault="00452A64" w:rsidP="00B679BA">
                <w:pPr>
                  <w:ind w:firstLine="0"/>
                  <w:jc w:val="center"/>
                  <w:rPr>
                    <w:rFonts w:cstheme="majorBidi"/>
                    <w:b/>
                    <w:bCs/>
                    <w:szCs w:val="24"/>
                  </w:rPr>
                </w:pPr>
                <w:r>
                  <w:rPr>
                    <w:rFonts w:cstheme="majorBidi"/>
                    <w:b/>
                    <w:bCs/>
                    <w:szCs w:val="24"/>
                  </w:rPr>
                  <w:t>172</w:t>
                </w:r>
              </w:p>
            </w:tc>
          </w:tr>
          <w:tr w:rsidR="00D57746" w14:paraId="40F2B237" w14:textId="77777777" w:rsidTr="00B679BA">
            <w:tc>
              <w:tcPr>
                <w:tcW w:w="1129" w:type="dxa"/>
              </w:tcPr>
              <w:p w14:paraId="4C2FC234" w14:textId="77777777" w:rsidR="00D57746" w:rsidRDefault="00D57746" w:rsidP="00B679BA">
                <w:pPr>
                  <w:ind w:firstLine="0"/>
                  <w:jc w:val="center"/>
                  <w:rPr>
                    <w:rFonts w:cstheme="majorBidi"/>
                    <w:b/>
                    <w:bCs/>
                    <w:szCs w:val="24"/>
                  </w:rPr>
                </w:pPr>
                <w:r>
                  <w:rPr>
                    <w:rFonts w:cstheme="majorBidi"/>
                    <w:b/>
                    <w:bCs/>
                    <w:szCs w:val="24"/>
                  </w:rPr>
                  <w:t>27</w:t>
                </w:r>
              </w:p>
            </w:tc>
            <w:tc>
              <w:tcPr>
                <w:tcW w:w="6804" w:type="dxa"/>
              </w:tcPr>
              <w:p w14:paraId="5F3A21CD" w14:textId="77777777" w:rsidR="00D57746" w:rsidRPr="00CD4528" w:rsidRDefault="00D57746" w:rsidP="00B679BA">
                <w:pPr>
                  <w:ind w:firstLine="0"/>
                  <w:rPr>
                    <w:rFonts w:cstheme="majorBidi"/>
                    <w:szCs w:val="24"/>
                  </w:rPr>
                </w:pPr>
                <w:r w:rsidRPr="00BF5F65">
                  <w:rPr>
                    <w:rFonts w:cstheme="majorBidi"/>
                    <w:szCs w:val="24"/>
                  </w:rPr>
                  <w:t>Coefficient de fiabilité des parties de la responsabilité sociale des entreprises.</w:t>
                </w:r>
              </w:p>
            </w:tc>
            <w:tc>
              <w:tcPr>
                <w:tcW w:w="1129" w:type="dxa"/>
              </w:tcPr>
              <w:p w14:paraId="542F984D" w14:textId="77777777" w:rsidR="00D57746" w:rsidRPr="00C16D13" w:rsidRDefault="00452A64" w:rsidP="00B679BA">
                <w:pPr>
                  <w:ind w:firstLine="0"/>
                  <w:jc w:val="center"/>
                  <w:rPr>
                    <w:rFonts w:cstheme="majorBidi"/>
                    <w:b/>
                    <w:bCs/>
                    <w:szCs w:val="24"/>
                  </w:rPr>
                </w:pPr>
                <w:r>
                  <w:rPr>
                    <w:rFonts w:cstheme="majorBidi"/>
                    <w:b/>
                    <w:bCs/>
                    <w:szCs w:val="24"/>
                  </w:rPr>
                  <w:t>173</w:t>
                </w:r>
              </w:p>
            </w:tc>
          </w:tr>
          <w:tr w:rsidR="00D57746" w14:paraId="62F1BED7" w14:textId="77777777" w:rsidTr="00B679BA">
            <w:tc>
              <w:tcPr>
                <w:tcW w:w="1129" w:type="dxa"/>
              </w:tcPr>
              <w:p w14:paraId="39ABC591" w14:textId="77777777" w:rsidR="00D57746" w:rsidRDefault="00D57746" w:rsidP="00B679BA">
                <w:pPr>
                  <w:ind w:firstLine="0"/>
                  <w:jc w:val="center"/>
                  <w:rPr>
                    <w:rFonts w:cstheme="majorBidi"/>
                    <w:b/>
                    <w:bCs/>
                    <w:szCs w:val="24"/>
                  </w:rPr>
                </w:pPr>
                <w:r>
                  <w:rPr>
                    <w:rFonts w:cstheme="majorBidi"/>
                    <w:b/>
                    <w:bCs/>
                    <w:szCs w:val="24"/>
                  </w:rPr>
                  <w:t>28</w:t>
                </w:r>
              </w:p>
            </w:tc>
            <w:tc>
              <w:tcPr>
                <w:tcW w:w="6804" w:type="dxa"/>
              </w:tcPr>
              <w:p w14:paraId="0DC7207F" w14:textId="77777777" w:rsidR="00D57746" w:rsidRPr="00CD4528" w:rsidRDefault="00D57746" w:rsidP="00B679BA">
                <w:pPr>
                  <w:ind w:firstLine="0"/>
                  <w:rPr>
                    <w:rFonts w:cstheme="majorBidi"/>
                    <w:szCs w:val="24"/>
                  </w:rPr>
                </w:pPr>
                <w:r w:rsidRPr="00E00E47">
                  <w:rPr>
                    <w:rFonts w:cstheme="majorBidi"/>
                    <w:szCs w:val="24"/>
                  </w:rPr>
                  <w:t>Analyse descriptive des données de l’axe performance de la responsabilité sociale des entreprises (RSE).</w:t>
                </w:r>
              </w:p>
            </w:tc>
            <w:tc>
              <w:tcPr>
                <w:tcW w:w="1129" w:type="dxa"/>
              </w:tcPr>
              <w:p w14:paraId="2B36734B" w14:textId="77777777" w:rsidR="00D57746" w:rsidRPr="00C16D13" w:rsidRDefault="00452A64" w:rsidP="00B679BA">
                <w:pPr>
                  <w:ind w:firstLine="0"/>
                  <w:jc w:val="center"/>
                  <w:rPr>
                    <w:rFonts w:cstheme="majorBidi"/>
                    <w:b/>
                    <w:bCs/>
                    <w:szCs w:val="24"/>
                  </w:rPr>
                </w:pPr>
                <w:r>
                  <w:rPr>
                    <w:rFonts w:cstheme="majorBidi"/>
                    <w:b/>
                    <w:bCs/>
                    <w:szCs w:val="24"/>
                  </w:rPr>
                  <w:t>173</w:t>
                </w:r>
              </w:p>
            </w:tc>
          </w:tr>
          <w:tr w:rsidR="00D57746" w14:paraId="49E6A7CA" w14:textId="77777777" w:rsidTr="00B679BA">
            <w:tc>
              <w:tcPr>
                <w:tcW w:w="1129" w:type="dxa"/>
              </w:tcPr>
              <w:p w14:paraId="6F331997" w14:textId="77777777" w:rsidR="00D57746" w:rsidRDefault="00D57746" w:rsidP="00B679BA">
                <w:pPr>
                  <w:ind w:firstLine="0"/>
                  <w:jc w:val="center"/>
                  <w:rPr>
                    <w:rFonts w:cstheme="majorBidi"/>
                    <w:b/>
                    <w:bCs/>
                    <w:szCs w:val="24"/>
                  </w:rPr>
                </w:pPr>
                <w:r>
                  <w:rPr>
                    <w:rFonts w:cstheme="majorBidi"/>
                    <w:b/>
                    <w:bCs/>
                    <w:szCs w:val="24"/>
                  </w:rPr>
                  <w:t>29</w:t>
                </w:r>
              </w:p>
            </w:tc>
            <w:tc>
              <w:tcPr>
                <w:tcW w:w="6804" w:type="dxa"/>
              </w:tcPr>
              <w:p w14:paraId="1669ADBE" w14:textId="77777777" w:rsidR="00D57746" w:rsidRPr="00CD4528" w:rsidRDefault="00D57746" w:rsidP="00B679BA">
                <w:pPr>
                  <w:ind w:firstLine="0"/>
                  <w:rPr>
                    <w:rFonts w:cstheme="majorBidi"/>
                    <w:szCs w:val="24"/>
                  </w:rPr>
                </w:pPr>
                <w:r w:rsidRPr="000C4401">
                  <w:rPr>
                    <w:rFonts w:cstheme="majorBidi"/>
                    <w:szCs w:val="24"/>
                  </w:rPr>
                  <w:t>Le test total d’Alpha cronbach.</w:t>
                </w:r>
              </w:p>
            </w:tc>
            <w:tc>
              <w:tcPr>
                <w:tcW w:w="1129" w:type="dxa"/>
              </w:tcPr>
              <w:p w14:paraId="6F3B1D79" w14:textId="77777777" w:rsidR="00D57746" w:rsidRPr="00C16D13" w:rsidRDefault="00452A64" w:rsidP="00B679BA">
                <w:pPr>
                  <w:ind w:firstLine="0"/>
                  <w:jc w:val="center"/>
                  <w:rPr>
                    <w:rFonts w:cstheme="majorBidi"/>
                    <w:b/>
                    <w:bCs/>
                    <w:szCs w:val="24"/>
                  </w:rPr>
                </w:pPr>
                <w:r>
                  <w:rPr>
                    <w:rFonts w:cstheme="majorBidi"/>
                    <w:b/>
                    <w:bCs/>
                    <w:szCs w:val="24"/>
                  </w:rPr>
                  <w:t>178</w:t>
                </w:r>
              </w:p>
            </w:tc>
          </w:tr>
          <w:tr w:rsidR="00D57746" w14:paraId="72764EF8" w14:textId="77777777" w:rsidTr="00B679BA">
            <w:tc>
              <w:tcPr>
                <w:tcW w:w="1129" w:type="dxa"/>
              </w:tcPr>
              <w:p w14:paraId="30BFBB8A" w14:textId="77777777" w:rsidR="00D57746" w:rsidRDefault="00D57746" w:rsidP="00B679BA">
                <w:pPr>
                  <w:ind w:firstLine="0"/>
                  <w:jc w:val="center"/>
                  <w:rPr>
                    <w:rFonts w:cstheme="majorBidi"/>
                    <w:b/>
                    <w:bCs/>
                    <w:szCs w:val="24"/>
                  </w:rPr>
                </w:pPr>
                <w:r>
                  <w:rPr>
                    <w:rFonts w:cstheme="majorBidi"/>
                    <w:b/>
                    <w:bCs/>
                    <w:szCs w:val="24"/>
                  </w:rPr>
                  <w:t>30</w:t>
                </w:r>
              </w:p>
            </w:tc>
            <w:tc>
              <w:tcPr>
                <w:tcW w:w="6804" w:type="dxa"/>
              </w:tcPr>
              <w:p w14:paraId="468A57BA" w14:textId="77777777" w:rsidR="00D57746" w:rsidRPr="00CD4528" w:rsidRDefault="00D57746" w:rsidP="00B679BA">
                <w:pPr>
                  <w:ind w:firstLine="0"/>
                  <w:rPr>
                    <w:rFonts w:cstheme="majorBidi"/>
                    <w:szCs w:val="24"/>
                  </w:rPr>
                </w:pPr>
                <w:r w:rsidRPr="000C4401">
                  <w:rPr>
                    <w:rFonts w:cstheme="majorBidi"/>
                    <w:szCs w:val="24"/>
                  </w:rPr>
                  <w:t>Coefficient de corrélation.</w:t>
                </w:r>
              </w:p>
            </w:tc>
            <w:tc>
              <w:tcPr>
                <w:tcW w:w="1129" w:type="dxa"/>
              </w:tcPr>
              <w:p w14:paraId="4454560F" w14:textId="77777777" w:rsidR="00D57746" w:rsidRPr="00C16D13" w:rsidRDefault="00452A64" w:rsidP="00B679BA">
                <w:pPr>
                  <w:ind w:firstLine="0"/>
                  <w:jc w:val="center"/>
                  <w:rPr>
                    <w:rFonts w:cstheme="majorBidi"/>
                    <w:b/>
                    <w:bCs/>
                    <w:szCs w:val="24"/>
                  </w:rPr>
                </w:pPr>
                <w:r>
                  <w:rPr>
                    <w:rFonts w:cstheme="majorBidi"/>
                    <w:b/>
                    <w:bCs/>
                    <w:szCs w:val="24"/>
                  </w:rPr>
                  <w:t>179</w:t>
                </w:r>
              </w:p>
            </w:tc>
          </w:tr>
          <w:tr w:rsidR="00D57746" w14:paraId="3CD9600B" w14:textId="77777777" w:rsidTr="00B679BA">
            <w:tc>
              <w:tcPr>
                <w:tcW w:w="1129" w:type="dxa"/>
              </w:tcPr>
              <w:p w14:paraId="3FC071E9" w14:textId="77777777" w:rsidR="00D57746" w:rsidRDefault="00D57746" w:rsidP="00B679BA">
                <w:pPr>
                  <w:ind w:firstLine="0"/>
                  <w:jc w:val="center"/>
                  <w:rPr>
                    <w:rFonts w:cstheme="majorBidi"/>
                    <w:b/>
                    <w:bCs/>
                    <w:szCs w:val="24"/>
                  </w:rPr>
                </w:pPr>
                <w:r>
                  <w:rPr>
                    <w:rFonts w:cstheme="majorBidi"/>
                    <w:b/>
                    <w:bCs/>
                    <w:szCs w:val="24"/>
                  </w:rPr>
                  <w:t>31</w:t>
                </w:r>
              </w:p>
            </w:tc>
            <w:tc>
              <w:tcPr>
                <w:tcW w:w="6804" w:type="dxa"/>
              </w:tcPr>
              <w:p w14:paraId="54DECE30" w14:textId="77777777" w:rsidR="00D57746" w:rsidRPr="00CD4528" w:rsidRDefault="00D57746" w:rsidP="00B679BA">
                <w:pPr>
                  <w:ind w:firstLine="0"/>
                  <w:rPr>
                    <w:rFonts w:cstheme="majorBidi"/>
                    <w:szCs w:val="24"/>
                  </w:rPr>
                </w:pPr>
                <w:r w:rsidRPr="000C4401">
                  <w:rPr>
                    <w:rFonts w:cstheme="majorBidi"/>
                    <w:szCs w:val="24"/>
                  </w:rPr>
                  <w:t>La variance Anova.</w:t>
                </w:r>
              </w:p>
            </w:tc>
            <w:tc>
              <w:tcPr>
                <w:tcW w:w="1129" w:type="dxa"/>
              </w:tcPr>
              <w:p w14:paraId="0298D96A" w14:textId="77777777" w:rsidR="00D57746" w:rsidRPr="00C16D13" w:rsidRDefault="00452A64" w:rsidP="00B679BA">
                <w:pPr>
                  <w:ind w:firstLine="0"/>
                  <w:jc w:val="center"/>
                  <w:rPr>
                    <w:rFonts w:cstheme="majorBidi"/>
                    <w:b/>
                    <w:bCs/>
                    <w:szCs w:val="24"/>
                  </w:rPr>
                </w:pPr>
                <w:r>
                  <w:rPr>
                    <w:rFonts w:cstheme="majorBidi"/>
                    <w:b/>
                    <w:bCs/>
                    <w:szCs w:val="24"/>
                  </w:rPr>
                  <w:t>180</w:t>
                </w:r>
              </w:p>
            </w:tc>
          </w:tr>
          <w:tr w:rsidR="00D57746" w14:paraId="3C1BF2CF" w14:textId="77777777" w:rsidTr="00B679BA">
            <w:tc>
              <w:tcPr>
                <w:tcW w:w="1129" w:type="dxa"/>
              </w:tcPr>
              <w:p w14:paraId="7A466A19" w14:textId="77777777" w:rsidR="00D57746" w:rsidRDefault="00D57746" w:rsidP="00B679BA">
                <w:pPr>
                  <w:ind w:firstLine="0"/>
                  <w:jc w:val="center"/>
                  <w:rPr>
                    <w:rFonts w:cstheme="majorBidi"/>
                    <w:b/>
                    <w:bCs/>
                    <w:szCs w:val="24"/>
                  </w:rPr>
                </w:pPr>
                <w:r>
                  <w:rPr>
                    <w:rFonts w:cstheme="majorBidi"/>
                    <w:b/>
                    <w:bCs/>
                    <w:szCs w:val="24"/>
                  </w:rPr>
                  <w:t>32</w:t>
                </w:r>
              </w:p>
            </w:tc>
            <w:tc>
              <w:tcPr>
                <w:tcW w:w="6804" w:type="dxa"/>
              </w:tcPr>
              <w:p w14:paraId="7A614BB2" w14:textId="77777777" w:rsidR="00D57746" w:rsidRPr="00CD4528" w:rsidRDefault="00D57746" w:rsidP="00B679BA">
                <w:pPr>
                  <w:ind w:firstLine="0"/>
                  <w:rPr>
                    <w:rFonts w:cstheme="majorBidi"/>
                    <w:szCs w:val="24"/>
                  </w:rPr>
                </w:pPr>
                <w:r w:rsidRPr="000C4401">
                  <w:rPr>
                    <w:rFonts w:cstheme="majorBidi"/>
                    <w:szCs w:val="24"/>
                  </w:rPr>
                  <w:t>Coefficients de régression</w:t>
                </w:r>
              </w:p>
            </w:tc>
            <w:tc>
              <w:tcPr>
                <w:tcW w:w="1129" w:type="dxa"/>
              </w:tcPr>
              <w:p w14:paraId="01A1ED5E" w14:textId="77777777" w:rsidR="00D57746" w:rsidRPr="00C16D13" w:rsidRDefault="00452A64" w:rsidP="00B679BA">
                <w:pPr>
                  <w:ind w:firstLine="0"/>
                  <w:jc w:val="center"/>
                  <w:rPr>
                    <w:rFonts w:cstheme="majorBidi"/>
                    <w:b/>
                    <w:bCs/>
                    <w:szCs w:val="24"/>
                  </w:rPr>
                </w:pPr>
                <w:r>
                  <w:rPr>
                    <w:rFonts w:cstheme="majorBidi"/>
                    <w:b/>
                    <w:bCs/>
                    <w:szCs w:val="24"/>
                  </w:rPr>
                  <w:t>180</w:t>
                </w:r>
              </w:p>
            </w:tc>
          </w:tr>
          <w:tr w:rsidR="00D57746" w14:paraId="0F11B44D" w14:textId="77777777" w:rsidTr="00B679BA">
            <w:tc>
              <w:tcPr>
                <w:tcW w:w="1129" w:type="dxa"/>
              </w:tcPr>
              <w:p w14:paraId="173EC9DE" w14:textId="77777777" w:rsidR="00D57746" w:rsidRDefault="00D57746" w:rsidP="00B679BA">
                <w:pPr>
                  <w:ind w:firstLine="0"/>
                  <w:jc w:val="center"/>
                  <w:rPr>
                    <w:rFonts w:cstheme="majorBidi"/>
                    <w:b/>
                    <w:bCs/>
                    <w:szCs w:val="24"/>
                  </w:rPr>
                </w:pPr>
                <w:r>
                  <w:rPr>
                    <w:rFonts w:cstheme="majorBidi"/>
                    <w:b/>
                    <w:bCs/>
                    <w:szCs w:val="24"/>
                  </w:rPr>
                  <w:t>33</w:t>
                </w:r>
              </w:p>
            </w:tc>
            <w:tc>
              <w:tcPr>
                <w:tcW w:w="6804" w:type="dxa"/>
              </w:tcPr>
              <w:p w14:paraId="5ED30058"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5FC120BC" w14:textId="77777777" w:rsidR="00D57746" w:rsidRPr="00C16D13" w:rsidRDefault="00452A64" w:rsidP="00B679BA">
                <w:pPr>
                  <w:ind w:firstLine="0"/>
                  <w:jc w:val="center"/>
                  <w:rPr>
                    <w:rFonts w:cstheme="majorBidi"/>
                    <w:b/>
                    <w:bCs/>
                    <w:szCs w:val="24"/>
                  </w:rPr>
                </w:pPr>
                <w:r>
                  <w:rPr>
                    <w:rFonts w:cstheme="majorBidi"/>
                    <w:b/>
                    <w:bCs/>
                    <w:szCs w:val="24"/>
                  </w:rPr>
                  <w:t>181</w:t>
                </w:r>
              </w:p>
            </w:tc>
          </w:tr>
          <w:tr w:rsidR="00D57746" w14:paraId="0A340704" w14:textId="77777777" w:rsidTr="00B679BA">
            <w:tc>
              <w:tcPr>
                <w:tcW w:w="1129" w:type="dxa"/>
              </w:tcPr>
              <w:p w14:paraId="353EA5F2" w14:textId="77777777" w:rsidR="00D57746" w:rsidRDefault="00D57746" w:rsidP="00B679BA">
                <w:pPr>
                  <w:ind w:firstLine="0"/>
                  <w:jc w:val="center"/>
                  <w:rPr>
                    <w:rFonts w:cstheme="majorBidi"/>
                    <w:b/>
                    <w:bCs/>
                    <w:szCs w:val="24"/>
                  </w:rPr>
                </w:pPr>
                <w:r>
                  <w:rPr>
                    <w:rFonts w:cstheme="majorBidi"/>
                    <w:b/>
                    <w:bCs/>
                    <w:szCs w:val="24"/>
                  </w:rPr>
                  <w:lastRenderedPageBreak/>
                  <w:t>34</w:t>
                </w:r>
              </w:p>
            </w:tc>
            <w:tc>
              <w:tcPr>
                <w:tcW w:w="6804" w:type="dxa"/>
              </w:tcPr>
              <w:p w14:paraId="3F7102B1"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6D81089B" w14:textId="77777777" w:rsidR="00D57746" w:rsidRPr="00C16D13" w:rsidRDefault="00452A64" w:rsidP="00B679BA">
                <w:pPr>
                  <w:ind w:firstLine="0"/>
                  <w:jc w:val="center"/>
                  <w:rPr>
                    <w:rFonts w:cstheme="majorBidi"/>
                    <w:b/>
                    <w:bCs/>
                    <w:szCs w:val="24"/>
                  </w:rPr>
                </w:pPr>
                <w:r>
                  <w:rPr>
                    <w:rFonts w:cstheme="majorBidi"/>
                    <w:b/>
                    <w:bCs/>
                    <w:szCs w:val="24"/>
                  </w:rPr>
                  <w:t>181</w:t>
                </w:r>
              </w:p>
            </w:tc>
          </w:tr>
          <w:tr w:rsidR="00D57746" w14:paraId="4812703A" w14:textId="77777777" w:rsidTr="00B679BA">
            <w:tc>
              <w:tcPr>
                <w:tcW w:w="1129" w:type="dxa"/>
              </w:tcPr>
              <w:p w14:paraId="08FDDCBA" w14:textId="77777777" w:rsidR="00D57746" w:rsidRDefault="00D57746" w:rsidP="00B679BA">
                <w:pPr>
                  <w:ind w:firstLine="0"/>
                  <w:jc w:val="center"/>
                  <w:rPr>
                    <w:rFonts w:cstheme="majorBidi"/>
                    <w:b/>
                    <w:bCs/>
                    <w:szCs w:val="24"/>
                  </w:rPr>
                </w:pPr>
                <w:r>
                  <w:rPr>
                    <w:rFonts w:cstheme="majorBidi"/>
                    <w:b/>
                    <w:bCs/>
                    <w:szCs w:val="24"/>
                  </w:rPr>
                  <w:t>35</w:t>
                </w:r>
              </w:p>
            </w:tc>
            <w:tc>
              <w:tcPr>
                <w:tcW w:w="6804" w:type="dxa"/>
              </w:tcPr>
              <w:p w14:paraId="0E098EDC"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1FBA45BF" w14:textId="77777777" w:rsidR="00D57746" w:rsidRPr="00C16D13" w:rsidRDefault="00452A64" w:rsidP="00B679BA">
                <w:pPr>
                  <w:ind w:firstLine="0"/>
                  <w:jc w:val="center"/>
                  <w:rPr>
                    <w:rFonts w:cstheme="majorBidi"/>
                    <w:b/>
                    <w:bCs/>
                    <w:szCs w:val="24"/>
                  </w:rPr>
                </w:pPr>
                <w:r>
                  <w:rPr>
                    <w:rFonts w:cstheme="majorBidi"/>
                    <w:b/>
                    <w:bCs/>
                    <w:szCs w:val="24"/>
                  </w:rPr>
                  <w:t>182</w:t>
                </w:r>
              </w:p>
            </w:tc>
          </w:tr>
          <w:tr w:rsidR="00D57746" w14:paraId="45509102" w14:textId="77777777" w:rsidTr="00B679BA">
            <w:tc>
              <w:tcPr>
                <w:tcW w:w="1129" w:type="dxa"/>
              </w:tcPr>
              <w:p w14:paraId="0668319F" w14:textId="77777777" w:rsidR="00D57746" w:rsidRDefault="00D57746" w:rsidP="00B679BA">
                <w:pPr>
                  <w:ind w:firstLine="0"/>
                  <w:jc w:val="center"/>
                  <w:rPr>
                    <w:rFonts w:cstheme="majorBidi"/>
                    <w:b/>
                    <w:bCs/>
                    <w:szCs w:val="24"/>
                  </w:rPr>
                </w:pPr>
                <w:r>
                  <w:rPr>
                    <w:rFonts w:cstheme="majorBidi"/>
                    <w:b/>
                    <w:bCs/>
                    <w:szCs w:val="24"/>
                  </w:rPr>
                  <w:t>36</w:t>
                </w:r>
              </w:p>
            </w:tc>
            <w:tc>
              <w:tcPr>
                <w:tcW w:w="6804" w:type="dxa"/>
              </w:tcPr>
              <w:p w14:paraId="66445E5A"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67E4885F" w14:textId="77777777" w:rsidR="00D57746" w:rsidRPr="00C16D13" w:rsidRDefault="00452A64" w:rsidP="00B679BA">
                <w:pPr>
                  <w:ind w:firstLine="0"/>
                  <w:jc w:val="center"/>
                  <w:rPr>
                    <w:rFonts w:cstheme="majorBidi"/>
                    <w:b/>
                    <w:bCs/>
                    <w:szCs w:val="24"/>
                  </w:rPr>
                </w:pPr>
                <w:r>
                  <w:rPr>
                    <w:rFonts w:cstheme="majorBidi"/>
                    <w:b/>
                    <w:bCs/>
                    <w:szCs w:val="24"/>
                  </w:rPr>
                  <w:t>183</w:t>
                </w:r>
              </w:p>
            </w:tc>
          </w:tr>
          <w:tr w:rsidR="00D57746" w14:paraId="74932720" w14:textId="77777777" w:rsidTr="00B679BA">
            <w:tc>
              <w:tcPr>
                <w:tcW w:w="1129" w:type="dxa"/>
              </w:tcPr>
              <w:p w14:paraId="3ED7D42A" w14:textId="77777777" w:rsidR="00D57746" w:rsidRDefault="00D57746" w:rsidP="00B679BA">
                <w:pPr>
                  <w:ind w:firstLine="0"/>
                  <w:jc w:val="center"/>
                  <w:rPr>
                    <w:rFonts w:cstheme="majorBidi"/>
                    <w:b/>
                    <w:bCs/>
                    <w:szCs w:val="24"/>
                  </w:rPr>
                </w:pPr>
                <w:r>
                  <w:rPr>
                    <w:rFonts w:cstheme="majorBidi"/>
                    <w:b/>
                    <w:bCs/>
                    <w:szCs w:val="24"/>
                  </w:rPr>
                  <w:t>37</w:t>
                </w:r>
              </w:p>
            </w:tc>
            <w:tc>
              <w:tcPr>
                <w:tcW w:w="6804" w:type="dxa"/>
              </w:tcPr>
              <w:p w14:paraId="78F3324F"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24DE05D9" w14:textId="77777777" w:rsidR="00D57746" w:rsidRPr="00C16D13" w:rsidRDefault="00452A64" w:rsidP="00B679BA">
                <w:pPr>
                  <w:ind w:firstLine="0"/>
                  <w:jc w:val="center"/>
                  <w:rPr>
                    <w:rFonts w:cstheme="majorBidi"/>
                    <w:b/>
                    <w:bCs/>
                    <w:szCs w:val="24"/>
                  </w:rPr>
                </w:pPr>
                <w:r>
                  <w:rPr>
                    <w:rFonts w:cstheme="majorBidi"/>
                    <w:b/>
                    <w:bCs/>
                    <w:szCs w:val="24"/>
                  </w:rPr>
                  <w:t>183</w:t>
                </w:r>
              </w:p>
            </w:tc>
          </w:tr>
          <w:tr w:rsidR="00D57746" w14:paraId="7C8C860D" w14:textId="77777777" w:rsidTr="00B679BA">
            <w:tc>
              <w:tcPr>
                <w:tcW w:w="1129" w:type="dxa"/>
              </w:tcPr>
              <w:p w14:paraId="4C50F9E6" w14:textId="77777777" w:rsidR="00D57746" w:rsidRDefault="00D57746" w:rsidP="00B679BA">
                <w:pPr>
                  <w:ind w:firstLine="0"/>
                  <w:jc w:val="center"/>
                  <w:rPr>
                    <w:rFonts w:cstheme="majorBidi"/>
                    <w:b/>
                    <w:bCs/>
                    <w:szCs w:val="24"/>
                  </w:rPr>
                </w:pPr>
                <w:r>
                  <w:rPr>
                    <w:rFonts w:cstheme="majorBidi"/>
                    <w:b/>
                    <w:bCs/>
                    <w:szCs w:val="24"/>
                  </w:rPr>
                  <w:t>38</w:t>
                </w:r>
              </w:p>
            </w:tc>
            <w:tc>
              <w:tcPr>
                <w:tcW w:w="6804" w:type="dxa"/>
              </w:tcPr>
              <w:p w14:paraId="598FCF62"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7D13D2D7" w14:textId="77777777" w:rsidR="00D57746" w:rsidRPr="00C16D13" w:rsidRDefault="00452A64" w:rsidP="00B679BA">
                <w:pPr>
                  <w:ind w:firstLine="0"/>
                  <w:jc w:val="center"/>
                  <w:rPr>
                    <w:rFonts w:cstheme="majorBidi"/>
                    <w:b/>
                    <w:bCs/>
                    <w:szCs w:val="24"/>
                  </w:rPr>
                </w:pPr>
                <w:r>
                  <w:rPr>
                    <w:rFonts w:cstheme="majorBidi"/>
                    <w:b/>
                    <w:bCs/>
                    <w:szCs w:val="24"/>
                  </w:rPr>
                  <w:t>184</w:t>
                </w:r>
              </w:p>
            </w:tc>
          </w:tr>
          <w:tr w:rsidR="00D57746" w14:paraId="6DD544BC" w14:textId="77777777" w:rsidTr="00B679BA">
            <w:tc>
              <w:tcPr>
                <w:tcW w:w="1129" w:type="dxa"/>
              </w:tcPr>
              <w:p w14:paraId="35FF9BFB" w14:textId="77777777" w:rsidR="00D57746" w:rsidRDefault="00D57746" w:rsidP="00B679BA">
                <w:pPr>
                  <w:ind w:firstLine="0"/>
                  <w:jc w:val="center"/>
                  <w:rPr>
                    <w:rFonts w:cstheme="majorBidi"/>
                    <w:b/>
                    <w:bCs/>
                    <w:szCs w:val="24"/>
                  </w:rPr>
                </w:pPr>
                <w:r>
                  <w:rPr>
                    <w:rFonts w:cstheme="majorBidi"/>
                    <w:b/>
                    <w:bCs/>
                    <w:szCs w:val="24"/>
                  </w:rPr>
                  <w:t>39</w:t>
                </w:r>
              </w:p>
            </w:tc>
            <w:tc>
              <w:tcPr>
                <w:tcW w:w="6804" w:type="dxa"/>
              </w:tcPr>
              <w:p w14:paraId="2A0FBE62"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3907730B" w14:textId="77777777" w:rsidR="00D57746" w:rsidRPr="00C16D13" w:rsidRDefault="00452A64" w:rsidP="00B679BA">
                <w:pPr>
                  <w:ind w:firstLine="0"/>
                  <w:jc w:val="center"/>
                  <w:rPr>
                    <w:rFonts w:cstheme="majorBidi"/>
                    <w:b/>
                    <w:bCs/>
                    <w:szCs w:val="24"/>
                  </w:rPr>
                </w:pPr>
                <w:r>
                  <w:rPr>
                    <w:rFonts w:cstheme="majorBidi"/>
                    <w:b/>
                    <w:bCs/>
                    <w:szCs w:val="24"/>
                  </w:rPr>
                  <w:t>184</w:t>
                </w:r>
              </w:p>
            </w:tc>
          </w:tr>
          <w:tr w:rsidR="00D57746" w14:paraId="13A88303" w14:textId="77777777" w:rsidTr="00B679BA">
            <w:tc>
              <w:tcPr>
                <w:tcW w:w="1129" w:type="dxa"/>
              </w:tcPr>
              <w:p w14:paraId="29BAD509" w14:textId="77777777" w:rsidR="00D57746" w:rsidRDefault="00D57746" w:rsidP="00B679BA">
                <w:pPr>
                  <w:ind w:firstLine="0"/>
                  <w:jc w:val="center"/>
                  <w:rPr>
                    <w:rFonts w:cstheme="majorBidi"/>
                    <w:b/>
                    <w:bCs/>
                    <w:szCs w:val="24"/>
                  </w:rPr>
                </w:pPr>
                <w:r>
                  <w:rPr>
                    <w:rFonts w:cstheme="majorBidi"/>
                    <w:b/>
                    <w:bCs/>
                    <w:szCs w:val="24"/>
                  </w:rPr>
                  <w:t>40</w:t>
                </w:r>
              </w:p>
            </w:tc>
            <w:tc>
              <w:tcPr>
                <w:tcW w:w="6804" w:type="dxa"/>
              </w:tcPr>
              <w:p w14:paraId="7F8B941B"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28BDC7D8" w14:textId="77777777" w:rsidR="00D57746" w:rsidRPr="00C16D13" w:rsidRDefault="00452A64" w:rsidP="00B679BA">
                <w:pPr>
                  <w:ind w:firstLine="0"/>
                  <w:jc w:val="center"/>
                  <w:rPr>
                    <w:rFonts w:cstheme="majorBidi"/>
                    <w:b/>
                    <w:bCs/>
                    <w:szCs w:val="24"/>
                  </w:rPr>
                </w:pPr>
                <w:r>
                  <w:rPr>
                    <w:rFonts w:cstheme="majorBidi"/>
                    <w:b/>
                    <w:bCs/>
                    <w:szCs w:val="24"/>
                  </w:rPr>
                  <w:t>185</w:t>
                </w:r>
              </w:p>
            </w:tc>
          </w:tr>
          <w:tr w:rsidR="00D57746" w14:paraId="5898EDB7" w14:textId="77777777" w:rsidTr="00B679BA">
            <w:tc>
              <w:tcPr>
                <w:tcW w:w="1129" w:type="dxa"/>
              </w:tcPr>
              <w:p w14:paraId="42B6BFE3" w14:textId="77777777" w:rsidR="00D57746" w:rsidRDefault="00D57746" w:rsidP="00B679BA">
                <w:pPr>
                  <w:ind w:firstLine="0"/>
                  <w:jc w:val="center"/>
                  <w:rPr>
                    <w:rFonts w:cstheme="majorBidi"/>
                    <w:b/>
                    <w:bCs/>
                    <w:szCs w:val="24"/>
                  </w:rPr>
                </w:pPr>
                <w:r>
                  <w:rPr>
                    <w:rFonts w:cstheme="majorBidi"/>
                    <w:b/>
                    <w:bCs/>
                    <w:szCs w:val="24"/>
                  </w:rPr>
                  <w:t>41</w:t>
                </w:r>
              </w:p>
            </w:tc>
            <w:tc>
              <w:tcPr>
                <w:tcW w:w="6804" w:type="dxa"/>
              </w:tcPr>
              <w:p w14:paraId="77EC5156"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3FF94355" w14:textId="77777777" w:rsidR="00D57746" w:rsidRPr="00C16D13" w:rsidRDefault="00452A64" w:rsidP="00B679BA">
                <w:pPr>
                  <w:ind w:firstLine="0"/>
                  <w:jc w:val="center"/>
                  <w:rPr>
                    <w:rFonts w:cstheme="majorBidi"/>
                    <w:b/>
                    <w:bCs/>
                    <w:szCs w:val="24"/>
                  </w:rPr>
                </w:pPr>
                <w:r>
                  <w:rPr>
                    <w:rFonts w:cstheme="majorBidi"/>
                    <w:b/>
                    <w:bCs/>
                    <w:szCs w:val="24"/>
                  </w:rPr>
                  <w:t>185</w:t>
                </w:r>
              </w:p>
            </w:tc>
          </w:tr>
          <w:tr w:rsidR="00D57746" w14:paraId="4FD649C9" w14:textId="77777777" w:rsidTr="00B679BA">
            <w:tc>
              <w:tcPr>
                <w:tcW w:w="1129" w:type="dxa"/>
              </w:tcPr>
              <w:p w14:paraId="7DE47D83" w14:textId="77777777" w:rsidR="00D57746" w:rsidRDefault="00D57746" w:rsidP="00B679BA">
                <w:pPr>
                  <w:ind w:firstLine="0"/>
                  <w:jc w:val="center"/>
                  <w:rPr>
                    <w:rFonts w:cstheme="majorBidi"/>
                    <w:b/>
                    <w:bCs/>
                    <w:szCs w:val="24"/>
                  </w:rPr>
                </w:pPr>
                <w:r>
                  <w:rPr>
                    <w:rFonts w:cstheme="majorBidi"/>
                    <w:b/>
                    <w:bCs/>
                    <w:szCs w:val="24"/>
                  </w:rPr>
                  <w:t>42</w:t>
                </w:r>
              </w:p>
            </w:tc>
            <w:tc>
              <w:tcPr>
                <w:tcW w:w="6804" w:type="dxa"/>
              </w:tcPr>
              <w:p w14:paraId="41B00A58"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1989A046" w14:textId="77777777" w:rsidR="00D57746" w:rsidRPr="00C16D13" w:rsidRDefault="00452A64" w:rsidP="00B679BA">
                <w:pPr>
                  <w:ind w:firstLine="0"/>
                  <w:jc w:val="center"/>
                  <w:rPr>
                    <w:rFonts w:cstheme="majorBidi"/>
                    <w:b/>
                    <w:bCs/>
                    <w:szCs w:val="24"/>
                  </w:rPr>
                </w:pPr>
                <w:r>
                  <w:rPr>
                    <w:rFonts w:cstheme="majorBidi"/>
                    <w:b/>
                    <w:bCs/>
                    <w:szCs w:val="24"/>
                  </w:rPr>
                  <w:t>186</w:t>
                </w:r>
              </w:p>
            </w:tc>
          </w:tr>
          <w:tr w:rsidR="00D57746" w14:paraId="642F87CA" w14:textId="77777777" w:rsidTr="00B679BA">
            <w:tc>
              <w:tcPr>
                <w:tcW w:w="1129" w:type="dxa"/>
              </w:tcPr>
              <w:p w14:paraId="6AD9923D" w14:textId="77777777" w:rsidR="00D57746" w:rsidRDefault="00D57746" w:rsidP="00B679BA">
                <w:pPr>
                  <w:ind w:firstLine="0"/>
                  <w:jc w:val="center"/>
                  <w:rPr>
                    <w:rFonts w:cstheme="majorBidi"/>
                    <w:b/>
                    <w:bCs/>
                    <w:szCs w:val="24"/>
                  </w:rPr>
                </w:pPr>
                <w:r>
                  <w:rPr>
                    <w:rFonts w:cstheme="majorBidi"/>
                    <w:b/>
                    <w:bCs/>
                    <w:szCs w:val="24"/>
                  </w:rPr>
                  <w:t>43</w:t>
                </w:r>
              </w:p>
            </w:tc>
            <w:tc>
              <w:tcPr>
                <w:tcW w:w="6804" w:type="dxa"/>
              </w:tcPr>
              <w:p w14:paraId="37CC0F6B"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2A784D05" w14:textId="77777777" w:rsidR="00D57746" w:rsidRPr="00C16D13" w:rsidRDefault="00452A64" w:rsidP="00B679BA">
                <w:pPr>
                  <w:ind w:firstLine="0"/>
                  <w:jc w:val="center"/>
                  <w:rPr>
                    <w:rFonts w:cstheme="majorBidi"/>
                    <w:b/>
                    <w:bCs/>
                    <w:szCs w:val="24"/>
                  </w:rPr>
                </w:pPr>
                <w:r>
                  <w:rPr>
                    <w:rFonts w:cstheme="majorBidi"/>
                    <w:b/>
                    <w:bCs/>
                    <w:szCs w:val="24"/>
                  </w:rPr>
                  <w:t>186</w:t>
                </w:r>
              </w:p>
            </w:tc>
          </w:tr>
          <w:tr w:rsidR="00D57746" w14:paraId="3712A55A" w14:textId="77777777" w:rsidTr="00B679BA">
            <w:tc>
              <w:tcPr>
                <w:tcW w:w="1129" w:type="dxa"/>
              </w:tcPr>
              <w:p w14:paraId="0E793B75" w14:textId="77777777" w:rsidR="00D57746" w:rsidRDefault="00D57746" w:rsidP="00B679BA">
                <w:pPr>
                  <w:ind w:firstLine="0"/>
                  <w:jc w:val="center"/>
                  <w:rPr>
                    <w:rFonts w:cstheme="majorBidi"/>
                    <w:b/>
                    <w:bCs/>
                    <w:szCs w:val="24"/>
                  </w:rPr>
                </w:pPr>
                <w:r>
                  <w:rPr>
                    <w:rFonts w:cstheme="majorBidi"/>
                    <w:b/>
                    <w:bCs/>
                    <w:szCs w:val="24"/>
                  </w:rPr>
                  <w:t>44</w:t>
                </w:r>
              </w:p>
            </w:tc>
            <w:tc>
              <w:tcPr>
                <w:tcW w:w="6804" w:type="dxa"/>
              </w:tcPr>
              <w:p w14:paraId="5BEAC0A2"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57ECEB7B" w14:textId="77777777" w:rsidR="00D57746" w:rsidRPr="00C16D13" w:rsidRDefault="00452A64" w:rsidP="00B679BA">
                <w:pPr>
                  <w:ind w:firstLine="0"/>
                  <w:jc w:val="center"/>
                  <w:rPr>
                    <w:rFonts w:cstheme="majorBidi"/>
                    <w:b/>
                    <w:bCs/>
                    <w:szCs w:val="24"/>
                  </w:rPr>
                </w:pPr>
                <w:r>
                  <w:rPr>
                    <w:rFonts w:cstheme="majorBidi"/>
                    <w:b/>
                    <w:bCs/>
                    <w:szCs w:val="24"/>
                  </w:rPr>
                  <w:t>187</w:t>
                </w:r>
              </w:p>
            </w:tc>
          </w:tr>
          <w:tr w:rsidR="00D57746" w14:paraId="1B7D9779" w14:textId="77777777" w:rsidTr="00B679BA">
            <w:tc>
              <w:tcPr>
                <w:tcW w:w="1129" w:type="dxa"/>
              </w:tcPr>
              <w:p w14:paraId="615E351A" w14:textId="77777777" w:rsidR="00D57746" w:rsidRDefault="00D57746" w:rsidP="00B679BA">
                <w:pPr>
                  <w:ind w:firstLine="0"/>
                  <w:jc w:val="center"/>
                  <w:rPr>
                    <w:rFonts w:cstheme="majorBidi"/>
                    <w:b/>
                    <w:bCs/>
                    <w:szCs w:val="24"/>
                  </w:rPr>
                </w:pPr>
                <w:r>
                  <w:rPr>
                    <w:rFonts w:cstheme="majorBidi"/>
                    <w:b/>
                    <w:bCs/>
                    <w:szCs w:val="24"/>
                  </w:rPr>
                  <w:t>45</w:t>
                </w:r>
              </w:p>
            </w:tc>
            <w:tc>
              <w:tcPr>
                <w:tcW w:w="6804" w:type="dxa"/>
              </w:tcPr>
              <w:p w14:paraId="76280441"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78381B56" w14:textId="77777777" w:rsidR="00D57746" w:rsidRPr="00C16D13" w:rsidRDefault="00452A64" w:rsidP="00B679BA">
                <w:pPr>
                  <w:ind w:firstLine="0"/>
                  <w:jc w:val="center"/>
                  <w:rPr>
                    <w:rFonts w:cstheme="majorBidi"/>
                    <w:b/>
                    <w:bCs/>
                    <w:szCs w:val="24"/>
                  </w:rPr>
                </w:pPr>
                <w:r>
                  <w:rPr>
                    <w:rFonts w:cstheme="majorBidi"/>
                    <w:b/>
                    <w:bCs/>
                    <w:szCs w:val="24"/>
                  </w:rPr>
                  <w:t>187</w:t>
                </w:r>
              </w:p>
            </w:tc>
          </w:tr>
          <w:tr w:rsidR="00D57746" w14:paraId="0D1C4F23" w14:textId="77777777" w:rsidTr="00B679BA">
            <w:trPr>
              <w:trHeight w:val="91"/>
            </w:trPr>
            <w:tc>
              <w:tcPr>
                <w:tcW w:w="1129" w:type="dxa"/>
              </w:tcPr>
              <w:p w14:paraId="3C28BFB8" w14:textId="77777777" w:rsidR="00D57746" w:rsidRDefault="00D57746" w:rsidP="00B679BA">
                <w:pPr>
                  <w:ind w:firstLine="0"/>
                  <w:jc w:val="center"/>
                  <w:rPr>
                    <w:rFonts w:cstheme="majorBidi"/>
                    <w:b/>
                    <w:bCs/>
                    <w:szCs w:val="24"/>
                  </w:rPr>
                </w:pPr>
                <w:r>
                  <w:rPr>
                    <w:rFonts w:cstheme="majorBidi"/>
                    <w:b/>
                    <w:bCs/>
                    <w:szCs w:val="24"/>
                  </w:rPr>
                  <w:t>46</w:t>
                </w:r>
              </w:p>
            </w:tc>
            <w:tc>
              <w:tcPr>
                <w:tcW w:w="6804" w:type="dxa"/>
              </w:tcPr>
              <w:p w14:paraId="024FC99E"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49F668B9" w14:textId="77777777" w:rsidR="00D57746" w:rsidRPr="00C16D13" w:rsidRDefault="00452A64" w:rsidP="00B679BA">
                <w:pPr>
                  <w:ind w:firstLine="0"/>
                  <w:jc w:val="center"/>
                  <w:rPr>
                    <w:rFonts w:cstheme="majorBidi"/>
                    <w:b/>
                    <w:bCs/>
                    <w:szCs w:val="24"/>
                  </w:rPr>
                </w:pPr>
                <w:r>
                  <w:rPr>
                    <w:rFonts w:cstheme="majorBidi"/>
                    <w:b/>
                    <w:bCs/>
                    <w:szCs w:val="24"/>
                  </w:rPr>
                  <w:t>188</w:t>
                </w:r>
              </w:p>
            </w:tc>
          </w:tr>
          <w:tr w:rsidR="00D57746" w14:paraId="1B3AE214" w14:textId="77777777" w:rsidTr="00B679BA">
            <w:tc>
              <w:tcPr>
                <w:tcW w:w="1129" w:type="dxa"/>
              </w:tcPr>
              <w:p w14:paraId="1214B89A" w14:textId="77777777" w:rsidR="00D57746" w:rsidRDefault="00D57746" w:rsidP="00B679BA">
                <w:pPr>
                  <w:ind w:firstLine="0"/>
                  <w:jc w:val="center"/>
                  <w:rPr>
                    <w:rFonts w:cstheme="majorBidi"/>
                    <w:b/>
                    <w:bCs/>
                    <w:szCs w:val="24"/>
                  </w:rPr>
                </w:pPr>
                <w:r>
                  <w:rPr>
                    <w:rFonts w:cstheme="majorBidi"/>
                    <w:b/>
                    <w:bCs/>
                    <w:szCs w:val="24"/>
                  </w:rPr>
                  <w:t>47</w:t>
                </w:r>
              </w:p>
            </w:tc>
            <w:tc>
              <w:tcPr>
                <w:tcW w:w="6804" w:type="dxa"/>
              </w:tcPr>
              <w:p w14:paraId="3FFA98FA"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0BCB8F08" w14:textId="77777777" w:rsidR="00D57746" w:rsidRPr="00C16D13" w:rsidRDefault="00452A64" w:rsidP="00B679BA">
                <w:pPr>
                  <w:ind w:firstLine="0"/>
                  <w:jc w:val="center"/>
                  <w:rPr>
                    <w:rFonts w:cstheme="majorBidi"/>
                    <w:b/>
                    <w:bCs/>
                    <w:szCs w:val="24"/>
                  </w:rPr>
                </w:pPr>
                <w:r>
                  <w:rPr>
                    <w:rFonts w:cstheme="majorBidi"/>
                    <w:b/>
                    <w:bCs/>
                    <w:szCs w:val="24"/>
                  </w:rPr>
                  <w:t>188</w:t>
                </w:r>
              </w:p>
            </w:tc>
          </w:tr>
          <w:tr w:rsidR="00D57746" w14:paraId="16F7CC83" w14:textId="77777777" w:rsidTr="00B679BA">
            <w:tc>
              <w:tcPr>
                <w:tcW w:w="1129" w:type="dxa"/>
              </w:tcPr>
              <w:p w14:paraId="3CFFC746" w14:textId="77777777" w:rsidR="00D57746" w:rsidRDefault="00D57746" w:rsidP="00B679BA">
                <w:pPr>
                  <w:ind w:firstLine="0"/>
                  <w:jc w:val="center"/>
                  <w:rPr>
                    <w:rFonts w:cstheme="majorBidi"/>
                    <w:b/>
                    <w:bCs/>
                    <w:szCs w:val="24"/>
                  </w:rPr>
                </w:pPr>
                <w:r>
                  <w:rPr>
                    <w:rFonts w:cstheme="majorBidi"/>
                    <w:b/>
                    <w:bCs/>
                    <w:szCs w:val="24"/>
                  </w:rPr>
                  <w:t>48</w:t>
                </w:r>
              </w:p>
            </w:tc>
            <w:tc>
              <w:tcPr>
                <w:tcW w:w="6804" w:type="dxa"/>
              </w:tcPr>
              <w:p w14:paraId="3B8C9023" w14:textId="77777777" w:rsidR="00D57746" w:rsidRPr="000C4401" w:rsidRDefault="00D57746" w:rsidP="00B679BA">
                <w:pPr>
                  <w:ind w:firstLine="0"/>
                  <w:rPr>
                    <w:rFonts w:cstheme="majorBidi"/>
                    <w:szCs w:val="24"/>
                  </w:rPr>
                </w:pPr>
                <w:r w:rsidRPr="000C4401">
                  <w:rPr>
                    <w:rFonts w:cstheme="majorBidi"/>
                    <w:szCs w:val="24"/>
                  </w:rPr>
                  <w:t>Coefficient de corrélation.</w:t>
                </w:r>
              </w:p>
            </w:tc>
            <w:tc>
              <w:tcPr>
                <w:tcW w:w="1129" w:type="dxa"/>
              </w:tcPr>
              <w:p w14:paraId="1A82620A" w14:textId="77777777" w:rsidR="00D57746" w:rsidRPr="00C16D13" w:rsidRDefault="00452A64" w:rsidP="00B679BA">
                <w:pPr>
                  <w:ind w:firstLine="0"/>
                  <w:jc w:val="center"/>
                  <w:rPr>
                    <w:rFonts w:cstheme="majorBidi"/>
                    <w:b/>
                    <w:bCs/>
                    <w:szCs w:val="24"/>
                  </w:rPr>
                </w:pPr>
                <w:r>
                  <w:rPr>
                    <w:rFonts w:cstheme="majorBidi"/>
                    <w:b/>
                    <w:bCs/>
                    <w:szCs w:val="24"/>
                  </w:rPr>
                  <w:t>189</w:t>
                </w:r>
              </w:p>
            </w:tc>
          </w:tr>
          <w:tr w:rsidR="00D57746" w14:paraId="30A24B9B" w14:textId="77777777" w:rsidTr="00B679BA">
            <w:tc>
              <w:tcPr>
                <w:tcW w:w="1129" w:type="dxa"/>
              </w:tcPr>
              <w:p w14:paraId="3B6D7DE1" w14:textId="77777777" w:rsidR="00D57746" w:rsidRDefault="00D57746" w:rsidP="00B679BA">
                <w:pPr>
                  <w:ind w:firstLine="0"/>
                  <w:jc w:val="center"/>
                  <w:rPr>
                    <w:rFonts w:cstheme="majorBidi"/>
                    <w:b/>
                    <w:bCs/>
                    <w:szCs w:val="24"/>
                  </w:rPr>
                </w:pPr>
                <w:r>
                  <w:rPr>
                    <w:rFonts w:cstheme="majorBidi"/>
                    <w:b/>
                    <w:bCs/>
                    <w:szCs w:val="24"/>
                  </w:rPr>
                  <w:t>49</w:t>
                </w:r>
              </w:p>
            </w:tc>
            <w:tc>
              <w:tcPr>
                <w:tcW w:w="6804" w:type="dxa"/>
              </w:tcPr>
              <w:p w14:paraId="7282F4BB" w14:textId="77777777" w:rsidR="00D57746" w:rsidRPr="000C4401" w:rsidRDefault="00D57746" w:rsidP="00B679BA">
                <w:pPr>
                  <w:ind w:firstLine="0"/>
                  <w:rPr>
                    <w:rFonts w:cstheme="majorBidi"/>
                    <w:szCs w:val="24"/>
                  </w:rPr>
                </w:pPr>
                <w:r w:rsidRPr="000C4401">
                  <w:rPr>
                    <w:rFonts w:cstheme="majorBidi"/>
                    <w:szCs w:val="24"/>
                  </w:rPr>
                  <w:t>La variance Anova.</w:t>
                </w:r>
              </w:p>
            </w:tc>
            <w:tc>
              <w:tcPr>
                <w:tcW w:w="1129" w:type="dxa"/>
              </w:tcPr>
              <w:p w14:paraId="24F39B87" w14:textId="77777777" w:rsidR="00D57746" w:rsidRPr="00C16D13" w:rsidRDefault="00452A64" w:rsidP="00B679BA">
                <w:pPr>
                  <w:ind w:firstLine="0"/>
                  <w:jc w:val="center"/>
                  <w:rPr>
                    <w:rFonts w:cstheme="majorBidi"/>
                    <w:b/>
                    <w:bCs/>
                    <w:szCs w:val="24"/>
                  </w:rPr>
                </w:pPr>
                <w:r>
                  <w:rPr>
                    <w:rFonts w:cstheme="majorBidi"/>
                    <w:b/>
                    <w:bCs/>
                    <w:szCs w:val="24"/>
                  </w:rPr>
                  <w:t>189</w:t>
                </w:r>
              </w:p>
            </w:tc>
          </w:tr>
          <w:tr w:rsidR="00D57746" w14:paraId="64C734A6" w14:textId="77777777" w:rsidTr="00B679BA">
            <w:tc>
              <w:tcPr>
                <w:tcW w:w="1129" w:type="dxa"/>
              </w:tcPr>
              <w:p w14:paraId="5D3B50AC" w14:textId="77777777" w:rsidR="00D57746" w:rsidRDefault="00D57746" w:rsidP="00B679BA">
                <w:pPr>
                  <w:ind w:firstLine="0"/>
                  <w:jc w:val="center"/>
                  <w:rPr>
                    <w:rFonts w:cstheme="majorBidi"/>
                    <w:b/>
                    <w:bCs/>
                    <w:szCs w:val="24"/>
                  </w:rPr>
                </w:pPr>
                <w:r>
                  <w:rPr>
                    <w:rFonts w:cstheme="majorBidi"/>
                    <w:b/>
                    <w:bCs/>
                    <w:szCs w:val="24"/>
                  </w:rPr>
                  <w:t>50</w:t>
                </w:r>
              </w:p>
            </w:tc>
            <w:tc>
              <w:tcPr>
                <w:tcW w:w="6804" w:type="dxa"/>
              </w:tcPr>
              <w:p w14:paraId="4792CEBF" w14:textId="77777777" w:rsidR="00D57746" w:rsidRPr="000C4401" w:rsidRDefault="00D57746" w:rsidP="00B679BA">
                <w:pPr>
                  <w:ind w:firstLine="0"/>
                  <w:rPr>
                    <w:rFonts w:cstheme="majorBidi"/>
                    <w:szCs w:val="24"/>
                  </w:rPr>
                </w:pPr>
                <w:r w:rsidRPr="000C4401">
                  <w:rPr>
                    <w:rFonts w:cstheme="majorBidi"/>
                    <w:szCs w:val="24"/>
                  </w:rPr>
                  <w:t>Coefficients de régression</w:t>
                </w:r>
              </w:p>
            </w:tc>
            <w:tc>
              <w:tcPr>
                <w:tcW w:w="1129" w:type="dxa"/>
              </w:tcPr>
              <w:p w14:paraId="66123D51" w14:textId="77777777" w:rsidR="00D57746" w:rsidRPr="00C16D13" w:rsidRDefault="00452A64" w:rsidP="00B679BA">
                <w:pPr>
                  <w:ind w:firstLine="0"/>
                  <w:jc w:val="center"/>
                  <w:rPr>
                    <w:rFonts w:cstheme="majorBidi"/>
                    <w:b/>
                    <w:bCs/>
                    <w:szCs w:val="24"/>
                  </w:rPr>
                </w:pPr>
                <w:r>
                  <w:rPr>
                    <w:rFonts w:cstheme="majorBidi"/>
                    <w:b/>
                    <w:bCs/>
                    <w:szCs w:val="24"/>
                  </w:rPr>
                  <w:t>190</w:t>
                </w:r>
              </w:p>
            </w:tc>
          </w:tr>
        </w:tbl>
        <w:p w14:paraId="493BB78B" w14:textId="77777777" w:rsidR="00D57746" w:rsidRDefault="00D57746" w:rsidP="00BC1AEC">
          <w:pPr>
            <w:pStyle w:val="Titre1"/>
          </w:pPr>
          <w:bookmarkStart w:id="28" w:name="_Toc231742157"/>
          <w:bookmarkStart w:id="29" w:name="_Toc231746769"/>
          <w:bookmarkStart w:id="30" w:name="_Toc231752177"/>
          <w:bookmarkStart w:id="31" w:name="_Toc231810050"/>
          <w:bookmarkStart w:id="32" w:name="_Toc231810480"/>
          <w:bookmarkStart w:id="33" w:name="_Toc231811416"/>
          <w:bookmarkStart w:id="34" w:name="_Toc231811823"/>
          <w:bookmarkStart w:id="35" w:name="_Toc231812103"/>
          <w:bookmarkStart w:id="36" w:name="_Toc231814987"/>
          <w:r w:rsidRPr="00EB240D">
            <w:t>LISTE DES ABREVIATIONS</w:t>
          </w:r>
          <w:r>
            <w:t> :</w:t>
          </w:r>
          <w:bookmarkEnd w:id="28"/>
          <w:bookmarkEnd w:id="29"/>
          <w:bookmarkEnd w:id="30"/>
          <w:bookmarkEnd w:id="31"/>
          <w:bookmarkEnd w:id="32"/>
          <w:bookmarkEnd w:id="33"/>
          <w:bookmarkEnd w:id="34"/>
          <w:bookmarkEnd w:id="35"/>
          <w:bookmarkEnd w:id="36"/>
        </w:p>
        <w:tbl>
          <w:tblPr>
            <w:tblStyle w:val="Grilledutableau"/>
            <w:tblW w:w="0" w:type="auto"/>
            <w:tblLook w:val="04A0" w:firstRow="1" w:lastRow="0" w:firstColumn="1" w:lastColumn="0" w:noHBand="0" w:noVBand="1"/>
          </w:tblPr>
          <w:tblGrid>
            <w:gridCol w:w="1129"/>
            <w:gridCol w:w="7931"/>
          </w:tblGrid>
          <w:tr w:rsidR="00D57746" w14:paraId="4A716F0F" w14:textId="77777777" w:rsidTr="00B679BA">
            <w:tc>
              <w:tcPr>
                <w:tcW w:w="1129" w:type="dxa"/>
                <w:shd w:val="clear" w:color="auto" w:fill="B4C6E7" w:themeFill="accent1" w:themeFillTint="66"/>
              </w:tcPr>
              <w:p w14:paraId="12FD3746" w14:textId="77777777" w:rsidR="00D57746" w:rsidRPr="00EB240D" w:rsidRDefault="00D57746" w:rsidP="00B679BA">
                <w:pPr>
                  <w:ind w:firstLine="0"/>
                  <w:rPr>
                    <w:rFonts w:cstheme="majorBidi"/>
                    <w:b/>
                    <w:bCs/>
                    <w:szCs w:val="24"/>
                  </w:rPr>
                </w:pPr>
                <w:r w:rsidRPr="00EB240D">
                  <w:rPr>
                    <w:rFonts w:cstheme="majorBidi"/>
                    <w:b/>
                    <w:bCs/>
                    <w:szCs w:val="24"/>
                  </w:rPr>
                  <w:t>SEC</w:t>
                </w:r>
              </w:p>
            </w:tc>
            <w:tc>
              <w:tcPr>
                <w:tcW w:w="7933" w:type="dxa"/>
              </w:tcPr>
              <w:p w14:paraId="173E41DD" w14:textId="77777777" w:rsidR="00D57746" w:rsidRDefault="00D57746" w:rsidP="00B679BA">
                <w:pPr>
                  <w:ind w:firstLine="0"/>
                  <w:rPr>
                    <w:rFonts w:cstheme="majorBidi"/>
                    <w:b/>
                    <w:bCs/>
                    <w:szCs w:val="24"/>
                  </w:rPr>
                </w:pPr>
                <w:r w:rsidRPr="00E67814">
                  <w:rPr>
                    <w:rFonts w:cstheme="majorBidi"/>
                    <w:szCs w:val="24"/>
                  </w:rPr>
                  <w:t>Securities and Exchange Commission</w:t>
                </w:r>
                <w:r>
                  <w:rPr>
                    <w:rFonts w:cstheme="majorBidi"/>
                    <w:szCs w:val="24"/>
                  </w:rPr>
                  <w:t>.</w:t>
                </w:r>
              </w:p>
            </w:tc>
          </w:tr>
          <w:tr w:rsidR="00D57746" w14:paraId="64D6FE4B" w14:textId="77777777" w:rsidTr="00B679BA">
            <w:tc>
              <w:tcPr>
                <w:tcW w:w="1129" w:type="dxa"/>
                <w:shd w:val="clear" w:color="auto" w:fill="B4C6E7" w:themeFill="accent1" w:themeFillTint="66"/>
              </w:tcPr>
              <w:p w14:paraId="7CBE7FFE" w14:textId="77777777" w:rsidR="00D57746" w:rsidRPr="00EB240D" w:rsidRDefault="00D57746" w:rsidP="00B679BA">
                <w:pPr>
                  <w:ind w:firstLine="0"/>
                  <w:rPr>
                    <w:rFonts w:cstheme="majorBidi"/>
                    <w:b/>
                    <w:bCs/>
                    <w:szCs w:val="24"/>
                  </w:rPr>
                </w:pPr>
                <w:r w:rsidRPr="00EB240D">
                  <w:rPr>
                    <w:rFonts w:cstheme="majorBidi"/>
                    <w:b/>
                    <w:bCs/>
                    <w:szCs w:val="24"/>
                  </w:rPr>
                  <w:t>NYSE</w:t>
                </w:r>
              </w:p>
            </w:tc>
            <w:tc>
              <w:tcPr>
                <w:tcW w:w="7933" w:type="dxa"/>
              </w:tcPr>
              <w:p w14:paraId="3341228B" w14:textId="77777777" w:rsidR="00D57746" w:rsidRDefault="00D57746" w:rsidP="00B679BA">
                <w:pPr>
                  <w:ind w:firstLine="0"/>
                  <w:rPr>
                    <w:rFonts w:cstheme="majorBidi"/>
                    <w:b/>
                    <w:bCs/>
                    <w:szCs w:val="24"/>
                  </w:rPr>
                </w:pPr>
                <w:r w:rsidRPr="00E67814">
                  <w:rPr>
                    <w:rFonts w:cstheme="majorBidi"/>
                    <w:szCs w:val="24"/>
                  </w:rPr>
                  <w:t>New York Stock Exchange</w:t>
                </w:r>
                <w:r>
                  <w:rPr>
                    <w:rFonts w:cstheme="majorBidi"/>
                    <w:szCs w:val="24"/>
                  </w:rPr>
                  <w:t>.</w:t>
                </w:r>
              </w:p>
            </w:tc>
          </w:tr>
          <w:tr w:rsidR="00D57746" w14:paraId="79D39A1B" w14:textId="77777777" w:rsidTr="00B679BA">
            <w:tc>
              <w:tcPr>
                <w:tcW w:w="1129" w:type="dxa"/>
                <w:shd w:val="clear" w:color="auto" w:fill="B4C6E7" w:themeFill="accent1" w:themeFillTint="66"/>
              </w:tcPr>
              <w:p w14:paraId="26E66E3F" w14:textId="77777777" w:rsidR="00D57746" w:rsidRPr="00EB240D" w:rsidRDefault="00D57746" w:rsidP="00B679BA">
                <w:pPr>
                  <w:ind w:firstLine="0"/>
                  <w:rPr>
                    <w:rFonts w:cstheme="majorBidi"/>
                    <w:b/>
                    <w:bCs/>
                    <w:szCs w:val="24"/>
                  </w:rPr>
                </w:pPr>
                <w:r w:rsidRPr="00EB240D">
                  <w:rPr>
                    <w:rFonts w:cstheme="majorBidi"/>
                    <w:b/>
                    <w:bCs/>
                    <w:szCs w:val="24"/>
                  </w:rPr>
                  <w:t>ALI</w:t>
                </w:r>
              </w:p>
            </w:tc>
            <w:tc>
              <w:tcPr>
                <w:tcW w:w="7933" w:type="dxa"/>
              </w:tcPr>
              <w:p w14:paraId="7120290C" w14:textId="77777777" w:rsidR="00D57746" w:rsidRDefault="00D57746" w:rsidP="00B679BA">
                <w:pPr>
                  <w:ind w:firstLine="0"/>
                  <w:rPr>
                    <w:rFonts w:cstheme="majorBidi"/>
                    <w:b/>
                    <w:bCs/>
                    <w:szCs w:val="24"/>
                  </w:rPr>
                </w:pPr>
                <w:r w:rsidRPr="00E67814">
                  <w:rPr>
                    <w:rFonts w:cstheme="majorBidi"/>
                    <w:szCs w:val="24"/>
                  </w:rPr>
                  <w:t>American Law Institute</w:t>
                </w:r>
                <w:r>
                  <w:rPr>
                    <w:rFonts w:cstheme="majorBidi"/>
                    <w:szCs w:val="24"/>
                  </w:rPr>
                  <w:t>.</w:t>
                </w:r>
              </w:p>
            </w:tc>
          </w:tr>
          <w:tr w:rsidR="00D57746" w14:paraId="07F9D79A" w14:textId="77777777" w:rsidTr="00B679BA">
            <w:tc>
              <w:tcPr>
                <w:tcW w:w="1129" w:type="dxa"/>
                <w:shd w:val="clear" w:color="auto" w:fill="B4C6E7" w:themeFill="accent1" w:themeFillTint="66"/>
              </w:tcPr>
              <w:p w14:paraId="45CBFB9D" w14:textId="77777777" w:rsidR="00D57746" w:rsidRPr="00EB240D" w:rsidRDefault="00D57746" w:rsidP="00B679BA">
                <w:pPr>
                  <w:ind w:firstLine="0"/>
                  <w:rPr>
                    <w:rFonts w:cstheme="majorBidi"/>
                    <w:b/>
                    <w:bCs/>
                    <w:szCs w:val="24"/>
                  </w:rPr>
                </w:pPr>
                <w:r w:rsidRPr="00EB240D">
                  <w:rPr>
                    <w:rFonts w:cstheme="majorBidi"/>
                    <w:b/>
                    <w:bCs/>
                    <w:szCs w:val="24"/>
                  </w:rPr>
                  <w:t>SOX</w:t>
                </w:r>
              </w:p>
            </w:tc>
            <w:tc>
              <w:tcPr>
                <w:tcW w:w="7933" w:type="dxa"/>
              </w:tcPr>
              <w:p w14:paraId="3D808EFA" w14:textId="77777777" w:rsidR="00D57746" w:rsidRDefault="00D57746" w:rsidP="00B679BA">
                <w:pPr>
                  <w:ind w:firstLine="0"/>
                  <w:rPr>
                    <w:rFonts w:cstheme="majorBidi"/>
                    <w:b/>
                    <w:bCs/>
                    <w:szCs w:val="24"/>
                  </w:rPr>
                </w:pPr>
                <w:r w:rsidRPr="00E67814">
                  <w:rPr>
                    <w:rFonts w:cstheme="majorBidi"/>
                    <w:szCs w:val="24"/>
                  </w:rPr>
                  <w:t>Sarbanes-Oxley</w:t>
                </w:r>
                <w:r>
                  <w:rPr>
                    <w:rFonts w:cstheme="majorBidi"/>
                    <w:szCs w:val="24"/>
                  </w:rPr>
                  <w:t>.</w:t>
                </w:r>
              </w:p>
            </w:tc>
          </w:tr>
          <w:tr w:rsidR="00D57746" w14:paraId="2CA2CC25" w14:textId="77777777" w:rsidTr="00B679BA">
            <w:tc>
              <w:tcPr>
                <w:tcW w:w="1129" w:type="dxa"/>
                <w:shd w:val="clear" w:color="auto" w:fill="B4C6E7" w:themeFill="accent1" w:themeFillTint="66"/>
              </w:tcPr>
              <w:p w14:paraId="16D0ED10" w14:textId="77777777" w:rsidR="00D57746" w:rsidRPr="00EB240D" w:rsidRDefault="00D57746" w:rsidP="00B679BA">
                <w:pPr>
                  <w:ind w:firstLine="0"/>
                  <w:rPr>
                    <w:rFonts w:cstheme="majorBidi"/>
                    <w:b/>
                    <w:bCs/>
                    <w:szCs w:val="24"/>
                  </w:rPr>
                </w:pPr>
                <w:r w:rsidRPr="00EB240D">
                  <w:rPr>
                    <w:rFonts w:cstheme="majorBidi"/>
                    <w:b/>
                    <w:bCs/>
                    <w:szCs w:val="24"/>
                  </w:rPr>
                  <w:t>OCDE</w:t>
                </w:r>
              </w:p>
            </w:tc>
            <w:tc>
              <w:tcPr>
                <w:tcW w:w="7933" w:type="dxa"/>
              </w:tcPr>
              <w:p w14:paraId="6823488A" w14:textId="77777777" w:rsidR="00D57746" w:rsidRPr="00D764F7" w:rsidRDefault="00D57746" w:rsidP="00B679BA">
                <w:pPr>
                  <w:ind w:firstLine="0"/>
                  <w:rPr>
                    <w:rFonts w:cstheme="majorBidi"/>
                    <w:szCs w:val="24"/>
                  </w:rPr>
                </w:pPr>
                <w:r w:rsidRPr="00D764F7">
                  <w:rPr>
                    <w:rFonts w:cstheme="majorBidi"/>
                    <w:szCs w:val="24"/>
                  </w:rPr>
                  <w:t>Organisation de coopération et de développement économiques.</w:t>
                </w:r>
              </w:p>
            </w:tc>
          </w:tr>
          <w:tr w:rsidR="00D57746" w14:paraId="5D25FFC7" w14:textId="77777777" w:rsidTr="00B679BA">
            <w:tc>
              <w:tcPr>
                <w:tcW w:w="1129" w:type="dxa"/>
                <w:shd w:val="clear" w:color="auto" w:fill="B4C6E7" w:themeFill="accent1" w:themeFillTint="66"/>
              </w:tcPr>
              <w:p w14:paraId="7C7E8480" w14:textId="77777777" w:rsidR="00D57746" w:rsidRPr="00EB240D" w:rsidRDefault="00D57746" w:rsidP="00B679BA">
                <w:pPr>
                  <w:ind w:firstLine="0"/>
                  <w:rPr>
                    <w:rFonts w:cstheme="majorBidi"/>
                    <w:b/>
                    <w:bCs/>
                    <w:szCs w:val="24"/>
                  </w:rPr>
                </w:pPr>
                <w:r>
                  <w:rPr>
                    <w:rFonts w:cstheme="majorBidi"/>
                    <w:b/>
                    <w:bCs/>
                    <w:szCs w:val="24"/>
                  </w:rPr>
                  <w:t>IIA</w:t>
                </w:r>
              </w:p>
            </w:tc>
            <w:tc>
              <w:tcPr>
                <w:tcW w:w="7933" w:type="dxa"/>
              </w:tcPr>
              <w:p w14:paraId="1CAE1345" w14:textId="77777777" w:rsidR="00D57746" w:rsidRPr="00D764F7" w:rsidRDefault="00D57746" w:rsidP="00B679BA">
                <w:pPr>
                  <w:ind w:firstLine="0"/>
                  <w:rPr>
                    <w:rFonts w:cstheme="majorBidi"/>
                    <w:b/>
                    <w:bCs/>
                    <w:szCs w:val="24"/>
                  </w:rPr>
                </w:pPr>
                <w:r w:rsidRPr="00D764F7">
                  <w:rPr>
                    <w:rFonts w:cstheme="majorBidi"/>
                    <w:szCs w:val="24"/>
                  </w:rPr>
                  <w:t>Institute of Internal Auditor</w:t>
                </w:r>
                <w:r>
                  <w:rPr>
                    <w:rFonts w:cstheme="majorBidi"/>
                    <w:szCs w:val="24"/>
                  </w:rPr>
                  <w:t>.</w:t>
                </w:r>
              </w:p>
            </w:tc>
          </w:tr>
          <w:tr w:rsidR="00D57746" w14:paraId="58D411D7" w14:textId="77777777" w:rsidTr="00B679BA">
            <w:tc>
              <w:tcPr>
                <w:tcW w:w="1129" w:type="dxa"/>
                <w:shd w:val="clear" w:color="auto" w:fill="B4C6E7" w:themeFill="accent1" w:themeFillTint="66"/>
              </w:tcPr>
              <w:p w14:paraId="15D25A99" w14:textId="77777777" w:rsidR="00D57746" w:rsidRPr="00EB240D" w:rsidRDefault="00D57746" w:rsidP="00B679BA">
                <w:pPr>
                  <w:ind w:firstLine="0"/>
                  <w:rPr>
                    <w:rFonts w:cstheme="majorBidi"/>
                    <w:b/>
                    <w:bCs/>
                    <w:szCs w:val="24"/>
                  </w:rPr>
                </w:pPr>
                <w:r w:rsidRPr="00D764F7">
                  <w:rPr>
                    <w:rFonts w:cstheme="majorBidi"/>
                    <w:b/>
                    <w:bCs/>
                    <w:szCs w:val="24"/>
                  </w:rPr>
                  <w:t>IFC</w:t>
                </w:r>
              </w:p>
            </w:tc>
            <w:tc>
              <w:tcPr>
                <w:tcW w:w="7933" w:type="dxa"/>
              </w:tcPr>
              <w:p w14:paraId="41EA693D" w14:textId="77777777" w:rsidR="00D57746" w:rsidRPr="00D764F7" w:rsidRDefault="00D57746" w:rsidP="00B679BA">
                <w:pPr>
                  <w:ind w:firstLine="0"/>
                  <w:rPr>
                    <w:rFonts w:cstheme="majorBidi"/>
                    <w:szCs w:val="24"/>
                  </w:rPr>
                </w:pPr>
                <w:r w:rsidRPr="00D764F7">
                  <w:rPr>
                    <w:rFonts w:cstheme="majorBidi"/>
                    <w:szCs w:val="24"/>
                  </w:rPr>
                  <w:t>International Finance Corporation.</w:t>
                </w:r>
              </w:p>
            </w:tc>
          </w:tr>
          <w:tr w:rsidR="00D57746" w14:paraId="33662C2B" w14:textId="77777777" w:rsidTr="00B679BA">
            <w:tc>
              <w:tcPr>
                <w:tcW w:w="1129" w:type="dxa"/>
                <w:shd w:val="clear" w:color="auto" w:fill="B4C6E7" w:themeFill="accent1" w:themeFillTint="66"/>
              </w:tcPr>
              <w:p w14:paraId="5ABD4649" w14:textId="77777777" w:rsidR="00D57746" w:rsidRPr="00EB240D" w:rsidRDefault="00D57746" w:rsidP="00B679BA">
                <w:pPr>
                  <w:ind w:firstLine="0"/>
                  <w:rPr>
                    <w:rFonts w:cstheme="majorBidi"/>
                    <w:b/>
                    <w:bCs/>
                    <w:szCs w:val="24"/>
                  </w:rPr>
                </w:pPr>
                <w:r w:rsidRPr="00D764F7">
                  <w:rPr>
                    <w:rFonts w:cstheme="majorBidi"/>
                    <w:b/>
                    <w:bCs/>
                    <w:szCs w:val="24"/>
                  </w:rPr>
                  <w:t>GRI</w:t>
                </w:r>
              </w:p>
            </w:tc>
            <w:tc>
              <w:tcPr>
                <w:tcW w:w="7933" w:type="dxa"/>
              </w:tcPr>
              <w:p w14:paraId="2A3E4EEA" w14:textId="77777777" w:rsidR="00D57746" w:rsidRPr="00D764F7" w:rsidRDefault="00D57746" w:rsidP="00B679BA">
                <w:pPr>
                  <w:ind w:firstLine="0"/>
                  <w:rPr>
                    <w:rFonts w:cstheme="majorBidi"/>
                    <w:szCs w:val="24"/>
                  </w:rPr>
                </w:pPr>
                <w:r w:rsidRPr="00D764F7">
                  <w:rPr>
                    <w:rFonts w:cstheme="majorBidi"/>
                    <w:szCs w:val="24"/>
                  </w:rPr>
                  <w:t>Global Reporting Initiative.</w:t>
                </w:r>
              </w:p>
            </w:tc>
          </w:tr>
          <w:tr w:rsidR="00D57746" w:rsidRPr="00B44E67" w14:paraId="4A6A8FF3" w14:textId="77777777" w:rsidTr="00B679BA">
            <w:tc>
              <w:tcPr>
                <w:tcW w:w="1129" w:type="dxa"/>
                <w:shd w:val="clear" w:color="auto" w:fill="B4C6E7" w:themeFill="accent1" w:themeFillTint="66"/>
              </w:tcPr>
              <w:p w14:paraId="71B93A32" w14:textId="77777777" w:rsidR="00D57746" w:rsidRPr="00D764F7" w:rsidRDefault="00D57746" w:rsidP="00B679BA">
                <w:pPr>
                  <w:ind w:firstLine="0"/>
                  <w:rPr>
                    <w:rFonts w:cstheme="majorBidi"/>
                    <w:b/>
                    <w:bCs/>
                    <w:szCs w:val="24"/>
                  </w:rPr>
                </w:pPr>
                <w:r w:rsidRPr="00D764F7">
                  <w:rPr>
                    <w:b/>
                    <w:bCs/>
                    <w:szCs w:val="24"/>
                  </w:rPr>
                  <w:t>BCBS</w:t>
                </w:r>
              </w:p>
            </w:tc>
            <w:tc>
              <w:tcPr>
                <w:tcW w:w="7933" w:type="dxa"/>
              </w:tcPr>
              <w:p w14:paraId="69FA826D" w14:textId="77777777" w:rsidR="00D57746" w:rsidRPr="00D764F7" w:rsidRDefault="00D57746" w:rsidP="00B679BA">
                <w:pPr>
                  <w:ind w:firstLine="0"/>
                  <w:rPr>
                    <w:rFonts w:cstheme="majorBidi"/>
                    <w:szCs w:val="24"/>
                    <w:lang w:val="en-AE"/>
                  </w:rPr>
                </w:pPr>
                <w:r w:rsidRPr="00D764F7">
                  <w:rPr>
                    <w:rFonts w:cstheme="majorBidi"/>
                    <w:szCs w:val="24"/>
                    <w:lang w:val="en-AE"/>
                  </w:rPr>
                  <w:t>Basel Committee on Banking Supervision.</w:t>
                </w:r>
              </w:p>
            </w:tc>
          </w:tr>
          <w:tr w:rsidR="00D57746" w:rsidRPr="00D764F7" w14:paraId="3329D316" w14:textId="77777777" w:rsidTr="00B679BA">
            <w:tc>
              <w:tcPr>
                <w:tcW w:w="1129" w:type="dxa"/>
                <w:shd w:val="clear" w:color="auto" w:fill="B4C6E7" w:themeFill="accent1" w:themeFillTint="66"/>
              </w:tcPr>
              <w:p w14:paraId="75213CE2" w14:textId="77777777" w:rsidR="00D57746" w:rsidRPr="00D764F7" w:rsidRDefault="00D57746" w:rsidP="00B679BA">
                <w:pPr>
                  <w:ind w:firstLine="0"/>
                  <w:rPr>
                    <w:rFonts w:cstheme="majorBidi"/>
                    <w:b/>
                    <w:bCs/>
                    <w:szCs w:val="24"/>
                    <w:lang w:val="en-AE"/>
                  </w:rPr>
                </w:pPr>
                <w:r w:rsidRPr="00D764F7">
                  <w:rPr>
                    <w:rFonts w:cstheme="majorBidi"/>
                    <w:b/>
                    <w:bCs/>
                    <w:szCs w:val="24"/>
                  </w:rPr>
                  <w:t>SFI</w:t>
                </w:r>
              </w:p>
            </w:tc>
            <w:tc>
              <w:tcPr>
                <w:tcW w:w="7933" w:type="dxa"/>
              </w:tcPr>
              <w:p w14:paraId="1729A19D" w14:textId="77777777" w:rsidR="00D57746" w:rsidRPr="00D764F7" w:rsidRDefault="00D57746" w:rsidP="00B679BA">
                <w:pPr>
                  <w:ind w:firstLine="0"/>
                  <w:rPr>
                    <w:rFonts w:cstheme="majorBidi"/>
                    <w:szCs w:val="24"/>
                    <w:lang w:val="en-AE"/>
                  </w:rPr>
                </w:pPr>
                <w:r w:rsidRPr="00D764F7">
                  <w:rPr>
                    <w:rFonts w:cstheme="majorBidi"/>
                    <w:szCs w:val="24"/>
                  </w:rPr>
                  <w:t>Société Financière Internationale</w:t>
                </w:r>
                <w:r>
                  <w:rPr>
                    <w:rFonts w:cstheme="majorBidi"/>
                    <w:szCs w:val="24"/>
                  </w:rPr>
                  <w:t>.</w:t>
                </w:r>
              </w:p>
            </w:tc>
          </w:tr>
          <w:tr w:rsidR="00D57746" w:rsidRPr="00D764F7" w14:paraId="100873C8" w14:textId="77777777" w:rsidTr="00B679BA">
            <w:tc>
              <w:tcPr>
                <w:tcW w:w="1129" w:type="dxa"/>
                <w:shd w:val="clear" w:color="auto" w:fill="B4C6E7" w:themeFill="accent1" w:themeFillTint="66"/>
              </w:tcPr>
              <w:p w14:paraId="6693BEAB" w14:textId="77777777" w:rsidR="00D57746" w:rsidRPr="00D764F7" w:rsidRDefault="00D57746" w:rsidP="00B679BA">
                <w:pPr>
                  <w:ind w:firstLine="0"/>
                  <w:rPr>
                    <w:rFonts w:cstheme="majorBidi"/>
                    <w:b/>
                    <w:bCs/>
                    <w:szCs w:val="24"/>
                    <w:lang w:val="en-AE"/>
                  </w:rPr>
                </w:pPr>
                <w:r w:rsidRPr="00D764F7">
                  <w:rPr>
                    <w:rFonts w:cstheme="majorBidi"/>
                    <w:b/>
                    <w:bCs/>
                    <w:szCs w:val="24"/>
                  </w:rPr>
                  <w:t>FMI</w:t>
                </w:r>
              </w:p>
            </w:tc>
            <w:tc>
              <w:tcPr>
                <w:tcW w:w="7933" w:type="dxa"/>
              </w:tcPr>
              <w:p w14:paraId="4D06917E" w14:textId="77777777" w:rsidR="00D57746" w:rsidRPr="00D764F7" w:rsidRDefault="00D57746" w:rsidP="00B679BA">
                <w:pPr>
                  <w:ind w:firstLine="0"/>
                  <w:rPr>
                    <w:rFonts w:cstheme="majorBidi"/>
                    <w:szCs w:val="24"/>
                    <w:lang w:val="en-AE"/>
                  </w:rPr>
                </w:pPr>
                <w:r w:rsidRPr="00D764F7">
                  <w:rPr>
                    <w:rFonts w:cstheme="majorBidi"/>
                    <w:szCs w:val="24"/>
                  </w:rPr>
                  <w:t>Fonds monétaire international</w:t>
                </w:r>
                <w:r>
                  <w:rPr>
                    <w:rFonts w:cstheme="majorBidi"/>
                    <w:szCs w:val="24"/>
                  </w:rPr>
                  <w:t>.</w:t>
                </w:r>
              </w:p>
            </w:tc>
          </w:tr>
          <w:tr w:rsidR="00D57746" w:rsidRPr="00D764F7" w14:paraId="38E39CE1" w14:textId="77777777" w:rsidTr="00B679BA">
            <w:tc>
              <w:tcPr>
                <w:tcW w:w="1129" w:type="dxa"/>
                <w:shd w:val="clear" w:color="auto" w:fill="B4C6E7" w:themeFill="accent1" w:themeFillTint="66"/>
              </w:tcPr>
              <w:p w14:paraId="2F4E6D70" w14:textId="77777777" w:rsidR="00D57746" w:rsidRPr="00D764F7" w:rsidRDefault="00D57746" w:rsidP="00B679BA">
                <w:pPr>
                  <w:ind w:firstLine="0"/>
                  <w:rPr>
                    <w:rFonts w:cstheme="majorBidi"/>
                    <w:b/>
                    <w:bCs/>
                    <w:szCs w:val="24"/>
                    <w:lang w:val="en-AE"/>
                  </w:rPr>
                </w:pPr>
                <w:r w:rsidRPr="00301F7D">
                  <w:rPr>
                    <w:rFonts w:cstheme="majorBidi"/>
                    <w:b/>
                    <w:bCs/>
                    <w:szCs w:val="24"/>
                  </w:rPr>
                  <w:t>ICGN</w:t>
                </w:r>
              </w:p>
            </w:tc>
            <w:tc>
              <w:tcPr>
                <w:tcW w:w="7933" w:type="dxa"/>
              </w:tcPr>
              <w:p w14:paraId="6EC93ADA" w14:textId="77777777" w:rsidR="00D57746" w:rsidRPr="00D764F7" w:rsidRDefault="00D57746" w:rsidP="00B679BA">
                <w:pPr>
                  <w:ind w:firstLine="0"/>
                  <w:rPr>
                    <w:rFonts w:cstheme="majorBidi"/>
                    <w:szCs w:val="24"/>
                    <w:lang w:val="en-AE"/>
                  </w:rPr>
                </w:pPr>
                <w:r w:rsidRPr="00301F7D">
                  <w:rPr>
                    <w:rFonts w:cstheme="majorBidi"/>
                    <w:szCs w:val="24"/>
                  </w:rPr>
                  <w:t>International Corporate Governance Network</w:t>
                </w:r>
                <w:r>
                  <w:rPr>
                    <w:rFonts w:cstheme="majorBidi"/>
                    <w:szCs w:val="24"/>
                  </w:rPr>
                  <w:t>.</w:t>
                </w:r>
              </w:p>
            </w:tc>
          </w:tr>
          <w:tr w:rsidR="00D57746" w:rsidRPr="00D764F7" w14:paraId="1890107C" w14:textId="77777777" w:rsidTr="00B679BA">
            <w:tc>
              <w:tcPr>
                <w:tcW w:w="1129" w:type="dxa"/>
                <w:shd w:val="clear" w:color="auto" w:fill="B4C6E7" w:themeFill="accent1" w:themeFillTint="66"/>
              </w:tcPr>
              <w:p w14:paraId="0F063BEF" w14:textId="77777777" w:rsidR="00D57746" w:rsidRPr="00D764F7" w:rsidRDefault="00D57746" w:rsidP="00B679BA">
                <w:pPr>
                  <w:ind w:firstLine="0"/>
                  <w:rPr>
                    <w:rFonts w:cstheme="majorBidi"/>
                    <w:b/>
                    <w:bCs/>
                    <w:szCs w:val="24"/>
                    <w:lang w:val="en-AE"/>
                  </w:rPr>
                </w:pPr>
                <w:r w:rsidRPr="00301F7D">
                  <w:rPr>
                    <w:rFonts w:cstheme="majorBidi"/>
                    <w:b/>
                    <w:bCs/>
                    <w:szCs w:val="24"/>
                  </w:rPr>
                  <w:t>OPA</w:t>
                </w:r>
              </w:p>
            </w:tc>
            <w:tc>
              <w:tcPr>
                <w:tcW w:w="7933" w:type="dxa"/>
              </w:tcPr>
              <w:p w14:paraId="7D35EB47" w14:textId="77777777" w:rsidR="00D57746" w:rsidRPr="00D764F7" w:rsidRDefault="00D57746" w:rsidP="00B679BA">
                <w:pPr>
                  <w:ind w:firstLine="0"/>
                  <w:rPr>
                    <w:rFonts w:cstheme="majorBidi"/>
                    <w:szCs w:val="24"/>
                    <w:lang w:val="en-AE"/>
                  </w:rPr>
                </w:pPr>
                <w:r w:rsidRPr="00301F7D">
                  <w:rPr>
                    <w:rFonts w:cstheme="majorBidi"/>
                    <w:szCs w:val="24"/>
                  </w:rPr>
                  <w:t>offres publiques d'achat</w:t>
                </w:r>
                <w:r>
                  <w:rPr>
                    <w:rFonts w:cstheme="majorBidi"/>
                    <w:szCs w:val="24"/>
                  </w:rPr>
                  <w:t>.</w:t>
                </w:r>
              </w:p>
            </w:tc>
          </w:tr>
          <w:tr w:rsidR="00D57746" w:rsidRPr="00D764F7" w14:paraId="7F7050F7" w14:textId="77777777" w:rsidTr="00B679BA">
            <w:tc>
              <w:tcPr>
                <w:tcW w:w="1129" w:type="dxa"/>
                <w:shd w:val="clear" w:color="auto" w:fill="B4C6E7" w:themeFill="accent1" w:themeFillTint="66"/>
              </w:tcPr>
              <w:p w14:paraId="69D52B1A" w14:textId="77777777" w:rsidR="00D57746" w:rsidRPr="00D764F7" w:rsidRDefault="00D57746" w:rsidP="00B679BA">
                <w:pPr>
                  <w:ind w:firstLine="0"/>
                  <w:rPr>
                    <w:rFonts w:cstheme="majorBidi"/>
                    <w:b/>
                    <w:bCs/>
                    <w:szCs w:val="24"/>
                    <w:lang w:val="en-AE"/>
                  </w:rPr>
                </w:pPr>
                <w:r>
                  <w:rPr>
                    <w:rFonts w:cstheme="majorBidi"/>
                    <w:b/>
                    <w:bCs/>
                    <w:szCs w:val="24"/>
                  </w:rPr>
                  <w:t>OPE</w:t>
                </w:r>
              </w:p>
            </w:tc>
            <w:tc>
              <w:tcPr>
                <w:tcW w:w="7933" w:type="dxa"/>
              </w:tcPr>
              <w:p w14:paraId="31E37E48" w14:textId="77777777" w:rsidR="00D57746" w:rsidRPr="00D764F7" w:rsidRDefault="00D57746" w:rsidP="00B679BA">
                <w:pPr>
                  <w:ind w:firstLine="0"/>
                  <w:rPr>
                    <w:rFonts w:cstheme="majorBidi"/>
                    <w:szCs w:val="24"/>
                    <w:lang w:val="en-AE"/>
                  </w:rPr>
                </w:pPr>
                <w:r>
                  <w:rPr>
                    <w:rFonts w:cstheme="majorBidi"/>
                    <w:szCs w:val="24"/>
                  </w:rPr>
                  <w:t>offres publiques d’Exchange.</w:t>
                </w:r>
              </w:p>
            </w:tc>
          </w:tr>
          <w:tr w:rsidR="00D57746" w:rsidRPr="00D764F7" w14:paraId="29CAE1DC" w14:textId="77777777" w:rsidTr="00B679BA">
            <w:tc>
              <w:tcPr>
                <w:tcW w:w="1129" w:type="dxa"/>
                <w:shd w:val="clear" w:color="auto" w:fill="B4C6E7" w:themeFill="accent1" w:themeFillTint="66"/>
              </w:tcPr>
              <w:p w14:paraId="12DF1882" w14:textId="77777777" w:rsidR="00D57746" w:rsidRPr="00D764F7" w:rsidRDefault="00D57746" w:rsidP="00B679BA">
                <w:pPr>
                  <w:ind w:firstLine="0"/>
                  <w:rPr>
                    <w:rFonts w:cstheme="majorBidi"/>
                    <w:b/>
                    <w:bCs/>
                    <w:szCs w:val="24"/>
                    <w:lang w:val="en-AE"/>
                  </w:rPr>
                </w:pPr>
                <w:r w:rsidRPr="00301F7D">
                  <w:rPr>
                    <w:rFonts w:cstheme="majorBidi"/>
                    <w:b/>
                    <w:bCs/>
                    <w:szCs w:val="24"/>
                  </w:rPr>
                  <w:t>FRC</w:t>
                </w:r>
              </w:p>
            </w:tc>
            <w:tc>
              <w:tcPr>
                <w:tcW w:w="7933" w:type="dxa"/>
              </w:tcPr>
              <w:p w14:paraId="13BBE19C" w14:textId="77777777" w:rsidR="00D57746" w:rsidRPr="00D764F7" w:rsidRDefault="00D57746" w:rsidP="00B679BA">
                <w:pPr>
                  <w:ind w:firstLine="0"/>
                  <w:rPr>
                    <w:rFonts w:cstheme="majorBidi"/>
                    <w:szCs w:val="24"/>
                    <w:lang w:val="en-AE"/>
                  </w:rPr>
                </w:pPr>
                <w:r w:rsidRPr="00301F7D">
                  <w:rPr>
                    <w:rFonts w:cstheme="majorBidi"/>
                    <w:szCs w:val="24"/>
                  </w:rPr>
                  <w:t>Financial Reporting Council</w:t>
                </w:r>
                <w:r>
                  <w:rPr>
                    <w:rFonts w:cstheme="majorBidi"/>
                    <w:szCs w:val="24"/>
                  </w:rPr>
                  <w:t>.</w:t>
                </w:r>
              </w:p>
            </w:tc>
          </w:tr>
          <w:tr w:rsidR="00D57746" w:rsidRPr="00D764F7" w14:paraId="2454DE90" w14:textId="77777777" w:rsidTr="00B679BA">
            <w:tc>
              <w:tcPr>
                <w:tcW w:w="1129" w:type="dxa"/>
                <w:shd w:val="clear" w:color="auto" w:fill="B4C6E7" w:themeFill="accent1" w:themeFillTint="66"/>
              </w:tcPr>
              <w:p w14:paraId="674773A3" w14:textId="77777777" w:rsidR="00D57746" w:rsidRPr="00D764F7" w:rsidRDefault="00D57746" w:rsidP="00B679BA">
                <w:pPr>
                  <w:ind w:firstLine="0"/>
                  <w:rPr>
                    <w:rFonts w:cstheme="majorBidi"/>
                    <w:b/>
                    <w:bCs/>
                    <w:szCs w:val="24"/>
                    <w:lang w:val="en-AE"/>
                  </w:rPr>
                </w:pPr>
                <w:r w:rsidRPr="00301F7D">
                  <w:rPr>
                    <w:rFonts w:cstheme="majorBidi"/>
                    <w:b/>
                    <w:bCs/>
                    <w:szCs w:val="24"/>
                  </w:rPr>
                  <w:t>PDG</w:t>
                </w:r>
              </w:p>
            </w:tc>
            <w:tc>
              <w:tcPr>
                <w:tcW w:w="7933" w:type="dxa"/>
              </w:tcPr>
              <w:p w14:paraId="3B2C0F54" w14:textId="77777777" w:rsidR="00D57746" w:rsidRPr="00D764F7" w:rsidRDefault="00D57746" w:rsidP="00B679BA">
                <w:pPr>
                  <w:ind w:firstLine="0"/>
                  <w:rPr>
                    <w:rFonts w:cstheme="majorBidi"/>
                    <w:szCs w:val="24"/>
                    <w:lang w:val="en-AE"/>
                  </w:rPr>
                </w:pPr>
                <w:r w:rsidRPr="00301F7D">
                  <w:rPr>
                    <w:rFonts w:cstheme="majorBidi"/>
                    <w:szCs w:val="24"/>
                  </w:rPr>
                  <w:t>Président des directeurs général</w:t>
                </w:r>
                <w:r>
                  <w:rPr>
                    <w:rFonts w:cstheme="majorBidi"/>
                    <w:szCs w:val="24"/>
                  </w:rPr>
                  <w:t>.</w:t>
                </w:r>
              </w:p>
            </w:tc>
          </w:tr>
          <w:tr w:rsidR="00D57746" w:rsidRPr="00D764F7" w14:paraId="3261B767" w14:textId="77777777" w:rsidTr="00B679BA">
            <w:tc>
              <w:tcPr>
                <w:tcW w:w="1129" w:type="dxa"/>
                <w:shd w:val="clear" w:color="auto" w:fill="B4C6E7" w:themeFill="accent1" w:themeFillTint="66"/>
              </w:tcPr>
              <w:p w14:paraId="66EAF401" w14:textId="77777777" w:rsidR="00D57746" w:rsidRPr="00301F7D" w:rsidRDefault="00D57746" w:rsidP="00B679BA">
                <w:pPr>
                  <w:ind w:firstLine="0"/>
                  <w:rPr>
                    <w:rFonts w:cstheme="majorBidi"/>
                    <w:b/>
                    <w:bCs/>
                    <w:szCs w:val="24"/>
                  </w:rPr>
                </w:pPr>
                <w:r w:rsidRPr="00301F7D">
                  <w:rPr>
                    <w:rFonts w:cstheme="majorBidi"/>
                    <w:b/>
                    <w:bCs/>
                    <w:szCs w:val="24"/>
                  </w:rPr>
                  <w:t>SPA</w:t>
                </w:r>
              </w:p>
            </w:tc>
            <w:tc>
              <w:tcPr>
                <w:tcW w:w="7933" w:type="dxa"/>
              </w:tcPr>
              <w:p w14:paraId="5E9FC552" w14:textId="77777777" w:rsidR="00D57746" w:rsidRPr="00301F7D" w:rsidRDefault="00D57746" w:rsidP="00B679BA">
                <w:pPr>
                  <w:ind w:firstLine="0"/>
                  <w:rPr>
                    <w:rFonts w:cstheme="majorBidi"/>
                    <w:szCs w:val="24"/>
                  </w:rPr>
                </w:pPr>
                <w:r>
                  <w:rPr>
                    <w:rFonts w:cstheme="majorBidi"/>
                    <w:szCs w:val="24"/>
                  </w:rPr>
                  <w:t>Société par actions.</w:t>
                </w:r>
              </w:p>
            </w:tc>
          </w:tr>
          <w:tr w:rsidR="00D57746" w:rsidRPr="00D764F7" w14:paraId="0DEE2240" w14:textId="77777777" w:rsidTr="00B679BA">
            <w:tc>
              <w:tcPr>
                <w:tcW w:w="1129" w:type="dxa"/>
                <w:shd w:val="clear" w:color="auto" w:fill="B4C6E7" w:themeFill="accent1" w:themeFillTint="66"/>
              </w:tcPr>
              <w:p w14:paraId="69C5B15F" w14:textId="77777777" w:rsidR="00D57746" w:rsidRPr="00301F7D" w:rsidRDefault="00D57746" w:rsidP="00B679BA">
                <w:pPr>
                  <w:ind w:firstLine="0"/>
                  <w:rPr>
                    <w:rFonts w:cstheme="majorBidi"/>
                    <w:b/>
                    <w:bCs/>
                    <w:szCs w:val="24"/>
                  </w:rPr>
                </w:pPr>
                <w:r w:rsidRPr="00301F7D">
                  <w:rPr>
                    <w:rFonts w:eastAsia="Times New Roman" w:cstheme="majorBidi"/>
                    <w:b/>
                    <w:bCs/>
                    <w:szCs w:val="24"/>
                  </w:rPr>
                  <w:t>EPE</w:t>
                </w:r>
              </w:p>
            </w:tc>
            <w:tc>
              <w:tcPr>
                <w:tcW w:w="7933" w:type="dxa"/>
              </w:tcPr>
              <w:p w14:paraId="60328A3D" w14:textId="77777777" w:rsidR="00D57746" w:rsidRPr="00301F7D" w:rsidRDefault="00D57746" w:rsidP="00B679BA">
                <w:pPr>
                  <w:ind w:firstLine="0"/>
                  <w:rPr>
                    <w:rFonts w:cstheme="majorBidi"/>
                    <w:szCs w:val="24"/>
                  </w:rPr>
                </w:pPr>
                <w:r>
                  <w:rPr>
                    <w:rFonts w:cstheme="majorBidi"/>
                    <w:szCs w:val="24"/>
                  </w:rPr>
                  <w:t>Entreprise publique économique.</w:t>
                </w:r>
              </w:p>
            </w:tc>
          </w:tr>
          <w:tr w:rsidR="00D57746" w:rsidRPr="00D764F7" w14:paraId="67C541AE" w14:textId="77777777" w:rsidTr="00B679BA">
            <w:tc>
              <w:tcPr>
                <w:tcW w:w="1129" w:type="dxa"/>
                <w:shd w:val="clear" w:color="auto" w:fill="B4C6E7" w:themeFill="accent1" w:themeFillTint="66"/>
              </w:tcPr>
              <w:p w14:paraId="03A4ADCC" w14:textId="77777777" w:rsidR="00D57746" w:rsidRPr="00301F7D" w:rsidRDefault="00D57746" w:rsidP="00B679BA">
                <w:pPr>
                  <w:ind w:firstLine="0"/>
                  <w:rPr>
                    <w:rFonts w:cstheme="majorBidi"/>
                    <w:b/>
                    <w:bCs/>
                    <w:szCs w:val="24"/>
                  </w:rPr>
                </w:pPr>
                <w:r w:rsidRPr="00295B1B">
                  <w:rPr>
                    <w:rFonts w:cstheme="majorBidi"/>
                    <w:b/>
                    <w:bCs/>
                    <w:szCs w:val="24"/>
                  </w:rPr>
                  <w:t>BCI</w:t>
                </w:r>
              </w:p>
            </w:tc>
            <w:tc>
              <w:tcPr>
                <w:tcW w:w="7933" w:type="dxa"/>
              </w:tcPr>
              <w:p w14:paraId="5FAC1598" w14:textId="77777777" w:rsidR="00D57746" w:rsidRPr="00301F7D" w:rsidRDefault="00D57746" w:rsidP="00B679BA">
                <w:pPr>
                  <w:ind w:firstLine="0"/>
                  <w:rPr>
                    <w:rFonts w:cstheme="majorBidi"/>
                    <w:szCs w:val="24"/>
                  </w:rPr>
                </w:pPr>
                <w:r>
                  <w:rPr>
                    <w:rFonts w:cstheme="majorBidi"/>
                    <w:szCs w:val="24"/>
                  </w:rPr>
                  <w:t>Better Cotton Initiative.</w:t>
                </w:r>
              </w:p>
            </w:tc>
          </w:tr>
          <w:tr w:rsidR="00D57746" w:rsidRPr="00D764F7" w14:paraId="0E82ACE2" w14:textId="77777777" w:rsidTr="00B679BA">
            <w:tc>
              <w:tcPr>
                <w:tcW w:w="1129" w:type="dxa"/>
                <w:shd w:val="clear" w:color="auto" w:fill="B4C6E7" w:themeFill="accent1" w:themeFillTint="66"/>
              </w:tcPr>
              <w:p w14:paraId="1575ABC5" w14:textId="77777777" w:rsidR="00D57746" w:rsidRPr="00301F7D" w:rsidRDefault="00D57746" w:rsidP="00B679BA">
                <w:pPr>
                  <w:ind w:firstLine="0"/>
                  <w:rPr>
                    <w:rFonts w:cstheme="majorBidi"/>
                    <w:b/>
                    <w:bCs/>
                    <w:szCs w:val="24"/>
                  </w:rPr>
                </w:pPr>
                <w:r w:rsidRPr="00295B1B">
                  <w:rPr>
                    <w:rFonts w:cstheme="majorBidi"/>
                    <w:b/>
                    <w:bCs/>
                    <w:szCs w:val="24"/>
                  </w:rPr>
                  <w:t>GRS</w:t>
                </w:r>
              </w:p>
            </w:tc>
            <w:tc>
              <w:tcPr>
                <w:tcW w:w="7933" w:type="dxa"/>
              </w:tcPr>
              <w:p w14:paraId="5E4B6C32" w14:textId="77777777" w:rsidR="00D57746" w:rsidRPr="00301F7D" w:rsidRDefault="00D57746" w:rsidP="00B679BA">
                <w:pPr>
                  <w:ind w:firstLine="0"/>
                  <w:rPr>
                    <w:rFonts w:cstheme="majorBidi"/>
                    <w:szCs w:val="24"/>
                  </w:rPr>
                </w:pPr>
                <w:r w:rsidRPr="00295B1B">
                  <w:rPr>
                    <w:rFonts w:cstheme="majorBidi"/>
                    <w:szCs w:val="24"/>
                  </w:rPr>
                  <w:t>Global Recycled Standard</w:t>
                </w:r>
                <w:r>
                  <w:rPr>
                    <w:rFonts w:cstheme="majorBidi"/>
                    <w:szCs w:val="24"/>
                  </w:rPr>
                  <w:t>.</w:t>
                </w:r>
              </w:p>
            </w:tc>
          </w:tr>
          <w:tr w:rsidR="00D57746" w:rsidRPr="00D764F7" w14:paraId="7225EAEF" w14:textId="77777777" w:rsidTr="00B679BA">
            <w:tc>
              <w:tcPr>
                <w:tcW w:w="1129" w:type="dxa"/>
                <w:shd w:val="clear" w:color="auto" w:fill="B4C6E7" w:themeFill="accent1" w:themeFillTint="66"/>
              </w:tcPr>
              <w:p w14:paraId="462F1119" w14:textId="77777777" w:rsidR="00D57746" w:rsidRPr="00301F7D" w:rsidRDefault="00D57746" w:rsidP="00B679BA">
                <w:pPr>
                  <w:ind w:firstLine="0"/>
                  <w:rPr>
                    <w:rFonts w:cstheme="majorBidi"/>
                    <w:b/>
                    <w:bCs/>
                    <w:szCs w:val="24"/>
                  </w:rPr>
                </w:pPr>
                <w:r w:rsidRPr="00295B1B">
                  <w:rPr>
                    <w:rFonts w:cstheme="majorBidi"/>
                    <w:b/>
                    <w:bCs/>
                    <w:szCs w:val="24"/>
                  </w:rPr>
                  <w:t>RCS</w:t>
                </w:r>
              </w:p>
            </w:tc>
            <w:tc>
              <w:tcPr>
                <w:tcW w:w="7933" w:type="dxa"/>
              </w:tcPr>
              <w:p w14:paraId="16AFD25D" w14:textId="77777777" w:rsidR="00D57746" w:rsidRPr="00301F7D" w:rsidRDefault="00D57746" w:rsidP="00B679BA">
                <w:pPr>
                  <w:ind w:firstLine="0"/>
                  <w:rPr>
                    <w:rFonts w:cstheme="majorBidi"/>
                    <w:szCs w:val="24"/>
                  </w:rPr>
                </w:pPr>
                <w:r w:rsidRPr="00295B1B">
                  <w:rPr>
                    <w:rFonts w:cstheme="majorBidi"/>
                    <w:szCs w:val="24"/>
                  </w:rPr>
                  <w:t>Recycled Claim Standard</w:t>
                </w:r>
                <w:r>
                  <w:rPr>
                    <w:rFonts w:cstheme="majorBidi"/>
                    <w:szCs w:val="24"/>
                  </w:rPr>
                  <w:t>.</w:t>
                </w:r>
              </w:p>
            </w:tc>
          </w:tr>
          <w:tr w:rsidR="00D57746" w:rsidRPr="00D764F7" w14:paraId="7E455F7D" w14:textId="77777777" w:rsidTr="00B679BA">
            <w:tc>
              <w:tcPr>
                <w:tcW w:w="1129" w:type="dxa"/>
                <w:shd w:val="clear" w:color="auto" w:fill="B4C6E7" w:themeFill="accent1" w:themeFillTint="66"/>
              </w:tcPr>
              <w:p w14:paraId="33B2D906" w14:textId="77777777" w:rsidR="00D57746" w:rsidRPr="00295B1B" w:rsidRDefault="00D57746" w:rsidP="00B679BA">
                <w:pPr>
                  <w:ind w:firstLine="0"/>
                  <w:rPr>
                    <w:rFonts w:cstheme="majorBidi"/>
                    <w:b/>
                    <w:bCs/>
                    <w:szCs w:val="24"/>
                  </w:rPr>
                </w:pPr>
                <w:r w:rsidRPr="00295B1B">
                  <w:rPr>
                    <w:rFonts w:cstheme="majorBidi"/>
                    <w:b/>
                    <w:bCs/>
                    <w:szCs w:val="24"/>
                  </w:rPr>
                  <w:t>OCS</w:t>
                </w:r>
              </w:p>
            </w:tc>
            <w:tc>
              <w:tcPr>
                <w:tcW w:w="7933" w:type="dxa"/>
              </w:tcPr>
              <w:p w14:paraId="6F3C7AF1" w14:textId="77777777" w:rsidR="00D57746" w:rsidRPr="00295B1B" w:rsidRDefault="00D57746" w:rsidP="00B679BA">
                <w:pPr>
                  <w:ind w:firstLine="0"/>
                  <w:rPr>
                    <w:rFonts w:cstheme="majorBidi"/>
                    <w:szCs w:val="24"/>
                  </w:rPr>
                </w:pPr>
                <w:r w:rsidRPr="00295B1B">
                  <w:rPr>
                    <w:rFonts w:cstheme="majorBidi"/>
                    <w:szCs w:val="24"/>
                  </w:rPr>
                  <w:t>Organic Content Standard</w:t>
                </w:r>
                <w:r>
                  <w:rPr>
                    <w:rFonts w:cstheme="majorBidi"/>
                    <w:szCs w:val="24"/>
                  </w:rPr>
                  <w:t>.</w:t>
                </w:r>
              </w:p>
            </w:tc>
          </w:tr>
          <w:tr w:rsidR="00D57746" w:rsidRPr="00D764F7" w14:paraId="45C9EA05" w14:textId="77777777" w:rsidTr="00B679BA">
            <w:tc>
              <w:tcPr>
                <w:tcW w:w="1129" w:type="dxa"/>
                <w:shd w:val="clear" w:color="auto" w:fill="B4C6E7" w:themeFill="accent1" w:themeFillTint="66"/>
              </w:tcPr>
              <w:p w14:paraId="466D4D00" w14:textId="77777777" w:rsidR="00D57746" w:rsidRPr="00295B1B" w:rsidRDefault="00D57746" w:rsidP="00B679BA">
                <w:pPr>
                  <w:ind w:firstLine="0"/>
                  <w:rPr>
                    <w:rFonts w:cstheme="majorBidi"/>
                    <w:b/>
                    <w:bCs/>
                    <w:szCs w:val="24"/>
                  </w:rPr>
                </w:pPr>
                <w:r w:rsidRPr="00295B1B">
                  <w:rPr>
                    <w:rFonts w:cstheme="majorBidi"/>
                    <w:b/>
                    <w:bCs/>
                    <w:szCs w:val="24"/>
                  </w:rPr>
                  <w:t>QHSE</w:t>
                </w:r>
              </w:p>
            </w:tc>
            <w:tc>
              <w:tcPr>
                <w:tcW w:w="7933" w:type="dxa"/>
              </w:tcPr>
              <w:p w14:paraId="6A2FC5F3" w14:textId="77777777" w:rsidR="00D57746" w:rsidRPr="00295B1B" w:rsidRDefault="00D57746" w:rsidP="00B679BA">
                <w:pPr>
                  <w:ind w:firstLine="0"/>
                  <w:rPr>
                    <w:rFonts w:cstheme="majorBidi"/>
                    <w:szCs w:val="24"/>
                  </w:rPr>
                </w:pPr>
                <w:r w:rsidRPr="00295B1B">
                  <w:rPr>
                    <w:rFonts w:cstheme="majorBidi"/>
                    <w:szCs w:val="24"/>
                  </w:rPr>
                  <w:t>Qualité, Hygiène, Sécurité, Environnement</w:t>
                </w:r>
                <w:r>
                  <w:rPr>
                    <w:rFonts w:cstheme="majorBidi"/>
                    <w:szCs w:val="24"/>
                  </w:rPr>
                  <w:t>.</w:t>
                </w:r>
              </w:p>
            </w:tc>
          </w:tr>
          <w:tr w:rsidR="00D57746" w:rsidRPr="00D764F7" w14:paraId="09833DC3" w14:textId="77777777" w:rsidTr="00B679BA">
            <w:tc>
              <w:tcPr>
                <w:tcW w:w="1129" w:type="dxa"/>
                <w:shd w:val="clear" w:color="auto" w:fill="B4C6E7" w:themeFill="accent1" w:themeFillTint="66"/>
              </w:tcPr>
              <w:p w14:paraId="6E23AD7C" w14:textId="77777777" w:rsidR="00D57746" w:rsidRPr="00295B1B" w:rsidRDefault="00D57746" w:rsidP="00B679BA">
                <w:pPr>
                  <w:ind w:firstLine="0"/>
                  <w:rPr>
                    <w:rFonts w:cstheme="majorBidi"/>
                    <w:b/>
                    <w:bCs/>
                    <w:szCs w:val="24"/>
                  </w:rPr>
                </w:pPr>
                <w:r>
                  <w:rPr>
                    <w:rFonts w:cstheme="majorBidi"/>
                    <w:b/>
                    <w:bCs/>
                    <w:szCs w:val="24"/>
                  </w:rPr>
                  <w:t>ISO</w:t>
                </w:r>
              </w:p>
            </w:tc>
            <w:tc>
              <w:tcPr>
                <w:tcW w:w="7933" w:type="dxa"/>
              </w:tcPr>
              <w:p w14:paraId="69C36EEC" w14:textId="77777777" w:rsidR="00D57746" w:rsidRPr="00295B1B" w:rsidRDefault="00D57746" w:rsidP="00B679BA">
                <w:pPr>
                  <w:ind w:firstLine="0"/>
                  <w:rPr>
                    <w:rFonts w:cstheme="majorBidi"/>
                    <w:szCs w:val="24"/>
                  </w:rPr>
                </w:pPr>
                <w:r w:rsidRPr="00F11450">
                  <w:rPr>
                    <w:rFonts w:cstheme="majorBidi"/>
                    <w:szCs w:val="24"/>
                  </w:rPr>
                  <w:t>Organisation internationale de normalisation</w:t>
                </w:r>
                <w:r>
                  <w:rPr>
                    <w:rFonts w:cstheme="majorBidi"/>
                    <w:szCs w:val="24"/>
                  </w:rPr>
                  <w:t>.</w:t>
                </w:r>
              </w:p>
            </w:tc>
          </w:tr>
        </w:tbl>
        <w:p w14:paraId="0AE51625" w14:textId="77777777" w:rsidR="00D57746" w:rsidRDefault="00D57746" w:rsidP="00BC1AEC">
          <w:pPr>
            <w:pStyle w:val="Titre1"/>
          </w:pPr>
          <w:bookmarkStart w:id="37" w:name="_Toc231742158"/>
          <w:bookmarkStart w:id="38" w:name="_Toc231746770"/>
          <w:bookmarkStart w:id="39" w:name="_Toc231752178"/>
          <w:bookmarkStart w:id="40" w:name="_Toc231810051"/>
          <w:bookmarkStart w:id="41" w:name="_Toc231810481"/>
          <w:bookmarkStart w:id="42" w:name="_Toc231811417"/>
          <w:bookmarkStart w:id="43" w:name="_Toc231811824"/>
          <w:bookmarkStart w:id="44" w:name="_Toc231812104"/>
          <w:bookmarkStart w:id="45" w:name="_Toc231814988"/>
          <w:r w:rsidRPr="00F11450">
            <w:t>LISTE DES ANNEXES :</w:t>
          </w:r>
          <w:bookmarkEnd w:id="37"/>
          <w:bookmarkEnd w:id="38"/>
          <w:bookmarkEnd w:id="39"/>
          <w:bookmarkEnd w:id="40"/>
          <w:bookmarkEnd w:id="41"/>
          <w:bookmarkEnd w:id="42"/>
          <w:bookmarkEnd w:id="43"/>
          <w:bookmarkEnd w:id="44"/>
          <w:bookmarkEnd w:id="45"/>
        </w:p>
        <w:tbl>
          <w:tblPr>
            <w:tblStyle w:val="Grilledutableau"/>
            <w:tblW w:w="0" w:type="auto"/>
            <w:tblLook w:val="04A0" w:firstRow="1" w:lastRow="0" w:firstColumn="1" w:lastColumn="0" w:noHBand="0" w:noVBand="1"/>
          </w:tblPr>
          <w:tblGrid>
            <w:gridCol w:w="3020"/>
            <w:gridCol w:w="3020"/>
            <w:gridCol w:w="3020"/>
          </w:tblGrid>
          <w:tr w:rsidR="00D57746" w14:paraId="64778DE2" w14:textId="77777777" w:rsidTr="00B679BA">
            <w:tc>
              <w:tcPr>
                <w:tcW w:w="3020" w:type="dxa"/>
                <w:shd w:val="clear" w:color="auto" w:fill="B4C6E7" w:themeFill="accent1" w:themeFillTint="66"/>
              </w:tcPr>
              <w:p w14:paraId="118F34AE" w14:textId="77777777" w:rsidR="00D57746" w:rsidRPr="00F11450" w:rsidRDefault="00D57746" w:rsidP="00B679BA">
                <w:pPr>
                  <w:ind w:firstLine="0"/>
                  <w:jc w:val="center"/>
                  <w:rPr>
                    <w:rFonts w:cstheme="majorBidi"/>
                    <w:b/>
                    <w:bCs/>
                    <w:szCs w:val="24"/>
                    <w:lang w:val="en-AE"/>
                  </w:rPr>
                </w:pPr>
                <w:r w:rsidRPr="00F11450">
                  <w:rPr>
                    <w:rFonts w:cstheme="majorBidi"/>
                    <w:b/>
                    <w:bCs/>
                    <w:szCs w:val="24"/>
                  </w:rPr>
                  <w:t>N° de L’annexe</w:t>
                </w:r>
              </w:p>
            </w:tc>
            <w:tc>
              <w:tcPr>
                <w:tcW w:w="3021" w:type="dxa"/>
                <w:shd w:val="clear" w:color="auto" w:fill="B4C6E7" w:themeFill="accent1" w:themeFillTint="66"/>
              </w:tcPr>
              <w:p w14:paraId="3DE4A345" w14:textId="77777777" w:rsidR="00D57746" w:rsidRPr="00F11450" w:rsidRDefault="00D57746" w:rsidP="00B679BA">
                <w:pPr>
                  <w:ind w:firstLine="0"/>
                  <w:jc w:val="center"/>
                  <w:rPr>
                    <w:rFonts w:cstheme="majorBidi"/>
                    <w:b/>
                    <w:bCs/>
                    <w:szCs w:val="24"/>
                    <w:lang w:val="en-AE"/>
                  </w:rPr>
                </w:pPr>
                <w:r w:rsidRPr="00F11450">
                  <w:rPr>
                    <w:rFonts w:cstheme="majorBidi"/>
                    <w:b/>
                    <w:bCs/>
                    <w:szCs w:val="24"/>
                  </w:rPr>
                  <w:t>Titre de L’annexe</w:t>
                </w:r>
              </w:p>
            </w:tc>
            <w:tc>
              <w:tcPr>
                <w:tcW w:w="3021" w:type="dxa"/>
                <w:shd w:val="clear" w:color="auto" w:fill="B4C6E7" w:themeFill="accent1" w:themeFillTint="66"/>
              </w:tcPr>
              <w:p w14:paraId="0758606B" w14:textId="77777777" w:rsidR="00D57746" w:rsidRPr="00F11450" w:rsidRDefault="00D57746" w:rsidP="00B679BA">
                <w:pPr>
                  <w:ind w:firstLine="0"/>
                  <w:jc w:val="center"/>
                  <w:rPr>
                    <w:rFonts w:cstheme="majorBidi"/>
                    <w:b/>
                    <w:bCs/>
                    <w:szCs w:val="24"/>
                    <w:lang w:val="en-AE"/>
                  </w:rPr>
                </w:pPr>
                <w:r w:rsidRPr="00F11450">
                  <w:rPr>
                    <w:rFonts w:cstheme="majorBidi"/>
                    <w:b/>
                    <w:bCs/>
                    <w:szCs w:val="24"/>
                  </w:rPr>
                  <w:t>Page</w:t>
                </w:r>
              </w:p>
            </w:tc>
          </w:tr>
          <w:tr w:rsidR="00D57746" w14:paraId="56406424" w14:textId="77777777" w:rsidTr="00B679BA">
            <w:tc>
              <w:tcPr>
                <w:tcW w:w="3020" w:type="dxa"/>
              </w:tcPr>
              <w:p w14:paraId="598B0CF6" w14:textId="77777777" w:rsidR="00D57746" w:rsidRDefault="00D57746" w:rsidP="00B679BA">
                <w:pPr>
                  <w:ind w:firstLine="0"/>
                  <w:jc w:val="center"/>
                  <w:rPr>
                    <w:rFonts w:cstheme="majorBidi"/>
                    <w:b/>
                    <w:bCs/>
                    <w:szCs w:val="24"/>
                    <w:lang w:val="en-AE"/>
                  </w:rPr>
                </w:pPr>
                <w:r w:rsidRPr="00F11450">
                  <w:rPr>
                    <w:rFonts w:cstheme="majorBidi"/>
                    <w:b/>
                    <w:bCs/>
                    <w:szCs w:val="24"/>
                  </w:rPr>
                  <w:t>A.1</w:t>
                </w:r>
              </w:p>
            </w:tc>
            <w:tc>
              <w:tcPr>
                <w:tcW w:w="3021" w:type="dxa"/>
              </w:tcPr>
              <w:p w14:paraId="467D2EDB" w14:textId="77777777" w:rsidR="00D57746" w:rsidRPr="00F11450" w:rsidRDefault="00D57746" w:rsidP="00B679BA">
                <w:pPr>
                  <w:ind w:firstLine="0"/>
                  <w:rPr>
                    <w:rFonts w:cstheme="majorBidi"/>
                    <w:b/>
                    <w:bCs/>
                    <w:szCs w:val="24"/>
                    <w:lang w:val="en-AE"/>
                  </w:rPr>
                </w:pPr>
                <w:r w:rsidRPr="00F11450">
                  <w:rPr>
                    <w:rFonts w:cstheme="majorBidi"/>
                    <w:szCs w:val="24"/>
                  </w:rPr>
                  <w:t>Le Questionnaire</w:t>
                </w:r>
              </w:p>
            </w:tc>
            <w:tc>
              <w:tcPr>
                <w:tcW w:w="3021" w:type="dxa"/>
              </w:tcPr>
              <w:p w14:paraId="4B7B5A34" w14:textId="77777777" w:rsidR="00D57746" w:rsidRPr="0080623C" w:rsidRDefault="0080623C" w:rsidP="0080623C">
                <w:pPr>
                  <w:ind w:firstLine="0"/>
                  <w:jc w:val="center"/>
                  <w:rPr>
                    <w:rFonts w:cstheme="majorBidi"/>
                    <w:b/>
                    <w:bCs/>
                    <w:szCs w:val="24"/>
                  </w:rPr>
                </w:pPr>
                <w:r>
                  <w:rPr>
                    <w:rFonts w:cstheme="majorBidi"/>
                    <w:b/>
                    <w:bCs/>
                    <w:szCs w:val="24"/>
                  </w:rPr>
                  <w:t>220</w:t>
                </w:r>
              </w:p>
            </w:tc>
          </w:tr>
          <w:tr w:rsidR="00D57746" w14:paraId="4D16F16A" w14:textId="77777777" w:rsidTr="00B679BA">
            <w:tc>
              <w:tcPr>
                <w:tcW w:w="3020" w:type="dxa"/>
              </w:tcPr>
              <w:p w14:paraId="7F4E9E74" w14:textId="77777777" w:rsidR="00D57746" w:rsidRDefault="00D57746" w:rsidP="00B679BA">
                <w:pPr>
                  <w:ind w:firstLine="0"/>
                  <w:jc w:val="center"/>
                  <w:rPr>
                    <w:rFonts w:cstheme="majorBidi"/>
                    <w:b/>
                    <w:bCs/>
                    <w:szCs w:val="24"/>
                    <w:lang w:val="en-AE"/>
                  </w:rPr>
                </w:pPr>
                <w:r>
                  <w:rPr>
                    <w:rFonts w:cstheme="majorBidi"/>
                    <w:b/>
                    <w:bCs/>
                    <w:szCs w:val="24"/>
                  </w:rPr>
                  <w:t>A.2</w:t>
                </w:r>
              </w:p>
            </w:tc>
            <w:tc>
              <w:tcPr>
                <w:tcW w:w="3021" w:type="dxa"/>
              </w:tcPr>
              <w:p w14:paraId="0621BF21" w14:textId="77777777" w:rsidR="00D57746" w:rsidRPr="00F11450" w:rsidRDefault="00D57746" w:rsidP="00B679BA">
                <w:pPr>
                  <w:ind w:firstLine="0"/>
                  <w:rPr>
                    <w:rFonts w:cstheme="majorBidi"/>
                    <w:b/>
                    <w:bCs/>
                    <w:szCs w:val="24"/>
                    <w:lang w:val="en-AE"/>
                  </w:rPr>
                </w:pPr>
                <w:r w:rsidRPr="00F11450">
                  <w:rPr>
                    <w:rFonts w:cstheme="majorBidi"/>
                    <w:szCs w:val="24"/>
                  </w:rPr>
                  <w:t>Les résultats de SPSS</w:t>
                </w:r>
              </w:p>
            </w:tc>
            <w:tc>
              <w:tcPr>
                <w:tcW w:w="3021" w:type="dxa"/>
              </w:tcPr>
              <w:p w14:paraId="57AE198C" w14:textId="77777777" w:rsidR="00D57746" w:rsidRPr="0080623C" w:rsidRDefault="0080623C" w:rsidP="0080623C">
                <w:pPr>
                  <w:ind w:firstLine="0"/>
                  <w:jc w:val="center"/>
                  <w:rPr>
                    <w:rFonts w:cstheme="majorBidi"/>
                    <w:b/>
                    <w:bCs/>
                    <w:szCs w:val="24"/>
                  </w:rPr>
                </w:pPr>
                <w:r>
                  <w:rPr>
                    <w:rFonts w:cstheme="majorBidi"/>
                    <w:b/>
                    <w:bCs/>
                    <w:szCs w:val="24"/>
                  </w:rPr>
                  <w:t>227</w:t>
                </w:r>
              </w:p>
            </w:tc>
          </w:tr>
        </w:tbl>
        <w:p w14:paraId="04385C62" w14:textId="77777777" w:rsidR="0052058B" w:rsidRDefault="0052058B" w:rsidP="0052058B">
          <w:pPr>
            <w:spacing w:before="0" w:beforeAutospacing="0"/>
            <w:ind w:firstLine="0"/>
            <w:rPr>
              <w:rFonts w:cstheme="majorBidi"/>
              <w:b/>
              <w:bCs/>
              <w:sz w:val="22"/>
            </w:rPr>
          </w:pPr>
        </w:p>
        <w:p w14:paraId="013CCC29" w14:textId="77777777" w:rsidR="00E55C23" w:rsidRPr="00262B5D" w:rsidRDefault="00E55C23" w:rsidP="0052058B">
          <w:pPr>
            <w:spacing w:before="0" w:beforeAutospacing="0"/>
            <w:ind w:firstLine="0"/>
            <w:rPr>
              <w:rFonts w:cstheme="majorBidi"/>
              <w:b/>
              <w:bCs/>
              <w:sz w:val="22"/>
            </w:rPr>
            <w:sectPr w:rsidR="00E55C23" w:rsidRPr="00262B5D" w:rsidSect="007D1C8C">
              <w:headerReference w:type="default" r:id="rId16"/>
              <w:pgSz w:w="11906" w:h="16838"/>
              <w:pgMar w:top="851" w:right="1418" w:bottom="1134" w:left="1418" w:header="709" w:footer="709" w:gutter="0"/>
              <w:pgNumType w:start="7"/>
              <w:cols w:space="708"/>
              <w:titlePg/>
              <w:docGrid w:linePitch="360"/>
            </w:sectPr>
          </w:pPr>
        </w:p>
        <w:p w14:paraId="1470E8FC" w14:textId="77777777" w:rsidR="004E0735" w:rsidRPr="004E0735" w:rsidRDefault="004E0735" w:rsidP="004E0735">
          <w:pPr>
            <w:rPr>
              <w:rFonts w:cstheme="majorBidi"/>
              <w:sz w:val="22"/>
            </w:rPr>
          </w:pPr>
        </w:p>
        <w:p w14:paraId="4AA6C5D8" w14:textId="77777777" w:rsidR="004E0735" w:rsidRPr="004E0735" w:rsidRDefault="004E0735" w:rsidP="004E0735">
          <w:pPr>
            <w:rPr>
              <w:rFonts w:cstheme="majorBidi"/>
              <w:sz w:val="22"/>
            </w:rPr>
          </w:pPr>
        </w:p>
        <w:p w14:paraId="7B00BA95" w14:textId="77777777" w:rsidR="004E0735" w:rsidRPr="004E0735" w:rsidRDefault="004E0735" w:rsidP="004E0735">
          <w:pPr>
            <w:rPr>
              <w:rFonts w:cstheme="majorBidi"/>
              <w:sz w:val="22"/>
            </w:rPr>
          </w:pPr>
        </w:p>
        <w:p w14:paraId="6602D6D2" w14:textId="77777777" w:rsidR="004E0735" w:rsidRPr="004E0735" w:rsidRDefault="004E0735" w:rsidP="004E0735">
          <w:pPr>
            <w:rPr>
              <w:rFonts w:cstheme="majorBidi"/>
              <w:sz w:val="22"/>
            </w:rPr>
          </w:pPr>
        </w:p>
        <w:p w14:paraId="15F81753" w14:textId="77777777" w:rsidR="004E0735" w:rsidRPr="004E0735" w:rsidRDefault="004E0735" w:rsidP="004E0735">
          <w:pPr>
            <w:rPr>
              <w:rFonts w:cstheme="majorBidi"/>
              <w:sz w:val="22"/>
            </w:rPr>
          </w:pPr>
        </w:p>
        <w:p w14:paraId="69A3873E" w14:textId="77777777" w:rsidR="004E0735" w:rsidRPr="004E0735" w:rsidRDefault="004E0735" w:rsidP="004E0735">
          <w:pPr>
            <w:rPr>
              <w:rFonts w:cstheme="majorBidi"/>
              <w:sz w:val="22"/>
            </w:rPr>
          </w:pPr>
        </w:p>
        <w:p w14:paraId="4188494A" w14:textId="77777777" w:rsidR="004E0735" w:rsidRPr="004E0735" w:rsidRDefault="004E0735" w:rsidP="004E0735">
          <w:pPr>
            <w:rPr>
              <w:rFonts w:cstheme="majorBidi"/>
              <w:sz w:val="22"/>
            </w:rPr>
          </w:pPr>
        </w:p>
        <w:p w14:paraId="247067B6" w14:textId="77777777" w:rsidR="004E0735" w:rsidRPr="004E0735" w:rsidRDefault="004E0735" w:rsidP="004E0735">
          <w:pPr>
            <w:rPr>
              <w:rFonts w:cstheme="majorBidi"/>
              <w:sz w:val="22"/>
            </w:rPr>
          </w:pPr>
          <w:r>
            <w:rPr>
              <w:rFonts w:ascii="Times New Roman" w:hAnsi="Times New Roman" w:cs="Times New Roman"/>
              <w:noProof/>
              <w:szCs w:val="24"/>
              <w:lang w:eastAsia="fr-FR"/>
            </w:rPr>
            <mc:AlternateContent>
              <mc:Choice Requires="wps">
                <w:drawing>
                  <wp:anchor distT="0" distB="0" distL="114300" distR="114300" simplePos="0" relativeHeight="252126208" behindDoc="0" locked="0" layoutInCell="1" allowOverlap="1" wp14:anchorId="60712186" wp14:editId="6F1FF4E2">
                    <wp:simplePos x="0" y="0"/>
                    <wp:positionH relativeFrom="margin">
                      <wp:align>right</wp:align>
                    </wp:positionH>
                    <wp:positionV relativeFrom="paragraph">
                      <wp:posOffset>292210</wp:posOffset>
                    </wp:positionV>
                    <wp:extent cx="5772150" cy="2979682"/>
                    <wp:effectExtent l="0" t="0" r="19050" b="11430"/>
                    <wp:wrapNone/>
                    <wp:docPr id="638" name="Ruban vers le bas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164536E5" w14:textId="77777777" w:rsidR="00A36231" w:rsidRDefault="00A36231" w:rsidP="004E0735">
                                <w:pPr>
                                  <w:jc w:val="center"/>
                                  <w:rPr>
                                    <w:b/>
                                    <w:bCs/>
                                    <w:sz w:val="56"/>
                                    <w:szCs w:val="52"/>
                                  </w:rPr>
                                </w:pPr>
                              </w:p>
                              <w:p w14:paraId="7857A9EF" w14:textId="77777777" w:rsidR="00A36231" w:rsidRPr="004E0735" w:rsidRDefault="00A36231" w:rsidP="004E0735">
                                <w:pPr>
                                  <w:ind w:firstLine="0"/>
                                  <w:jc w:val="center"/>
                                  <w:rPr>
                                    <w:b/>
                                    <w:bCs/>
                                    <w:sz w:val="52"/>
                                    <w:szCs w:val="48"/>
                                  </w:rPr>
                                </w:pPr>
                                <w:r w:rsidRPr="004E0735">
                                  <w:rPr>
                                    <w:b/>
                                    <w:bCs/>
                                    <w:sz w:val="52"/>
                                    <w:szCs w:val="48"/>
                                  </w:rPr>
                                  <w:t>INTRODUCTION GENERALE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712186"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Ruban vers le bas 638" o:spid="_x0000_s1028" type="#_x0000_t53" style="position:absolute;left:0;text-align:left;margin-left:403.3pt;margin-top:23pt;width:454.5pt;height:234.6pt;z-index:252126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" fillcolor="#5b9bd5 [3208]" strokecolor="black [3213]">
                    <v:textbox>
                      <w:txbxContent>
                        <w:p w14:paraId="164536E5" w14:textId="77777777" w:rsidR="00A36231" w:rsidRDefault="00A36231" w:rsidP="004E0735">
                          <w:pPr>
                            <w:jc w:val="center"/>
                            <w:rPr>
                              <w:b/>
                              <w:bCs/>
                              <w:sz w:val="56"/>
                              <w:szCs w:val="52"/>
                            </w:rPr>
                          </w:pPr>
                        </w:p>
                        <w:p w14:paraId="7857A9EF" w14:textId="77777777" w:rsidR="00A36231" w:rsidRPr="004E0735" w:rsidRDefault="00A36231" w:rsidP="004E0735">
                          <w:pPr>
                            <w:ind w:firstLine="0"/>
                            <w:jc w:val="center"/>
                            <w:rPr>
                              <w:b/>
                              <w:bCs/>
                              <w:sz w:val="52"/>
                              <w:szCs w:val="48"/>
                            </w:rPr>
                          </w:pPr>
                          <w:r w:rsidRPr="004E0735">
                            <w:rPr>
                              <w:b/>
                              <w:bCs/>
                              <w:sz w:val="52"/>
                              <w:szCs w:val="48"/>
                            </w:rPr>
                            <w:t>INTRODUCTION GENERALE</w:t>
                          </w:r>
                        </w:p>
                      </w:txbxContent>
                    </v:textbox>
                    <w10:wrap anchorx="margin"/>
                  </v:shape>
                </w:pict>
              </mc:Fallback>
            </mc:AlternateContent>
          </w:r>
        </w:p>
        <w:p w14:paraId="07478411" w14:textId="77777777" w:rsidR="004E0735" w:rsidRDefault="004E0735" w:rsidP="004E0735">
          <w:pPr>
            <w:rPr>
              <w:rFonts w:cstheme="majorBidi"/>
              <w:sz w:val="22"/>
            </w:rPr>
          </w:pPr>
        </w:p>
        <w:p w14:paraId="5DA23692" w14:textId="77777777" w:rsidR="00262B5D" w:rsidRPr="004E0735" w:rsidRDefault="00262B5D" w:rsidP="004E0735">
          <w:pPr>
            <w:tabs>
              <w:tab w:val="center" w:pos="4677"/>
            </w:tabs>
            <w:rPr>
              <w:rFonts w:cstheme="majorBidi"/>
              <w:sz w:val="22"/>
            </w:rPr>
            <w:sectPr w:rsidR="00262B5D" w:rsidRPr="004E0735" w:rsidSect="00BD6820">
              <w:headerReference w:type="default" r:id="rId17"/>
              <w:footerReference w:type="first" r:id="rId18"/>
              <w:pgSz w:w="11906" w:h="16838"/>
              <w:pgMar w:top="851" w:right="1418" w:bottom="1134" w:left="1418" w:header="709" w:footer="709" w:gutter="0"/>
              <w:pgNumType w:start="0"/>
              <w:cols w:space="708"/>
              <w:titlePg/>
              <w:docGrid w:linePitch="360"/>
            </w:sectPr>
          </w:pPr>
        </w:p>
        <w:p w14:paraId="33147A4C" w14:textId="77777777" w:rsidR="00521AEB" w:rsidRPr="00521AEB" w:rsidRDefault="00521AEB" w:rsidP="00BC1AEC">
          <w:pPr>
            <w:pStyle w:val="Titre1"/>
          </w:pPr>
          <w:bookmarkStart w:id="46" w:name="_Toc231742160"/>
          <w:bookmarkStart w:id="47" w:name="_Toc231746772"/>
          <w:bookmarkStart w:id="48" w:name="_Toc231752179"/>
          <w:bookmarkStart w:id="49" w:name="_Toc231810482"/>
          <w:bookmarkStart w:id="50" w:name="_Toc231811418"/>
          <w:bookmarkStart w:id="51" w:name="_Toc231811825"/>
          <w:bookmarkStart w:id="52" w:name="_Toc231812105"/>
          <w:bookmarkStart w:id="53" w:name="_Toc231814989"/>
          <w:r w:rsidRPr="00521AEB">
            <w:lastRenderedPageBreak/>
            <w:t>Introduction </w:t>
          </w:r>
          <w:r w:rsidR="002B0772">
            <w:t xml:space="preserve">générale </w:t>
          </w:r>
          <w:r w:rsidRPr="00521AEB">
            <w:t>:</w:t>
          </w:r>
          <w:bookmarkEnd w:id="46"/>
          <w:bookmarkEnd w:id="47"/>
          <w:bookmarkEnd w:id="48"/>
          <w:bookmarkEnd w:id="49"/>
          <w:bookmarkEnd w:id="50"/>
          <w:bookmarkEnd w:id="51"/>
          <w:bookmarkEnd w:id="52"/>
          <w:bookmarkEnd w:id="53"/>
        </w:p>
        <w:p w14:paraId="33A487BB" w14:textId="77777777" w:rsidR="00521AEB" w:rsidRPr="00521AEB" w:rsidRDefault="00521AEB" w:rsidP="00521AEB">
          <w:pPr>
            <w:spacing w:before="0" w:beforeAutospacing="0"/>
            <w:rPr>
              <w:rFonts w:cstheme="majorBidi"/>
              <w:sz w:val="22"/>
            </w:rPr>
          </w:pPr>
          <w:r w:rsidRPr="00521AEB">
            <w:rPr>
              <w:rFonts w:cstheme="majorBidi"/>
              <w:sz w:val="22"/>
            </w:rPr>
            <w:t>Selon l’Organisation de coopération et de développement économiques (OCDE)</w:t>
          </w:r>
          <w:r w:rsidRPr="00521AEB">
            <w:rPr>
              <w:rStyle w:val="Appelnotedebasdep"/>
              <w:rFonts w:cstheme="majorBidi"/>
              <w:sz w:val="22"/>
            </w:rPr>
            <w:footnoteReference w:id="1"/>
          </w:r>
          <w:r w:rsidRPr="00521AEB">
            <w:rPr>
              <w:rFonts w:cstheme="majorBidi"/>
              <w:sz w:val="22"/>
            </w:rPr>
            <w:t>, la gouvernance d’entreprise désigne l’ensemble des relations ainsi que les mécanismes d’interaction entre les différentes parties prenantes d’une société par actions. Elle vise à assurer un équilibre entre les intérêts des employés, des actionnaires, des clients, des fournisseurs et des partenaires, des concurrents et pouvoirs publics. Dans cette perspective, l’efficacité des pratiques de gouvernance d’entreprise dépend étroitement de l’existence des nouvelles préoccupations publiques appuyées par un cadre juridique et réglementaire approprié. Dès lors, les gouvernements sont appelés à accorder une importance particulière au renforcement et à l’encadrement de la gouvernance d’entreprise.</w:t>
          </w:r>
        </w:p>
        <w:p w14:paraId="49F7EDC5" w14:textId="77777777" w:rsidR="00521AEB" w:rsidRPr="00521AEB" w:rsidRDefault="00521AEB" w:rsidP="00521AEB">
          <w:pPr>
            <w:spacing w:before="0" w:beforeAutospacing="0"/>
            <w:rPr>
              <w:rFonts w:cstheme="majorBidi"/>
              <w:sz w:val="22"/>
            </w:rPr>
          </w:pPr>
          <w:r w:rsidRPr="00521AEB">
            <w:rPr>
              <w:rFonts w:cstheme="majorBidi"/>
              <w:sz w:val="22"/>
            </w:rPr>
            <w:t>Dans un contexte marqué par la mondialisation, l’intensification de la concurrence ainsi que les mutations économiques, sociales et environnementales, les entreprises ne peuvent plus se limiter à la seule recherche de performance financière. Elles sont désormais appelées à intégrer de nouvelles préoccupations dans leurs stratégies et leurs modes de gestion. Parmi ces préoccupations, la responsabilité sociale des entreprises (RSE), qui occupe une place centrale, dans la mesure où elle vise à concilier les objectifs économiques avec les exigences sociales et environnementales.</w:t>
          </w:r>
        </w:p>
        <w:p w14:paraId="47697A6E" w14:textId="77777777" w:rsidR="00521AEB" w:rsidRPr="00521AEB" w:rsidRDefault="00521AEB" w:rsidP="00521AEB">
          <w:pPr>
            <w:spacing w:before="0" w:beforeAutospacing="0"/>
            <w:rPr>
              <w:rFonts w:cstheme="majorBidi"/>
              <w:sz w:val="22"/>
            </w:rPr>
          </w:pPr>
          <w:r w:rsidRPr="00521AEB">
            <w:rPr>
              <w:rFonts w:cstheme="majorBidi"/>
              <w:sz w:val="22"/>
            </w:rPr>
            <w:t>D’une part, la gestion durable des ressources naturelles s’impose aujourd’hui comme une exigence majeure pour les entreprises soucieuses de limiter leur impact environnemental. Cette démarche repose sur une utilisation rationnelle et efficiente des matières premières, la réduction des déchets, le recours au recyclage ainsi que l’adoption de pratiques destinées à diminuer l’empreinte écologique de l’entreprise. À travers ces initiatives, les organisations traduisent leur engagement en faveur de la protection de l’environnement et de la préservation des ressources pour les générations futures. D’autre part, l’amélioration des conditions de travail constitue un facteur essentiel pour garantir le bien-être des salariés. Cela implique notamment l’octroi d’une rémunération équitable, l’assurance de conditions de travail sécurisées et saines, une répartition équilibrée des charges de travail ainsi que la mise en place d’opportunités de formation et de développement professionnel. Les entreprises qui accordent une attention particulière au capital humain renforcent non seulement leur productivité et leur performance organisationnelle, mais consolident également leur réputation, favorisant ainsi l’attraction et la fidélisation des talents.</w:t>
          </w:r>
          <w:r w:rsidR="007E5F60">
            <w:rPr>
              <w:rStyle w:val="Appelnotedebasdep"/>
              <w:rFonts w:cstheme="majorBidi"/>
              <w:sz w:val="22"/>
            </w:rPr>
            <w:footnoteReference w:id="2"/>
          </w:r>
        </w:p>
        <w:p w14:paraId="348A9BF6" w14:textId="77777777" w:rsidR="00521AEB" w:rsidRPr="00521AEB" w:rsidRDefault="00521AEB" w:rsidP="00521AEB">
          <w:pPr>
            <w:spacing w:before="0" w:beforeAutospacing="0"/>
            <w:rPr>
              <w:rFonts w:cstheme="majorBidi"/>
              <w:sz w:val="22"/>
            </w:rPr>
          </w:pPr>
          <w:r w:rsidRPr="00521AEB">
            <w:rPr>
              <w:rFonts w:cstheme="majorBidi"/>
              <w:sz w:val="22"/>
            </w:rPr>
            <w:t xml:space="preserve">Les entreprises sont désormais amenées à intégrer les principes de la responsabilité sociale dans l’ensemble de leurs activités et processus de gestion afin de répondre aux attentes des deux approches, l’approche environnementale et l’approche sociale. Cette orientation traduit une évolution profonde du rôle de l’entreprise. Ainsi, l’adoption de comportements responsables permet aux organisations de </w:t>
          </w:r>
          <w:r w:rsidRPr="00521AEB">
            <w:rPr>
              <w:rFonts w:cstheme="majorBidi"/>
              <w:sz w:val="22"/>
            </w:rPr>
            <w:lastRenderedPageBreak/>
            <w:t>renforcer leur légitimité, d’établir des relations confidentielles et de consolider leur position concurrentielle. Par ailleurs, l’intégration de la RSE dans les pratiques de gouvernance favorise une meilleure maîtrise des risques, une plus grande transparence dans la prise de décision ainsi qu’une amélioration durable de la performance globale de l’entreprise.</w:t>
          </w:r>
        </w:p>
        <w:p w14:paraId="448E0994" w14:textId="77777777" w:rsidR="00521AEB" w:rsidRPr="00521AEB" w:rsidRDefault="00521AEB" w:rsidP="00521AEB">
          <w:pPr>
            <w:spacing w:before="0" w:beforeAutospacing="0"/>
            <w:rPr>
              <w:rFonts w:cstheme="majorBidi"/>
              <w:sz w:val="22"/>
            </w:rPr>
          </w:pPr>
          <w:r w:rsidRPr="00521AEB">
            <w:rPr>
              <w:rFonts w:cstheme="majorBidi"/>
              <w:sz w:val="22"/>
            </w:rPr>
            <w:t>La relation entre la gouvernance d’entreprise et la responsabilité sociale des entreprises apparaît comme une relation étroite et complémentaire. Une gouvernance efficace favorise l’intégration des principes de la RSE dans la stratégie de l’entreprise, en garantissant une meilleure prise en compte des différents enjeux dans les processus décisionnels. De ce fait, les pratiques de gouvernance constituent un levier fondamental pour promouvoir la responsabilité sociale des organisations, comme aussi plusieurs auteurs considèrent la RSE comme un prolongement naturel de la gouvernance d’entreprise</w:t>
          </w:r>
          <w:r w:rsidRPr="00521AEB">
            <w:rPr>
              <w:rStyle w:val="Appelnotedebasdep"/>
              <w:rFonts w:cstheme="majorBidi"/>
              <w:sz w:val="22"/>
            </w:rPr>
            <w:footnoteReference w:id="3"/>
          </w:r>
          <w:r w:rsidRPr="00521AEB">
            <w:rPr>
              <w:rFonts w:cstheme="majorBidi"/>
              <w:sz w:val="22"/>
            </w:rPr>
            <w:t>.</w:t>
          </w:r>
        </w:p>
        <w:p w14:paraId="18124B1C" w14:textId="77777777" w:rsidR="00521AEB" w:rsidRPr="00521AEB" w:rsidRDefault="00521AEB" w:rsidP="00521AEB">
          <w:pPr>
            <w:spacing w:before="0" w:beforeAutospacing="0"/>
            <w:rPr>
              <w:rFonts w:cstheme="majorBidi"/>
              <w:sz w:val="22"/>
            </w:rPr>
          </w:pPr>
          <w:r w:rsidRPr="00521AEB">
            <w:rPr>
              <w:rFonts w:cstheme="majorBidi"/>
              <w:sz w:val="22"/>
            </w:rPr>
            <w:t xml:space="preserve">Ce mémoire s’intéresse à l’étude du rôle de la gouvernance d’entreprise dans la promotion de la responsabilité sociale des entreprises. Il vise à analyser dans quelle mesure les mécanismes de gouvernance contribuent à renforcer les pratiques responsables au sein des organisations, ainsi qu’à mettre en évidence l’importance de cette relation dans l’amélioration de la performance globale et de la compétitivité des entreprises. </w:t>
          </w:r>
        </w:p>
        <w:p w14:paraId="10D82A92" w14:textId="77777777" w:rsidR="00521AEB" w:rsidRPr="00521AEB" w:rsidRDefault="00521AEB" w:rsidP="00521AEB">
          <w:pPr>
            <w:spacing w:before="0" w:beforeAutospacing="0"/>
            <w:rPr>
              <w:rFonts w:cstheme="majorBidi"/>
              <w:sz w:val="22"/>
            </w:rPr>
          </w:pPr>
          <w:r w:rsidRPr="00521AEB">
            <w:rPr>
              <w:rFonts w:cstheme="majorBidi"/>
              <w:sz w:val="22"/>
            </w:rPr>
            <w:t>La gouvernance d’entreprise fournit le cadre, les mécanismes de contrôle et les processus décisionnels, tandis que la RSE représente l’application de ces mécanismes dans une logique de responsabilité sociale. Les deux notions sont donc interdépendantes et complémentaires dans la recherche d’une performance durable et équilibrée de l’entreprise.</w:t>
          </w:r>
        </w:p>
        <w:p w14:paraId="4FE5DBC2" w14:textId="77777777" w:rsidR="00521AEB" w:rsidRPr="00521AEB" w:rsidRDefault="00521AEB" w:rsidP="00F36332">
          <w:pPr>
            <w:pStyle w:val="Paragraphedeliste"/>
            <w:numPr>
              <w:ilvl w:val="0"/>
              <w:numId w:val="193"/>
            </w:numPr>
            <w:spacing w:before="0" w:beforeAutospacing="0"/>
            <w:ind w:left="568" w:hanging="284"/>
            <w:rPr>
              <w:rFonts w:cstheme="majorBidi"/>
              <w:b/>
              <w:bCs/>
              <w:sz w:val="22"/>
            </w:rPr>
          </w:pPr>
          <w:r w:rsidRPr="00521AEB">
            <w:rPr>
              <w:rFonts w:cstheme="majorBidi"/>
              <w:b/>
              <w:bCs/>
              <w:sz w:val="22"/>
            </w:rPr>
            <w:t>Problématique de la recherche :</w:t>
          </w:r>
        </w:p>
        <w:p w14:paraId="402C8E93" w14:textId="77777777" w:rsidR="00521AEB" w:rsidRPr="00521AEB" w:rsidRDefault="00521AEB" w:rsidP="00521AEB">
          <w:pPr>
            <w:spacing w:before="0" w:beforeAutospacing="0"/>
            <w:rPr>
              <w:rFonts w:cstheme="majorBidi"/>
              <w:sz w:val="22"/>
            </w:rPr>
          </w:pPr>
          <w:r w:rsidRPr="00521AEB">
            <w:rPr>
              <w:rFonts w:cstheme="majorBidi"/>
              <w:sz w:val="22"/>
            </w:rPr>
            <w:t>Dans un contexte marqué par l’évolution des exigences économiques, sociales et environnementales, les entreprises sont de plus en plus appelées à adopter des pratiques de gestion responsables conciliant performance économique et engagement sociétal. Dans cette perspective, la gouvernance d’entreprise constitue un levier essentiel permettant d’encadrer les processus décisionnels, de renforcer la transparence et d’assurer une meilleure prise en compte des attentes des différentes parties prenantes. Ainsi, l’intégration des principes de la responsabilité sociale des entreprises (RSE) dépend largement de l’efficacité des mécanismes de gouvernance mis en place au sein de l’organisation.</w:t>
          </w:r>
        </w:p>
        <w:p w14:paraId="086662DD" w14:textId="77777777" w:rsidR="00521AEB" w:rsidRPr="00521AEB" w:rsidRDefault="00521AEB" w:rsidP="00521AEB">
          <w:pPr>
            <w:spacing w:before="0" w:beforeAutospacing="0"/>
            <w:rPr>
              <w:rFonts w:cstheme="majorBidi"/>
              <w:sz w:val="22"/>
            </w:rPr>
          </w:pPr>
          <w:r w:rsidRPr="00521AEB">
            <w:rPr>
              <w:rFonts w:cstheme="majorBidi"/>
              <w:sz w:val="22"/>
            </w:rPr>
            <w:t>TAYAL SPA, en tant qu’entreprise industrielle, est concernée par ces transformations et cherche à intégrer les dimensions économiques, sociales et environnementales dans ses pratiques de gestion. Dès lors, la question centrale de cette recherche est la suivante :</w:t>
          </w:r>
        </w:p>
        <w:p w14:paraId="5AEB7A5F" w14:textId="77777777" w:rsidR="00521AEB" w:rsidRPr="00521AEB" w:rsidRDefault="00521AEB" w:rsidP="00F36332">
          <w:pPr>
            <w:pStyle w:val="Paragraphedeliste"/>
            <w:numPr>
              <w:ilvl w:val="0"/>
              <w:numId w:val="195"/>
            </w:numPr>
            <w:spacing w:before="0" w:beforeAutospacing="0"/>
            <w:ind w:left="0" w:firstLine="284"/>
            <w:rPr>
              <w:rFonts w:cstheme="majorBidi"/>
              <w:b/>
              <w:bCs/>
              <w:sz w:val="22"/>
            </w:rPr>
          </w:pPr>
          <w:r w:rsidRPr="00521AEB">
            <w:rPr>
              <w:rFonts w:cstheme="majorBidi"/>
              <w:b/>
              <w:bCs/>
              <w:sz w:val="22"/>
            </w:rPr>
            <w:lastRenderedPageBreak/>
            <w:t>Comment la gouvernance d’entreprise influence-t-elle la promotion et l’intégration de la responsabilité sociale des entreprises au sein de TAYAL SPA RELIZANE ?</w:t>
          </w:r>
        </w:p>
        <w:p w14:paraId="16C2704C" w14:textId="77777777" w:rsidR="00521AEB" w:rsidRPr="00521AEB" w:rsidRDefault="00521AEB" w:rsidP="00521AEB">
          <w:pPr>
            <w:spacing w:before="0" w:beforeAutospacing="0"/>
            <w:rPr>
              <w:rFonts w:cstheme="majorBidi"/>
              <w:sz w:val="22"/>
            </w:rPr>
          </w:pPr>
          <w:r w:rsidRPr="00521AEB">
            <w:rPr>
              <w:rFonts w:cstheme="majorBidi"/>
              <w:sz w:val="22"/>
            </w:rPr>
            <w:t>Cette problématique se décline en plusieurs sous-questions :</w:t>
          </w:r>
        </w:p>
        <w:p w14:paraId="3C5AC8A9" w14:textId="77777777" w:rsidR="00521AEB" w:rsidRPr="00521AEB" w:rsidRDefault="00521AEB" w:rsidP="00F36332">
          <w:pPr>
            <w:pStyle w:val="Paragraphedeliste"/>
            <w:numPr>
              <w:ilvl w:val="0"/>
              <w:numId w:val="194"/>
            </w:numPr>
            <w:spacing w:before="0" w:beforeAutospacing="0"/>
            <w:ind w:left="0" w:firstLine="284"/>
            <w:rPr>
              <w:rFonts w:cstheme="majorBidi"/>
              <w:sz w:val="22"/>
            </w:rPr>
          </w:pPr>
          <w:r w:rsidRPr="00521AEB">
            <w:rPr>
              <w:rFonts w:cstheme="majorBidi"/>
              <w:sz w:val="22"/>
            </w:rPr>
            <w:t>Quels sont les mécanismes et principes de gouvernance appliqués au sein de TAYAL SPA RELIZANE ?</w:t>
          </w:r>
        </w:p>
        <w:p w14:paraId="01D0C5F4" w14:textId="77777777" w:rsidR="00521AEB" w:rsidRPr="00521AEB" w:rsidRDefault="00521AEB" w:rsidP="00F36332">
          <w:pPr>
            <w:pStyle w:val="Paragraphedeliste"/>
            <w:numPr>
              <w:ilvl w:val="0"/>
              <w:numId w:val="194"/>
            </w:numPr>
            <w:spacing w:before="0" w:beforeAutospacing="0"/>
            <w:ind w:left="0" w:firstLine="284"/>
            <w:rPr>
              <w:rFonts w:cstheme="majorBidi"/>
              <w:sz w:val="22"/>
            </w:rPr>
          </w:pPr>
          <w:r w:rsidRPr="00521AEB">
            <w:rPr>
              <w:rFonts w:cstheme="majorBidi"/>
              <w:sz w:val="22"/>
            </w:rPr>
            <w:t>Quelles sont les pratiques de responsabilité sociale des entreprises mises en œuvre par TAYAL SPA RELIZANE ?</w:t>
          </w:r>
        </w:p>
        <w:p w14:paraId="4146CADA" w14:textId="77777777" w:rsidR="00521AEB" w:rsidRPr="00521AEB" w:rsidRDefault="00521AEB" w:rsidP="00F36332">
          <w:pPr>
            <w:pStyle w:val="Paragraphedeliste"/>
            <w:numPr>
              <w:ilvl w:val="0"/>
              <w:numId w:val="194"/>
            </w:numPr>
            <w:spacing w:before="0" w:beforeAutospacing="0"/>
            <w:ind w:left="0" w:firstLine="284"/>
            <w:rPr>
              <w:rFonts w:cstheme="majorBidi"/>
              <w:sz w:val="22"/>
            </w:rPr>
          </w:pPr>
          <w:r w:rsidRPr="00521AEB">
            <w:rPr>
              <w:rFonts w:cstheme="majorBidi"/>
              <w:sz w:val="22"/>
            </w:rPr>
            <w:t>Dans quelle mesure les mécanismes de gouvernance contribuent-ils au renforcement et à la promotion des pratiques de la RSE au sein de TAYAL SPA RELIZANE ?</w:t>
          </w:r>
        </w:p>
        <w:p w14:paraId="53E0E34A" w14:textId="77777777" w:rsidR="00521AEB" w:rsidRPr="00521AEB" w:rsidRDefault="00521AEB" w:rsidP="00521AEB">
          <w:pPr>
            <w:spacing w:before="0" w:beforeAutospacing="0"/>
            <w:rPr>
              <w:rFonts w:cstheme="majorBidi"/>
              <w:sz w:val="22"/>
            </w:rPr>
          </w:pPr>
          <w:r w:rsidRPr="00521AEB">
            <w:rPr>
              <w:rFonts w:cstheme="majorBidi"/>
              <w:sz w:val="22"/>
            </w:rPr>
            <w:t>Dans le cadre de cette étude et en vue de répondre à la problématique posée, nous avons retenu l’hypothèse suivante :</w:t>
          </w:r>
        </w:p>
        <w:p w14:paraId="757C7368" w14:textId="77777777" w:rsidR="00521AEB" w:rsidRPr="00521AEB" w:rsidRDefault="00521AEB" w:rsidP="00F36332">
          <w:pPr>
            <w:pStyle w:val="Paragraphedeliste"/>
            <w:numPr>
              <w:ilvl w:val="0"/>
              <w:numId w:val="193"/>
            </w:numPr>
            <w:spacing w:before="0" w:beforeAutospacing="0"/>
            <w:ind w:left="568" w:hanging="284"/>
            <w:rPr>
              <w:rFonts w:cstheme="majorBidi"/>
              <w:b/>
              <w:bCs/>
              <w:sz w:val="22"/>
            </w:rPr>
          </w:pPr>
          <w:r w:rsidRPr="00521AEB">
            <w:rPr>
              <w:rFonts w:cstheme="majorBidi"/>
              <w:b/>
              <w:bCs/>
              <w:sz w:val="22"/>
            </w:rPr>
            <w:t>Hypothèses de l’étude :</w:t>
          </w:r>
        </w:p>
        <w:p w14:paraId="426461B4"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sz w:val="22"/>
            </w:rPr>
            <w:t>H1 :</w:t>
          </w:r>
          <w:r w:rsidRPr="00521AEB">
            <w:rPr>
              <w:rFonts w:cstheme="majorBidi"/>
              <w:sz w:val="22"/>
            </w:rPr>
            <w:t xml:space="preserve"> Il existe une relation significative entre les principes de la gouvernance d’entreprises et la responsabilité sociale des entreprises au sien de TAYAL SPA RELIZANE.</w:t>
          </w:r>
        </w:p>
        <w:p w14:paraId="20051939" w14:textId="77777777" w:rsidR="00521AEB" w:rsidRPr="00521AEB" w:rsidRDefault="00521AEB" w:rsidP="006821A4">
          <w:pPr>
            <w:spacing w:before="0" w:beforeAutospacing="0"/>
            <w:rPr>
              <w:rFonts w:cstheme="majorBidi"/>
              <w:b/>
              <w:bCs/>
              <w:sz w:val="22"/>
            </w:rPr>
          </w:pPr>
          <w:r w:rsidRPr="00521AEB">
            <w:rPr>
              <w:rStyle w:val="fontstyle01"/>
              <w:rFonts w:asciiTheme="majorBidi" w:hAnsiTheme="majorBidi" w:cstheme="majorBidi"/>
              <w:sz w:val="22"/>
              <w:szCs w:val="22"/>
            </w:rPr>
            <w:t>Cette hypothèse est subdivisée en un certain nombre de sous-hypothèses comme suit :</w:t>
          </w:r>
        </w:p>
        <w:p w14:paraId="7EA56995"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H1a :</w:t>
          </w:r>
          <w:r w:rsidRPr="00521AEB">
            <w:rPr>
              <w:rFonts w:cstheme="majorBidi"/>
              <w:color w:val="000000"/>
              <w:sz w:val="22"/>
              <w:shd w:val="clear" w:color="auto" w:fill="FFFFFF"/>
            </w:rPr>
            <w:t xml:space="preserve"> Il existe une relation positive significative entre l’existence d’une base pour un cadre efficace de gouvernance et la responsabilité sociale des entreprises au sein de TAYAL SPA RELIZANE.  </w:t>
          </w:r>
        </w:p>
        <w:p w14:paraId="2AD07D14"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H1b :</w:t>
          </w:r>
          <w:r w:rsidRPr="00521AEB">
            <w:rPr>
              <w:rFonts w:cstheme="majorBidi"/>
              <w:color w:val="000000"/>
              <w:sz w:val="22"/>
              <w:shd w:val="clear" w:color="auto" w:fill="FFFFFF"/>
            </w:rPr>
            <w:t xml:space="preserve"> Il existe une relation positive significative entre la préservation des droits des actionnaires et la responsabilité sociale des entreprises au sein de TAYAL SPA RELIZANE.</w:t>
          </w:r>
        </w:p>
        <w:p w14:paraId="1B5B3D29"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H1c :</w:t>
          </w:r>
          <w:r w:rsidRPr="00521AEB">
            <w:rPr>
              <w:rFonts w:cstheme="majorBidi"/>
              <w:color w:val="000000"/>
              <w:sz w:val="22"/>
              <w:shd w:val="clear" w:color="auto" w:fill="FFFFFF"/>
            </w:rPr>
            <w:t xml:space="preserve"> Il existe une relation positive significative entre le traitement équitable des actionnaires et la responsabilité sociale des entreprises au sein de TAYAL SPA RELIZANE.</w:t>
          </w:r>
        </w:p>
        <w:p w14:paraId="16462005" w14:textId="77777777" w:rsidR="00521AEB" w:rsidRPr="00521AEB" w:rsidRDefault="00521AEB" w:rsidP="00582F6F">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H1d :</w:t>
          </w:r>
          <w:r w:rsidRPr="00521AEB">
            <w:rPr>
              <w:rFonts w:cstheme="majorBidi"/>
              <w:color w:val="000000"/>
              <w:sz w:val="22"/>
              <w:shd w:val="clear" w:color="auto" w:fill="FFFFFF"/>
            </w:rPr>
            <w:t xml:space="preserve"> Il existe une relation positive significative entre le rôle des parties prenantes la responsabilité sociale des entreprises au sein de TAYAL SPA RELIZANE.</w:t>
          </w:r>
        </w:p>
        <w:p w14:paraId="1B47164B"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H1e :</w:t>
          </w:r>
          <w:r w:rsidRPr="00521AEB">
            <w:rPr>
              <w:rFonts w:cstheme="majorBidi"/>
              <w:color w:val="000000"/>
              <w:sz w:val="22"/>
              <w:shd w:val="clear" w:color="auto" w:fill="FFFFFF"/>
            </w:rPr>
            <w:t xml:space="preserve"> Il existe une relation positive significative entre la divulgation et la transparence et la responsabilité sociale des entreprises au sein de TAYAL SPA RELIZANE.</w:t>
          </w:r>
        </w:p>
        <w:p w14:paraId="112EF0C0" w14:textId="77777777" w:rsidR="00521AEB" w:rsidRPr="00521AEB" w:rsidRDefault="00521AEB" w:rsidP="00F36332">
          <w:pPr>
            <w:pStyle w:val="Paragraphedeliste"/>
            <w:numPr>
              <w:ilvl w:val="0"/>
              <w:numId w:val="196"/>
            </w:numPr>
            <w:spacing w:before="0" w:beforeAutospacing="0"/>
            <w:ind w:left="0" w:firstLine="284"/>
            <w:rPr>
              <w:rFonts w:cstheme="majorBidi"/>
              <w:b/>
              <w:bCs/>
              <w:sz w:val="22"/>
            </w:rPr>
          </w:pPr>
          <w:r w:rsidRPr="00521AEB">
            <w:rPr>
              <w:rFonts w:cstheme="majorBidi"/>
              <w:b/>
              <w:bCs/>
              <w:color w:val="000000"/>
              <w:sz w:val="22"/>
              <w:shd w:val="clear" w:color="auto" w:fill="FFFFFF"/>
            </w:rPr>
            <w:t>H1f :</w:t>
          </w:r>
          <w:r w:rsidRPr="00521AEB">
            <w:rPr>
              <w:rFonts w:cstheme="majorBidi"/>
              <w:color w:val="000000"/>
              <w:sz w:val="22"/>
              <w:shd w:val="clear" w:color="auto" w:fill="FFFFFF"/>
            </w:rPr>
            <w:t xml:space="preserve"> Il existe une relation positive significative entre la responsabilité du conseil d’administration et la responsabilité sociale des entreprises au sein de TAYAL SPA RELIZANE.</w:t>
          </w:r>
        </w:p>
        <w:p w14:paraId="50D69D63" w14:textId="77777777" w:rsidR="00521AEB" w:rsidRPr="00521AEB" w:rsidRDefault="00521AEB" w:rsidP="00F36332">
          <w:pPr>
            <w:pStyle w:val="Paragraphedeliste"/>
            <w:numPr>
              <w:ilvl w:val="0"/>
              <w:numId w:val="193"/>
            </w:numPr>
            <w:spacing w:before="0" w:beforeAutospacing="0"/>
            <w:ind w:left="568" w:hanging="284"/>
            <w:rPr>
              <w:rFonts w:cstheme="majorBidi"/>
              <w:b/>
              <w:bCs/>
              <w:sz w:val="22"/>
            </w:rPr>
          </w:pPr>
          <w:r w:rsidRPr="00521AEB">
            <w:rPr>
              <w:rFonts w:cstheme="majorBidi"/>
              <w:b/>
              <w:bCs/>
              <w:color w:val="000000"/>
              <w:sz w:val="22"/>
            </w:rPr>
            <w:t>Objectifs de l’étude :</w:t>
          </w:r>
        </w:p>
        <w:p w14:paraId="5460BC2D" w14:textId="77777777" w:rsidR="00521AEB" w:rsidRPr="00521AEB" w:rsidRDefault="00521AEB" w:rsidP="00F36332">
          <w:pPr>
            <w:pStyle w:val="NormalWeb"/>
            <w:numPr>
              <w:ilvl w:val="0"/>
              <w:numId w:val="197"/>
            </w:numPr>
            <w:spacing w:before="0" w:beforeAutospacing="0" w:line="360" w:lineRule="auto"/>
            <w:ind w:left="568" w:hanging="284"/>
            <w:rPr>
              <w:rFonts w:asciiTheme="majorBidi" w:hAnsiTheme="majorBidi" w:cstheme="majorBidi"/>
              <w:sz w:val="22"/>
              <w:szCs w:val="22"/>
            </w:rPr>
          </w:pPr>
          <w:r w:rsidRPr="00521AEB">
            <w:rPr>
              <w:rFonts w:asciiTheme="majorBidi" w:hAnsiTheme="majorBidi" w:cstheme="majorBidi"/>
              <w:sz w:val="22"/>
              <w:szCs w:val="22"/>
            </w:rPr>
            <w:t>Comprendre et analyser le rôle de la gouvernance d’entreprise dans la promotion de la responsabilité sociale des entreprises au sein de TAYAL SPA RELIZANE.</w:t>
          </w:r>
        </w:p>
        <w:p w14:paraId="1E1FE2B1" w14:textId="77777777" w:rsidR="00521AEB" w:rsidRPr="00521AEB" w:rsidRDefault="00521AEB" w:rsidP="00F36332">
          <w:pPr>
            <w:pStyle w:val="NormalWeb"/>
            <w:numPr>
              <w:ilvl w:val="0"/>
              <w:numId w:val="197"/>
            </w:numPr>
            <w:spacing w:before="0" w:beforeAutospacing="0" w:line="360" w:lineRule="auto"/>
            <w:ind w:left="568" w:hanging="284"/>
            <w:rPr>
              <w:rFonts w:asciiTheme="majorBidi" w:hAnsiTheme="majorBidi" w:cstheme="majorBidi"/>
              <w:sz w:val="22"/>
              <w:szCs w:val="22"/>
            </w:rPr>
          </w:pPr>
          <w:r w:rsidRPr="00521AEB">
            <w:rPr>
              <w:rFonts w:asciiTheme="majorBidi" w:hAnsiTheme="majorBidi" w:cstheme="majorBidi"/>
              <w:sz w:val="22"/>
              <w:szCs w:val="22"/>
            </w:rPr>
            <w:t>Identifier l’impact des principes et mécanismes de gouvernance sur l’intégration et le développement des pratiques de RSE au sein de TAYAL SPA RELIZANE.</w:t>
          </w:r>
        </w:p>
        <w:p w14:paraId="484859B2" w14:textId="77777777" w:rsidR="00521AEB" w:rsidRPr="00521AEB" w:rsidRDefault="00521AEB" w:rsidP="00F36332">
          <w:pPr>
            <w:pStyle w:val="NormalWeb"/>
            <w:numPr>
              <w:ilvl w:val="0"/>
              <w:numId w:val="197"/>
            </w:numPr>
            <w:spacing w:before="0" w:beforeAutospacing="0" w:line="360" w:lineRule="auto"/>
            <w:ind w:left="568" w:hanging="284"/>
            <w:rPr>
              <w:rFonts w:asciiTheme="majorBidi" w:hAnsiTheme="majorBidi" w:cstheme="majorBidi"/>
              <w:sz w:val="22"/>
              <w:szCs w:val="22"/>
            </w:rPr>
          </w:pPr>
          <w:r w:rsidRPr="00521AEB">
            <w:rPr>
              <w:rFonts w:asciiTheme="majorBidi" w:hAnsiTheme="majorBidi" w:cstheme="majorBidi"/>
              <w:sz w:val="22"/>
              <w:szCs w:val="22"/>
            </w:rPr>
            <w:t>Examiner les différentes actions et pratiques de responsabilité sociale mises en œuvre par TAYAL SPA, ainsi que leur lien avec les dispositifs de gouvernance adoptés.</w:t>
          </w:r>
        </w:p>
        <w:p w14:paraId="1AA5E0C0" w14:textId="77777777" w:rsidR="00521AEB" w:rsidRPr="00521AEB" w:rsidRDefault="00521AEB" w:rsidP="00F36332">
          <w:pPr>
            <w:pStyle w:val="Paragraphedeliste"/>
            <w:numPr>
              <w:ilvl w:val="0"/>
              <w:numId w:val="193"/>
            </w:numPr>
            <w:spacing w:before="0" w:beforeAutospacing="0"/>
            <w:ind w:left="568" w:hanging="284"/>
            <w:rPr>
              <w:rFonts w:cstheme="majorBidi"/>
              <w:b/>
              <w:bCs/>
              <w:sz w:val="22"/>
            </w:rPr>
          </w:pPr>
          <w:r w:rsidRPr="00521AEB">
            <w:rPr>
              <w:rFonts w:cstheme="majorBidi"/>
              <w:b/>
              <w:bCs/>
              <w:color w:val="000000"/>
              <w:sz w:val="22"/>
            </w:rPr>
            <w:lastRenderedPageBreak/>
            <w:t>L’importance de l’étude :</w:t>
          </w:r>
        </w:p>
        <w:p w14:paraId="68ABEC7B"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Cette étude revêt une importance particulière dans le contexte actuel, marqué par une attention croissante portée à la responsabilité sociale des entreprises. Elle met en évidence le rôle central de la gouvernance dans les sociétés par actions en tant que mécanisme essentiel d’encadrement et de pilotage des organisations, garantissant à la fois la transparence, l’éthique et la prise en compte des intérêts des différentes parties prenantes.</w:t>
          </w:r>
        </w:p>
        <w:p w14:paraId="269C1682"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Dans un environnement économique en constante évolution, les entreprises sont de plus en plus exposées à des exigences sociales et environnementales accrues. Il devient alors indispensable de comprendre dans quelle mesure la gouvernance d’entreprise peut influencer et renforcer l’intégration des pratiques de responsabilité sociale au sein des organisations. Cette analyse permet ainsi de mieux appréhender la relation entre gouvernance et RSE, tout en mettant en lumière leur contribution commune à la performance durable et à la pérennité de l’entreprise.</w:t>
          </w:r>
        </w:p>
        <w:p w14:paraId="4D183B50" w14:textId="77777777" w:rsidR="00521AEB" w:rsidRPr="00521AEB" w:rsidRDefault="00521AEB" w:rsidP="00F36332">
          <w:pPr>
            <w:pStyle w:val="Paragraphedeliste"/>
            <w:numPr>
              <w:ilvl w:val="0"/>
              <w:numId w:val="193"/>
            </w:numPr>
            <w:spacing w:before="0" w:beforeAutospacing="0"/>
            <w:ind w:left="568" w:hanging="284"/>
            <w:rPr>
              <w:rFonts w:cstheme="majorBidi"/>
              <w:b/>
              <w:bCs/>
              <w:sz w:val="22"/>
            </w:rPr>
          </w:pPr>
          <w:r w:rsidRPr="00521AEB">
            <w:rPr>
              <w:rFonts w:cstheme="majorBidi"/>
              <w:b/>
              <w:bCs/>
              <w:color w:val="000000"/>
              <w:sz w:val="22"/>
            </w:rPr>
            <w:t>Les motivations de choix :</w:t>
          </w:r>
        </w:p>
        <w:p w14:paraId="35A84DD8" w14:textId="77777777" w:rsidR="00521AEB" w:rsidRPr="00521AEB" w:rsidRDefault="00521AEB" w:rsidP="00F36332">
          <w:pPr>
            <w:pStyle w:val="Paragraphedeliste"/>
            <w:numPr>
              <w:ilvl w:val="0"/>
              <w:numId w:val="198"/>
            </w:numPr>
            <w:spacing w:before="0" w:beforeAutospacing="0"/>
            <w:ind w:left="0" w:firstLine="284"/>
            <w:rPr>
              <w:rStyle w:val="fontstyle01"/>
              <w:rFonts w:asciiTheme="majorBidi" w:hAnsiTheme="majorBidi" w:cstheme="majorBidi"/>
              <w:b/>
              <w:bCs/>
              <w:sz w:val="22"/>
              <w:szCs w:val="22"/>
            </w:rPr>
          </w:pPr>
          <w:r w:rsidRPr="00521AEB">
            <w:rPr>
              <w:rStyle w:val="fontstyle01"/>
              <w:rFonts w:asciiTheme="majorBidi" w:hAnsiTheme="majorBidi" w:cstheme="majorBidi"/>
              <w:sz w:val="22"/>
              <w:szCs w:val="22"/>
            </w:rPr>
            <w:t>Raisons personnelles :</w:t>
          </w:r>
        </w:p>
        <w:p w14:paraId="14BF32E2" w14:textId="77777777" w:rsidR="00521AEB" w:rsidRPr="00521AEB" w:rsidRDefault="00521AEB" w:rsidP="00F36332">
          <w:pPr>
            <w:pStyle w:val="Paragraphedeliste"/>
            <w:numPr>
              <w:ilvl w:val="0"/>
              <w:numId w:val="199"/>
            </w:numPr>
            <w:spacing w:before="0" w:beforeAutospacing="0"/>
            <w:ind w:left="0" w:firstLine="284"/>
            <w:rPr>
              <w:rFonts w:cstheme="majorBidi"/>
              <w:sz w:val="22"/>
            </w:rPr>
          </w:pPr>
          <w:r w:rsidRPr="00521AEB">
            <w:rPr>
              <w:rFonts w:cstheme="majorBidi"/>
              <w:sz w:val="22"/>
            </w:rPr>
            <w:t>Ce thème s’inscrit dans la spécialité étudiée, avec la volonté de contribuer à l’enrichissement des connaissances académiques et de servir de support pour de futures recherches sur la gouvernance d’entreprise et la RSE.</w:t>
          </w:r>
        </w:p>
        <w:p w14:paraId="060FD2A9" w14:textId="77777777" w:rsidR="00521AEB" w:rsidRPr="00521AEB" w:rsidRDefault="00521AEB" w:rsidP="00F36332">
          <w:pPr>
            <w:pStyle w:val="Paragraphedeliste"/>
            <w:numPr>
              <w:ilvl w:val="0"/>
              <w:numId w:val="199"/>
            </w:numPr>
            <w:spacing w:before="0" w:beforeAutospacing="0"/>
            <w:ind w:left="0" w:firstLine="284"/>
            <w:rPr>
              <w:rFonts w:cstheme="majorBidi"/>
              <w:sz w:val="22"/>
            </w:rPr>
          </w:pPr>
          <w:r w:rsidRPr="00521AEB">
            <w:rPr>
              <w:rFonts w:cstheme="majorBidi"/>
              <w:sz w:val="22"/>
            </w:rPr>
            <w:t>L’intérêt personnel porté aux questions de responsabilité sociale des entreprises et à leur rôle dans l’amélioration des pratiques managériales et de la performance durable des organisations.</w:t>
          </w:r>
        </w:p>
        <w:p w14:paraId="2811469B" w14:textId="77777777" w:rsidR="00521AEB" w:rsidRPr="00521AEB" w:rsidRDefault="00521AEB" w:rsidP="00F36332">
          <w:pPr>
            <w:pStyle w:val="Paragraphedeliste"/>
            <w:numPr>
              <w:ilvl w:val="0"/>
              <w:numId w:val="198"/>
            </w:numPr>
            <w:spacing w:before="0" w:beforeAutospacing="0"/>
            <w:ind w:left="0" w:firstLine="284"/>
            <w:rPr>
              <w:rFonts w:cstheme="majorBidi"/>
              <w:sz w:val="22"/>
            </w:rPr>
          </w:pPr>
          <w:r w:rsidRPr="00521AEB">
            <w:rPr>
              <w:rFonts w:cstheme="majorBidi"/>
              <w:sz w:val="22"/>
            </w:rPr>
            <w:t>Raisons objectives :</w:t>
          </w:r>
        </w:p>
        <w:p w14:paraId="39CE7E67" w14:textId="77777777" w:rsidR="003E4207" w:rsidRDefault="00521AEB" w:rsidP="00F36332">
          <w:pPr>
            <w:pStyle w:val="Paragraphedeliste"/>
            <w:numPr>
              <w:ilvl w:val="0"/>
              <w:numId w:val="200"/>
            </w:numPr>
            <w:spacing w:before="0" w:beforeAutospacing="0"/>
            <w:ind w:left="0" w:firstLine="284"/>
            <w:rPr>
              <w:rFonts w:cstheme="majorBidi"/>
              <w:sz w:val="22"/>
            </w:rPr>
          </w:pPr>
          <w:r w:rsidRPr="00521AEB">
            <w:rPr>
              <w:rFonts w:cstheme="majorBidi"/>
              <w:sz w:val="22"/>
            </w:rPr>
            <w:t>Liées à l’importance croissante de la gouvernance d’entreprise et de la responsabilité sociale des entreprises dans le contexte actuel, notamment leur impact sur la performance et la durabilité des organisations.</w:t>
          </w:r>
        </w:p>
        <w:p w14:paraId="41D403F1" w14:textId="77777777" w:rsidR="00521AEB" w:rsidRPr="003E4207" w:rsidRDefault="00521AEB" w:rsidP="00F36332">
          <w:pPr>
            <w:pStyle w:val="Paragraphedeliste"/>
            <w:numPr>
              <w:ilvl w:val="0"/>
              <w:numId w:val="200"/>
            </w:numPr>
            <w:spacing w:before="0" w:beforeAutospacing="0"/>
            <w:ind w:left="0" w:firstLine="284"/>
            <w:rPr>
              <w:rFonts w:cstheme="majorBidi"/>
              <w:sz w:val="22"/>
            </w:rPr>
          </w:pPr>
          <w:r w:rsidRPr="003E4207">
            <w:rPr>
              <w:rFonts w:cstheme="majorBidi"/>
              <w:sz w:val="22"/>
            </w:rPr>
            <w:t>En raison de la nécessité d’analyser le rôle de la gouvernance dans la promotion de la RSE au sein des entreprises, en particulier dans le cas de TAYAL SPA RELIZANE , afin de mieux comprendre les mécanismes d’intégration des pratiques responsables.</w:t>
          </w:r>
        </w:p>
        <w:p w14:paraId="7DA81C2C" w14:textId="77777777" w:rsidR="00521AEB" w:rsidRPr="00521AEB" w:rsidRDefault="00521AEB" w:rsidP="00F36332">
          <w:pPr>
            <w:pStyle w:val="Paragraphedeliste"/>
            <w:numPr>
              <w:ilvl w:val="0"/>
              <w:numId w:val="193"/>
            </w:numPr>
            <w:spacing w:before="0" w:beforeAutospacing="0"/>
            <w:ind w:left="568" w:hanging="284"/>
            <w:rPr>
              <w:rFonts w:cstheme="majorBidi"/>
              <w:sz w:val="22"/>
            </w:rPr>
          </w:pPr>
          <w:r w:rsidRPr="00521AEB">
            <w:rPr>
              <w:rFonts w:cstheme="majorBidi"/>
              <w:b/>
              <w:bCs/>
              <w:color w:val="000000"/>
              <w:sz w:val="22"/>
            </w:rPr>
            <w:t>La méthodologie de recherche :</w:t>
          </w:r>
        </w:p>
        <w:p w14:paraId="354DCC34"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Afin de répondre à la problématique posée et de vérifier les hypothèses formulées, nous avons adopté une approche descriptive et analytique. Cette approche a permis de définir le cadre théorique ainsi que les concepts fondamentaux liés à la gouvernance d’entreprise et à la responsabilité sociale des entreprises.</w:t>
          </w:r>
        </w:p>
        <w:p w14:paraId="049FC96D"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En complément de cette démarche, une étude de cas a été retenue afin d’analyser de manière approfondie la réalité des pratiques de gouvernance et de RSE au sein de l’entreprise TAYAL SPA RELIZANE et d’évaluer leur interaction. Cette méthode a permis d’examiner concrètement les mécanismes mis en œuvre dans le contexte organisationnel étudié.</w:t>
          </w:r>
        </w:p>
        <w:p w14:paraId="00FF089C"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lastRenderedPageBreak/>
            <w:t>Enfin, les données collectées ont été traitées et analysées à l’aide du logiciel SPSS v27, ce qui a permis d’obtenir des résultats fiables et d’interpréter les relations entre les différentes variables de l’étude.</w:t>
          </w:r>
        </w:p>
        <w:p w14:paraId="52F9EA04" w14:textId="77777777" w:rsidR="00521AEB" w:rsidRPr="00521AEB" w:rsidRDefault="00521AEB" w:rsidP="00F36332">
          <w:pPr>
            <w:pStyle w:val="Paragraphedeliste"/>
            <w:numPr>
              <w:ilvl w:val="0"/>
              <w:numId w:val="193"/>
            </w:numPr>
            <w:spacing w:before="0" w:beforeAutospacing="0"/>
            <w:ind w:left="568" w:hanging="284"/>
            <w:rPr>
              <w:rFonts w:cstheme="majorBidi"/>
              <w:sz w:val="22"/>
            </w:rPr>
          </w:pPr>
          <w:r w:rsidRPr="00521AEB">
            <w:rPr>
              <w:rFonts w:cstheme="majorBidi"/>
              <w:b/>
              <w:bCs/>
              <w:color w:val="000000"/>
              <w:sz w:val="22"/>
            </w:rPr>
            <w:t>Les variables d’étude :</w:t>
          </w:r>
        </w:p>
        <w:p w14:paraId="58936EC6" w14:textId="77777777" w:rsidR="00521AEB" w:rsidRPr="003E4207" w:rsidRDefault="00521AEB" w:rsidP="003E4207">
          <w:pPr>
            <w:pStyle w:val="NormalWeb"/>
            <w:spacing w:before="0" w:beforeAutospacing="0" w:line="360" w:lineRule="auto"/>
            <w:rPr>
              <w:rFonts w:asciiTheme="majorBidi" w:eastAsiaTheme="minorHAnsi" w:hAnsiTheme="majorBidi" w:cstheme="majorBidi"/>
              <w:b/>
              <w:bCs/>
              <w:noProof/>
              <w:sz w:val="22"/>
              <w:szCs w:val="22"/>
            </w:rPr>
          </w:pPr>
          <w:r w:rsidRPr="00521AEB">
            <w:rPr>
              <w:rFonts w:asciiTheme="majorBidi" w:hAnsiTheme="majorBidi" w:cstheme="majorBidi"/>
              <w:b/>
              <w:bCs/>
              <w:sz w:val="22"/>
              <w:szCs w:val="22"/>
              <w:u w:val="single"/>
            </w:rPr>
            <w:t>Figure 01 :</w:t>
          </w:r>
          <w:r w:rsidRPr="00521AEB">
            <w:rPr>
              <w:rFonts w:asciiTheme="majorBidi" w:hAnsiTheme="majorBidi" w:cstheme="majorBidi"/>
              <w:sz w:val="22"/>
              <w:szCs w:val="22"/>
            </w:rPr>
            <w:t xml:space="preserve"> </w:t>
          </w:r>
          <w:r w:rsidRPr="00521AEB">
            <w:rPr>
              <w:rFonts w:asciiTheme="majorBidi" w:hAnsiTheme="majorBidi" w:cstheme="majorBidi"/>
              <w:b/>
              <w:bCs/>
              <w:sz w:val="22"/>
              <w:szCs w:val="22"/>
            </w:rPr>
            <w:t>Les variables d’étude.</w:t>
          </w:r>
          <w:r w:rsidRPr="00521AEB">
            <w:rPr>
              <w:rFonts w:asciiTheme="majorBidi" w:eastAsiaTheme="minorHAnsi" w:hAnsiTheme="majorBidi" w:cstheme="majorBidi"/>
              <w:noProof/>
              <w:sz w:val="22"/>
              <w:szCs w:val="22"/>
            </w:rPr>
            <mc:AlternateContent>
              <mc:Choice Requires="wps">
                <w:drawing>
                  <wp:anchor distT="0" distB="0" distL="114300" distR="114300" simplePos="0" relativeHeight="252108800" behindDoc="0" locked="0" layoutInCell="1" allowOverlap="1" wp14:anchorId="38026ED3" wp14:editId="50625DB5">
                    <wp:simplePos x="0" y="0"/>
                    <wp:positionH relativeFrom="column">
                      <wp:posOffset>497840</wp:posOffset>
                    </wp:positionH>
                    <wp:positionV relativeFrom="paragraph">
                      <wp:posOffset>346710</wp:posOffset>
                    </wp:positionV>
                    <wp:extent cx="1143000" cy="390525"/>
                    <wp:effectExtent l="28575" t="5080" r="28575" b="13970"/>
                    <wp:wrapNone/>
                    <wp:docPr id="609" name="Parallélogramm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90525"/>
                            </a:xfrm>
                            <a:prstGeom prst="parallelogram">
                              <a:avLst>
                                <a:gd name="adj" fmla="val 166829"/>
                              </a:avLst>
                            </a:prstGeom>
                            <a:solidFill>
                              <a:schemeClr val="accent5">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A23B0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élogramme 609" o:spid="_x0000_s1026" type="#_x0000_t7" style="position:absolute;margin-left:39.2pt;margin-top:27.3pt;width:90pt;height:30.7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" adj="12312" fillcolor="#5b9bd5 [3208]" strokecolor="white [3212]"/>
                </w:pict>
              </mc:Fallback>
            </mc:AlternateContent>
          </w:r>
          <w:r w:rsidRPr="00521AEB">
            <w:rPr>
              <w:rFonts w:asciiTheme="majorBidi" w:eastAsiaTheme="minorHAnsi" w:hAnsiTheme="majorBidi" w:cstheme="majorBidi"/>
              <w:noProof/>
              <w:sz w:val="22"/>
              <w:szCs w:val="22"/>
            </w:rPr>
            <mc:AlternateContent>
              <mc:Choice Requires="wps">
                <w:drawing>
                  <wp:anchor distT="0" distB="0" distL="114300" distR="114300" simplePos="0" relativeHeight="252107776" behindDoc="0" locked="0" layoutInCell="1" allowOverlap="1" wp14:anchorId="68B1C66A" wp14:editId="0715AC4C">
                    <wp:simplePos x="0" y="0"/>
                    <wp:positionH relativeFrom="column">
                      <wp:posOffset>1012190</wp:posOffset>
                    </wp:positionH>
                    <wp:positionV relativeFrom="paragraph">
                      <wp:posOffset>346710</wp:posOffset>
                    </wp:positionV>
                    <wp:extent cx="1333500" cy="400050"/>
                    <wp:effectExtent l="28575" t="14605" r="28575" b="13970"/>
                    <wp:wrapNone/>
                    <wp:docPr id="608" name="Triangle isocèl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00050"/>
                            </a:xfrm>
                            <a:prstGeom prst="triangle">
                              <a:avLst>
                                <a:gd name="adj" fmla="val 50000"/>
                              </a:avLst>
                            </a:prstGeom>
                            <a:solidFill>
                              <a:schemeClr val="accent5">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A72AE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608" o:spid="_x0000_s1026" type="#_x0000_t5" style="position:absolute;margin-left:79.7pt;margin-top:27.3pt;width:105pt;height:31.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" fillcolor="#5b9bd5 [3208]" strokecolor="white [3212]"/>
                </w:pict>
              </mc:Fallback>
            </mc:AlternateContent>
          </w:r>
          <w:r w:rsidRPr="00521AEB">
            <w:rPr>
              <w:rFonts w:asciiTheme="majorBidi" w:eastAsiaTheme="minorHAnsi" w:hAnsiTheme="majorBidi" w:cstheme="majorBidi"/>
              <w:noProof/>
              <w:sz w:val="22"/>
              <w:szCs w:val="22"/>
            </w:rPr>
            <mc:AlternateContent>
              <mc:Choice Requires="wps">
                <w:drawing>
                  <wp:anchor distT="0" distB="0" distL="114300" distR="114300" simplePos="0" relativeHeight="252109824" behindDoc="0" locked="0" layoutInCell="1" allowOverlap="1" wp14:anchorId="657FA6A4" wp14:editId="6D28C2E8">
                    <wp:simplePos x="0" y="0"/>
                    <wp:positionH relativeFrom="column">
                      <wp:posOffset>1726565</wp:posOffset>
                    </wp:positionH>
                    <wp:positionV relativeFrom="paragraph">
                      <wp:posOffset>356235</wp:posOffset>
                    </wp:positionV>
                    <wp:extent cx="1095375" cy="390525"/>
                    <wp:effectExtent l="28575" t="5080" r="28575" b="13970"/>
                    <wp:wrapNone/>
                    <wp:docPr id="607" name="Parallélogramm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095375" cy="390525"/>
                            </a:xfrm>
                            <a:prstGeom prst="parallelogram">
                              <a:avLst>
                                <a:gd name="adj" fmla="val 167150"/>
                              </a:avLst>
                            </a:prstGeom>
                            <a:solidFill>
                              <a:schemeClr val="accent5">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5C0A55" id="Parallélogramme 607" o:spid="_x0000_s1026" type="#_x0000_t7" style="position:absolute;margin-left:135.95pt;margin-top:28.05pt;width:86.25pt;height:30.75pt;rotation:180;flip:x;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" adj="12872" fillcolor="#5b9bd5 [3208]" strokecolor="white [3212]"/>
                </w:pict>
              </mc:Fallback>
            </mc:AlternateContent>
          </w:r>
        </w:p>
        <w:p w14:paraId="2B0D86A3" w14:textId="77777777" w:rsidR="00521AEB" w:rsidRPr="00521AEB" w:rsidRDefault="00521AEB" w:rsidP="00521AEB">
          <w:pPr>
            <w:spacing w:before="0" w:beforeAutospacing="0"/>
            <w:ind w:left="644"/>
            <w:rPr>
              <w:rFonts w:cstheme="majorBidi"/>
              <w:sz w:val="22"/>
            </w:rPr>
          </w:pPr>
          <w:r w:rsidRPr="00521AEB">
            <w:rPr>
              <w:rFonts w:cstheme="majorBidi"/>
              <w:noProof/>
              <w:sz w:val="22"/>
              <w:lang w:eastAsia="fr-FR"/>
            </w:rPr>
            <mc:AlternateContent>
              <mc:Choice Requires="wps">
                <w:drawing>
                  <wp:anchor distT="0" distB="0" distL="114300" distR="114300" simplePos="0" relativeHeight="252120064" behindDoc="0" locked="0" layoutInCell="1" allowOverlap="1" wp14:anchorId="4FCA3C9C" wp14:editId="1C84101B">
                    <wp:simplePos x="0" y="0"/>
                    <wp:positionH relativeFrom="column">
                      <wp:posOffset>2783840</wp:posOffset>
                    </wp:positionH>
                    <wp:positionV relativeFrom="paragraph">
                      <wp:posOffset>2018030</wp:posOffset>
                    </wp:positionV>
                    <wp:extent cx="314325" cy="635"/>
                    <wp:effectExtent l="38100" t="90805" r="19050" b="89535"/>
                    <wp:wrapNone/>
                    <wp:docPr id="606" name="Connecteur droit avec flèch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635"/>
                            </a:xfrm>
                            <a:prstGeom prst="straightConnector1">
                              <a:avLst/>
                            </a:prstGeom>
                            <a:noFill/>
                            <a:ln w="38100">
                              <a:solidFill>
                                <a:schemeClr val="accent5">
                                  <a:lumMod val="100000"/>
                                  <a:lumOff val="0"/>
                                </a:schemeClr>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CB8581" id="_x0000_t32" coordsize="21600,21600" o:spt="32" o:oned="t" path="m,l21600,21600e" filled="f">
                    <v:path arrowok="t" fillok="f" o:connecttype="none"/>
                    <o:lock v:ext="edit" shapetype="t"/>
                  </v:shapetype>
                  <v:shape id="Connecteur droit avec flèche 606" o:spid="_x0000_s1026" type="#_x0000_t32" style="position:absolute;margin-left:219.2pt;margin-top:158.9pt;width:24.75pt;height:.05pt;flip:x;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" strokecolor="#5b9bd5 [3208]" strokeweight="3pt">
                    <v:stroke dashstyle="1 1" endarrow="block"/>
                  </v:shape>
                </w:pict>
              </mc:Fallback>
            </mc:AlternateContent>
          </w:r>
          <w:r w:rsidRPr="00521AEB">
            <w:rPr>
              <w:rFonts w:cstheme="majorBidi"/>
              <w:noProof/>
              <w:sz w:val="22"/>
              <w:lang w:eastAsia="fr-FR"/>
            </w:rPr>
            <mc:AlternateContent>
              <mc:Choice Requires="wps">
                <w:drawing>
                  <wp:anchor distT="0" distB="0" distL="114300" distR="114300" simplePos="0" relativeHeight="252115968" behindDoc="0" locked="0" layoutInCell="1" allowOverlap="1" wp14:anchorId="116A90B6" wp14:editId="403E52BC">
                    <wp:simplePos x="0" y="0"/>
                    <wp:positionH relativeFrom="column">
                      <wp:posOffset>3155315</wp:posOffset>
                    </wp:positionH>
                    <wp:positionV relativeFrom="paragraph">
                      <wp:posOffset>1008380</wp:posOffset>
                    </wp:positionV>
                    <wp:extent cx="3028950" cy="2047875"/>
                    <wp:effectExtent l="19050" t="24130" r="19050" b="23495"/>
                    <wp:wrapNone/>
                    <wp:docPr id="605" name="Ellips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047875"/>
                            </a:xfrm>
                            <a:prstGeom prst="ellipse">
                              <a:avLst/>
                            </a:prstGeom>
                            <a:solidFill>
                              <a:schemeClr val="bg1">
                                <a:lumMod val="100000"/>
                                <a:lumOff val="0"/>
                              </a:schemeClr>
                            </a:solidFill>
                            <a:ln w="38100">
                              <a:solidFill>
                                <a:schemeClr val="accent5">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0D3851D" id="Ellipse 605" o:spid="_x0000_s1026" style="position:absolute;margin-left:248.45pt;margin-top:79.4pt;width:238.5pt;height:161.2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" fillcolor="white [3212]" strokecolor="#5b9bd5 [3208]" strokeweight="3pt"/>
                </w:pict>
              </mc:Fallback>
            </mc:AlternateContent>
          </w:r>
          <w:r w:rsidRPr="00521AEB">
            <w:rPr>
              <w:rFonts w:cstheme="majorBidi"/>
              <w:noProof/>
              <w:sz w:val="22"/>
              <w:lang w:eastAsia="fr-FR"/>
            </w:rPr>
            <mc:AlternateContent>
              <mc:Choice Requires="wps">
                <w:drawing>
                  <wp:anchor distT="0" distB="0" distL="114300" distR="114300" simplePos="0" relativeHeight="252119040" behindDoc="0" locked="0" layoutInCell="1" allowOverlap="1" wp14:anchorId="31F8CE1D" wp14:editId="310803E1">
                    <wp:simplePos x="0" y="0"/>
                    <wp:positionH relativeFrom="column">
                      <wp:posOffset>3393440</wp:posOffset>
                    </wp:positionH>
                    <wp:positionV relativeFrom="paragraph">
                      <wp:posOffset>1760855</wp:posOffset>
                    </wp:positionV>
                    <wp:extent cx="2657475" cy="1095375"/>
                    <wp:effectExtent l="0" t="0" r="0" b="4445"/>
                    <wp:wrapNone/>
                    <wp:docPr id="604" name="Zone de texte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EA39C" w14:textId="77777777" w:rsidR="00A36231" w:rsidRDefault="00A36231" w:rsidP="00521AEB">
                                <w:pPr>
                                  <w:rPr>
                                    <w:rFonts w:cstheme="majorBidi"/>
                                    <w:b/>
                                    <w:bCs/>
                                    <w:sz w:val="20"/>
                                    <w:szCs w:val="20"/>
                                  </w:rPr>
                                </w:pPr>
                                <w:r>
                                  <w:rPr>
                                    <w:rFonts w:cstheme="majorBidi"/>
                                    <w:b/>
                                    <w:bCs/>
                                    <w:sz w:val="20"/>
                                    <w:szCs w:val="20"/>
                                  </w:rPr>
                                  <w:t>La responsabilité sociale des entreprises :</w:t>
                                </w:r>
                              </w:p>
                              <w:p w14:paraId="7DD7447A" w14:textId="77777777" w:rsidR="00A36231" w:rsidRPr="004A401F" w:rsidRDefault="00A36231" w:rsidP="00F36332">
                                <w:pPr>
                                  <w:pStyle w:val="Paragraphedeliste"/>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économique.</w:t>
                                </w:r>
                              </w:p>
                              <w:p w14:paraId="466AEDFD" w14:textId="77777777" w:rsidR="00A36231" w:rsidRDefault="00A36231" w:rsidP="00F36332">
                                <w:pPr>
                                  <w:pStyle w:val="Paragraphedeliste"/>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légale</w:t>
                                </w:r>
                                <w:r>
                                  <w:rPr>
                                    <w:rFonts w:cstheme="majorBidi"/>
                                    <w:b/>
                                    <w:bCs/>
                                    <w:sz w:val="20"/>
                                    <w:szCs w:val="20"/>
                                  </w:rPr>
                                  <w:t>.</w:t>
                                </w:r>
                              </w:p>
                              <w:p w14:paraId="0F38E272" w14:textId="77777777" w:rsidR="00A36231" w:rsidRDefault="00A36231" w:rsidP="00F36332">
                                <w:pPr>
                                  <w:pStyle w:val="Paragraphedeliste"/>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éthique</w:t>
                                </w:r>
                                <w:r>
                                  <w:rPr>
                                    <w:rFonts w:cstheme="majorBidi"/>
                                    <w:b/>
                                    <w:bCs/>
                                    <w:sz w:val="20"/>
                                    <w:szCs w:val="20"/>
                                  </w:rPr>
                                  <w:t>.</w:t>
                                </w:r>
                              </w:p>
                              <w:p w14:paraId="1453F999" w14:textId="77777777" w:rsidR="00A36231" w:rsidRPr="004A401F" w:rsidRDefault="00A36231" w:rsidP="00F36332">
                                <w:pPr>
                                  <w:pStyle w:val="Paragraphedeliste"/>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philanthropique</w:t>
                                </w:r>
                                <w:r>
                                  <w:rPr>
                                    <w:rFonts w:cstheme="majorBidi"/>
                                    <w:b/>
                                    <w:bCs/>
                                    <w:sz w:val="20"/>
                                    <w:szCs w:val="20"/>
                                  </w:rPr>
                                  <w:t>.</w:t>
                                </w:r>
                              </w:p>
                              <w:p w14:paraId="749B0F50" w14:textId="77777777" w:rsidR="00A36231" w:rsidRPr="000D1BAF" w:rsidRDefault="00A36231" w:rsidP="00521AEB">
                                <w:pPr>
                                  <w:rPr>
                                    <w:rFonts w:cstheme="majorBidi"/>
                                    <w:b/>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F8CE1D" id="Zone de texte 604" o:spid="_x0000_s1029" type="#_x0000_t202" style="position:absolute;left:0;text-align:left;margin-left:267.2pt;margin-top:138.65pt;width:209.25pt;height:86.2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" filled="f" stroked="f">
                    <v:textbox>
                      <w:txbxContent>
                        <w:p w14:paraId="02FEA39C" w14:textId="77777777" w:rsidR="00A36231" w:rsidRDefault="00A36231" w:rsidP="00521AEB">
                          <w:pPr>
                            <w:rPr>
                              <w:rFonts w:cstheme="majorBidi"/>
                              <w:b/>
                              <w:bCs/>
                              <w:sz w:val="20"/>
                              <w:szCs w:val="20"/>
                            </w:rPr>
                          </w:pPr>
                          <w:r>
                            <w:rPr>
                              <w:rFonts w:cstheme="majorBidi"/>
                              <w:b/>
                              <w:bCs/>
                              <w:sz w:val="20"/>
                              <w:szCs w:val="20"/>
                            </w:rPr>
                            <w:t>La responsabilité sociale des entreprises :</w:t>
                          </w:r>
                        </w:p>
                        <w:p w14:paraId="7DD7447A" w14:textId="77777777" w:rsidR="00A36231" w:rsidRPr="004A401F" w:rsidRDefault="00A36231" w:rsidP="00F36332">
                          <w:pPr>
                            <w:pStyle w:val="ListParagraph"/>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économique.</w:t>
                          </w:r>
                        </w:p>
                        <w:p w14:paraId="466AEDFD" w14:textId="77777777" w:rsidR="00A36231" w:rsidRDefault="00A36231" w:rsidP="00F36332">
                          <w:pPr>
                            <w:pStyle w:val="ListParagraph"/>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légale</w:t>
                          </w:r>
                          <w:r>
                            <w:rPr>
                              <w:rFonts w:cstheme="majorBidi"/>
                              <w:b/>
                              <w:bCs/>
                              <w:sz w:val="20"/>
                              <w:szCs w:val="20"/>
                            </w:rPr>
                            <w:t>.</w:t>
                          </w:r>
                        </w:p>
                        <w:p w14:paraId="0F38E272" w14:textId="77777777" w:rsidR="00A36231" w:rsidRDefault="00A36231" w:rsidP="00F36332">
                          <w:pPr>
                            <w:pStyle w:val="ListParagraph"/>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éthique</w:t>
                          </w:r>
                          <w:r>
                            <w:rPr>
                              <w:rFonts w:cstheme="majorBidi"/>
                              <w:b/>
                              <w:bCs/>
                              <w:sz w:val="20"/>
                              <w:szCs w:val="20"/>
                            </w:rPr>
                            <w:t>.</w:t>
                          </w:r>
                        </w:p>
                        <w:p w14:paraId="1453F999" w14:textId="77777777" w:rsidR="00A36231" w:rsidRPr="004A401F" w:rsidRDefault="00A36231" w:rsidP="00F36332">
                          <w:pPr>
                            <w:pStyle w:val="ListParagraph"/>
                            <w:numPr>
                              <w:ilvl w:val="0"/>
                              <w:numId w:val="202"/>
                            </w:numPr>
                            <w:spacing w:before="0" w:beforeAutospacing="0" w:line="259" w:lineRule="auto"/>
                            <w:jc w:val="left"/>
                            <w:rPr>
                              <w:rFonts w:cstheme="majorBidi"/>
                              <w:b/>
                              <w:bCs/>
                              <w:sz w:val="20"/>
                              <w:szCs w:val="20"/>
                            </w:rPr>
                          </w:pPr>
                          <w:r w:rsidRPr="004A401F">
                            <w:rPr>
                              <w:rFonts w:cstheme="majorBidi"/>
                              <w:b/>
                              <w:bCs/>
                              <w:sz w:val="20"/>
                              <w:szCs w:val="20"/>
                            </w:rPr>
                            <w:t>Responsabilité philanthropique</w:t>
                          </w:r>
                          <w:r>
                            <w:rPr>
                              <w:rFonts w:cstheme="majorBidi"/>
                              <w:b/>
                              <w:bCs/>
                              <w:sz w:val="20"/>
                              <w:szCs w:val="20"/>
                            </w:rPr>
                            <w:t>.</w:t>
                          </w:r>
                        </w:p>
                        <w:p w14:paraId="749B0F50" w14:textId="77777777" w:rsidR="00A36231" w:rsidRPr="000D1BAF" w:rsidRDefault="00A36231" w:rsidP="00521AEB">
                          <w:pPr>
                            <w:rPr>
                              <w:rFonts w:cstheme="majorBidi"/>
                              <w:b/>
                              <w:bCs/>
                              <w:sz w:val="20"/>
                              <w:szCs w:val="20"/>
                            </w:rPr>
                          </w:pPr>
                        </w:p>
                      </w:txbxContent>
                    </v:textbox>
                  </v:shape>
                </w:pict>
              </mc:Fallback>
            </mc:AlternateContent>
          </w:r>
          <w:r w:rsidRPr="00521AEB">
            <w:rPr>
              <w:rFonts w:cstheme="majorBidi"/>
              <w:noProof/>
              <w:sz w:val="22"/>
              <w:lang w:eastAsia="fr-FR"/>
            </w:rPr>
            <mc:AlternateContent>
              <mc:Choice Requires="wps">
                <w:drawing>
                  <wp:anchor distT="0" distB="0" distL="114300" distR="114300" simplePos="0" relativeHeight="252116992" behindDoc="0" locked="0" layoutInCell="1" allowOverlap="1" wp14:anchorId="1B89A44F" wp14:editId="0A712ED0">
                    <wp:simplePos x="0" y="0"/>
                    <wp:positionH relativeFrom="column">
                      <wp:posOffset>3983990</wp:posOffset>
                    </wp:positionH>
                    <wp:positionV relativeFrom="paragraph">
                      <wp:posOffset>1246505</wp:posOffset>
                    </wp:positionV>
                    <wp:extent cx="1419225" cy="333375"/>
                    <wp:effectExtent l="9525" t="5080" r="9525" b="13970"/>
                    <wp:wrapNone/>
                    <wp:docPr id="602" name="Ellips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333375"/>
                            </a:xfrm>
                            <a:prstGeom prst="ellipse">
                              <a:avLst/>
                            </a:prstGeom>
                            <a:solidFill>
                              <a:schemeClr val="accent5">
                                <a:lumMod val="100000"/>
                                <a:lumOff val="0"/>
                              </a:schemeClr>
                            </a:solidFill>
                            <a:ln w="9525">
                              <a:solidFill>
                                <a:schemeClr val="accent5">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FB81722" id="Ellipse 602" o:spid="_x0000_s1026" style="position:absolute;margin-left:313.7pt;margin-top:98.15pt;width:111.75pt;height:26.2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" fillcolor="#5b9bd5 [3208]" strokecolor="#5b9bd5 [3208]"/>
                </w:pict>
              </mc:Fallback>
            </mc:AlternateContent>
          </w:r>
          <w:r w:rsidRPr="00521AEB">
            <w:rPr>
              <w:rFonts w:cstheme="majorBidi"/>
              <w:noProof/>
              <w:sz w:val="22"/>
              <w:lang w:eastAsia="fr-FR"/>
            </w:rPr>
            <mc:AlternateContent>
              <mc:Choice Requires="wps">
                <w:drawing>
                  <wp:anchor distT="0" distB="0" distL="114300" distR="114300" simplePos="0" relativeHeight="252113920" behindDoc="0" locked="0" layoutInCell="1" allowOverlap="1" wp14:anchorId="331D994F" wp14:editId="118F4AF0">
                    <wp:simplePos x="0" y="0"/>
                    <wp:positionH relativeFrom="column">
                      <wp:posOffset>2821940</wp:posOffset>
                    </wp:positionH>
                    <wp:positionV relativeFrom="paragraph">
                      <wp:posOffset>3161030</wp:posOffset>
                    </wp:positionV>
                    <wp:extent cx="1781175" cy="428625"/>
                    <wp:effectExtent l="0" t="5080" r="0" b="4445"/>
                    <wp:wrapNone/>
                    <wp:docPr id="601" name="Flèche courbée vers le haut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428625"/>
                            </a:xfrm>
                            <a:prstGeom prst="curvedUpArrow">
                              <a:avLst>
                                <a:gd name="adj1" fmla="val 67066"/>
                                <a:gd name="adj2" fmla="val 166222"/>
                                <a:gd name="adj3" fmla="val 33333"/>
                              </a:avLst>
                            </a:prstGeom>
                            <a:solidFill>
                              <a:schemeClr val="accent5">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67E581"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courbée vers le haut 601" o:spid="_x0000_s1026" type="#_x0000_t104" style="position:absolute;margin-left:222.2pt;margin-top:248.9pt;width:140.25pt;height:33.7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" adj=",19023" fillcolor="#5b9bd5 [3208]" stroked="f"/>
                </w:pict>
              </mc:Fallback>
            </mc:AlternateContent>
          </w:r>
          <w:r w:rsidRPr="00521AEB">
            <w:rPr>
              <w:rFonts w:cstheme="majorBidi"/>
              <w:noProof/>
              <w:sz w:val="22"/>
              <w:lang w:eastAsia="fr-FR"/>
            </w:rPr>
            <mc:AlternateContent>
              <mc:Choice Requires="wps">
                <w:drawing>
                  <wp:anchor distT="0" distB="0" distL="114300" distR="114300" simplePos="0" relativeHeight="252114944" behindDoc="0" locked="0" layoutInCell="1" allowOverlap="1" wp14:anchorId="413A877E" wp14:editId="7D6CD05A">
                    <wp:simplePos x="0" y="0"/>
                    <wp:positionH relativeFrom="column">
                      <wp:posOffset>2840990</wp:posOffset>
                    </wp:positionH>
                    <wp:positionV relativeFrom="paragraph">
                      <wp:posOffset>417830</wp:posOffset>
                    </wp:positionV>
                    <wp:extent cx="1781175" cy="476250"/>
                    <wp:effectExtent l="0" t="5080" r="0" b="4445"/>
                    <wp:wrapNone/>
                    <wp:docPr id="600" name="Flèche courbée vers le haut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81175" cy="476250"/>
                            </a:xfrm>
                            <a:prstGeom prst="curvedUpArrow">
                              <a:avLst>
                                <a:gd name="adj1" fmla="val 60359"/>
                                <a:gd name="adj2" fmla="val 149600"/>
                                <a:gd name="adj3" fmla="val 33333"/>
                              </a:avLst>
                            </a:prstGeom>
                            <a:solidFill>
                              <a:schemeClr val="accent5">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501A8" id="Flèche courbée vers le haut 600" o:spid="_x0000_s1026" type="#_x0000_t104" style="position:absolute;margin-left:223.7pt;margin-top:32.9pt;width:140.25pt;height:37.5pt;flip: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" adj=",19023" fillcolor="#5b9bd5 [3208]" stroked="f"/>
                </w:pict>
              </mc:Fallback>
            </mc:AlternateContent>
          </w:r>
          <w:r w:rsidRPr="00521AEB">
            <w:rPr>
              <w:rFonts w:cstheme="majorBidi"/>
              <w:noProof/>
              <w:sz w:val="22"/>
              <w:lang w:eastAsia="fr-FR"/>
            </w:rPr>
            <mc:AlternateContent>
              <mc:Choice Requires="wps">
                <w:drawing>
                  <wp:anchor distT="0" distB="0" distL="114300" distR="114300" simplePos="0" relativeHeight="252112896" behindDoc="0" locked="0" layoutInCell="1" allowOverlap="1" wp14:anchorId="5281F5E5" wp14:editId="5EC32CEE">
                    <wp:simplePos x="0" y="0"/>
                    <wp:positionH relativeFrom="column">
                      <wp:posOffset>545465</wp:posOffset>
                    </wp:positionH>
                    <wp:positionV relativeFrom="paragraph">
                      <wp:posOffset>779780</wp:posOffset>
                    </wp:positionV>
                    <wp:extent cx="2228850" cy="2847975"/>
                    <wp:effectExtent l="0" t="0" r="0" b="4445"/>
                    <wp:wrapNone/>
                    <wp:docPr id="599" name="Zone de texte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84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1B77D" w14:textId="77777777" w:rsidR="00A36231" w:rsidRPr="00F9258A" w:rsidRDefault="00A36231" w:rsidP="00521AEB">
                                <w:pPr>
                                  <w:rPr>
                                    <w:rFonts w:cstheme="majorBidi"/>
                                    <w:sz w:val="20"/>
                                    <w:szCs w:val="20"/>
                                  </w:rPr>
                                </w:pPr>
                                <w:r w:rsidRPr="00F9258A">
                                  <w:rPr>
                                    <w:rFonts w:cstheme="majorBidi"/>
                                    <w:sz w:val="20"/>
                                    <w:szCs w:val="20"/>
                                  </w:rPr>
                                  <w:t>Les principes de la gouvernance selon l’OCDE :</w:t>
                                </w:r>
                              </w:p>
                              <w:p w14:paraId="7FF92FB7"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L’existence d’une base pour</w:t>
                                </w:r>
                                <w:r>
                                  <w:rPr>
                                    <w:rFonts w:cstheme="majorBidi"/>
                                    <w:sz w:val="20"/>
                                    <w:szCs w:val="20"/>
                                  </w:rPr>
                                  <w:t xml:space="preserve"> </w:t>
                                </w:r>
                                <w:r w:rsidRPr="00F9258A">
                                  <w:rPr>
                                    <w:rFonts w:cstheme="majorBidi"/>
                                    <w:sz w:val="20"/>
                                    <w:szCs w:val="20"/>
                                  </w:rPr>
                                  <w:t>un cadre efficace de gouvernance.</w:t>
                                </w:r>
                              </w:p>
                              <w:p w14:paraId="15A8829C"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La préservation des droits des actionnaires</w:t>
                                </w:r>
                                <w:r>
                                  <w:rPr>
                                    <w:rFonts w:cstheme="majorBidi"/>
                                    <w:sz w:val="20"/>
                                    <w:szCs w:val="20"/>
                                  </w:rPr>
                                  <w:t>.</w:t>
                                </w:r>
                              </w:p>
                              <w:p w14:paraId="7CA74959"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Le Traitement équitable des actionnaires</w:t>
                                </w:r>
                                <w:r>
                                  <w:rPr>
                                    <w:rFonts w:cstheme="majorBidi"/>
                                    <w:sz w:val="20"/>
                                    <w:szCs w:val="20"/>
                                  </w:rPr>
                                  <w:t>.</w:t>
                                </w:r>
                              </w:p>
                              <w:p w14:paraId="38B5E1C1"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Le rôle des parties prenantes</w:t>
                                </w:r>
                                <w:r>
                                  <w:rPr>
                                    <w:rFonts w:cstheme="majorBidi"/>
                                    <w:sz w:val="20"/>
                                    <w:szCs w:val="20"/>
                                  </w:rPr>
                                  <w:t xml:space="preserve"> </w:t>
                                </w:r>
                                <w:r w:rsidRPr="00F9258A">
                                  <w:rPr>
                                    <w:rFonts w:cstheme="majorBidi"/>
                                    <w:sz w:val="20"/>
                                    <w:szCs w:val="20"/>
                                  </w:rPr>
                                  <w:t>dans la gouvernance</w:t>
                                </w:r>
                                <w:r>
                                  <w:rPr>
                                    <w:rFonts w:cstheme="majorBidi"/>
                                    <w:sz w:val="20"/>
                                    <w:szCs w:val="20"/>
                                  </w:rPr>
                                  <w:t>.</w:t>
                                </w:r>
                              </w:p>
                              <w:p w14:paraId="34A27DDC"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 xml:space="preserve"> La Divulgation et transparence</w:t>
                                </w:r>
                                <w:r>
                                  <w:rPr>
                                    <w:rFonts w:cstheme="majorBidi"/>
                                    <w:sz w:val="20"/>
                                    <w:szCs w:val="20"/>
                                  </w:rPr>
                                  <w:t>.</w:t>
                                </w:r>
                              </w:p>
                              <w:p w14:paraId="58C3251B" w14:textId="77777777" w:rsidR="00A36231" w:rsidRPr="00F9258A" w:rsidRDefault="00A36231" w:rsidP="00F36332">
                                <w:pPr>
                                  <w:pStyle w:val="Paragraphedeliste"/>
                                  <w:numPr>
                                    <w:ilvl w:val="0"/>
                                    <w:numId w:val="201"/>
                                  </w:numPr>
                                  <w:spacing w:before="0" w:beforeAutospacing="0" w:line="259" w:lineRule="auto"/>
                                  <w:jc w:val="left"/>
                                  <w:rPr>
                                    <w:rFonts w:cstheme="majorBidi"/>
                                    <w:sz w:val="20"/>
                                    <w:szCs w:val="20"/>
                                  </w:rPr>
                                </w:pPr>
                                <w:r w:rsidRPr="00F9258A">
                                  <w:rPr>
                                    <w:rFonts w:cstheme="majorBidi"/>
                                    <w:sz w:val="20"/>
                                    <w:szCs w:val="20"/>
                                  </w:rPr>
                                  <w:t xml:space="preserve"> La responsabilité du conseil d’administration</w:t>
                                </w:r>
                                <w:r>
                                  <w:rPr>
                                    <w:rFonts w:cstheme="majorBidi"/>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81F5E5" id="Zone de texte 599" o:spid="_x0000_s1030" type="#_x0000_t202" style="position:absolute;left:0;text-align:left;margin-left:42.95pt;margin-top:61.4pt;width:175.5pt;height:224.2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" filled="f" stroked="f">
                    <v:textbox>
                      <w:txbxContent>
                        <w:p w14:paraId="5E51B77D" w14:textId="77777777" w:rsidR="00A36231" w:rsidRPr="00F9258A" w:rsidRDefault="00A36231" w:rsidP="00521AEB">
                          <w:pPr>
                            <w:rPr>
                              <w:rFonts w:cstheme="majorBidi"/>
                              <w:sz w:val="20"/>
                              <w:szCs w:val="20"/>
                            </w:rPr>
                          </w:pPr>
                          <w:r w:rsidRPr="00F9258A">
                            <w:rPr>
                              <w:rFonts w:cstheme="majorBidi"/>
                              <w:sz w:val="20"/>
                              <w:szCs w:val="20"/>
                            </w:rPr>
                            <w:t>Les principes de la gouvernance selon l’OCDE :</w:t>
                          </w:r>
                        </w:p>
                        <w:p w14:paraId="7FF92FB7"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L’existence d’une base pour</w:t>
                          </w:r>
                          <w:r>
                            <w:rPr>
                              <w:rFonts w:cstheme="majorBidi"/>
                              <w:sz w:val="20"/>
                              <w:szCs w:val="20"/>
                            </w:rPr>
                            <w:t xml:space="preserve"> </w:t>
                          </w:r>
                          <w:r w:rsidRPr="00F9258A">
                            <w:rPr>
                              <w:rFonts w:cstheme="majorBidi"/>
                              <w:sz w:val="20"/>
                              <w:szCs w:val="20"/>
                            </w:rPr>
                            <w:t>un cadre efficace de gouvernance.</w:t>
                          </w:r>
                        </w:p>
                        <w:p w14:paraId="15A8829C"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La préservation des droits des actionnaires</w:t>
                          </w:r>
                          <w:r>
                            <w:rPr>
                              <w:rFonts w:cstheme="majorBidi"/>
                              <w:sz w:val="20"/>
                              <w:szCs w:val="20"/>
                            </w:rPr>
                            <w:t>.</w:t>
                          </w:r>
                        </w:p>
                        <w:p w14:paraId="7CA74959"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Le Traitement équitable des actionnaires</w:t>
                          </w:r>
                          <w:r>
                            <w:rPr>
                              <w:rFonts w:cstheme="majorBidi"/>
                              <w:sz w:val="20"/>
                              <w:szCs w:val="20"/>
                            </w:rPr>
                            <w:t>.</w:t>
                          </w:r>
                        </w:p>
                        <w:p w14:paraId="38B5E1C1"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Le rôle des parties prenantes</w:t>
                          </w:r>
                          <w:r>
                            <w:rPr>
                              <w:rFonts w:cstheme="majorBidi"/>
                              <w:sz w:val="20"/>
                              <w:szCs w:val="20"/>
                            </w:rPr>
                            <w:t xml:space="preserve"> </w:t>
                          </w:r>
                          <w:r w:rsidRPr="00F9258A">
                            <w:rPr>
                              <w:rFonts w:cstheme="majorBidi"/>
                              <w:sz w:val="20"/>
                              <w:szCs w:val="20"/>
                            </w:rPr>
                            <w:t>dans la gouvernance</w:t>
                          </w:r>
                          <w:r>
                            <w:rPr>
                              <w:rFonts w:cstheme="majorBidi"/>
                              <w:sz w:val="20"/>
                              <w:szCs w:val="20"/>
                            </w:rPr>
                            <w:t>.</w:t>
                          </w:r>
                        </w:p>
                        <w:p w14:paraId="34A27DDC"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 xml:space="preserve"> La Divulgation et transparence</w:t>
                          </w:r>
                          <w:r>
                            <w:rPr>
                              <w:rFonts w:cstheme="majorBidi"/>
                              <w:sz w:val="20"/>
                              <w:szCs w:val="20"/>
                            </w:rPr>
                            <w:t>.</w:t>
                          </w:r>
                        </w:p>
                        <w:p w14:paraId="58C3251B" w14:textId="77777777" w:rsidR="00A36231" w:rsidRPr="00F9258A" w:rsidRDefault="00A36231" w:rsidP="00F36332">
                          <w:pPr>
                            <w:pStyle w:val="ListParagraph"/>
                            <w:numPr>
                              <w:ilvl w:val="0"/>
                              <w:numId w:val="201"/>
                            </w:numPr>
                            <w:spacing w:before="0" w:beforeAutospacing="0" w:line="259" w:lineRule="auto"/>
                            <w:jc w:val="left"/>
                            <w:rPr>
                              <w:rFonts w:cstheme="majorBidi"/>
                              <w:sz w:val="20"/>
                              <w:szCs w:val="20"/>
                            </w:rPr>
                          </w:pPr>
                          <w:r w:rsidRPr="00F9258A">
                            <w:rPr>
                              <w:rFonts w:cstheme="majorBidi"/>
                              <w:sz w:val="20"/>
                              <w:szCs w:val="20"/>
                            </w:rPr>
                            <w:t xml:space="preserve"> La responsabilité du conseil d’administration</w:t>
                          </w:r>
                          <w:r>
                            <w:rPr>
                              <w:rFonts w:cstheme="majorBidi"/>
                              <w:sz w:val="20"/>
                              <w:szCs w:val="20"/>
                            </w:rPr>
                            <w:t>.</w:t>
                          </w:r>
                        </w:p>
                      </w:txbxContent>
                    </v:textbox>
                  </v:shape>
                </w:pict>
              </mc:Fallback>
            </mc:AlternateContent>
          </w:r>
          <w:r w:rsidRPr="00521AEB">
            <w:rPr>
              <w:rFonts w:cstheme="majorBidi"/>
              <w:noProof/>
              <w:sz w:val="22"/>
              <w:lang w:eastAsia="fr-FR"/>
            </w:rPr>
            <mc:AlternateContent>
              <mc:Choice Requires="wps">
                <w:drawing>
                  <wp:anchor distT="0" distB="0" distL="114300" distR="114300" simplePos="0" relativeHeight="252111872" behindDoc="0" locked="0" layoutInCell="1" allowOverlap="1" wp14:anchorId="009F7F08" wp14:editId="01D8FDD9">
                    <wp:simplePos x="0" y="0"/>
                    <wp:positionH relativeFrom="column">
                      <wp:posOffset>1183640</wp:posOffset>
                    </wp:positionH>
                    <wp:positionV relativeFrom="paragraph">
                      <wp:posOffset>160655</wp:posOffset>
                    </wp:positionV>
                    <wp:extent cx="962025" cy="504825"/>
                    <wp:effectExtent l="0" t="0" r="0" b="4445"/>
                    <wp:wrapNone/>
                    <wp:docPr id="598" name="Zone de texte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527F1C94" w14:textId="77777777" w:rsidR="00A36231" w:rsidRPr="00F9258A" w:rsidRDefault="00A36231" w:rsidP="00521AEB">
                                <w:pPr>
                                  <w:jc w:val="center"/>
                                  <w:rPr>
                                    <w:rFonts w:cstheme="majorBidi"/>
                                    <w:sz w:val="20"/>
                                    <w:szCs w:val="20"/>
                                  </w:rPr>
                                </w:pPr>
                                <w:r w:rsidRPr="00F9258A">
                                  <w:rPr>
                                    <w:rFonts w:cstheme="majorBidi"/>
                                    <w:sz w:val="20"/>
                                    <w:szCs w:val="20"/>
                                  </w:rPr>
                                  <w:t>Variable indépendante</w:t>
                                </w:r>
                              </w:p>
                              <w:p w14:paraId="71782ECE" w14:textId="77777777" w:rsidR="00A36231" w:rsidRPr="00F9258A" w:rsidRDefault="00A36231" w:rsidP="00521AEB">
                                <w:pPr>
                                  <w:jc w:val="center"/>
                                  <w:rPr>
                                    <w:rFonts w:cstheme="majorBid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9F7F08" id="Zone de texte 598" o:spid="_x0000_s1031" type="#_x0000_t202" style="position:absolute;left:0;text-align:left;margin-left:93.2pt;margin-top:12.65pt;width:75.75pt;height:39.7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" filled="f" stroked="f" strokecolor="white [3212]">
                    <v:textbox>
                      <w:txbxContent>
                        <w:p w14:paraId="527F1C94" w14:textId="77777777" w:rsidR="00A36231" w:rsidRPr="00F9258A" w:rsidRDefault="00A36231" w:rsidP="00521AEB">
                          <w:pPr>
                            <w:jc w:val="center"/>
                            <w:rPr>
                              <w:rFonts w:cstheme="majorBidi"/>
                              <w:sz w:val="20"/>
                              <w:szCs w:val="20"/>
                            </w:rPr>
                          </w:pPr>
                          <w:r w:rsidRPr="00F9258A">
                            <w:rPr>
                              <w:rFonts w:cstheme="majorBidi"/>
                              <w:sz w:val="20"/>
                              <w:szCs w:val="20"/>
                            </w:rPr>
                            <w:t>Variable indépendante</w:t>
                          </w:r>
                        </w:p>
                        <w:p w14:paraId="71782ECE" w14:textId="77777777" w:rsidR="00A36231" w:rsidRPr="00F9258A" w:rsidRDefault="00A36231" w:rsidP="00521AEB">
                          <w:pPr>
                            <w:jc w:val="center"/>
                            <w:rPr>
                              <w:rFonts w:cstheme="majorBidi"/>
                              <w:sz w:val="20"/>
                              <w:szCs w:val="20"/>
                            </w:rPr>
                          </w:pPr>
                        </w:p>
                      </w:txbxContent>
                    </v:textbox>
                  </v:shape>
                </w:pict>
              </mc:Fallback>
            </mc:AlternateContent>
          </w:r>
          <w:r w:rsidRPr="00521AEB">
            <w:rPr>
              <w:rFonts w:cstheme="majorBidi"/>
              <w:noProof/>
              <w:sz w:val="22"/>
              <w:lang w:eastAsia="fr-FR"/>
            </w:rPr>
            <mc:AlternateContent>
              <mc:Choice Requires="wps">
                <w:drawing>
                  <wp:anchor distT="0" distB="0" distL="114300" distR="114300" simplePos="0" relativeHeight="252110848" behindDoc="0" locked="0" layoutInCell="1" allowOverlap="1" wp14:anchorId="7C8F1A30" wp14:editId="18EC9D29">
                    <wp:simplePos x="0" y="0"/>
                    <wp:positionH relativeFrom="column">
                      <wp:posOffset>1050290</wp:posOffset>
                    </wp:positionH>
                    <wp:positionV relativeFrom="paragraph">
                      <wp:posOffset>27305</wp:posOffset>
                    </wp:positionV>
                    <wp:extent cx="1247775" cy="762000"/>
                    <wp:effectExtent l="19050" t="14605" r="19050" b="13970"/>
                    <wp:wrapNone/>
                    <wp:docPr id="597" name="Losange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762000"/>
                            </a:xfrm>
                            <a:prstGeom prst="diamond">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97CFD4" id="_x0000_t4" coordsize="21600,21600" o:spt="4" path="m10800,l,10800,10800,21600,21600,10800xe">
                    <v:stroke joinstyle="miter"/>
                    <v:path gradientshapeok="t" o:connecttype="rect" textboxrect="5400,5400,16200,16200"/>
                  </v:shapetype>
                  <v:shape id="Losange 597" o:spid="_x0000_s1026" type="#_x0000_t4" style="position:absolute;margin-left:82.7pt;margin-top:2.15pt;width:98.25pt;height:60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" strokecolor="white [3212]"/>
                </w:pict>
              </mc:Fallback>
            </mc:AlternateContent>
          </w:r>
          <w:r w:rsidRPr="00521AEB">
            <w:rPr>
              <w:rFonts w:cstheme="majorBidi"/>
              <w:noProof/>
              <w:sz w:val="22"/>
              <w:lang w:eastAsia="fr-FR"/>
            </w:rPr>
            <mc:AlternateContent>
              <mc:Choice Requires="wps">
                <w:drawing>
                  <wp:anchor distT="0" distB="0" distL="114300" distR="114300" simplePos="0" relativeHeight="252106752" behindDoc="0" locked="0" layoutInCell="1" allowOverlap="1" wp14:anchorId="4855E079" wp14:editId="21914CBD">
                    <wp:simplePos x="0" y="0"/>
                    <wp:positionH relativeFrom="column">
                      <wp:posOffset>1497965</wp:posOffset>
                    </wp:positionH>
                    <wp:positionV relativeFrom="paragraph">
                      <wp:posOffset>3265805</wp:posOffset>
                    </wp:positionV>
                    <wp:extent cx="1343025" cy="381000"/>
                    <wp:effectExtent l="19050" t="14605" r="19050" b="23495"/>
                    <wp:wrapNone/>
                    <wp:docPr id="596" name="Connecteur droit avec flèch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381000"/>
                            </a:xfrm>
                            <a:prstGeom prst="straightConnector1">
                              <a:avLst/>
                            </a:prstGeom>
                            <a:noFill/>
                            <a:ln w="2857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B132A0" id="Connecteur droit avec flèche 596" o:spid="_x0000_s1026" type="#_x0000_t32" style="position:absolute;margin-left:117.95pt;margin-top:257.15pt;width:105.75pt;height:30pt;flip:x;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" strokecolor="white [3212]" strokeweight="2.25pt"/>
                </w:pict>
              </mc:Fallback>
            </mc:AlternateContent>
          </w:r>
          <w:r w:rsidRPr="00521AEB">
            <w:rPr>
              <w:rFonts w:cstheme="majorBidi"/>
              <w:noProof/>
              <w:sz w:val="22"/>
              <w:lang w:eastAsia="fr-FR"/>
            </w:rPr>
            <mc:AlternateContent>
              <mc:Choice Requires="wps">
                <w:drawing>
                  <wp:anchor distT="0" distB="0" distL="114300" distR="114300" simplePos="0" relativeHeight="252105728" behindDoc="0" locked="0" layoutInCell="1" allowOverlap="1" wp14:anchorId="5E39ACC6" wp14:editId="65A61805">
                    <wp:simplePos x="0" y="0"/>
                    <wp:positionH relativeFrom="column">
                      <wp:posOffset>497840</wp:posOffset>
                    </wp:positionH>
                    <wp:positionV relativeFrom="paragraph">
                      <wp:posOffset>3265805</wp:posOffset>
                    </wp:positionV>
                    <wp:extent cx="1333500" cy="381000"/>
                    <wp:effectExtent l="19050" t="14605" r="19050" b="23495"/>
                    <wp:wrapNone/>
                    <wp:docPr id="595" name="Connecteur droit avec flèch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381000"/>
                            </a:xfrm>
                            <a:prstGeom prst="straightConnector1">
                              <a:avLst/>
                            </a:prstGeom>
                            <a:noFill/>
                            <a:ln w="2857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047ADC" id="Connecteur droit avec flèche 595" o:spid="_x0000_s1026" type="#_x0000_t32" style="position:absolute;margin-left:39.2pt;margin-top:257.15pt;width:105pt;height:30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" strokecolor="white [3212]" strokeweight="2.25pt"/>
                </w:pict>
              </mc:Fallback>
            </mc:AlternateContent>
          </w:r>
          <w:r w:rsidRPr="00521AEB">
            <w:rPr>
              <w:rFonts w:cstheme="majorBidi"/>
              <w:noProof/>
              <w:sz w:val="22"/>
              <w:lang w:eastAsia="fr-FR"/>
            </w:rPr>
            <mc:AlternateContent>
              <mc:Choice Requires="wps">
                <w:drawing>
                  <wp:anchor distT="0" distB="0" distL="114300" distR="114300" simplePos="0" relativeHeight="252104704" behindDoc="0" locked="0" layoutInCell="1" allowOverlap="1" wp14:anchorId="2FF46DD4" wp14:editId="4F263B13">
                    <wp:simplePos x="0" y="0"/>
                    <wp:positionH relativeFrom="column">
                      <wp:posOffset>516890</wp:posOffset>
                    </wp:positionH>
                    <wp:positionV relativeFrom="paragraph">
                      <wp:posOffset>417830</wp:posOffset>
                    </wp:positionV>
                    <wp:extent cx="2276475" cy="3143250"/>
                    <wp:effectExtent l="9525" t="14605" r="9525" b="13970"/>
                    <wp:wrapNone/>
                    <wp:docPr id="594" name="Rectangl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3143250"/>
                            </a:xfrm>
                            <a:prstGeom prst="rect">
                              <a:avLst/>
                            </a:prstGeom>
                            <a:solidFill>
                              <a:schemeClr val="accent5">
                                <a:lumMod val="100000"/>
                                <a:lumOff val="0"/>
                              </a:schemeClr>
                            </a:solidFill>
                            <a:ln w="19050">
                              <a:solidFill>
                                <a:schemeClr val="accent5">
                                  <a:lumMod val="100000"/>
                                  <a:lumOff val="0"/>
                                </a:schemeClr>
                              </a:solidFill>
                              <a:miter lim="800000"/>
                              <a:headEnd/>
                              <a:tailEnd/>
                            </a:ln>
                          </wps:spPr>
                          <wps:txbx>
                            <w:txbxContent>
                              <w:p w14:paraId="215907B9" w14:textId="77777777" w:rsidR="00A36231" w:rsidRDefault="00A36231" w:rsidP="00521A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F46DD4" id="Rectangle 594" o:spid="_x0000_s1032" style="position:absolute;left:0;text-align:left;margin-left:40.7pt;margin-top:32.9pt;width:179.25pt;height:247.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" fillcolor="#5b9bd5 [3208]" strokecolor="#5b9bd5 [3208]" strokeweight="1.5pt">
                    <v:textbox>
                      <w:txbxContent>
                        <w:p w14:paraId="215907B9" w14:textId="77777777" w:rsidR="00A36231" w:rsidRDefault="00A36231" w:rsidP="00521AEB"/>
                      </w:txbxContent>
                    </v:textbox>
                  </v:rect>
                </w:pict>
              </mc:Fallback>
            </mc:AlternateContent>
          </w:r>
        </w:p>
        <w:p w14:paraId="40F2D37C" w14:textId="77777777" w:rsidR="00521AEB" w:rsidRPr="00521AEB" w:rsidRDefault="00521AEB" w:rsidP="00521AEB">
          <w:pPr>
            <w:spacing w:before="0" w:beforeAutospacing="0"/>
            <w:rPr>
              <w:rFonts w:cstheme="majorBidi"/>
              <w:sz w:val="22"/>
            </w:rPr>
          </w:pPr>
        </w:p>
        <w:p w14:paraId="3EA825B2" w14:textId="77777777" w:rsidR="00521AEB" w:rsidRPr="00521AEB" w:rsidRDefault="00521AEB" w:rsidP="00521AEB">
          <w:pPr>
            <w:spacing w:before="0" w:beforeAutospacing="0"/>
            <w:rPr>
              <w:rFonts w:cstheme="majorBidi"/>
              <w:sz w:val="22"/>
            </w:rPr>
          </w:pPr>
        </w:p>
        <w:p w14:paraId="53BAFBD9" w14:textId="77777777" w:rsidR="00521AEB" w:rsidRPr="00521AEB" w:rsidRDefault="003E4207" w:rsidP="00521AEB">
          <w:pPr>
            <w:spacing w:before="0" w:beforeAutospacing="0"/>
            <w:rPr>
              <w:rFonts w:cstheme="majorBidi"/>
              <w:sz w:val="22"/>
            </w:rPr>
          </w:pPr>
          <w:r w:rsidRPr="00521AEB">
            <w:rPr>
              <w:rFonts w:cstheme="majorBidi"/>
              <w:noProof/>
              <w:sz w:val="22"/>
              <w:lang w:eastAsia="fr-FR"/>
            </w:rPr>
            <mc:AlternateContent>
              <mc:Choice Requires="wps">
                <w:drawing>
                  <wp:anchor distT="0" distB="0" distL="114300" distR="114300" simplePos="0" relativeHeight="252118016" behindDoc="0" locked="0" layoutInCell="1" allowOverlap="1" wp14:anchorId="08B538AC" wp14:editId="2B4BE020">
                    <wp:simplePos x="0" y="0"/>
                    <wp:positionH relativeFrom="column">
                      <wp:posOffset>3904134</wp:posOffset>
                    </wp:positionH>
                    <wp:positionV relativeFrom="paragraph">
                      <wp:posOffset>228333</wp:posOffset>
                    </wp:positionV>
                    <wp:extent cx="1485239" cy="264278"/>
                    <wp:effectExtent l="0" t="0" r="0" b="2540"/>
                    <wp:wrapNone/>
                    <wp:docPr id="603" name="Zone de texte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39" cy="264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D70C969" w14:textId="77777777" w:rsidR="00A36231" w:rsidRPr="00F9258A" w:rsidRDefault="00A36231" w:rsidP="00521AEB">
                                <w:pPr>
                                  <w:jc w:val="center"/>
                                  <w:rPr>
                                    <w:rFonts w:cstheme="majorBidi"/>
                                    <w:sz w:val="20"/>
                                    <w:szCs w:val="20"/>
                                  </w:rPr>
                                </w:pPr>
                                <w:r>
                                  <w:rPr>
                                    <w:rFonts w:cstheme="majorBidi"/>
                                    <w:sz w:val="20"/>
                                    <w:szCs w:val="20"/>
                                  </w:rPr>
                                  <w:t xml:space="preserve">Variable </w:t>
                                </w:r>
                                <w:r w:rsidRPr="00F9258A">
                                  <w:rPr>
                                    <w:rFonts w:cstheme="majorBidi"/>
                                    <w:sz w:val="20"/>
                                    <w:szCs w:val="20"/>
                                  </w:rPr>
                                  <w:t>dépendante</w:t>
                                </w:r>
                              </w:p>
                              <w:p w14:paraId="0AEB75F9" w14:textId="77777777" w:rsidR="00A36231" w:rsidRPr="00F9258A" w:rsidRDefault="00A36231" w:rsidP="00521AEB">
                                <w:pPr>
                                  <w:jc w:val="center"/>
                                  <w:rPr>
                                    <w:rFonts w:cstheme="majorBid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B538AC" id="Zone de texte 603" o:spid="_x0000_s1033" type="#_x0000_t202" style="position:absolute;left:0;text-align:left;margin-left:307.4pt;margin-top:18pt;width:116.95pt;height:20.8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" filled="f" stroked="f" strokecolor="white [3212]">
                    <v:textbox>
                      <w:txbxContent>
                        <w:p w14:paraId="1D70C969" w14:textId="77777777" w:rsidR="00A36231" w:rsidRPr="00F9258A" w:rsidRDefault="00A36231" w:rsidP="00521AEB">
                          <w:pPr>
                            <w:jc w:val="center"/>
                            <w:rPr>
                              <w:rFonts w:cstheme="majorBidi"/>
                              <w:sz w:val="20"/>
                              <w:szCs w:val="20"/>
                            </w:rPr>
                          </w:pPr>
                          <w:r>
                            <w:rPr>
                              <w:rFonts w:cstheme="majorBidi"/>
                              <w:sz w:val="20"/>
                              <w:szCs w:val="20"/>
                            </w:rPr>
                            <w:t xml:space="preserve">Variable </w:t>
                          </w:r>
                          <w:r w:rsidRPr="00F9258A">
                            <w:rPr>
                              <w:rFonts w:cstheme="majorBidi"/>
                              <w:sz w:val="20"/>
                              <w:szCs w:val="20"/>
                            </w:rPr>
                            <w:t>dépendante</w:t>
                          </w:r>
                        </w:p>
                        <w:p w14:paraId="0AEB75F9" w14:textId="77777777" w:rsidR="00A36231" w:rsidRPr="00F9258A" w:rsidRDefault="00A36231" w:rsidP="00521AEB">
                          <w:pPr>
                            <w:jc w:val="center"/>
                            <w:rPr>
                              <w:rFonts w:cstheme="majorBidi"/>
                              <w:sz w:val="20"/>
                              <w:szCs w:val="20"/>
                            </w:rPr>
                          </w:pPr>
                        </w:p>
                      </w:txbxContent>
                    </v:textbox>
                  </v:shape>
                </w:pict>
              </mc:Fallback>
            </mc:AlternateContent>
          </w:r>
        </w:p>
        <w:p w14:paraId="475C9A09" w14:textId="77777777" w:rsidR="00521AEB" w:rsidRPr="00521AEB" w:rsidRDefault="00521AEB" w:rsidP="00521AEB">
          <w:pPr>
            <w:spacing w:before="0" w:beforeAutospacing="0"/>
            <w:rPr>
              <w:rFonts w:cstheme="majorBidi"/>
              <w:sz w:val="22"/>
            </w:rPr>
          </w:pPr>
        </w:p>
        <w:p w14:paraId="468E1BD1" w14:textId="77777777" w:rsidR="00521AEB" w:rsidRPr="00521AEB" w:rsidRDefault="00521AEB" w:rsidP="00521AEB">
          <w:pPr>
            <w:spacing w:before="0" w:beforeAutospacing="0"/>
            <w:rPr>
              <w:rFonts w:cstheme="majorBidi"/>
              <w:sz w:val="22"/>
            </w:rPr>
          </w:pPr>
        </w:p>
        <w:p w14:paraId="54CE04E1" w14:textId="77777777" w:rsidR="00521AEB" w:rsidRPr="00521AEB" w:rsidRDefault="00521AEB" w:rsidP="00521AEB">
          <w:pPr>
            <w:spacing w:before="0" w:beforeAutospacing="0"/>
            <w:rPr>
              <w:rFonts w:cstheme="majorBidi"/>
              <w:sz w:val="22"/>
            </w:rPr>
          </w:pPr>
        </w:p>
        <w:p w14:paraId="7E9E116A" w14:textId="77777777" w:rsidR="00521AEB" w:rsidRPr="00521AEB" w:rsidRDefault="00521AEB" w:rsidP="00521AEB">
          <w:pPr>
            <w:spacing w:before="0" w:beforeAutospacing="0"/>
            <w:rPr>
              <w:rFonts w:cstheme="majorBidi"/>
              <w:sz w:val="22"/>
            </w:rPr>
          </w:pPr>
        </w:p>
        <w:p w14:paraId="110EFC02" w14:textId="77777777" w:rsidR="00521AEB" w:rsidRPr="00521AEB" w:rsidRDefault="00521AEB" w:rsidP="00521AEB">
          <w:pPr>
            <w:spacing w:before="0" w:beforeAutospacing="0"/>
            <w:rPr>
              <w:rFonts w:cstheme="majorBidi"/>
              <w:sz w:val="22"/>
            </w:rPr>
          </w:pPr>
        </w:p>
        <w:p w14:paraId="06E68CCE" w14:textId="77777777" w:rsidR="00521AEB" w:rsidRPr="00521AEB" w:rsidRDefault="00521AEB" w:rsidP="00521AEB">
          <w:pPr>
            <w:spacing w:before="0" w:beforeAutospacing="0"/>
            <w:rPr>
              <w:rFonts w:cstheme="majorBidi"/>
              <w:sz w:val="22"/>
            </w:rPr>
          </w:pPr>
        </w:p>
        <w:p w14:paraId="55B47787" w14:textId="77777777" w:rsidR="00521AEB" w:rsidRPr="00521AEB" w:rsidRDefault="00521AEB" w:rsidP="00521AEB">
          <w:pPr>
            <w:spacing w:before="0" w:beforeAutospacing="0"/>
            <w:jc w:val="center"/>
            <w:rPr>
              <w:rFonts w:cstheme="majorBidi"/>
              <w:sz w:val="22"/>
            </w:rPr>
          </w:pPr>
        </w:p>
        <w:p w14:paraId="075A54D5" w14:textId="77777777" w:rsidR="00521AEB" w:rsidRPr="00521AEB" w:rsidRDefault="00521AEB" w:rsidP="00521AEB">
          <w:pPr>
            <w:tabs>
              <w:tab w:val="left" w:pos="2295"/>
            </w:tabs>
            <w:spacing w:before="0" w:beforeAutospacing="0"/>
            <w:jc w:val="center"/>
            <w:rPr>
              <w:rFonts w:cstheme="majorBidi"/>
              <w:sz w:val="22"/>
            </w:rPr>
          </w:pPr>
          <w:r w:rsidRPr="00521AEB">
            <w:rPr>
              <w:rFonts w:cstheme="majorBidi"/>
              <w:b/>
              <w:bCs/>
              <w:sz w:val="22"/>
            </w:rPr>
            <w:t xml:space="preserve">Source : </w:t>
          </w:r>
          <w:r w:rsidRPr="00521AEB">
            <w:rPr>
              <w:rFonts w:cstheme="majorBidi"/>
              <w:sz w:val="22"/>
            </w:rPr>
            <w:t>Etablir par nous-mêmes.</w:t>
          </w:r>
        </w:p>
        <w:p w14:paraId="2F751A3D" w14:textId="77777777" w:rsidR="00521AEB" w:rsidRPr="00521AEB" w:rsidRDefault="00521AEB" w:rsidP="00F36332">
          <w:pPr>
            <w:pStyle w:val="Paragraphedeliste"/>
            <w:numPr>
              <w:ilvl w:val="0"/>
              <w:numId w:val="193"/>
            </w:numPr>
            <w:tabs>
              <w:tab w:val="left" w:pos="2295"/>
            </w:tabs>
            <w:spacing w:before="0" w:beforeAutospacing="0"/>
            <w:ind w:left="568" w:hanging="284"/>
            <w:rPr>
              <w:rFonts w:cstheme="majorBidi"/>
              <w:sz w:val="22"/>
            </w:rPr>
          </w:pPr>
          <w:r w:rsidRPr="00521AEB">
            <w:rPr>
              <w:rFonts w:cstheme="majorBidi"/>
              <w:b/>
              <w:bCs/>
              <w:color w:val="000000"/>
              <w:sz w:val="22"/>
            </w:rPr>
            <w:t>Les études précédentes :</w:t>
          </w:r>
        </w:p>
        <w:p w14:paraId="3A7C6C1B" w14:textId="77777777" w:rsidR="00521AEB" w:rsidRPr="00521AEB" w:rsidRDefault="00521AEB" w:rsidP="00521AEB">
          <w:pPr>
            <w:tabs>
              <w:tab w:val="left" w:pos="2295"/>
            </w:tabs>
            <w:spacing w:before="0" w:beforeAutospacing="0"/>
            <w:rPr>
              <w:rStyle w:val="fontstyle01"/>
              <w:rFonts w:asciiTheme="majorBidi" w:hAnsiTheme="majorBidi" w:cstheme="majorBidi"/>
              <w:sz w:val="22"/>
              <w:szCs w:val="22"/>
            </w:rPr>
          </w:pPr>
          <w:r w:rsidRPr="00521AEB">
            <w:rPr>
              <w:rStyle w:val="fontstyle01"/>
              <w:rFonts w:asciiTheme="majorBidi" w:hAnsiTheme="majorBidi" w:cstheme="majorBidi"/>
              <w:sz w:val="22"/>
              <w:szCs w:val="22"/>
            </w:rPr>
            <w:t>De nombreuses études ont examiné la gouvernance et la responsabilité sociale des entreprises sous divers angles, parmi lesquels les aspects les plus significatifs sont les suivants :</w:t>
          </w:r>
        </w:p>
        <w:p w14:paraId="524C0865"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lang w:val="en-AE"/>
            </w:rPr>
          </w:pPr>
          <w:r w:rsidRPr="00521AEB">
            <w:rPr>
              <w:rFonts w:cstheme="majorBidi"/>
              <w:b/>
              <w:bCs/>
              <w:sz w:val="22"/>
              <w:lang w:val="en-AE"/>
            </w:rPr>
            <w:t>Aguiler</w:t>
          </w:r>
          <w:r w:rsidR="007D5A4C">
            <w:rPr>
              <w:rFonts w:cstheme="majorBidi"/>
              <w:b/>
              <w:bCs/>
              <w:sz w:val="22"/>
              <w:lang w:val="en-AE"/>
            </w:rPr>
            <w:t xml:space="preserve">a Ruth V., Jackson Gregory </w:t>
          </w:r>
          <w:r w:rsidR="007D5A4C" w:rsidRPr="007D5A4C">
            <w:rPr>
              <w:rFonts w:cstheme="majorBidi"/>
              <w:b/>
              <w:bCs/>
              <w:sz w:val="22"/>
              <w:lang w:val="en-AE"/>
            </w:rPr>
            <w:t>(</w:t>
          </w:r>
          <w:r w:rsidR="007D5A4C">
            <w:rPr>
              <w:rFonts w:cstheme="majorBidi"/>
              <w:b/>
              <w:bCs/>
              <w:sz w:val="22"/>
              <w:lang w:val="en-AE"/>
            </w:rPr>
            <w:t>20</w:t>
          </w:r>
          <w:r w:rsidR="007D5A4C" w:rsidRPr="007D5A4C">
            <w:rPr>
              <w:rFonts w:cstheme="majorBidi"/>
              <w:b/>
              <w:bCs/>
              <w:sz w:val="22"/>
              <w:lang w:val="en-AE"/>
            </w:rPr>
            <w:t>03</w:t>
          </w:r>
          <w:r w:rsidRPr="00521AEB">
            <w:rPr>
              <w:rFonts w:cstheme="majorBidi"/>
              <w:b/>
              <w:bCs/>
              <w:sz w:val="22"/>
              <w:lang w:val="en-AE"/>
            </w:rPr>
            <w:t>)</w:t>
          </w:r>
          <w:r w:rsidR="007D5A4C" w:rsidRPr="007D5A4C">
            <w:rPr>
              <w:rFonts w:cstheme="majorBidi"/>
              <w:b/>
              <w:bCs/>
              <w:sz w:val="22"/>
              <w:lang w:val="en-AE"/>
            </w:rPr>
            <w:t xml:space="preserve"> </w:t>
          </w:r>
          <w:r w:rsidRPr="00521AEB">
            <w:rPr>
              <w:rStyle w:val="Appelnotedebasdep"/>
              <w:rFonts w:cstheme="majorBidi"/>
              <w:b/>
              <w:bCs/>
              <w:sz w:val="22"/>
            </w:rPr>
            <w:footnoteReference w:id="4"/>
          </w:r>
          <w:r w:rsidRPr="00521AEB">
            <w:rPr>
              <w:rFonts w:cstheme="majorBidi"/>
              <w:b/>
              <w:bCs/>
              <w:sz w:val="22"/>
              <w:lang w:val="en-AE"/>
            </w:rPr>
            <w:t> : « </w:t>
          </w:r>
          <w:r w:rsidRPr="00521AEB">
            <w:rPr>
              <w:rFonts w:cstheme="majorBidi"/>
              <w:sz w:val="22"/>
              <w:lang w:val="en-AE"/>
            </w:rPr>
            <w:t>The Cross-National Diversity of Corporate Governance: Dimensions and Determinants».</w:t>
          </w:r>
        </w:p>
        <w:p w14:paraId="49EAFA8F"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 xml:space="preserve">Cette étude avait pour objectif d’analyser la diversité des systèmes de gouvernance d’entreprise à l’échelle internationale, en mettant en évidence le rôle des institutions et des parties prenantes dans la structuration des modèles de gouvernance. Elle visait également à comprendre comment les contextes institutionnels influencent l’adoption de pratiques de gouvernance intégrant des dimensions sociales et responsables au sein des entreprises. Les auteurs ont adopté une approche </w:t>
          </w:r>
          <w:r w:rsidRPr="00521AEB">
            <w:rPr>
              <w:rStyle w:val="lev"/>
              <w:rFonts w:asciiTheme="majorBidi" w:hAnsiTheme="majorBidi" w:cstheme="majorBidi"/>
              <w:sz w:val="22"/>
              <w:szCs w:val="22"/>
            </w:rPr>
            <w:t>descriptive et comparative</w:t>
          </w:r>
          <w:r w:rsidRPr="00521AEB">
            <w:rPr>
              <w:rFonts w:asciiTheme="majorBidi" w:hAnsiTheme="majorBidi" w:cstheme="majorBidi"/>
              <w:sz w:val="22"/>
              <w:szCs w:val="22"/>
            </w:rPr>
            <w:t xml:space="preserve">, </w:t>
          </w:r>
          <w:r w:rsidRPr="00521AEB">
            <w:rPr>
              <w:rFonts w:asciiTheme="majorBidi" w:hAnsiTheme="majorBidi" w:cstheme="majorBidi"/>
              <w:sz w:val="22"/>
              <w:szCs w:val="22"/>
            </w:rPr>
            <w:lastRenderedPageBreak/>
            <w:t>basée sur une revue de littérature et une analyse des systèmes de gouvernance dans différents pays. L’étude est de nature qualitative et repose sur l’examen des modèles de gouvernance et de leurs déterminants institutionnels. Les résultats obtenus ont montré l’existence d’une forte diversité des systèmes de gouvernance d’entreprise selon les contextes nationaux. L’étude a démontré que les institutions, les normes sociales et les parties prenantes jouent un rôle déterminant dans la structuration des modèles de gouvernance et influencent indirectement l’intégration des responsabilités sociales des entreprises. Ainsi, l’étude conclut que la gouvernance d’entreprise ne peut être comprise sans tenir compte des contextes institutionnels et des parties prenantes, et recommande une approche élargie intégrant les dimensions sociales et éthiques dans l’analyse des systèmes de gouvernance.</w:t>
          </w:r>
        </w:p>
        <w:p w14:paraId="569B210E"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lang w:val="en-AE"/>
            </w:rPr>
          </w:pPr>
          <w:r w:rsidRPr="00521AEB">
            <w:rPr>
              <w:rFonts w:cstheme="majorBidi"/>
              <w:b/>
              <w:bCs/>
              <w:sz w:val="22"/>
              <w:lang w:val="en-AE"/>
            </w:rPr>
            <w:t>Etude de KAKABADSE Nada K., ROZUEL Cécile et LEE-DAVIES Linda (2005)</w:t>
          </w:r>
          <w:r w:rsidRPr="00521AEB">
            <w:rPr>
              <w:rStyle w:val="Appelnotedebasdep"/>
              <w:rFonts w:cstheme="majorBidi"/>
              <w:b/>
              <w:bCs/>
              <w:sz w:val="22"/>
            </w:rPr>
            <w:footnoteReference w:id="5"/>
          </w:r>
          <w:r w:rsidRPr="00521AEB">
            <w:rPr>
              <w:rFonts w:cstheme="majorBidi"/>
              <w:b/>
              <w:bCs/>
              <w:sz w:val="22"/>
              <w:lang w:val="en-AE"/>
            </w:rPr>
            <w:t> : « </w:t>
          </w:r>
          <w:r w:rsidRPr="00521AEB">
            <w:rPr>
              <w:rFonts w:cstheme="majorBidi"/>
              <w:sz w:val="22"/>
              <w:lang w:val="en-AE"/>
            </w:rPr>
            <w:t>Corporate Social Responsibility and Stakeholder Approach: A Conceptual Review».</w:t>
          </w:r>
        </w:p>
        <w:p w14:paraId="184FFF83" w14:textId="77777777" w:rsidR="00521AEB" w:rsidRPr="00521AEB" w:rsidRDefault="00521AEB" w:rsidP="00521AEB">
          <w:pPr>
            <w:spacing w:before="0" w:beforeAutospacing="0"/>
            <w:rPr>
              <w:rFonts w:eastAsia="Times New Roman" w:cstheme="majorBidi"/>
              <w:sz w:val="22"/>
              <w:lang w:eastAsia="fr-FR"/>
            </w:rPr>
          </w:pPr>
          <w:r w:rsidRPr="00521AEB">
            <w:rPr>
              <w:rFonts w:eastAsia="Times New Roman" w:cstheme="majorBidi"/>
              <w:sz w:val="22"/>
              <w:lang w:eastAsia="fr-FR"/>
            </w:rPr>
            <w:t xml:space="preserve">Cette étude avait pour objectif d’analyser la relation entre la gouvernance d’entreprise et la Responsabilité Sociétale des Entreprises (RSE), en mettant en évidence le rôle de l’approche parties prenantes dans l’intégration des pratiques sociales et éthiques au sein des organisations. Elle visait à comprendre dans quelle mesure les mécanismes de gouvernance permettent de structurer et de renforcer l’adoption de la RSE dans les entreprises. Les auteurs ont adopté une approche </w:t>
          </w:r>
          <w:r w:rsidRPr="00521AEB">
            <w:rPr>
              <w:rFonts w:eastAsia="Times New Roman" w:cstheme="majorBidi"/>
              <w:b/>
              <w:bCs/>
              <w:sz w:val="22"/>
              <w:lang w:eastAsia="fr-FR"/>
            </w:rPr>
            <w:t>descriptive et conceptuelle</w:t>
          </w:r>
          <w:r w:rsidRPr="00521AEB">
            <w:rPr>
              <w:rFonts w:eastAsia="Times New Roman" w:cstheme="majorBidi"/>
              <w:sz w:val="22"/>
              <w:lang w:eastAsia="fr-FR"/>
            </w:rPr>
            <w:t>, basée sur une revue critique de la littérature portant sur la gouvernance d’entreprise et la responsabilité sociale. L’étude repose sur l’analyse des travaux théoriques et empiriques existants afin d’examiner les liens entre gouvernance, RSE et gestion des parties prenantes. Les résultats ont montré que la gouvernance d’entreprise est étroitement liée à la RSE, notamment à travers l’adoption d’une approche orientée vers les parties prenantes. L’étude a également révélé que les entreprises qui intègrent les principes de gouvernance responsable tendent à adopter des pratiques sociales plus développées et plus structurées. Ainsi, l’étude conclut que la gouvernance d’entreprise constitue un levier essentiel pour la promotion de la RSE et recommande l’intégration systématique des principes de responsabilité sociale dans les mécanismes de gouvernance afin d’améliorer la performance globale et la durabilité des organisations.</w:t>
          </w:r>
          <w:r w:rsidRPr="00521AEB">
            <w:rPr>
              <w:rFonts w:eastAsia="Times New Roman" w:cstheme="majorBidi"/>
              <w:vanish/>
              <w:sz w:val="22"/>
              <w:lang w:eastAsia="fr-FR"/>
            </w:rPr>
            <w:t>Bas du formulaire</w:t>
          </w:r>
        </w:p>
        <w:p w14:paraId="500A0DDE"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sz w:val="22"/>
              <w:lang w:val="en-AE"/>
            </w:rPr>
          </w:pPr>
          <w:r w:rsidRPr="00521AEB">
            <w:rPr>
              <w:rFonts w:cstheme="majorBidi"/>
              <w:b/>
              <w:bCs/>
              <w:sz w:val="22"/>
              <w:lang w:val="en-AE"/>
            </w:rPr>
            <w:t>Etude de Khan Habib-Uz-Zaman (2011)</w:t>
          </w:r>
          <w:r w:rsidRPr="00521AEB">
            <w:rPr>
              <w:rStyle w:val="Appelnotedebasdep"/>
              <w:rFonts w:cstheme="majorBidi"/>
              <w:b/>
              <w:bCs/>
              <w:sz w:val="22"/>
            </w:rPr>
            <w:footnoteReference w:id="6"/>
          </w:r>
          <w:r w:rsidRPr="00521AEB">
            <w:rPr>
              <w:rFonts w:cstheme="majorBidi"/>
              <w:b/>
              <w:bCs/>
              <w:sz w:val="22"/>
              <w:lang w:val="en-AE"/>
            </w:rPr>
            <w:t> : </w:t>
          </w:r>
          <w:r w:rsidRPr="00521AEB">
            <w:rPr>
              <w:rFonts w:cstheme="majorBidi"/>
              <w:sz w:val="22"/>
              <w:lang w:val="en-AE"/>
            </w:rPr>
            <w:t>«The Effect of Corporate Governance Elements on Corporate Social Responsibility (CSR) Reporting: Empirical Evidence from Private Commercial Banks of Bangladesh».</w:t>
          </w:r>
        </w:p>
        <w:p w14:paraId="2CC2F037"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lastRenderedPageBreak/>
            <w:t xml:space="preserve">Cette étude avait pour objectif d’analyser l’impact des mécanismes de gouvernance d’entreprise sur la divulgation de la Responsabilité Sociétale des Entreprises (RSE), en mettant en évidence le rôle des caractéristiques du conseil d’administration dans l’amélioration de la transparence des informations sociales. L’auteur a adopté une approche </w:t>
          </w:r>
          <w:r w:rsidRPr="00521AEB">
            <w:rPr>
              <w:rStyle w:val="lev"/>
              <w:rFonts w:asciiTheme="majorBidi" w:hAnsiTheme="majorBidi" w:cstheme="majorBidi"/>
              <w:sz w:val="22"/>
              <w:szCs w:val="22"/>
            </w:rPr>
            <w:t>descriptive et empirique</w:t>
          </w:r>
          <w:r w:rsidRPr="00521AEB">
            <w:rPr>
              <w:rFonts w:asciiTheme="majorBidi" w:hAnsiTheme="majorBidi" w:cstheme="majorBidi"/>
              <w:sz w:val="22"/>
              <w:szCs w:val="22"/>
            </w:rPr>
            <w:t>, basée sur une étude quantitative appliquée aux banques commerciales privées du Bangladesh. L’étude repose sur l’analyse des rapports annuels et des mécanismes de gouvernance afin de mesurer leur influence sur la divulgation de la RSE. Les résultats ont montré que certains mécanismes de gouvernance, tels que l’indépendance du conseil d’administration, la diversité et la structure du conseil, influencent positivement la divulgation des informations liées à la RSE. L’étude a également révélé une relation significative entre la qualité de la gouvernance et le niveau de responsabilité sociale des entreprises. Ainsi, l’étude conclut que la gouvernance d’entreprise joue un rôle déterminant dans le renforcement de la transparence et de la responsabilité sociale, et recommande l’amélioration des mécanismes de gouvernance pour favoriser une meilleure intégration de la RSE.</w:t>
          </w:r>
        </w:p>
        <w:p w14:paraId="4D863D67"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sz w:val="22"/>
              <w:lang w:val="en-AE"/>
            </w:rPr>
          </w:pPr>
          <w:r w:rsidRPr="00521AEB">
            <w:rPr>
              <w:rFonts w:cstheme="majorBidi"/>
              <w:b/>
              <w:bCs/>
              <w:sz w:val="22"/>
              <w:lang w:val="en-AE"/>
            </w:rPr>
            <w:t>Etude de AL-TAEE Mohammed (2013)</w:t>
          </w:r>
          <w:r w:rsidRPr="00521AEB">
            <w:rPr>
              <w:rStyle w:val="Appelnotedebasdep"/>
              <w:rFonts w:cstheme="majorBidi"/>
              <w:b/>
              <w:bCs/>
              <w:sz w:val="22"/>
            </w:rPr>
            <w:footnoteReference w:id="7"/>
          </w:r>
          <w:r w:rsidRPr="00521AEB">
            <w:rPr>
              <w:rFonts w:cstheme="majorBidi"/>
              <w:b/>
              <w:bCs/>
              <w:sz w:val="22"/>
              <w:lang w:val="en-AE"/>
            </w:rPr>
            <w:t xml:space="preserve"> : </w:t>
          </w:r>
          <w:r w:rsidRPr="00521AEB">
            <w:rPr>
              <w:rFonts w:cstheme="majorBidi"/>
              <w:sz w:val="22"/>
              <w:lang w:val="en-AE"/>
            </w:rPr>
            <w:t>« The Relationship Between Corporate Strategy &amp; Corporate Social Responsability A Case Study On Zarqa University ».</w:t>
          </w:r>
        </w:p>
        <w:p w14:paraId="31EE86F0"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Cette étude avait pour objectif d’analyser la relation entre la stratégie de l’entreprise et la Responsabilité Sociétale des Entreprises (RSE), en mettant en évidence le rôle de l’intégration des pratiques sociales et éthiques dans la formulation de la stratégie organisationnelle. Elle visait également à comprendre comment la RSE peut constituer un levier de performance et d’amélioration de l’image institutionnelle au sein des établissements universitaires, à travers le cas de l’Université de Zarqa. L’auteur a adopté une approche descriptive et analytique basée sur une étude de cas appliquée à l’Université de Zarqa. L’étude est de nature qualitative et repose sur une revue de la littérature ainsi que sur l’analyse des pratiques organisationnelles liées à la stratégie et à la responsabilité sociale au sein de l’établissement étudié. Les résultats obtenus ont montré l’existence d’une relation étroite entre la stratégie de l’organisation et la RSE. L’étude a démontré que l’intégration des principes de responsabilité sociale dans la stratégie contribue à améliorer la performance institutionnelle, à renforcer la réputation de l’université et à consolider ses relations avec les différentes parties prenantes. Ainsi, l’étude conclut que la RSE constitue un élément stratégique important dans la gestion des organisations éducatives, et recommande l’intégration systématique de ses principes dans la planification stratégique afin d’assurer une meilleure efficacité et une durabilité organisationnelle.</w:t>
          </w:r>
        </w:p>
        <w:p w14:paraId="26BB7BF5" w14:textId="77777777" w:rsidR="00521AEB" w:rsidRPr="00521AEB" w:rsidRDefault="00521AEB" w:rsidP="00F36332">
          <w:pPr>
            <w:pStyle w:val="Paragraphedeliste"/>
            <w:numPr>
              <w:ilvl w:val="0"/>
              <w:numId w:val="203"/>
            </w:numPr>
            <w:tabs>
              <w:tab w:val="left" w:pos="2295"/>
            </w:tabs>
            <w:spacing w:before="0" w:beforeAutospacing="0"/>
            <w:ind w:left="596" w:hanging="284"/>
            <w:rPr>
              <w:rFonts w:cstheme="majorBidi"/>
              <w:b/>
              <w:bCs/>
              <w:sz w:val="22"/>
              <w:lang w:val="en-AE"/>
            </w:rPr>
          </w:pPr>
          <w:r w:rsidRPr="00521AEB">
            <w:rPr>
              <w:rFonts w:cstheme="majorBidi"/>
              <w:b/>
              <w:bCs/>
              <w:sz w:val="22"/>
              <w:lang w:val="en-AE"/>
            </w:rPr>
            <w:lastRenderedPageBreak/>
            <w:t>Étude de Étude de Sahraoui Hamoudi Hadj (2016)</w:t>
          </w:r>
          <w:r w:rsidRPr="00521AEB">
            <w:rPr>
              <w:rStyle w:val="Appelnotedebasdep"/>
              <w:rFonts w:cstheme="majorBidi"/>
              <w:b/>
              <w:bCs/>
              <w:sz w:val="22"/>
            </w:rPr>
            <w:footnoteReference w:id="8"/>
          </w:r>
          <w:r w:rsidRPr="00521AEB">
            <w:rPr>
              <w:rFonts w:cstheme="majorBidi"/>
              <w:b/>
              <w:bCs/>
              <w:sz w:val="22"/>
              <w:lang w:val="en-AE"/>
            </w:rPr>
            <w:t> : « </w:t>
          </w:r>
          <w:r w:rsidRPr="00521AEB">
            <w:rPr>
              <w:rFonts w:cstheme="majorBidi"/>
              <w:sz w:val="22"/>
              <w:lang w:val="en-AE"/>
            </w:rPr>
            <w:t>Corporate Social Responsibility as a Means of Performance Enhancement: The Case of a Cement Plant in Sétif (Algeria)».</w:t>
          </w:r>
        </w:p>
        <w:p w14:paraId="018F2685"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Cette étude avait pour objectif d’analyser le rôle de la Responsabilité Sociétale des Entreprises (RSE) dans l’amélioration de la performance globale d’une entreprise industrielle, en se basant sur le cas d’une cimenterie située à Sétif en Algérie. Elle visait à évaluer dans quelle mesure l’intégration des pratiques de RSE (économiques, sociales et environnementales) peut contribuer à l’amélioration de la performance organisationnelle et à la réduction des impacts environnementaux. L’auteur a adopté une approche descriptive et analytique, fondée sur une étude de cas unique appliquée à une entreprise du secteur industriel. La méthodologie repose sur une analyse comparative des performances de l’entreprise avant et après la mise en œuvre des pratiques de RSE, en s’appuyant sur des données internes liées à la production, à l’environnement de travail et à la gestion environnementale. Les résultats ont montré que l’adoption de la RSE a permis une amélioration notable de la performance de l’entreprise, notamment à travers la réduction des émissions polluantes, l’optimisation de l’utilisation des ressources et l’amélioration des conditions de travail des employés. L’étude a également révélé que la RSE peut constituer un levier stratégique permettant d’atteindre un équilibre entre performance économique et responsabilité environnementale. Ainsi, l’étude conclut que la RSE représente un facteur clé d’amélioration de la performance globale des entreprises industrielles et recommande son intégration dans les stratégies de gestion afin de garantir un développement durable.</w:t>
          </w:r>
        </w:p>
        <w:p w14:paraId="6BC57EDA"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rPr>
          </w:pPr>
          <w:r w:rsidRPr="00521AEB">
            <w:rPr>
              <w:rFonts w:cstheme="majorBidi"/>
              <w:b/>
              <w:bCs/>
              <w:sz w:val="22"/>
            </w:rPr>
            <w:t>Étude de Abedou Abderrahmane (2018)</w:t>
          </w:r>
          <w:r w:rsidRPr="00521AEB">
            <w:rPr>
              <w:rStyle w:val="Appelnotedebasdep"/>
              <w:rFonts w:cstheme="majorBidi"/>
              <w:b/>
              <w:bCs/>
              <w:sz w:val="22"/>
            </w:rPr>
            <w:footnoteReference w:id="9"/>
          </w:r>
          <w:r w:rsidRPr="00521AEB">
            <w:rPr>
              <w:rFonts w:cstheme="majorBidi"/>
              <w:b/>
              <w:bCs/>
              <w:sz w:val="22"/>
            </w:rPr>
            <w:t> : « </w:t>
          </w:r>
          <w:r w:rsidRPr="00521AEB">
            <w:rPr>
              <w:rFonts w:cstheme="majorBidi"/>
              <w:sz w:val="22"/>
            </w:rPr>
            <w:t>La RSE un outil de développement des territoires et de ses acteurs – Cas de l’entreprise Cevital (Algérie) ».</w:t>
          </w:r>
        </w:p>
        <w:p w14:paraId="12A0566D" w14:textId="77777777" w:rsidR="00521AEB" w:rsidRPr="00521AEB" w:rsidRDefault="00521AEB" w:rsidP="00521AEB">
          <w:pPr>
            <w:pStyle w:val="NormalWeb"/>
            <w:spacing w:before="0" w:beforeAutospacing="0" w:line="360" w:lineRule="auto"/>
            <w:rPr>
              <w:rFonts w:asciiTheme="majorBidi" w:hAnsiTheme="majorBidi" w:cstheme="majorBidi"/>
              <w:sz w:val="22"/>
              <w:szCs w:val="22"/>
            </w:rPr>
          </w:pPr>
          <w:r w:rsidRPr="00521AEB">
            <w:rPr>
              <w:rFonts w:asciiTheme="majorBidi" w:hAnsiTheme="majorBidi" w:cstheme="majorBidi"/>
              <w:sz w:val="22"/>
              <w:szCs w:val="22"/>
            </w:rPr>
            <w:t xml:space="preserve">Cette étude avait pour objectif d’analyser le rôle de la Responsabilité Sociétale des Entreprises (RSE) dans le développement des territoires et des parties prenantes, en se basant sur le cas de l’entreprise Cevital en Algérie. Elle visait à évaluer dans quelle mesure l’intégration des pratiques de RSE (économiques, sociales et environnementales) peut contribuer à renforcer la performance globale de l’entreprise ainsi que son impact sur le développement socio-économique local. L’auteur a adopté une approche descriptive et analytique, fondée sur une étude de cas unique appliquée à l’entreprise Cevital. La méthodologie repose sur l’analyse des pratiques de gouvernance et de responsabilité sociétale mises en œuvre par l’entreprise, ainsi que sur l’étude de ses relations avec les différentes parties prenantes et son environnement territorial. Les résultats ont montré que l’adoption de la RSE a permis une amélioration notable de la performance globale de l’entreprise, notamment à travers le renforcement de son image institutionnelle, l’amélioration de ses relations avec les parties prenantes et sa contribution </w:t>
          </w:r>
          <w:r w:rsidRPr="00521AEB">
            <w:rPr>
              <w:rFonts w:asciiTheme="majorBidi" w:hAnsiTheme="majorBidi" w:cstheme="majorBidi"/>
              <w:sz w:val="22"/>
              <w:szCs w:val="22"/>
            </w:rPr>
            <w:lastRenderedPageBreak/>
            <w:t>au développement économique et social local. L’étude a également révélé que la RSE constitue un levier stratégique important permettant d’assurer un équilibre entre performance économique, responsabilité sociale et développement territorial. Ainsi, l’étude conclut que la RSE représente un facteur clé de développement durable pour les entreprises et recommande son intégration dans les stratégies de gouvernance afin de renforcer la compétitivité et l’ancrage territorial de l’entreprise.</w:t>
          </w:r>
        </w:p>
        <w:p w14:paraId="2C2061E6"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rPr>
          </w:pPr>
          <w:r w:rsidRPr="00521AEB">
            <w:rPr>
              <w:rFonts w:cstheme="majorBidi"/>
              <w:b/>
              <w:bCs/>
              <w:sz w:val="22"/>
            </w:rPr>
            <w:t>Daffoun Mohammed (2019) </w:t>
          </w:r>
          <w:r w:rsidRPr="00521AEB">
            <w:rPr>
              <w:rStyle w:val="Appelnotedebasdep"/>
              <w:rFonts w:cstheme="majorBidi"/>
              <w:b/>
              <w:bCs/>
              <w:sz w:val="22"/>
            </w:rPr>
            <w:footnoteReference w:id="10"/>
          </w:r>
          <w:r w:rsidRPr="00521AEB">
            <w:rPr>
              <w:rFonts w:cstheme="majorBidi"/>
              <w:b/>
              <w:bCs/>
              <w:sz w:val="22"/>
            </w:rPr>
            <w:t>: «</w:t>
          </w:r>
          <w:r w:rsidRPr="00521AEB">
            <w:rPr>
              <w:rFonts w:cstheme="majorBidi"/>
              <w:sz w:val="22"/>
            </w:rPr>
            <w:t>Le rôle de la responsabilité sociale éthique dans l’activation de la gouvernance d’entreprise».</w:t>
          </w:r>
        </w:p>
        <w:p w14:paraId="71588746" w14:textId="77777777" w:rsidR="00521AEB" w:rsidRPr="00521AEB" w:rsidRDefault="00521AEB" w:rsidP="00521AEB">
          <w:pPr>
            <w:tabs>
              <w:tab w:val="left" w:pos="2295"/>
            </w:tabs>
            <w:spacing w:before="0" w:beforeAutospacing="0"/>
            <w:rPr>
              <w:rFonts w:cstheme="majorBidi"/>
              <w:sz w:val="22"/>
            </w:rPr>
          </w:pPr>
          <w:r w:rsidRPr="00521AEB">
            <w:rPr>
              <w:rFonts w:cstheme="majorBidi"/>
              <w:sz w:val="22"/>
            </w:rPr>
            <w:t>Cette étude avait pour objectif d’analyser le rôle de la responsabilité sociale éthique dans le renforcement et l’activation de la gouvernance d’entreprise. Elle visait à montrer comment l’intégration des principes éthiques dans la gestion des organisations peut améliorer la transparence, la responsabilité et la qualité des mécanismes de gouvernance. L’auteur a adopté une approche descriptive et analytique basée sur une revue théorique des concepts de responsabilité sociale et de gouvernance d’entreprise. L’étude est de nature qualitative et s’appuie sur l’analyse des travaux académiques et des fondements théoriques relatifs à la RSE et à la gouvernance. Les résultats obtenus ont montré que la responsabilité sociale éthique joue un rôle essentiel dans l’amélioration de la gouvernance d’entreprise, en renforçant la transparence, la prise de décision et la confiance entre l’entreprise et ses parties prenantes. Ainsi, l’étude considère que la RSE constitue un levier fondamental pour une gouvernance plus efficace et responsable. L’étude recommande aux entreprises d’intégrer davantage les valeurs éthiques dans leurs systèmes de gouvernance, de renforcer les mécanismes de contrôle interne, ainsi que de promouvoir la transparence et la formation des managers afin d’assurer une meilleure performance organisationnelle et une gouvernance durable.</w:t>
          </w:r>
        </w:p>
        <w:p w14:paraId="6C4A76A6"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lang w:val="en-AE"/>
            </w:rPr>
          </w:pPr>
          <w:r w:rsidRPr="00521AEB">
            <w:rPr>
              <w:rFonts w:cstheme="majorBidi"/>
              <w:b/>
              <w:bCs/>
              <w:sz w:val="22"/>
              <w:lang w:val="en-AE"/>
            </w:rPr>
            <w:t>Etude de BELGAT Amira, HAMANA Kamel, (2021) </w:t>
          </w:r>
          <w:r w:rsidRPr="00521AEB">
            <w:rPr>
              <w:rStyle w:val="Appelnotedebasdep"/>
              <w:rFonts w:cstheme="majorBidi"/>
              <w:b/>
              <w:bCs/>
              <w:sz w:val="22"/>
            </w:rPr>
            <w:footnoteReference w:id="11"/>
          </w:r>
          <w:r w:rsidRPr="00521AEB">
            <w:rPr>
              <w:rFonts w:cstheme="majorBidi"/>
              <w:b/>
              <w:bCs/>
              <w:sz w:val="22"/>
              <w:lang w:val="en-AE"/>
            </w:rPr>
            <w:t>: « </w:t>
          </w:r>
          <w:r w:rsidRPr="00521AEB">
            <w:rPr>
              <w:rFonts w:cstheme="majorBidi"/>
              <w:sz w:val="22"/>
              <w:lang w:val="en-AE"/>
            </w:rPr>
            <w:t>The Role of Transparency and Disclosure in the Adoption of Social Responsibility Dimensions – A Case Study of Naftal Annaba».</w:t>
          </w:r>
        </w:p>
        <w:p w14:paraId="7FB69FA2" w14:textId="77777777" w:rsidR="00521AEB" w:rsidRPr="00521AEB" w:rsidRDefault="00521AEB" w:rsidP="00521AEB">
          <w:pPr>
            <w:tabs>
              <w:tab w:val="left" w:pos="2295"/>
            </w:tabs>
            <w:spacing w:before="0" w:beforeAutospacing="0"/>
            <w:rPr>
              <w:rFonts w:cstheme="majorBidi"/>
              <w:b/>
              <w:bCs/>
              <w:sz w:val="22"/>
            </w:rPr>
          </w:pPr>
          <w:r w:rsidRPr="00521AEB">
            <w:rPr>
              <w:rFonts w:cstheme="majorBidi"/>
              <w:sz w:val="22"/>
            </w:rPr>
            <w:t xml:space="preserve">Cette étude avait pour objectif d’analyser la relation entre la responsabilité sociétale des entreprises (RSE) et la gouvernance d’entreprise, en mettant en évidence le rôle des pratiques responsables dans l’amélioration des mécanismes de transparence, de contrôle et de prise de décision au sein des organisations. Elle visait également à montrer comment l’intégration des dimensions sociales, environnementales et éthiques dans la stratégie de l’entreprise contribue à renforcer la qualité de la gouvernance et la performance globale. L’auteur a adopté une approche descriptive et analytique basée </w:t>
          </w:r>
          <w:r w:rsidRPr="00521AEB">
            <w:rPr>
              <w:rFonts w:cstheme="majorBidi"/>
              <w:sz w:val="22"/>
            </w:rPr>
            <w:lastRenderedPageBreak/>
            <w:t>sur une revue de littérature des concepts de RSE et de gouvernance d’entreprise, en s’appuyant sur les principaux travaux théoriques et empiriques disponibles dans ce domaine. L’étude est de nature qualitative et repose sur l’analyse des contributions académiques traitant de l’articulation entre responsabilité sociétale et bonne gouvernance. Les résultats obtenus ont montré que la RSE constitue un levier essentiel pour améliorer la gouvernance d’entreprise, en favorisant la transparence, la responsabilité, la gestion des risques et la prise en compte des parties prenantes. Ainsi, l’étude conclut que la RSE et la gouvernance sont étroitement liées et complémentaires, dans la mesure où une bonne gouvernance facilite la mise en œuvre des pratiques de responsabilité sociétale, tandis que la RSE renforce la performance et la durabilité des systèmes de gouvernance. L’étude recommande aux entreprises d’intégrer davantage les principes de la RSE dans leurs stratégies de gouvernance, de renforcer les mécanismes de contrôle interne et de promouvoir une culture organisationnelle basée sur l’éthique, la transparence et la responsabilité afin d’assurer une performance durable et équilibrée.</w:t>
          </w:r>
        </w:p>
        <w:p w14:paraId="1C170842"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rPr>
          </w:pPr>
          <w:r w:rsidRPr="00521AEB">
            <w:rPr>
              <w:rFonts w:cstheme="majorBidi"/>
              <w:b/>
              <w:bCs/>
              <w:sz w:val="22"/>
            </w:rPr>
            <w:t>ZERROUKI Imene (2023)</w:t>
          </w:r>
          <w:r w:rsidRPr="00521AEB">
            <w:rPr>
              <w:rStyle w:val="Appelnotedebasdep"/>
              <w:rFonts w:cstheme="majorBidi"/>
              <w:b/>
              <w:bCs/>
              <w:sz w:val="22"/>
            </w:rPr>
            <w:footnoteReference w:id="12"/>
          </w:r>
          <w:r w:rsidRPr="00521AEB">
            <w:rPr>
              <w:rFonts w:cstheme="majorBidi"/>
              <w:b/>
              <w:bCs/>
              <w:sz w:val="22"/>
            </w:rPr>
            <w:t> : « </w:t>
          </w:r>
          <w:r w:rsidRPr="00521AEB">
            <w:rPr>
              <w:rFonts w:cstheme="majorBidi"/>
              <w:sz w:val="22"/>
            </w:rPr>
            <w:t>Gouvernance et responsabilité sociétale de l’entreprise en Algérie : Quelle réalité ? Cas de l’entreprise économique SOCOTHYD».</w:t>
          </w:r>
        </w:p>
        <w:p w14:paraId="3AA48FF0" w14:textId="77777777" w:rsidR="00521AEB" w:rsidRPr="00521AEB" w:rsidRDefault="00521AEB" w:rsidP="00521AEB">
          <w:pPr>
            <w:pStyle w:val="isselectedend"/>
            <w:spacing w:before="0" w:beforeAutospacing="0" w:after="160" w:afterAutospacing="0" w:line="360" w:lineRule="auto"/>
            <w:ind w:firstLine="284"/>
            <w:jc w:val="both"/>
            <w:rPr>
              <w:rFonts w:asciiTheme="majorBidi" w:hAnsiTheme="majorBidi" w:cstheme="majorBidi"/>
              <w:sz w:val="22"/>
              <w:szCs w:val="22"/>
            </w:rPr>
          </w:pPr>
          <w:r w:rsidRPr="00521AEB">
            <w:rPr>
              <w:rFonts w:asciiTheme="majorBidi" w:hAnsiTheme="majorBidi" w:cstheme="majorBidi"/>
              <w:sz w:val="22"/>
              <w:szCs w:val="22"/>
            </w:rPr>
            <w:t>Cette étude avait pour objectif de présenter et de faire connaître la Responsabilité Sociétale des Entreprises (RSE) comme un instrument d’une bonne gouvernance d’entreprise. Elle visait également à recenser les différentes pratiques, interventions et engagements d’une organisation socialement responsable en Algérie, en prenant le cas de l’entreprise SOCOTHYD spécialisée dans la production et la commercialisation des produits de pansement. L’auteure a adopté une approche descriptive et analytique à travers une étude de cas appliquée à l’entreprise SOCOTHYD. L’étude est de nature qualitative et s’appuie sur une recherche bibliographique fondée sur l’analyse du contenu des documents internes et externes de l’entreprise, ainsi que sur une observation participative réalisée à travers des visites de terrain. Les résultats obtenus ont démontré que la RSE occupe une place primordiale dans le management de l’entreprise SOCOTHYD. L’étude a révélé l’existence de nombreuses pratiques responsables aux niveaux économique, social et environnemental, notamment l’application de normes de qualité et de management environnemental, l’amélioration des conditions de travail et la prise en compte des différentes parties prenantes. Ainsi, l’entreprise SOCOTHYD est considérée comme un exemple concret d’entreprise socialement responsable en Algérie. L’étude recommande aux entreprises algériennes d’intégrer davantage les principes de la responsabilité sociétale comme outil de gouvernance, de renforcer leurs engagements économiques, sociaux et environnementaux, ainsi que d’adopter des normes internationales, notamment l’ISO 26000, afin d’améliorer leur performance globale et assurer leur pérennité.</w:t>
          </w:r>
        </w:p>
        <w:p w14:paraId="5632BA5C" w14:textId="77777777" w:rsidR="00521AEB" w:rsidRPr="00521AEB" w:rsidRDefault="00521AEB" w:rsidP="00F36332">
          <w:pPr>
            <w:pStyle w:val="Paragraphedeliste"/>
            <w:numPr>
              <w:ilvl w:val="0"/>
              <w:numId w:val="203"/>
            </w:numPr>
            <w:tabs>
              <w:tab w:val="left" w:pos="2295"/>
            </w:tabs>
            <w:spacing w:before="0" w:beforeAutospacing="0"/>
            <w:ind w:left="568" w:hanging="284"/>
            <w:rPr>
              <w:rFonts w:cstheme="majorBidi"/>
              <w:b/>
              <w:bCs/>
              <w:sz w:val="22"/>
              <w:lang w:val="en-AE"/>
            </w:rPr>
          </w:pPr>
          <w:r w:rsidRPr="00521AEB">
            <w:rPr>
              <w:rFonts w:cstheme="majorBidi"/>
              <w:b/>
              <w:bCs/>
              <w:sz w:val="22"/>
              <w:lang w:val="en-AE"/>
            </w:rPr>
            <w:lastRenderedPageBreak/>
            <w:t>Bessaid Oussama Nabil (2025)</w:t>
          </w:r>
          <w:r w:rsidRPr="00521AEB">
            <w:rPr>
              <w:rStyle w:val="Appelnotedebasdep"/>
              <w:rFonts w:cstheme="majorBidi"/>
              <w:b/>
              <w:bCs/>
              <w:sz w:val="22"/>
            </w:rPr>
            <w:footnoteReference w:id="13"/>
          </w:r>
          <w:r w:rsidRPr="00521AEB">
            <w:rPr>
              <w:rFonts w:cstheme="majorBidi"/>
              <w:b/>
              <w:bCs/>
              <w:sz w:val="22"/>
              <w:lang w:val="en-AE"/>
            </w:rPr>
            <w:t> : </w:t>
          </w:r>
          <w:r w:rsidRPr="00521AEB">
            <w:rPr>
              <w:rFonts w:cstheme="majorBidi"/>
              <w:sz w:val="22"/>
              <w:lang w:val="en-AE"/>
            </w:rPr>
            <w:t>« The Role of Social Responsibility in Improving Ethics Corporate Governance: Case of Enterprise Sonatrach  ».</w:t>
          </w:r>
        </w:p>
        <w:p w14:paraId="732442E5" w14:textId="77777777" w:rsidR="00521AEB" w:rsidRDefault="00521AEB" w:rsidP="00521AEB">
          <w:pPr>
            <w:tabs>
              <w:tab w:val="left" w:pos="2295"/>
            </w:tabs>
            <w:spacing w:before="0" w:beforeAutospacing="0"/>
            <w:rPr>
              <w:rFonts w:cstheme="majorBidi"/>
              <w:sz w:val="22"/>
            </w:rPr>
          </w:pPr>
          <w:r w:rsidRPr="00521AEB">
            <w:rPr>
              <w:rFonts w:cstheme="majorBidi"/>
              <w:sz w:val="22"/>
            </w:rPr>
            <w:t>Cette étude avait pour objectif de démontrer l’importance de la responsabilité sociale dans l’amélioration de l’éthique et de la gouvernance d’entreprise, afin d’assurer la qualité des systèmes et des services tout en préservant les intérêts humains et environnementaux, notamment face aux évolutions technologiques et aux exigences socio-économiques croissantes. L’auteur a adopté une approche analytique basée sur une étude de cas appliquée à l’entreprise Sonatrach. L’étude est de nature qualitative et repose sur l’analyse du rôle des pratiques de responsabilité sociale dans le renforcement des principes éthiques et de la gouvernance organisationnelle.</w:t>
          </w:r>
          <w:r w:rsidRPr="00521AEB">
            <w:rPr>
              <w:rFonts w:cstheme="majorBidi"/>
              <w:b/>
              <w:bCs/>
              <w:sz w:val="22"/>
            </w:rPr>
            <w:t xml:space="preserve"> </w:t>
          </w:r>
          <w:r w:rsidRPr="00521AEB">
            <w:rPr>
              <w:rFonts w:cstheme="majorBidi"/>
              <w:sz w:val="22"/>
            </w:rPr>
            <w:t>Pour approfondir notre sujet et assurer une compréhension globale de ses différentes dimensions, notre travail a été structuré en deux chapitres principaux alliant les aspects théoriques et conceptuels de la gouvernance d’entreprise et de la responsabilité sociale des entreprises. Les résultats ont montré que la responsabilité sociale contribue significativement à l’amélioration de la gouvernance éthique de l’entreprise et favorise le bien-être des parties prenantes internes et externes, de la société ainsi que de l’environnement. L’étude a également révélé que l’adoption de pratiques responsables améliore la performance globale et soutient le développement organisationnel. L’étude recommande aux entreprises de renforcer leur engagement envers les pratiques de responsabilité sociale, de consolider les principes éthiques dans les processus de gouvernance et d’intégrer des stratégies responsables afin d’assurer un développement durable et une meilleure performance institutionnelle.</w:t>
          </w:r>
        </w:p>
        <w:p w14:paraId="5402DC22" w14:textId="6A14C054" w:rsidR="00B44E67" w:rsidRPr="00B44E67" w:rsidRDefault="00B44E67" w:rsidP="00B44E67">
          <w:pPr>
            <w:tabs>
              <w:tab w:val="left" w:pos="2295"/>
            </w:tabs>
            <w:spacing w:before="0" w:beforeAutospacing="0"/>
            <w:rPr>
              <w:rFonts w:cstheme="majorBidi"/>
              <w:sz w:val="22"/>
            </w:rPr>
          </w:pPr>
          <w:r w:rsidRPr="00B44E67">
            <w:rPr>
              <w:rFonts w:cstheme="majorBidi"/>
              <w:sz w:val="22"/>
            </w:rPr>
            <w:t>Cette recherche plonge au cœur des trois chapitres, explorant leurs thèmes centraux et établissant les bases pour une compréhension approfondie. Nous allons décortiquer les idées principales, les personnages clés et les éléments narratifs qui façonnent ces premiers chapitres essentiels. L'objectif est de fournir un aperçu clair et concis avant d'aborder les détails de chaque partie.</w:t>
          </w:r>
        </w:p>
        <w:p w14:paraId="51274579" w14:textId="77777777" w:rsidR="00521AEB" w:rsidRPr="00521AEB" w:rsidRDefault="00521AEB" w:rsidP="00521AEB">
          <w:pPr>
            <w:tabs>
              <w:tab w:val="left" w:pos="2295"/>
            </w:tabs>
            <w:spacing w:before="0" w:beforeAutospacing="0"/>
            <w:rPr>
              <w:rFonts w:cstheme="majorBidi"/>
              <w:sz w:val="22"/>
            </w:rPr>
          </w:pPr>
          <w:r w:rsidRPr="00521AEB">
            <w:rPr>
              <w:rFonts w:cstheme="majorBidi"/>
              <w:b/>
              <w:bCs/>
              <w:sz w:val="22"/>
            </w:rPr>
            <w:t>Chapitre 01</w:t>
          </w:r>
          <w:r w:rsidRPr="00521AEB">
            <w:rPr>
              <w:rFonts w:cstheme="majorBidi"/>
              <w:sz w:val="22"/>
            </w:rPr>
            <w:t>, intitulé « La gouvernance comme pierre angulaire de l’entreprise ».</w:t>
          </w:r>
        </w:p>
        <w:p w14:paraId="6AA11D94" w14:textId="77777777" w:rsidR="00521AEB" w:rsidRPr="00521AEB" w:rsidRDefault="00521AEB" w:rsidP="00521AEB">
          <w:pPr>
            <w:tabs>
              <w:tab w:val="left" w:pos="2295"/>
            </w:tabs>
            <w:spacing w:before="0" w:beforeAutospacing="0"/>
            <w:rPr>
              <w:rFonts w:cstheme="majorBidi"/>
              <w:sz w:val="22"/>
            </w:rPr>
          </w:pPr>
          <w:r w:rsidRPr="00521AEB">
            <w:rPr>
              <w:rFonts w:cstheme="majorBidi"/>
              <w:sz w:val="22"/>
            </w:rPr>
            <w:t xml:space="preserve">Il est consacré à l’étude des fondements théoriques et opérationnels de la gouvernance d’entreprise. Ce chapitre est subdivisé en trois sections principales. La première section, intitulée « Le cadre théorique de la gouvernance », traite de l’émergence historique de la gouvernance à travers sa définition, son étymologie ainsi que les raisons de son apparition. Elle aborde également la gouvernance sociétale, les différentes approches de la performance sociétale de l’entreprise (PSE), la gouvernance d’entreprise ainsi que la gouvernance stratégique. La deuxième section, intitulée « Les fondements théoriques de la gouvernance d’entreprise », met l’accent sur les origines et l’évolution de la gouvernance d’entreprise, ses différentes définitions ainsi que les principales théories et modèles explicatifs de la gouvernance. Enfin, la troisième section, intitulée « Le cadre opérationnel de la gouvernance d’entreprise », présente </w:t>
          </w:r>
          <w:r w:rsidRPr="00521AEB">
            <w:rPr>
              <w:rFonts w:cstheme="majorBidi"/>
              <w:sz w:val="22"/>
            </w:rPr>
            <w:lastRenderedPageBreak/>
            <w:t>les caractéristiques de la gouvernance d’entreprise, ses principes fondamentaux, ses mécanismes ainsi que ses objectifs et son importance dans le fonctionnement et la pérennité des organisations.</w:t>
          </w:r>
        </w:p>
        <w:p w14:paraId="41F8A2D0" w14:textId="77777777" w:rsidR="00521AEB" w:rsidRPr="00521AEB" w:rsidRDefault="00521AEB" w:rsidP="00521AEB">
          <w:pPr>
            <w:tabs>
              <w:tab w:val="left" w:pos="2295"/>
            </w:tabs>
            <w:spacing w:before="0" w:beforeAutospacing="0"/>
            <w:rPr>
              <w:rFonts w:cstheme="majorBidi"/>
              <w:sz w:val="22"/>
            </w:rPr>
          </w:pPr>
          <w:r w:rsidRPr="00521AEB">
            <w:rPr>
              <w:rFonts w:cstheme="majorBidi"/>
              <w:b/>
              <w:bCs/>
              <w:sz w:val="22"/>
            </w:rPr>
            <w:t>Chapitre 02</w:t>
          </w:r>
          <w:r w:rsidRPr="00521AEB">
            <w:rPr>
              <w:rFonts w:cstheme="majorBidi"/>
              <w:sz w:val="22"/>
            </w:rPr>
            <w:t>, intitulé « La responsabilité sociale des entreprises comme levier d’intégrité pour les entreprises ».</w:t>
          </w:r>
        </w:p>
        <w:p w14:paraId="7A8ADC8D" w14:textId="77777777" w:rsidR="00521AEB" w:rsidRPr="00521AEB" w:rsidRDefault="00521AEB" w:rsidP="00521AEB">
          <w:pPr>
            <w:tabs>
              <w:tab w:val="left" w:pos="2295"/>
            </w:tabs>
            <w:spacing w:before="0" w:beforeAutospacing="0"/>
            <w:rPr>
              <w:rFonts w:cstheme="majorBidi"/>
              <w:sz w:val="22"/>
            </w:rPr>
          </w:pPr>
          <w:r w:rsidRPr="00521AEB">
            <w:rPr>
              <w:rFonts w:cstheme="majorBidi"/>
              <w:sz w:val="22"/>
            </w:rPr>
            <w:t xml:space="preserve"> Porte sur les dimensions théoriques et pratiques de la responsabilité sociale des entreprises (RSE). Ce chapitre est également organisé en trois sections principales. La première section, intitulée « La notion de la responsabilité sociale des entreprises », aborde les racines conceptuelles et l’évolution historique de la RSE, en mettant en évidence la progression du concept dans les domaines du management stratégique et de l’entreprise en tant qu’acteur socio-économique. Cette section traite également des différentes définitions de la RSE ainsi que de son encadrement institutionnel. La deuxième section, intitulée « Le cadre opérationnel de la responsabilité sociale des entreprises », présente les principaux piliers de la RSE, notamment ses dimensions, ses principes, ses leviers de performance ainsi que ses caractéristiques, enjeux et indicateurs. Elle met également l’accent sur les axes d’action de la RSE, les outils de mise en œuvre de la démarche RSE ainsi que le lien entre la responsabilité sociale et le développement durable. Enfin, la troisième section est consacrée aux stratégies et motivations d’intégration de la RSE au sein des entreprises, au passage de la responsabilité sociale vers la responsabilité sociétale, ainsi qu’à l’étude de la relation entre la responsabilité sociale des entreprises et la gouvernance d’entreprise.</w:t>
          </w:r>
        </w:p>
        <w:p w14:paraId="3C3C0901" w14:textId="77777777" w:rsidR="00521AEB" w:rsidRPr="00521AEB" w:rsidRDefault="00D77DE1" w:rsidP="00521AEB">
          <w:pPr>
            <w:tabs>
              <w:tab w:val="left" w:pos="2295"/>
            </w:tabs>
            <w:spacing w:before="0" w:beforeAutospacing="0"/>
            <w:rPr>
              <w:rFonts w:cstheme="majorBidi"/>
              <w:sz w:val="22"/>
            </w:rPr>
          </w:pPr>
          <w:r w:rsidRPr="00521AEB">
            <w:rPr>
              <w:rFonts w:cstheme="majorBidi"/>
              <w:b/>
              <w:bCs/>
              <w:sz w:val="22"/>
            </w:rPr>
            <w:t>Chapitre</w:t>
          </w:r>
          <w:r w:rsidR="00521AEB" w:rsidRPr="00521AEB">
            <w:rPr>
              <w:rFonts w:cstheme="majorBidi"/>
              <w:b/>
              <w:bCs/>
              <w:sz w:val="22"/>
            </w:rPr>
            <w:t xml:space="preserve"> 03</w:t>
          </w:r>
          <w:r w:rsidR="00521AEB" w:rsidRPr="00521AEB">
            <w:rPr>
              <w:rFonts w:cstheme="majorBidi"/>
              <w:sz w:val="22"/>
            </w:rPr>
            <w:t>, intitulé « Étude de cas au sein de l’entreprise TAYAL SPA RILIZANE ».</w:t>
          </w:r>
        </w:p>
        <w:p w14:paraId="663247E6" w14:textId="77777777" w:rsidR="006821A4" w:rsidRDefault="00521AEB" w:rsidP="00521AEB">
          <w:pPr>
            <w:tabs>
              <w:tab w:val="left" w:pos="2295"/>
            </w:tabs>
            <w:spacing w:before="0" w:beforeAutospacing="0"/>
            <w:rPr>
              <w:rFonts w:cstheme="majorBidi"/>
              <w:sz w:val="22"/>
            </w:rPr>
            <w:sectPr w:rsidR="006821A4" w:rsidSect="00B164D2">
              <w:headerReference w:type="default" r:id="rId19"/>
              <w:footerReference w:type="default" r:id="rId20"/>
              <w:headerReference w:type="first" r:id="rId21"/>
              <w:footerReference w:type="first" r:id="rId22"/>
              <w:pgSz w:w="11906" w:h="16838"/>
              <w:pgMar w:top="851" w:right="1418" w:bottom="1134" w:left="1418" w:header="709" w:footer="709" w:gutter="0"/>
              <w:pgNumType w:fmt="upperLetter" w:start="1"/>
              <w:cols w:space="708"/>
              <w:titlePg/>
              <w:docGrid w:linePitch="360"/>
            </w:sectPr>
          </w:pPr>
          <w:r w:rsidRPr="00521AEB">
            <w:rPr>
              <w:rFonts w:cstheme="majorBidi"/>
              <w:sz w:val="22"/>
            </w:rPr>
            <w:t>Il est consacré à l’aspect pratique de la recherche afin de vérifier la validité des hypothèses formulées et d’analyser la relation entre la gouvernance d’entreprise et la responsabilité sociale des entreprises. Ce chapitre est structuré en trois sections principales. La première section est dédiée à la présentation générale de l’entreprise TAYAL SPA RELIZANE, à travers son historique, son organisation, ses activités principales ainsi que son environnement de travail. Cette section présente également la méthodologie adoptée dans l’étude, les outils de collecte des données ainsi que les techniques statistiques utilisées pour analyser les informations recueillies. La deuxième section porte sur la présentation, l’analyse et l’interprétation des données obtenues à partir du questionnaire distribué aux employés de l’entreprise. Elle met en évidence les résultats relatifs aux pratiques de gouvernance d’entreprise ainsi qu’aux dimensions de la responsabilité sociale des entreprises, notamment la responsabilité économique, légale, éthique et philanthropique. Enfin, la troisième section est consacrée au test des hypothèses de recherche et à la discussion des résultats obtenus, afin de déterminer l’impact des mécanismes de gouvernance d’entreprise sur le niveau d’intégration de la responsabilité sociale au sein de l’entreprise TAYAL SPA RELIZANE.</w:t>
          </w:r>
        </w:p>
        <w:p w14:paraId="31FD28E8" w14:textId="77777777" w:rsidR="00521AEB" w:rsidRPr="00521AEB" w:rsidRDefault="00521AEB" w:rsidP="00521AEB">
          <w:pPr>
            <w:tabs>
              <w:tab w:val="left" w:pos="2295"/>
            </w:tabs>
            <w:spacing w:before="0" w:beforeAutospacing="0"/>
            <w:rPr>
              <w:rFonts w:cstheme="majorBidi"/>
              <w:sz w:val="22"/>
            </w:rPr>
          </w:pPr>
        </w:p>
        <w:p w14:paraId="58172AC4" w14:textId="77777777" w:rsidR="00521AEB" w:rsidRPr="00521AEB" w:rsidRDefault="00521AEB" w:rsidP="00521AEB">
          <w:pPr>
            <w:spacing w:before="0" w:beforeAutospacing="0"/>
            <w:rPr>
              <w:rFonts w:cstheme="majorBidi"/>
              <w:sz w:val="22"/>
            </w:rPr>
          </w:pPr>
        </w:p>
        <w:p w14:paraId="0BD07CEB" w14:textId="77777777" w:rsidR="00521AEB" w:rsidRDefault="00521AEB" w:rsidP="00521AEB">
          <w:pPr>
            <w:rPr>
              <w:rFonts w:cstheme="majorBidi"/>
              <w:sz w:val="22"/>
            </w:rPr>
          </w:pPr>
        </w:p>
        <w:p w14:paraId="5855036F" w14:textId="77777777" w:rsidR="004E0735" w:rsidRDefault="004E0735" w:rsidP="006821A4">
          <w:pPr>
            <w:rPr>
              <w:rFonts w:cstheme="majorBidi"/>
              <w:sz w:val="22"/>
            </w:rPr>
          </w:pPr>
        </w:p>
        <w:p w14:paraId="50719EC7" w14:textId="77777777" w:rsidR="004E0735" w:rsidRPr="004E0735" w:rsidRDefault="004E0735" w:rsidP="004E0735">
          <w:pPr>
            <w:rPr>
              <w:rFonts w:cstheme="majorBidi"/>
              <w:sz w:val="22"/>
            </w:rPr>
          </w:pPr>
        </w:p>
        <w:p w14:paraId="31E50FE3" w14:textId="77777777" w:rsidR="004E0735" w:rsidRPr="004E0735" w:rsidRDefault="004E0735" w:rsidP="004E0735">
          <w:pPr>
            <w:rPr>
              <w:rFonts w:cstheme="majorBidi"/>
              <w:sz w:val="22"/>
            </w:rPr>
          </w:pPr>
        </w:p>
        <w:p w14:paraId="3B9F37E7" w14:textId="77777777" w:rsidR="004E0735" w:rsidRPr="004E0735" w:rsidRDefault="004E0735" w:rsidP="004E0735">
          <w:pPr>
            <w:rPr>
              <w:rFonts w:cstheme="majorBidi"/>
              <w:sz w:val="22"/>
            </w:rPr>
          </w:pPr>
        </w:p>
        <w:p w14:paraId="66307AD9" w14:textId="77777777" w:rsidR="004E0735" w:rsidRPr="004E0735" w:rsidRDefault="004E0735" w:rsidP="004E0735">
          <w:pPr>
            <w:rPr>
              <w:rFonts w:cstheme="majorBidi"/>
              <w:sz w:val="22"/>
            </w:rPr>
          </w:pPr>
          <w:r>
            <w:rPr>
              <w:rFonts w:ascii="Times New Roman" w:hAnsi="Times New Roman" w:cs="Times New Roman"/>
              <w:noProof/>
              <w:szCs w:val="24"/>
              <w:lang w:eastAsia="fr-FR"/>
            </w:rPr>
            <mc:AlternateContent>
              <mc:Choice Requires="wps">
                <w:drawing>
                  <wp:anchor distT="0" distB="0" distL="114300" distR="114300" simplePos="0" relativeHeight="252124160" behindDoc="0" locked="0" layoutInCell="1" allowOverlap="1" wp14:anchorId="18E1E399" wp14:editId="2CE5325C">
                    <wp:simplePos x="0" y="0"/>
                    <wp:positionH relativeFrom="margin">
                      <wp:posOffset>125730</wp:posOffset>
                    </wp:positionH>
                    <wp:positionV relativeFrom="paragraph">
                      <wp:posOffset>235878</wp:posOffset>
                    </wp:positionV>
                    <wp:extent cx="5772150" cy="2979682"/>
                    <wp:effectExtent l="0" t="0" r="19050" b="11430"/>
                    <wp:wrapNone/>
                    <wp:docPr id="637" name="Ruban vers le bas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1C60F2C0" w14:textId="77777777" w:rsidR="00A36231" w:rsidRDefault="00A36231" w:rsidP="004E0735">
                                <w:pPr>
                                  <w:jc w:val="center"/>
                                  <w:rPr>
                                    <w:b/>
                                    <w:bCs/>
                                    <w:sz w:val="56"/>
                                    <w:szCs w:val="52"/>
                                  </w:rPr>
                                </w:pPr>
                              </w:p>
                              <w:p w14:paraId="4E4D5E5B" w14:textId="77777777" w:rsidR="00A36231" w:rsidRPr="004E0735" w:rsidRDefault="00A36231" w:rsidP="004E0735">
                                <w:pPr>
                                  <w:ind w:firstLine="0"/>
                                  <w:jc w:val="center"/>
                                  <w:rPr>
                                    <w:b/>
                                    <w:bCs/>
                                    <w:sz w:val="56"/>
                                    <w:szCs w:val="52"/>
                                  </w:rPr>
                                </w:pPr>
                                <w:r>
                                  <w:rPr>
                                    <w:b/>
                                    <w:bCs/>
                                    <w:sz w:val="56"/>
                                    <w:szCs w:val="52"/>
                                  </w:rPr>
                                  <w:t>CHAPITRE 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1E399" id="Ruban vers le bas 637" o:spid="_x0000_s1034" type="#_x0000_t53" style="position:absolute;left:0;text-align:left;margin-left:9.9pt;margin-top:18.55pt;width:454.5pt;height:234.6pt;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" fillcolor="#5b9bd5 [3208]" strokecolor="black [3213]">
                    <v:textbox>
                      <w:txbxContent>
                        <w:p w14:paraId="1C60F2C0" w14:textId="77777777" w:rsidR="00A36231" w:rsidRDefault="00A36231" w:rsidP="004E0735">
                          <w:pPr>
                            <w:jc w:val="center"/>
                            <w:rPr>
                              <w:b/>
                              <w:bCs/>
                              <w:sz w:val="56"/>
                              <w:szCs w:val="52"/>
                            </w:rPr>
                          </w:pPr>
                        </w:p>
                        <w:p w14:paraId="4E4D5E5B" w14:textId="77777777" w:rsidR="00A36231" w:rsidRPr="004E0735" w:rsidRDefault="00A36231" w:rsidP="004E0735">
                          <w:pPr>
                            <w:ind w:firstLine="0"/>
                            <w:jc w:val="center"/>
                            <w:rPr>
                              <w:b/>
                              <w:bCs/>
                              <w:sz w:val="56"/>
                              <w:szCs w:val="52"/>
                            </w:rPr>
                          </w:pPr>
                          <w:r>
                            <w:rPr>
                              <w:b/>
                              <w:bCs/>
                              <w:sz w:val="56"/>
                              <w:szCs w:val="52"/>
                            </w:rPr>
                            <w:t>CHAPITRE 01</w:t>
                          </w:r>
                        </w:p>
                      </w:txbxContent>
                    </v:textbox>
                    <w10:wrap anchorx="margin"/>
                  </v:shape>
                </w:pict>
              </mc:Fallback>
            </mc:AlternateContent>
          </w:r>
        </w:p>
        <w:p w14:paraId="6CE5C02E" w14:textId="77777777" w:rsidR="004E0735" w:rsidRPr="004E0735" w:rsidRDefault="004E0735" w:rsidP="004E0735">
          <w:pPr>
            <w:rPr>
              <w:rFonts w:cstheme="majorBidi"/>
              <w:sz w:val="22"/>
            </w:rPr>
          </w:pPr>
        </w:p>
        <w:p w14:paraId="450A8D63" w14:textId="77777777" w:rsidR="004E0735" w:rsidRPr="004E0735" w:rsidRDefault="004E0735" w:rsidP="004E0735">
          <w:pPr>
            <w:rPr>
              <w:rFonts w:cstheme="majorBidi"/>
              <w:sz w:val="22"/>
            </w:rPr>
          </w:pPr>
        </w:p>
        <w:p w14:paraId="40DEDF5D" w14:textId="77777777" w:rsidR="004E0735" w:rsidRPr="004E0735" w:rsidRDefault="004E0735" w:rsidP="004E0735">
          <w:pPr>
            <w:rPr>
              <w:rFonts w:cstheme="majorBidi"/>
              <w:sz w:val="22"/>
            </w:rPr>
          </w:pPr>
        </w:p>
        <w:p w14:paraId="412BC8CE" w14:textId="77777777" w:rsidR="003343E7" w:rsidRPr="004E0735" w:rsidRDefault="003343E7" w:rsidP="004E0735">
          <w:pPr>
            <w:tabs>
              <w:tab w:val="center" w:pos="4677"/>
            </w:tabs>
            <w:rPr>
              <w:rFonts w:cstheme="majorBidi"/>
              <w:sz w:val="22"/>
            </w:rPr>
            <w:sectPr w:rsidR="003343E7" w:rsidRPr="004E0735" w:rsidSect="00B164D2">
              <w:headerReference w:type="first" r:id="rId23"/>
              <w:pgSz w:w="11906" w:h="16838"/>
              <w:pgMar w:top="851" w:right="1418" w:bottom="1134" w:left="1418" w:header="709" w:footer="709" w:gutter="0"/>
              <w:pgNumType w:start="1"/>
              <w:cols w:space="708"/>
              <w:titlePg/>
              <w:docGrid w:linePitch="360"/>
            </w:sectPr>
          </w:pPr>
        </w:p>
        <w:p w14:paraId="47C34E64" w14:textId="77777777" w:rsidR="00262B5D" w:rsidRDefault="00351FDE" w:rsidP="00262B5D">
          <w:pPr>
            <w:tabs>
              <w:tab w:val="left" w:pos="2250"/>
            </w:tabs>
            <w:spacing w:before="0" w:beforeAutospacing="0" w:line="259" w:lineRule="auto"/>
            <w:ind w:firstLine="0"/>
            <w:jc w:val="left"/>
            <w:rPr>
              <w:rFonts w:ascii="Monotype Corsiva" w:hAnsi="Monotype Corsiva"/>
              <w:b/>
              <w:bCs/>
              <w:i/>
              <w:iCs/>
              <w:sz w:val="32"/>
              <w:szCs w:val="32"/>
            </w:rPr>
          </w:pPr>
        </w:p>
      </w:sdtContent>
    </w:sdt>
    <w:p w14:paraId="2AA33E14" w14:textId="77777777" w:rsidR="00172C7A" w:rsidRPr="00262B5D" w:rsidRDefault="003343E7" w:rsidP="00BC1AEC">
      <w:pPr>
        <w:pStyle w:val="Titre1"/>
        <w:rPr>
          <w:rFonts w:ascii="Monotype Corsiva" w:hAnsi="Monotype Corsiva" w:cstheme="minorBidi"/>
          <w:i/>
          <w:iCs/>
          <w:sz w:val="32"/>
          <w:szCs w:val="32"/>
        </w:rPr>
      </w:pPr>
      <w:bookmarkStart w:id="54" w:name="_Toc231742161"/>
      <w:bookmarkStart w:id="55" w:name="_Toc231746773"/>
      <w:bookmarkStart w:id="56" w:name="_Toc231752180"/>
      <w:bookmarkStart w:id="57" w:name="_Toc231810483"/>
      <w:bookmarkStart w:id="58" w:name="_Toc231811419"/>
      <w:bookmarkStart w:id="59" w:name="_Toc231811826"/>
      <w:bookmarkStart w:id="60" w:name="_Toc231812106"/>
      <w:bookmarkStart w:id="61" w:name="_Toc231814990"/>
      <w:r>
        <w:t>C</w:t>
      </w:r>
      <w:r w:rsidR="00172C7A" w:rsidRPr="00E67814">
        <w:t>hapitre 01 : La gouvernance comme pierre angulaire de l’entreprise :</w:t>
      </w:r>
      <w:bookmarkEnd w:id="0"/>
      <w:bookmarkEnd w:id="54"/>
      <w:bookmarkEnd w:id="55"/>
      <w:bookmarkEnd w:id="56"/>
      <w:bookmarkEnd w:id="57"/>
      <w:bookmarkEnd w:id="58"/>
      <w:bookmarkEnd w:id="59"/>
      <w:bookmarkEnd w:id="60"/>
      <w:bookmarkEnd w:id="61"/>
    </w:p>
    <w:p w14:paraId="53914062" w14:textId="77777777" w:rsidR="00172C7A" w:rsidRPr="00E67814" w:rsidRDefault="00172C7A" w:rsidP="00BC1AEC">
      <w:pPr>
        <w:pStyle w:val="Titre1"/>
      </w:pPr>
      <w:bookmarkStart w:id="62" w:name="_Toc228092345"/>
      <w:bookmarkStart w:id="63" w:name="_Toc231742162"/>
      <w:bookmarkStart w:id="64" w:name="_Toc231746774"/>
      <w:bookmarkStart w:id="65" w:name="_Toc231752181"/>
      <w:bookmarkStart w:id="66" w:name="_Toc231810484"/>
      <w:bookmarkStart w:id="67" w:name="_Toc231811420"/>
      <w:bookmarkStart w:id="68" w:name="_Toc231811827"/>
      <w:bookmarkStart w:id="69" w:name="_Toc231812107"/>
      <w:bookmarkStart w:id="70" w:name="_Toc231814991"/>
      <w:r w:rsidRPr="00E67814">
        <w:t>Introduction du chapitre :</w:t>
      </w:r>
      <w:bookmarkEnd w:id="62"/>
      <w:bookmarkEnd w:id="63"/>
      <w:bookmarkEnd w:id="64"/>
      <w:bookmarkEnd w:id="65"/>
      <w:bookmarkEnd w:id="66"/>
      <w:bookmarkEnd w:id="67"/>
      <w:bookmarkEnd w:id="68"/>
      <w:bookmarkEnd w:id="69"/>
      <w:bookmarkEnd w:id="70"/>
    </w:p>
    <w:p w14:paraId="065FD582" w14:textId="77777777" w:rsidR="00172C7A" w:rsidRPr="00E2052F" w:rsidRDefault="00172C7A" w:rsidP="00607B26">
      <w:pPr>
        <w:rPr>
          <w:rFonts w:cstheme="majorBidi"/>
          <w:sz w:val="22"/>
        </w:rPr>
      </w:pPr>
      <w:r w:rsidRPr="00E2052F">
        <w:rPr>
          <w:rFonts w:cstheme="majorBidi"/>
          <w:sz w:val="22"/>
        </w:rPr>
        <w:t>La gouvernance d’entreprise (GE) a pris une importance croissante après les faillites spectaculaires de grandes entreprises aux États-Unis en 2002, et précédemment dans d’autres pays. Plusieurs organisations internationales ont établi des principes de gouvernance afin d’accompagner les pays dans le développement de leurs cadres légaux et institutionnels et dans la mise en œuvre de ces pratiques. La gouvernance d’entreprise constitue un élément clé pour améliorer l’efficience économique, tandis qu’une mauvaise gouvernance peut avoir des conséquences désastreuses sur la stabilité économique et financière.</w:t>
      </w:r>
      <w:r w:rsidRPr="00E2052F">
        <w:rPr>
          <w:rStyle w:val="Appelnotedebasdep"/>
          <w:rFonts w:cstheme="majorBidi"/>
          <w:sz w:val="22"/>
        </w:rPr>
        <w:footnoteReference w:id="14"/>
      </w:r>
    </w:p>
    <w:p w14:paraId="258E90E7" w14:textId="77777777" w:rsidR="000B51BB" w:rsidRPr="00E2052F" w:rsidRDefault="00172C7A" w:rsidP="000B51BB">
      <w:pPr>
        <w:rPr>
          <w:rFonts w:cstheme="majorBidi"/>
          <w:sz w:val="22"/>
        </w:rPr>
      </w:pPr>
      <w:r w:rsidRPr="00E2052F">
        <w:rPr>
          <w:rFonts w:cstheme="majorBidi"/>
          <w:sz w:val="22"/>
        </w:rPr>
        <w:t>Ce chapitre a pour objectif d’explorer le volet théorique de la gouvernance, en se concentrant sur son application dans le contexte des entreprises. Il est organisé en trois sections distinctes. La première section s’attachera à examiner en détail la gouvernance, ses définitions et son rôle. La deuxième section sera dédiée aux fondements théoriques de la gouvernance d’entreprise, en mettant en évidence ses principes, ses théories et ses modèles les plus influents. Enfin, la troisième section traitera des mécanismes de mise en œuvre d’une bonne gouvernance, ainsi que des critères essentiels permettant d’assurer la transparence, l’efficacité et la stabilité dans la gestion des entreprises.</w:t>
      </w:r>
    </w:p>
    <w:p w14:paraId="6959BBFE" w14:textId="77777777" w:rsidR="00172C7A" w:rsidRPr="00E2052F" w:rsidRDefault="00172C7A" w:rsidP="000B51BB">
      <w:pPr>
        <w:ind w:firstLine="709"/>
        <w:rPr>
          <w:rFonts w:cstheme="majorBidi"/>
          <w:sz w:val="22"/>
        </w:rPr>
      </w:pPr>
    </w:p>
    <w:p w14:paraId="328DE374" w14:textId="77777777" w:rsidR="00172C7A" w:rsidRPr="00E2052F" w:rsidRDefault="00172C7A" w:rsidP="000B51BB">
      <w:pPr>
        <w:ind w:firstLine="709"/>
        <w:rPr>
          <w:rFonts w:cstheme="majorBidi"/>
          <w:sz w:val="22"/>
        </w:rPr>
      </w:pPr>
    </w:p>
    <w:p w14:paraId="085BAD5D" w14:textId="77777777" w:rsidR="00172C7A" w:rsidRPr="00E2052F" w:rsidRDefault="00172C7A" w:rsidP="000B51BB">
      <w:pPr>
        <w:ind w:firstLine="709"/>
        <w:rPr>
          <w:rFonts w:cstheme="majorBidi"/>
          <w:sz w:val="22"/>
        </w:rPr>
      </w:pPr>
    </w:p>
    <w:p w14:paraId="4016828E" w14:textId="77777777" w:rsidR="00172C7A" w:rsidRPr="00E2052F" w:rsidRDefault="00172C7A" w:rsidP="000B51BB">
      <w:pPr>
        <w:ind w:firstLine="709"/>
        <w:rPr>
          <w:rFonts w:cstheme="majorBidi"/>
          <w:sz w:val="22"/>
        </w:rPr>
      </w:pPr>
    </w:p>
    <w:p w14:paraId="3A9B5D26" w14:textId="77777777" w:rsidR="00D77DE1" w:rsidRDefault="00D77DE1" w:rsidP="00BC1AEC">
      <w:pPr>
        <w:pStyle w:val="Titre1"/>
        <w:rPr>
          <w:rFonts w:eastAsiaTheme="minorHAnsi"/>
        </w:rPr>
      </w:pPr>
      <w:bookmarkStart w:id="71" w:name="_Toc228092346"/>
    </w:p>
    <w:p w14:paraId="7551534B" w14:textId="77777777" w:rsidR="00246D53" w:rsidRPr="00246D53" w:rsidRDefault="00246D53" w:rsidP="00246D53"/>
    <w:p w14:paraId="4BF551F1" w14:textId="77777777" w:rsidR="00D77DE1" w:rsidRPr="00D77DE1" w:rsidRDefault="00D77DE1" w:rsidP="00D77DE1"/>
    <w:p w14:paraId="1D556165" w14:textId="77777777" w:rsidR="00172C7A" w:rsidRPr="00E2052F" w:rsidRDefault="00172C7A" w:rsidP="00BC1AEC">
      <w:pPr>
        <w:pStyle w:val="Titre1"/>
      </w:pPr>
      <w:bookmarkStart w:id="72" w:name="_Toc231742163"/>
      <w:bookmarkStart w:id="73" w:name="_Toc231746775"/>
      <w:bookmarkStart w:id="74" w:name="_Toc231752182"/>
      <w:bookmarkStart w:id="75" w:name="_Toc231810485"/>
      <w:bookmarkStart w:id="76" w:name="_Toc231811421"/>
      <w:bookmarkStart w:id="77" w:name="_Toc231811828"/>
      <w:bookmarkStart w:id="78" w:name="_Toc231812108"/>
      <w:bookmarkStart w:id="79" w:name="_Toc231814992"/>
      <w:r w:rsidRPr="00E2052F">
        <w:lastRenderedPageBreak/>
        <w:t>Section 01 </w:t>
      </w:r>
      <w:bookmarkEnd w:id="71"/>
      <w:r w:rsidRPr="00E2052F">
        <w:t>: le cadre conceptuel de la gouvernance</w:t>
      </w:r>
      <w:bookmarkEnd w:id="72"/>
      <w:bookmarkEnd w:id="73"/>
      <w:bookmarkEnd w:id="74"/>
      <w:bookmarkEnd w:id="75"/>
      <w:r w:rsidR="003B6F7B">
        <w:t> :</w:t>
      </w:r>
      <w:bookmarkEnd w:id="76"/>
      <w:bookmarkEnd w:id="77"/>
      <w:bookmarkEnd w:id="78"/>
      <w:bookmarkEnd w:id="79"/>
    </w:p>
    <w:p w14:paraId="6F86272C" w14:textId="77777777" w:rsidR="00172C7A" w:rsidRPr="00E2052F" w:rsidRDefault="00172C7A" w:rsidP="00E55C23">
      <w:pPr>
        <w:pStyle w:val="NormalWeb"/>
        <w:spacing w:line="360" w:lineRule="auto"/>
        <w:rPr>
          <w:rFonts w:asciiTheme="majorBidi" w:hAnsiTheme="majorBidi" w:cstheme="majorBidi"/>
          <w:sz w:val="22"/>
          <w:szCs w:val="22"/>
        </w:rPr>
      </w:pPr>
      <w:r w:rsidRPr="00E2052F">
        <w:rPr>
          <w:rFonts w:asciiTheme="majorBidi" w:hAnsiTheme="majorBidi" w:cstheme="majorBidi"/>
          <w:sz w:val="22"/>
          <w:szCs w:val="22"/>
        </w:rPr>
        <w:t>La gouvernance peut être définie comme l’ensemble des processus, des règles, des normes, des pratiques et des institutions par lesquel</w:t>
      </w:r>
      <w:r w:rsidR="00442659" w:rsidRPr="00E2052F">
        <w:rPr>
          <w:rFonts w:asciiTheme="majorBidi" w:hAnsiTheme="majorBidi" w:cstheme="majorBidi"/>
          <w:sz w:val="22"/>
          <w:szCs w:val="22"/>
        </w:rPr>
        <w:t>s une entité est dirigée, con</w:t>
      </w:r>
      <w:r w:rsidRPr="00E2052F">
        <w:rPr>
          <w:rFonts w:asciiTheme="majorBidi" w:hAnsiTheme="majorBidi" w:cstheme="majorBidi"/>
          <w:sz w:val="22"/>
          <w:szCs w:val="22"/>
        </w:rPr>
        <w:t>lée et administrée. Elle dépasse la simple gestion administrative pour constituer un cadre organisationnel et social structurant les interactions entre les différents acteurs. Applicable aux entreprises, aux institutions publiques, aux organisations non gouvernementales et même aux communautés, elle conditionne la qualité des décisions, la cohérence des actions et la capacité d’une entité à atteindre ses objectifs dans un environnement complexe et interdépendant.</w:t>
      </w:r>
    </w:p>
    <w:p w14:paraId="0899A7C4" w14:textId="77777777" w:rsidR="00172C7A" w:rsidRPr="00E2052F" w:rsidRDefault="00172C7A" w:rsidP="000B51BB">
      <w:pPr>
        <w:pStyle w:val="NormalWeb"/>
        <w:spacing w:line="360" w:lineRule="auto"/>
        <w:rPr>
          <w:rFonts w:asciiTheme="majorBidi" w:hAnsiTheme="majorBidi" w:cstheme="majorBidi"/>
          <w:sz w:val="22"/>
          <w:szCs w:val="22"/>
        </w:rPr>
      </w:pPr>
      <w:r w:rsidRPr="00E2052F">
        <w:rPr>
          <w:rFonts w:asciiTheme="majorBidi" w:hAnsiTheme="majorBidi" w:cstheme="majorBidi"/>
          <w:sz w:val="22"/>
          <w:szCs w:val="22"/>
        </w:rPr>
        <w:t>Son importance réside dans sa capacité à garantir des principes essentiels tels que la transparence, la responsabilité, la légitimité et l’efficacité. La gouvernance constitue un outil permettant de réguler les comportements, d’organiser les relations entre les parties prenantes et de prévenir les risques liés à la prise de décision, aux conflits d’intérêts ou à l’usage inapproprié des ressources. Elle repose sur la reconnaissance que la performance et la pérennité des entités dépendent non seulement de structures et de règles formelles, mais également de la qualité des interactions, de la confiance et de la participation des acteurs concernés.</w:t>
      </w:r>
    </w:p>
    <w:p w14:paraId="09C5C985" w14:textId="77777777" w:rsidR="00172C7A" w:rsidRPr="00E2052F" w:rsidRDefault="00172C7A" w:rsidP="000B51BB">
      <w:pPr>
        <w:pStyle w:val="NormalWeb"/>
        <w:spacing w:line="360" w:lineRule="auto"/>
        <w:rPr>
          <w:rFonts w:asciiTheme="majorBidi" w:hAnsiTheme="majorBidi" w:cstheme="majorBidi"/>
          <w:sz w:val="22"/>
          <w:szCs w:val="22"/>
        </w:rPr>
      </w:pPr>
      <w:r w:rsidRPr="00E2052F">
        <w:rPr>
          <w:rFonts w:asciiTheme="majorBidi" w:hAnsiTheme="majorBidi" w:cstheme="majorBidi"/>
          <w:sz w:val="22"/>
          <w:szCs w:val="22"/>
        </w:rPr>
        <w:t>En outre, la gouvernance est un concept dynamique et multidimensionnel, sensible aux facteurs politiques, économiques, sociaux et culturels. Elle évolue au fil du temps et peut faire l’objet de réformes ou d’adaptations pour répondre aux besoins changeants des entités et aux attentes de leurs parties prenantes. Cette flexibilité permet à la gouvernance de s’inscrire dans des contextes variés, qu’il s’agisse de la gouvernance politique, sociétale, d’entreprise ou stratégique, et d’intégrer les principes de participation, de coordination et de légitimité qui caractérisent les modes contemporains de régulation et de décision.</w:t>
      </w:r>
    </w:p>
    <w:p w14:paraId="03D0B974" w14:textId="77777777" w:rsidR="00172C7A" w:rsidRPr="00E2052F" w:rsidRDefault="00172C7A" w:rsidP="00C8480E">
      <w:pPr>
        <w:pStyle w:val="Titre2"/>
      </w:pPr>
      <w:bookmarkStart w:id="80" w:name="_Toc228092347"/>
      <w:bookmarkStart w:id="81" w:name="_Toc231746776"/>
      <w:bookmarkStart w:id="82" w:name="_Toc231752183"/>
      <w:bookmarkStart w:id="83" w:name="_Toc231810486"/>
      <w:bookmarkStart w:id="84" w:name="_Toc231811829"/>
      <w:bookmarkStart w:id="85" w:name="_Toc231812109"/>
      <w:bookmarkStart w:id="86" w:name="_Toc231814993"/>
      <w:r w:rsidRPr="00E2052F">
        <w:t>Historique de l’émergence de la gouvernance :</w:t>
      </w:r>
      <w:bookmarkEnd w:id="80"/>
      <w:bookmarkEnd w:id="81"/>
      <w:bookmarkEnd w:id="82"/>
      <w:bookmarkEnd w:id="83"/>
      <w:bookmarkEnd w:id="84"/>
      <w:bookmarkEnd w:id="85"/>
      <w:bookmarkEnd w:id="86"/>
    </w:p>
    <w:p w14:paraId="79674B36" w14:textId="77777777" w:rsidR="00172C7A" w:rsidRPr="00E2052F" w:rsidRDefault="00172C7A" w:rsidP="00607B26">
      <w:pPr>
        <w:spacing w:after="100" w:afterAutospacing="1"/>
        <w:rPr>
          <w:rFonts w:cstheme="majorBidi"/>
          <w:sz w:val="22"/>
        </w:rPr>
      </w:pPr>
      <w:r w:rsidRPr="00E2052F">
        <w:rPr>
          <w:rFonts w:cstheme="majorBidi"/>
          <w:sz w:val="22"/>
        </w:rPr>
        <w:t>L’émergence de la notion de gouvernance s’inscrit dans un contexte de transformation profonde des modes traditionnels de gouvernement et de régulation. Face aux limites d’un modèle étatique centralisé, hiérarchique et souvent jugé rigide, de nouvelles formes de gestion ont progressivement vu le jour afin de mieux répondre à la complexité croissante des sociétés contemporaines. Ces mutations sont étroitement liées à la mondialisation, à l’intensification des échanges économiques et à l’apparition de nouveaux acteurs, tels que les organisations internationales, les entreprises privées et la société civile. Dans ce contexte, la gouvernance apparaît comme une approche plus souple, fondée sur la coordination, la participation et l’interaction entre une pluralité d’acteurs.</w:t>
      </w:r>
      <w:r w:rsidRPr="00E2052F">
        <w:rPr>
          <w:rStyle w:val="Appelnotedebasdep"/>
          <w:rFonts w:cstheme="majorBidi"/>
          <w:sz w:val="22"/>
        </w:rPr>
        <w:footnoteReference w:id="15"/>
      </w:r>
      <w:r w:rsidRPr="00E2052F">
        <w:rPr>
          <w:rFonts w:cstheme="majorBidi"/>
          <w:sz w:val="22"/>
        </w:rPr>
        <w:t xml:space="preserve">La gouvernance, en tant que concept global </w:t>
      </w:r>
      <w:r w:rsidRPr="00E2052F">
        <w:rPr>
          <w:rFonts w:cstheme="majorBidi"/>
          <w:sz w:val="22"/>
        </w:rPr>
        <w:lastRenderedPageBreak/>
        <w:t>de régulation publique, repose sur une approche souple et décentralisée de l’exercice du pouvoir, fondée sur la participation d’une pluralité d’acteurs aux processus décisionnels. Elle s’applique à divers domaines tels que la gestion d’entreprise, le contrôle administratif et les dispositifs participatifs. Sa complexité réside dans la diversité des acteurs et des mécanismes mobilisés pour orienter et encadrer les dynamiques socio-économiques. La gouvernance semble ne traduire aucune sorte de paradigme unifié, sinon une technique de guidance caractérisée par la grande diversité de ses techniques et de ses acteurs.</w:t>
      </w:r>
      <w:r w:rsidRPr="00E2052F">
        <w:rPr>
          <w:rStyle w:val="Appelnotedebasdep"/>
          <w:rFonts w:cstheme="majorBidi"/>
          <w:sz w:val="22"/>
        </w:rPr>
        <w:footnoteReference w:id="16"/>
      </w:r>
    </w:p>
    <w:p w14:paraId="0ABD600A" w14:textId="77777777" w:rsidR="00172C7A" w:rsidRPr="00E2052F" w:rsidRDefault="00172C7A" w:rsidP="00607B26">
      <w:pPr>
        <w:spacing w:after="100" w:afterAutospacing="1"/>
        <w:rPr>
          <w:rFonts w:cstheme="majorBidi"/>
          <w:sz w:val="22"/>
        </w:rPr>
      </w:pPr>
      <w:r w:rsidRPr="00E2052F">
        <w:rPr>
          <w:rFonts w:cstheme="majorBidi"/>
          <w:sz w:val="22"/>
        </w:rPr>
        <w:t xml:space="preserve">La notion de gouvernance trouve ses origines en France entre le XIIIᵉ et le XIVᵉ siècle, où elle renvoyait initialement à l’idée de « gouvernement », entendu comme l’art de gouverner et de gérer le bien public. Progressivement, ce concept a été assimilé à l’action administrative de l’État, avant de réapparaître à partir des années 1970 dans la littérature managériale. À cette période, la « good corporate gouvernance » a contribué à redéfinir les modes de gestion des entreprises, en s’inspirant des sciences humaines et en considérant l’organisation comme une institution sociale plutôt qu’un simple mécanisme technique. Dans cette perspective, les structures tayloriennes centralisées ont été remises en question, en raison de leur incapacité à favoriser l’implication des travailleurs et à valoriser leur potentiel créatif dans la résolution des problèmes opérationnels. Dès lors, l’entreprise est appréhendée selon une approche organique, où sa pérennité repose sur un développement continu, nécessitant à la fois une cohérence interne dans l’action et une capacité d’adaptation, de flexibilité et de réactivité face aux évolutions de l’environnement externe. </w:t>
      </w:r>
      <w:r w:rsidRPr="00E2052F">
        <w:rPr>
          <w:rStyle w:val="Appelnotedebasdep"/>
          <w:rFonts w:cstheme="majorBidi"/>
          <w:sz w:val="22"/>
        </w:rPr>
        <w:footnoteReference w:id="17"/>
      </w:r>
      <w:r w:rsidRPr="00E2052F">
        <w:rPr>
          <w:rFonts w:cstheme="majorBidi"/>
          <w:sz w:val="22"/>
        </w:rPr>
        <w:t>. Dans cette optique, l’entreprise doit offrir à ses employés une reconnaissance à la fois individuelle et collective. Pour concilier cohérence interne et réactivité décentralisée, elle doit promouvoir l’autonomie de ses unités de production tout en maintenant une certaine orientation stratégique. Cette flexibilité accrue doit s’accompagner d’une véritable adhésion aux objectifs et à la culture de l’entreprise, laquelle repose sur la confiance entre les différents membres et unités. Ce n’est que dans un second temps, dans un curieux retour aux sources du concept, que les institutions publiques s’inspireront du modèle entrepreneurial. Elles cherchent alors à répondre aux attentes des usagers et à la méfiance des citoyens vis-à-vis de l’administration. Une abondante littérature met en avant un mode de direction « moins lourd et plus souple, moins directif et plus participatif, plus diffus et moins technocratique »</w:t>
      </w:r>
      <w:r w:rsidRPr="00E2052F">
        <w:rPr>
          <w:rStyle w:val="Appelnotedebasdep"/>
          <w:rFonts w:cstheme="majorBidi"/>
          <w:sz w:val="22"/>
        </w:rPr>
        <w:footnoteReference w:id="18"/>
      </w:r>
      <w:r w:rsidRPr="00E2052F">
        <w:rPr>
          <w:rFonts w:cstheme="majorBidi"/>
          <w:sz w:val="22"/>
        </w:rPr>
        <w:t xml:space="preserve">.Progressivement, la gouvernance a orienté son action vers l’optimisation de la gestion des administrations, plutôt que vers l’élaboration d’un nouveau mode de gestion démocratique en cohérence avec l’organisation. Cependant, au fil du temps, elle a retrouvé une </w:t>
      </w:r>
      <w:r w:rsidRPr="00E2052F">
        <w:rPr>
          <w:rFonts w:cstheme="majorBidi"/>
          <w:sz w:val="22"/>
        </w:rPr>
        <w:lastRenderedPageBreak/>
        <w:t>dimension collective qui lui faisait défaut depuis le XIVᵉ siècle, grâce au discours adopté par les institutions monétaires internationales et les agences de développement nord-américaines.</w:t>
      </w:r>
      <w:r w:rsidRPr="00E2052F">
        <w:rPr>
          <w:rStyle w:val="Appelnotedebasdep"/>
          <w:rFonts w:cstheme="majorBidi"/>
          <w:sz w:val="22"/>
        </w:rPr>
        <w:footnoteReference w:id="19"/>
      </w:r>
      <w:r w:rsidRPr="00E2052F">
        <w:rPr>
          <w:rFonts w:cstheme="majorBidi"/>
          <w:sz w:val="22"/>
        </w:rPr>
        <w:t>La gouvernance ne se limite pas au bon fonctionnement des institutions ; elle vise également à améliorer la qualité de leur action en société, en impliquant les acteurs dans le processus décisionnel et en garantissant transparence, responsabilité, professionnalisme et participation citoyenne, dans le cadre d’un État de droit solide, « a predictable, open, and enlightenedpolicymaking (thatis, transparent process) ; a bureaucracyimbuedwith a professional ethos ; an executive arm of governmentaccountable for its actions ; and a strong civil society participating in public affairs ; and all behavingunder the rule of law »</w:t>
      </w:r>
      <w:r w:rsidRPr="00E2052F">
        <w:rPr>
          <w:rStyle w:val="Appelnotedebasdep"/>
          <w:rFonts w:cstheme="majorBidi"/>
          <w:sz w:val="22"/>
        </w:rPr>
        <w:footnoteReference w:id="20"/>
      </w:r>
      <w:r w:rsidRPr="00E2052F">
        <w:rPr>
          <w:rFonts w:cstheme="majorBidi"/>
          <w:sz w:val="22"/>
        </w:rPr>
        <w:t>.En outre, les partisans de la « bonne gouvernance » établissent un lien entre ce concept et l’émergence de nouvelles techniques de gestion, visant à remplacer les approches organisationnelles unilatérales par des modes de gouvernance plus consensuels et pluralistes lors de l’élaboration des normes. Ces dernières années, une littérature abondante s’est développée, portant notamment sur la gouvernance urbaine, environnementale et numérique.</w:t>
      </w:r>
      <w:r w:rsidRPr="00E2052F">
        <w:rPr>
          <w:rStyle w:val="Appelnotedebasdep"/>
          <w:rFonts w:cstheme="majorBidi"/>
          <w:sz w:val="22"/>
        </w:rPr>
        <w:footnoteReference w:id="21"/>
      </w:r>
      <w:r w:rsidRPr="00E2052F">
        <w:rPr>
          <w:rFonts w:cstheme="majorBidi"/>
          <w:sz w:val="22"/>
        </w:rPr>
        <w:t>Fondée sur les théories délibératives et participatives de la démocratie, la théorie de la gouvernance se positionne également comme un contre-discours face au déficit démocratique et au manque de protection des droits de l’homme au sein de certaines institutions internationales. Elle ne se réduit pas à une fonction descriptive visant à analyser les transformations contemporaines des modes de gouvernement selon les acteurs et les contextes institutionnels. Elle constitue aussi un discours normatif, visant à encourager et légitimer des changements jugés bénéfiques, en favorisant des décisions à la fois plus efficaces, transparentes et démocratiques.</w:t>
      </w:r>
      <w:r w:rsidRPr="00E2052F">
        <w:rPr>
          <w:rStyle w:val="Appelnotedebasdep"/>
          <w:rFonts w:cstheme="majorBidi"/>
          <w:sz w:val="22"/>
        </w:rPr>
        <w:footnoteReference w:id="22"/>
      </w:r>
    </w:p>
    <w:p w14:paraId="1E1A1835" w14:textId="77777777" w:rsidR="00172C7A" w:rsidRPr="00E2052F" w:rsidRDefault="00172C7A" w:rsidP="00F36332">
      <w:pPr>
        <w:pStyle w:val="Titre2"/>
        <w:numPr>
          <w:ilvl w:val="0"/>
          <w:numId w:val="239"/>
        </w:numPr>
      </w:pPr>
      <w:bookmarkStart w:id="87" w:name="_Toc228092348"/>
      <w:bookmarkStart w:id="88" w:name="_Toc231746777"/>
      <w:bookmarkStart w:id="89" w:name="_Toc231752184"/>
      <w:bookmarkStart w:id="90" w:name="_Toc231810487"/>
      <w:bookmarkStart w:id="91" w:name="_Toc231811830"/>
      <w:bookmarkStart w:id="92" w:name="_Toc231812110"/>
      <w:bookmarkStart w:id="93" w:name="_Toc231814994"/>
      <w:r w:rsidRPr="00E2052F">
        <w:t>Définition de la gouvernance :</w:t>
      </w:r>
      <w:bookmarkEnd w:id="87"/>
      <w:bookmarkEnd w:id="88"/>
      <w:bookmarkEnd w:id="89"/>
      <w:bookmarkEnd w:id="90"/>
      <w:bookmarkEnd w:id="91"/>
      <w:bookmarkEnd w:id="92"/>
      <w:bookmarkEnd w:id="93"/>
    </w:p>
    <w:p w14:paraId="6A1F620C" w14:textId="77777777" w:rsidR="00172C7A" w:rsidRPr="00E2052F" w:rsidRDefault="00172C7A" w:rsidP="00607B26">
      <w:pPr>
        <w:spacing w:after="100" w:afterAutospacing="1"/>
        <w:rPr>
          <w:rFonts w:cstheme="majorBidi"/>
          <w:sz w:val="22"/>
        </w:rPr>
      </w:pPr>
      <w:r w:rsidRPr="00E2052F">
        <w:rPr>
          <w:rFonts w:cstheme="majorBidi"/>
          <w:sz w:val="22"/>
          <w:u w:val="single"/>
        </w:rPr>
        <w:t>Selon RODERICK RHODES 1996 :</w:t>
      </w:r>
      <w:r w:rsidRPr="00E2052F">
        <w:rPr>
          <w:rFonts w:cstheme="majorBidi"/>
          <w:sz w:val="22"/>
        </w:rPr>
        <w:t xml:space="preserve"> le terme de gouvernance procède du besoin, non seulement de la science économique, (en ce qui concerne le gouvernement d'entreprise), mais encore de la science politique (en ce qui concerne le gouvernement de l'Etat) de même pour les sciences sociales.</w:t>
      </w:r>
      <w:r w:rsidRPr="00E2052F">
        <w:rPr>
          <w:rStyle w:val="Appelnotedebasdep"/>
          <w:rFonts w:cstheme="majorBidi"/>
          <w:sz w:val="22"/>
        </w:rPr>
        <w:footnoteReference w:id="23"/>
      </w:r>
    </w:p>
    <w:p w14:paraId="51015A6C" w14:textId="77777777" w:rsidR="00172C7A" w:rsidRPr="00E2052F" w:rsidRDefault="00172C7A" w:rsidP="000B51BB">
      <w:pPr>
        <w:tabs>
          <w:tab w:val="left" w:pos="903"/>
        </w:tabs>
        <w:rPr>
          <w:rFonts w:cstheme="majorBidi"/>
          <w:sz w:val="22"/>
        </w:rPr>
      </w:pPr>
      <w:r w:rsidRPr="00E2052F">
        <w:rPr>
          <w:rFonts w:cstheme="majorBidi"/>
          <w:sz w:val="22"/>
          <w:u w:val="single"/>
        </w:rPr>
        <w:t>CHARREAUX 1997 :</w:t>
      </w:r>
      <w:r w:rsidRPr="00E2052F">
        <w:rPr>
          <w:rFonts w:cstheme="majorBidi"/>
          <w:sz w:val="22"/>
        </w:rPr>
        <w:t xml:space="preserve"> la gouvernance est présentée par une pluralité de définitions et une multiplicité d'analyses qui convergent toutes vers un seul contexte qui notamment exige la mise en place de : « </w:t>
      </w:r>
      <w:r w:rsidRPr="00E2052F">
        <w:rPr>
          <w:rFonts w:cstheme="majorBidi"/>
          <w:sz w:val="22"/>
        </w:rPr>
        <w:lastRenderedPageBreak/>
        <w:t>Mécanismes organisationnels ayant pour effet de délimiter les pouvoirs et d'influencer la décision des dirigeants autrement dit qui gouvernent leur conduite et délimitent leur espace discrétionnaire».</w:t>
      </w:r>
      <w:r w:rsidRPr="00E2052F">
        <w:rPr>
          <w:rStyle w:val="Appelnotedebasdep"/>
          <w:rFonts w:cstheme="majorBidi"/>
          <w:sz w:val="22"/>
        </w:rPr>
        <w:footnoteReference w:id="24"/>
      </w:r>
    </w:p>
    <w:p w14:paraId="3BF6C8F0" w14:textId="77777777" w:rsidR="00172C7A" w:rsidRPr="00E2052F" w:rsidRDefault="00172C7A" w:rsidP="000B51BB">
      <w:pPr>
        <w:tabs>
          <w:tab w:val="left" w:pos="903"/>
        </w:tabs>
        <w:rPr>
          <w:rFonts w:cstheme="majorBidi"/>
          <w:sz w:val="22"/>
        </w:rPr>
      </w:pPr>
      <w:r w:rsidRPr="00E2052F">
        <w:rPr>
          <w:rFonts w:cstheme="majorBidi"/>
          <w:sz w:val="22"/>
          <w:u w:val="single"/>
        </w:rPr>
        <w:t>Smouts et al :</w:t>
      </w:r>
      <w:r w:rsidRPr="00E2052F">
        <w:rPr>
          <w:rFonts w:cstheme="majorBidi"/>
          <w:sz w:val="22"/>
        </w:rPr>
        <w:t xml:space="preserve"> « la gouvernance possède quatre propriétés définissants : elle n’est pas un système de règles ni une activité, mais un processus ; elle n’est pas formalisée, mais repose sur des interactions continues ; elle n’est pas fondée sur la domination mais sur l’accommodement ; elle implique à la fois des acteurs publics et des acteurs privés».</w:t>
      </w:r>
      <w:r w:rsidRPr="00E2052F">
        <w:rPr>
          <w:rStyle w:val="Appelnotedebasdep"/>
          <w:rFonts w:cstheme="majorBidi"/>
          <w:sz w:val="22"/>
        </w:rPr>
        <w:footnoteReference w:id="25"/>
      </w:r>
    </w:p>
    <w:p w14:paraId="058761A7" w14:textId="77777777" w:rsidR="00172C7A" w:rsidRPr="00E2052F" w:rsidRDefault="00172C7A" w:rsidP="000B51BB">
      <w:pPr>
        <w:tabs>
          <w:tab w:val="left" w:pos="903"/>
        </w:tabs>
        <w:rPr>
          <w:rFonts w:cstheme="majorBidi"/>
          <w:sz w:val="22"/>
        </w:rPr>
      </w:pPr>
      <w:r w:rsidRPr="00E2052F">
        <w:rPr>
          <w:rFonts w:cstheme="majorBidi"/>
          <w:sz w:val="22"/>
          <w:u w:val="single"/>
        </w:rPr>
        <w:t>Moreau-Desfarges 2003 :</w:t>
      </w:r>
      <w:r w:rsidRPr="00E2052F">
        <w:rPr>
          <w:rFonts w:cstheme="majorBidi"/>
          <w:sz w:val="22"/>
        </w:rPr>
        <w:t xml:space="preserve"> estime que la gouvernance est le nouveau « mode d’organisation et de préservation de la concurrence », l’État étant rejeté au second plan pour fixer les normes et vérifier leur application correcte. Définie comme «la quête permanente des meilleurs systèmes de gestion des hommes et des ressources... la gouvernance serait l’élimination de la force par la négociation, la transparence et les autorités indépendantes ».</w:t>
      </w:r>
      <w:r w:rsidRPr="00E2052F">
        <w:rPr>
          <w:rStyle w:val="Appelnotedebasdep"/>
          <w:rFonts w:cstheme="majorBidi"/>
          <w:sz w:val="22"/>
        </w:rPr>
        <w:footnoteReference w:id="26"/>
      </w:r>
    </w:p>
    <w:p w14:paraId="35B9FB91" w14:textId="77777777" w:rsidR="00172C7A" w:rsidRPr="00E2052F" w:rsidRDefault="00172C7A" w:rsidP="000B51BB">
      <w:pPr>
        <w:tabs>
          <w:tab w:val="left" w:pos="903"/>
        </w:tabs>
        <w:rPr>
          <w:rFonts w:cstheme="majorBidi"/>
          <w:sz w:val="22"/>
        </w:rPr>
      </w:pPr>
      <w:r w:rsidRPr="00E2052F">
        <w:rPr>
          <w:rFonts w:cstheme="majorBidi"/>
          <w:sz w:val="22"/>
          <w:u w:val="single"/>
        </w:rPr>
        <w:t xml:space="preserve">Selon IT Governance Institute </w:t>
      </w:r>
      <w:r w:rsidRPr="00E2052F">
        <w:rPr>
          <w:rFonts w:cstheme="majorBidi"/>
          <w:sz w:val="22"/>
        </w:rPr>
        <w:t>: une définition centrée sur la stratégie et la responsabilité « La gouvernance a pour but de fournir l’orientation stratégique, de s’assurer que les objectifs sont atteints, que les risques sont gérés et que les ressources sont utilisées dans un esprit responsable.».</w:t>
      </w:r>
      <w:r w:rsidRPr="00E2052F">
        <w:rPr>
          <w:rStyle w:val="Appelnotedebasdep"/>
          <w:rFonts w:cstheme="majorBidi"/>
          <w:sz w:val="22"/>
        </w:rPr>
        <w:footnoteReference w:id="27"/>
      </w:r>
    </w:p>
    <w:p w14:paraId="3AF4B07C" w14:textId="77777777" w:rsidR="00172C7A" w:rsidRPr="00E2052F" w:rsidRDefault="00172C7A" w:rsidP="000B51BB">
      <w:pPr>
        <w:tabs>
          <w:tab w:val="left" w:pos="903"/>
        </w:tabs>
        <w:spacing w:after="100" w:afterAutospacing="1"/>
        <w:rPr>
          <w:rFonts w:cstheme="majorBidi"/>
          <w:sz w:val="22"/>
        </w:rPr>
      </w:pPr>
      <w:r w:rsidRPr="00E2052F">
        <w:rPr>
          <w:rFonts w:cstheme="majorBidi"/>
          <w:sz w:val="22"/>
          <w:u w:val="single"/>
        </w:rPr>
        <w:t>Selon l’agence Canadienne de développement international</w:t>
      </w:r>
      <w:r w:rsidRPr="00E2052F">
        <w:rPr>
          <w:rFonts w:cstheme="majorBidi"/>
          <w:sz w:val="22"/>
        </w:rPr>
        <w:t xml:space="preserve"> : « La gouvernance englobe les valeurs, les règles, les institutions et les processus grâce auxquels des particuliers et des organisations tentent d’atteindre des objectifs communs, de prendre des décisions, d'instaurer l’autorité et la légitimité, et d’exercer des pouvoirs ».</w:t>
      </w:r>
      <w:r w:rsidRPr="00E2052F">
        <w:rPr>
          <w:rStyle w:val="Appelnotedebasdep"/>
          <w:rFonts w:cstheme="majorBidi"/>
          <w:sz w:val="22"/>
        </w:rPr>
        <w:footnoteReference w:id="28"/>
      </w:r>
    </w:p>
    <w:p w14:paraId="58235179" w14:textId="77777777" w:rsidR="00172C7A" w:rsidRPr="00E2052F" w:rsidRDefault="00172C7A" w:rsidP="000B51BB">
      <w:pPr>
        <w:tabs>
          <w:tab w:val="left" w:pos="903"/>
        </w:tabs>
        <w:spacing w:after="100" w:afterAutospacing="1"/>
        <w:rPr>
          <w:rFonts w:cstheme="majorBidi"/>
          <w:sz w:val="22"/>
        </w:rPr>
      </w:pPr>
      <w:r w:rsidRPr="00E2052F">
        <w:rPr>
          <w:rFonts w:cstheme="majorBidi"/>
          <w:sz w:val="22"/>
          <w:u w:val="single"/>
        </w:rPr>
        <w:lastRenderedPageBreak/>
        <w:t>Selon Roland Pérez 2009 :</w:t>
      </w:r>
      <w:r w:rsidRPr="00E2052F">
        <w:rPr>
          <w:rFonts w:cstheme="majorBidi"/>
          <w:sz w:val="22"/>
        </w:rPr>
        <w:t xml:space="preserve"> une définition saisissante et forte« La gouvernance, c’est en quelque sorte le management du management, un méta management.»</w:t>
      </w:r>
      <w:r w:rsidRPr="00E2052F">
        <w:rPr>
          <w:rStyle w:val="Appelnotedebasdep"/>
          <w:rFonts w:cstheme="majorBidi"/>
          <w:sz w:val="22"/>
        </w:rPr>
        <w:footnoteReference w:id="29"/>
      </w:r>
    </w:p>
    <w:p w14:paraId="5DF97349" w14:textId="77777777" w:rsidR="00172C7A" w:rsidRPr="00E2052F" w:rsidRDefault="00172C7A" w:rsidP="000B51BB">
      <w:pPr>
        <w:tabs>
          <w:tab w:val="left" w:pos="903"/>
        </w:tabs>
        <w:rPr>
          <w:rFonts w:cstheme="majorBidi"/>
          <w:sz w:val="22"/>
        </w:rPr>
      </w:pPr>
      <w:r w:rsidRPr="00E2052F">
        <w:rPr>
          <w:rFonts w:cstheme="majorBidi"/>
          <w:sz w:val="22"/>
          <w:u w:val="single"/>
        </w:rPr>
        <w:t>Selon la Commission européenne :</w:t>
      </w:r>
      <w:r w:rsidRPr="00E2052F">
        <w:rPr>
          <w:rFonts w:cstheme="majorBidi"/>
          <w:sz w:val="22"/>
        </w:rPr>
        <w:t xml:space="preserve"> offre une définition adaptée au contexte de développement européen« La notion de "gouvernance" désigne les règles, les processus et les comportements qui influent sur l’exercice des pouvoirs au niveau européen, particulièrement du point de vue de l'ouverture, de la participation, de la responsabilité, de l'efficacité et de la cohérence ».</w:t>
      </w:r>
      <w:r w:rsidRPr="00E2052F">
        <w:rPr>
          <w:rStyle w:val="Appelnotedebasdep"/>
          <w:rFonts w:cstheme="majorBidi"/>
          <w:sz w:val="22"/>
        </w:rPr>
        <w:footnoteReference w:id="30"/>
      </w:r>
    </w:p>
    <w:p w14:paraId="45C899AD" w14:textId="77777777" w:rsidR="00172C7A" w:rsidRPr="00E2052F" w:rsidRDefault="00172C7A" w:rsidP="000B51BB">
      <w:pPr>
        <w:tabs>
          <w:tab w:val="left" w:pos="903"/>
        </w:tabs>
        <w:rPr>
          <w:rFonts w:cstheme="majorBidi"/>
          <w:sz w:val="22"/>
        </w:rPr>
      </w:pPr>
      <w:r w:rsidRPr="00E2052F">
        <w:rPr>
          <w:rFonts w:cstheme="majorBidi"/>
          <w:color w:val="000000"/>
          <w:sz w:val="22"/>
          <w:u w:val="single"/>
          <w:shd w:val="clear" w:color="auto" w:fill="FFFFFF"/>
        </w:rPr>
        <w:t>Selon les Nations Unies</w:t>
      </w:r>
      <w:r w:rsidRPr="00E2052F">
        <w:rPr>
          <w:rFonts w:cstheme="majorBidi"/>
          <w:color w:val="000000"/>
          <w:sz w:val="22"/>
          <w:shd w:val="clear" w:color="auto" w:fill="FFFFFF"/>
        </w:rPr>
        <w:t> : « La Gouvernance peut être considérée comme l’exercice de l’autorité économique, politique et administrative en vue de gérer les affaires d’un pays à tous les niveaux. Elle englobe les mécanismes, les processus, et les institutions par le biais desquels les citoyens et les groupes expriment leurs intérêts, exercent leurs droits juridiques, assument leurs obligations et auxquels ils s’adressent en vue de régler leurs différends».</w:t>
      </w:r>
      <w:r w:rsidRPr="00E2052F">
        <w:rPr>
          <w:rStyle w:val="Appelnotedebasdep"/>
          <w:rFonts w:cstheme="majorBidi"/>
          <w:color w:val="000000"/>
          <w:sz w:val="22"/>
          <w:shd w:val="clear" w:color="auto" w:fill="FFFFFF"/>
        </w:rPr>
        <w:footnoteReference w:id="31"/>
      </w:r>
    </w:p>
    <w:p w14:paraId="3BBC59BD" w14:textId="77777777" w:rsidR="00172C7A" w:rsidRPr="00E2052F" w:rsidRDefault="00172C7A" w:rsidP="000B51BB">
      <w:pPr>
        <w:tabs>
          <w:tab w:val="left" w:pos="903"/>
        </w:tabs>
        <w:rPr>
          <w:rFonts w:cstheme="majorBidi"/>
          <w:sz w:val="22"/>
        </w:rPr>
      </w:pPr>
      <w:r w:rsidRPr="00E2052F">
        <w:rPr>
          <w:rFonts w:cstheme="majorBidi"/>
          <w:sz w:val="22"/>
        </w:rPr>
        <w:t>Alors la gouvernance dépasse la simple technique de gestion pour constituer un dispositif social et organisationnel. Elle vise à structurer les relations et les interactions au sein de l’entreprise, en favorisant la transparence et la fluidité des échanges, tout en organisant les comportements des acteurs et en régulant le fonctionnement interne. Elle apparaît ainsi comme un outil à la fois de coordination et d’influence, permettant d’assurer la cohérence des pratiques et la stabilité de l’organisation.</w:t>
      </w:r>
      <w:r w:rsidRPr="00E2052F">
        <w:rPr>
          <w:rStyle w:val="Appelnotedebasdep"/>
          <w:rFonts w:cstheme="majorBidi"/>
          <w:sz w:val="22"/>
        </w:rPr>
        <w:footnoteReference w:id="32"/>
      </w:r>
    </w:p>
    <w:p w14:paraId="43CB83F9" w14:textId="77777777" w:rsidR="00172C7A" w:rsidRPr="00E2052F" w:rsidRDefault="00172C7A" w:rsidP="00F36332">
      <w:pPr>
        <w:pStyle w:val="Titre2"/>
        <w:numPr>
          <w:ilvl w:val="0"/>
          <w:numId w:val="238"/>
        </w:numPr>
      </w:pPr>
      <w:bookmarkStart w:id="94" w:name="_Toc228092349"/>
      <w:bookmarkStart w:id="95" w:name="_Toc231746778"/>
      <w:bookmarkStart w:id="96" w:name="_Toc231752185"/>
      <w:bookmarkStart w:id="97" w:name="_Toc231810488"/>
      <w:bookmarkStart w:id="98" w:name="_Toc231811831"/>
      <w:bookmarkStart w:id="99" w:name="_Toc231812111"/>
      <w:bookmarkStart w:id="100" w:name="_Toc231814995"/>
      <w:r w:rsidRPr="00E2052F">
        <w:t>Raisons d’être de la gouvernance :</w:t>
      </w:r>
      <w:bookmarkEnd w:id="94"/>
      <w:bookmarkEnd w:id="95"/>
      <w:bookmarkEnd w:id="96"/>
      <w:bookmarkEnd w:id="97"/>
      <w:bookmarkEnd w:id="98"/>
      <w:bookmarkEnd w:id="99"/>
      <w:bookmarkEnd w:id="100"/>
    </w:p>
    <w:p w14:paraId="7192B8E7" w14:textId="77777777" w:rsidR="00172C7A" w:rsidRPr="00E2052F" w:rsidRDefault="00172C7A" w:rsidP="00607B26">
      <w:pPr>
        <w:tabs>
          <w:tab w:val="left" w:pos="1236"/>
        </w:tabs>
        <w:rPr>
          <w:rFonts w:cstheme="majorBidi"/>
          <w:sz w:val="22"/>
        </w:rPr>
      </w:pPr>
      <w:r w:rsidRPr="00E2052F">
        <w:rPr>
          <w:rFonts w:cstheme="majorBidi"/>
          <w:sz w:val="22"/>
        </w:rPr>
        <w:t>La littérature identifie deux fondements majeurs à l’émergence de la gouvernance en tant que mode particulier de régulation. D’une part, elle s’inscrit comme une réponse à la complexité croissante des sociétés contemporaines, marquées par la multiplication des acteurs et l’interdépendance des systèmes. D’autre part, elle traduit une volonté de rééquilibrer les rapports de pouvoir en redonnant une place centrale à la société civile dans les processus décisionnels. Dans le cadre de l’Union européenne, cette orientation vise notamment à atténuer le déficit démocratique en renforçant la participation, la transparence et la légitimité des institutions.</w:t>
      </w:r>
    </w:p>
    <w:p w14:paraId="24CC60C5" w14:textId="77777777" w:rsidR="00172C7A" w:rsidRPr="00E2052F" w:rsidRDefault="00172C7A" w:rsidP="00D61875">
      <w:pPr>
        <w:pStyle w:val="Titre3"/>
        <w:numPr>
          <w:ilvl w:val="0"/>
          <w:numId w:val="44"/>
        </w:numPr>
        <w:spacing w:before="100" w:after="100" w:afterAutospacing="1"/>
        <w:ind w:left="568" w:hanging="284"/>
        <w:rPr>
          <w:rFonts w:asciiTheme="majorBidi" w:hAnsiTheme="majorBidi"/>
          <w:b w:val="0"/>
          <w:bCs w:val="0"/>
          <w:color w:val="auto"/>
          <w:sz w:val="22"/>
        </w:rPr>
      </w:pPr>
      <w:bookmarkStart w:id="101" w:name="_Toc228092350"/>
      <w:bookmarkStart w:id="102" w:name="_Toc231746779"/>
      <w:bookmarkStart w:id="103" w:name="_Toc231752186"/>
      <w:bookmarkStart w:id="104" w:name="_Toc231810489"/>
      <w:bookmarkStart w:id="105" w:name="_Toc231811832"/>
      <w:bookmarkStart w:id="106" w:name="_Toc231812112"/>
      <w:bookmarkStart w:id="107" w:name="_Toc231814996"/>
      <w:r w:rsidRPr="00E2052F">
        <w:rPr>
          <w:rFonts w:asciiTheme="majorBidi" w:hAnsiTheme="majorBidi"/>
          <w:color w:val="auto"/>
          <w:sz w:val="22"/>
        </w:rPr>
        <w:lastRenderedPageBreak/>
        <w:t>Un monde de plus en plus complexe et interdépendant :</w:t>
      </w:r>
      <w:bookmarkEnd w:id="101"/>
      <w:bookmarkEnd w:id="102"/>
      <w:bookmarkEnd w:id="103"/>
      <w:bookmarkEnd w:id="104"/>
      <w:bookmarkEnd w:id="105"/>
      <w:bookmarkEnd w:id="106"/>
      <w:bookmarkEnd w:id="107"/>
    </w:p>
    <w:p w14:paraId="4FA919F1" w14:textId="77777777" w:rsidR="00172C7A" w:rsidRPr="00E2052F" w:rsidRDefault="00172C7A" w:rsidP="000B51BB">
      <w:pPr>
        <w:spacing w:after="100" w:afterAutospacing="1"/>
        <w:rPr>
          <w:rFonts w:cstheme="majorBidi"/>
          <w:sz w:val="22"/>
        </w:rPr>
      </w:pPr>
      <w:r w:rsidRPr="00E2052F">
        <w:rPr>
          <w:rFonts w:cstheme="majorBidi"/>
          <w:sz w:val="22"/>
        </w:rPr>
        <w:t>La gouvernance contemporaine s’impose comme une réponse à la complexité croissante des sociétés modernes et à l’interdépendance étroite entre les sphères économique, politique, sociale et environnementale. La mondialisation, les innovations technologiques et l’émergence de problématiques globales telles que le changement climatique ou les crises sanitaires accentuent cette complexité. Les organisations évoluent désormais dans des environnements incertains et dynamiques, où les interactions sont multiples et souvent imprévisibles.</w:t>
      </w:r>
      <w:r w:rsidRPr="00E2052F">
        <w:rPr>
          <w:rStyle w:val="Appelnotedebasdep"/>
          <w:rFonts w:cstheme="majorBidi"/>
          <w:sz w:val="22"/>
        </w:rPr>
        <w:footnoteReference w:id="33"/>
      </w:r>
    </w:p>
    <w:p w14:paraId="25550B1E" w14:textId="77777777" w:rsidR="00172C7A" w:rsidRPr="00E2052F" w:rsidRDefault="00172C7A" w:rsidP="000B51BB">
      <w:pPr>
        <w:spacing w:after="100" w:afterAutospacing="1"/>
        <w:rPr>
          <w:rFonts w:cstheme="majorBidi"/>
          <w:sz w:val="22"/>
        </w:rPr>
      </w:pPr>
      <w:r w:rsidRPr="00E2052F">
        <w:rPr>
          <w:rFonts w:cstheme="majorBidi"/>
          <w:sz w:val="22"/>
        </w:rPr>
        <w:t>Cette complexité remet en question les modèles de gestion centralisés et hiérarchiques traditionnels. La prise de décision ne peut plus être un processus unilatéral ; elle doit intégrer une pluralité de variables, de contraintes et de perspectives. La gouvernance favorise ainsi la coordination et l’interaction entre acteurs, permettant une meilleure adaptation aux mutations de l’environnement et l’apprentissage collectif. La circulation de l’information et l’échange de connaissances deviennent essentiels pour garantir la pertinence et l’efficacité des décisions.</w:t>
      </w:r>
      <w:r w:rsidRPr="00E2052F">
        <w:rPr>
          <w:rStyle w:val="Appelnotedebasdep"/>
          <w:rFonts w:cstheme="majorBidi"/>
          <w:sz w:val="22"/>
        </w:rPr>
        <w:footnoteReference w:id="34"/>
      </w:r>
    </w:p>
    <w:p w14:paraId="4A984C33" w14:textId="77777777" w:rsidR="00172C7A" w:rsidRPr="00E2052F" w:rsidRDefault="00172C7A" w:rsidP="000B51BB">
      <w:pPr>
        <w:spacing w:after="100" w:afterAutospacing="1"/>
        <w:rPr>
          <w:rFonts w:cstheme="majorBidi"/>
          <w:sz w:val="22"/>
        </w:rPr>
      </w:pPr>
      <w:r w:rsidRPr="00E2052F">
        <w:rPr>
          <w:rFonts w:cstheme="majorBidi"/>
          <w:sz w:val="22"/>
        </w:rPr>
        <w:t>De plus, la complexité contemporaine implique un recours accru à l’expertise et aux institutions spécialisées. Les acteurs politiques et économiques ne disposent pas toujours des compétences techniques pour analyser les enjeux complexes, ce qui rend indispensable le rôle des experts. Toutefois, cette technicisation des décisions doit être équilibrée par la participation des citoyens et des parties prenantes, afin d’assurer la légitimité et l’appropriation sociale des décisions.</w:t>
      </w:r>
      <w:r w:rsidRPr="00E2052F">
        <w:rPr>
          <w:rStyle w:val="Appelnotedebasdep"/>
          <w:rFonts w:cstheme="majorBidi"/>
          <w:sz w:val="22"/>
        </w:rPr>
        <w:footnoteReference w:id="35"/>
      </w:r>
    </w:p>
    <w:p w14:paraId="4FB0133F" w14:textId="77777777" w:rsidR="00172C7A" w:rsidRPr="00E2052F" w:rsidRDefault="00172C7A" w:rsidP="00D61875">
      <w:pPr>
        <w:pStyle w:val="Titre3"/>
        <w:numPr>
          <w:ilvl w:val="0"/>
          <w:numId w:val="44"/>
        </w:numPr>
        <w:spacing w:before="100" w:after="100" w:afterAutospacing="1"/>
        <w:ind w:left="568" w:hanging="284"/>
        <w:rPr>
          <w:rFonts w:asciiTheme="majorBidi" w:hAnsiTheme="majorBidi"/>
          <w:b w:val="0"/>
          <w:bCs w:val="0"/>
          <w:color w:val="auto"/>
          <w:sz w:val="22"/>
        </w:rPr>
      </w:pPr>
      <w:bookmarkStart w:id="108" w:name="_Toc228092351"/>
      <w:bookmarkStart w:id="109" w:name="_Toc231746780"/>
      <w:bookmarkStart w:id="110" w:name="_Toc231752187"/>
      <w:bookmarkStart w:id="111" w:name="_Toc231810490"/>
      <w:bookmarkStart w:id="112" w:name="_Toc231811833"/>
      <w:bookmarkStart w:id="113" w:name="_Toc231812113"/>
      <w:bookmarkStart w:id="114" w:name="_Toc231814997"/>
      <w:r w:rsidRPr="00E2052F">
        <w:rPr>
          <w:rFonts w:asciiTheme="majorBidi" w:hAnsiTheme="majorBidi"/>
          <w:color w:val="auto"/>
          <w:sz w:val="22"/>
        </w:rPr>
        <w:t>Le déficit de légitimité et le besoin de transparence :</w:t>
      </w:r>
      <w:bookmarkEnd w:id="108"/>
      <w:bookmarkEnd w:id="109"/>
      <w:bookmarkEnd w:id="110"/>
      <w:bookmarkEnd w:id="111"/>
      <w:bookmarkEnd w:id="112"/>
      <w:bookmarkEnd w:id="113"/>
      <w:bookmarkEnd w:id="114"/>
    </w:p>
    <w:p w14:paraId="30DF461C" w14:textId="77777777" w:rsidR="00172C7A" w:rsidRPr="00E2052F" w:rsidRDefault="00172C7A" w:rsidP="00395F79">
      <w:pPr>
        <w:spacing w:after="100" w:afterAutospacing="1"/>
        <w:rPr>
          <w:rFonts w:cstheme="majorBidi"/>
          <w:sz w:val="22"/>
        </w:rPr>
      </w:pPr>
      <w:r w:rsidRPr="00E2052F">
        <w:rPr>
          <w:rFonts w:cstheme="majorBidi"/>
          <w:sz w:val="22"/>
        </w:rPr>
        <w:t>La gouvernance répond également à un déficit de légitimité des institutions classiques, marqué par la défiance croissante des citoyens vis-à-vis des autorités publiques et privées. Cette situation est particulièrement observable dans des contextes multilatéraux, tels que l’Union européenne, où l’écart perçu entre institutions et citoyens alimente le sentiment de "déficit démocratique".</w:t>
      </w:r>
      <w:r w:rsidRPr="00E2052F">
        <w:rPr>
          <w:rStyle w:val="Appelnotedebasdep"/>
          <w:rFonts w:cstheme="majorBidi"/>
          <w:sz w:val="22"/>
        </w:rPr>
        <w:footnoteReference w:id="36"/>
      </w:r>
    </w:p>
    <w:p w14:paraId="00915B12" w14:textId="77777777" w:rsidR="00172C7A" w:rsidRPr="00E2052F" w:rsidRDefault="00172C7A" w:rsidP="00395F79">
      <w:pPr>
        <w:spacing w:after="100" w:afterAutospacing="1"/>
        <w:rPr>
          <w:rFonts w:cstheme="majorBidi"/>
          <w:sz w:val="22"/>
        </w:rPr>
      </w:pPr>
      <w:r w:rsidRPr="00E2052F">
        <w:rPr>
          <w:rFonts w:cstheme="majorBidi"/>
          <w:sz w:val="22"/>
        </w:rPr>
        <w:t xml:space="preserve">La transparence constitue un principe fondamental de la gouvernance. Elle permet de rendre les décisions lisibles et compréhensibles, en clarifiant les processus et en diffusant des informations pertinentes. La mise en place de mécanismes de contrôle et d’évaluation contribue à limiter les risques </w:t>
      </w:r>
      <w:r w:rsidRPr="00E2052F">
        <w:rPr>
          <w:rFonts w:cstheme="majorBidi"/>
          <w:sz w:val="22"/>
        </w:rPr>
        <w:lastRenderedPageBreak/>
        <w:t>de corruption, d’abus de pouvoir et de décisions arbitraires, tout en renforçant la confiance des acteurs dans les institutions.</w:t>
      </w:r>
      <w:r w:rsidRPr="00E2052F">
        <w:rPr>
          <w:rStyle w:val="Appelnotedebasdep"/>
          <w:rFonts w:cstheme="majorBidi"/>
          <w:sz w:val="22"/>
        </w:rPr>
        <w:footnoteReference w:id="37"/>
      </w:r>
    </w:p>
    <w:p w14:paraId="635F6C2C" w14:textId="77777777" w:rsidR="00172C7A" w:rsidRPr="00E2052F" w:rsidRDefault="00172C7A" w:rsidP="00395F79">
      <w:pPr>
        <w:spacing w:after="100" w:afterAutospacing="1"/>
        <w:rPr>
          <w:rFonts w:cstheme="majorBidi"/>
          <w:sz w:val="22"/>
        </w:rPr>
      </w:pPr>
      <w:r w:rsidRPr="00E2052F">
        <w:rPr>
          <w:rFonts w:cstheme="majorBidi"/>
          <w:sz w:val="22"/>
        </w:rPr>
        <w:t>Par ailleurs, la participation active des citoyens et des acteurs de la société civile joue un rôle déterminant dans la légitimation des décisions. L’inclusion des différentes parties prenantes permet de prendre en compte la diversité des intérêts et des besoins, d’améliorer l’acceptabilité des politiques et d’accroître leur efficacité. Dans ce cadre, la gouvernance ne se limite pas à un instrument technique, mais constitue un outil stratégique pour renforcer la responsabilité et la légitimité institutionnelle.</w:t>
      </w:r>
    </w:p>
    <w:p w14:paraId="5EC5BB63" w14:textId="77777777" w:rsidR="00172C7A" w:rsidRPr="00E2052F" w:rsidRDefault="00172C7A" w:rsidP="00D61875">
      <w:pPr>
        <w:pStyle w:val="Titre3"/>
        <w:numPr>
          <w:ilvl w:val="0"/>
          <w:numId w:val="44"/>
        </w:numPr>
        <w:spacing w:before="100" w:after="100" w:afterAutospacing="1"/>
        <w:ind w:left="568" w:hanging="284"/>
        <w:rPr>
          <w:rFonts w:asciiTheme="majorBidi" w:hAnsiTheme="majorBidi"/>
          <w:b w:val="0"/>
          <w:bCs w:val="0"/>
          <w:color w:val="auto"/>
          <w:sz w:val="22"/>
        </w:rPr>
      </w:pPr>
      <w:bookmarkStart w:id="115" w:name="_Toc228092352"/>
      <w:bookmarkStart w:id="116" w:name="_Toc231746781"/>
      <w:bookmarkStart w:id="117" w:name="_Toc231752188"/>
      <w:bookmarkStart w:id="118" w:name="_Toc231810491"/>
      <w:bookmarkStart w:id="119" w:name="_Toc231811834"/>
      <w:bookmarkStart w:id="120" w:name="_Toc231812114"/>
      <w:bookmarkStart w:id="121" w:name="_Toc231814998"/>
      <w:r w:rsidRPr="00E2052F">
        <w:rPr>
          <w:rFonts w:asciiTheme="majorBidi" w:hAnsiTheme="majorBidi"/>
          <w:color w:val="auto"/>
          <w:sz w:val="22"/>
        </w:rPr>
        <w:t>La multiplication des acteurs et la nécessité de coordination :</w:t>
      </w:r>
      <w:bookmarkEnd w:id="115"/>
      <w:bookmarkEnd w:id="116"/>
      <w:bookmarkEnd w:id="117"/>
      <w:bookmarkEnd w:id="118"/>
      <w:bookmarkEnd w:id="119"/>
      <w:bookmarkEnd w:id="120"/>
      <w:bookmarkEnd w:id="121"/>
    </w:p>
    <w:p w14:paraId="62B29D61" w14:textId="77777777" w:rsidR="00172C7A" w:rsidRPr="00E2052F" w:rsidRDefault="00172C7A" w:rsidP="00607B26">
      <w:pPr>
        <w:spacing w:after="100" w:afterAutospacing="1"/>
        <w:rPr>
          <w:rFonts w:cstheme="majorBidi"/>
          <w:sz w:val="22"/>
        </w:rPr>
      </w:pPr>
      <w:r w:rsidRPr="00E2052F">
        <w:rPr>
          <w:rFonts w:cstheme="majorBidi"/>
          <w:sz w:val="22"/>
        </w:rPr>
        <w:t>La gouvernance moderne se caractérise par la multiplication et la diversification des acteurs impliqués dans la prise de décision. L’État n’est plus l’unique détenteur du pouvoir ; les entreprises, les ONG, les institutions internationales et la société civile participent activement aux processus de régulation. Cette évolution traduit un passage d’une logique hiérarchique verticale à un modèle plus horizontal, fondé sur la coopération, l’interaction et le réseau.</w:t>
      </w:r>
    </w:p>
    <w:p w14:paraId="794C78F6" w14:textId="77777777" w:rsidR="00172C7A" w:rsidRPr="00E2052F" w:rsidRDefault="00172C7A" w:rsidP="00395F79">
      <w:pPr>
        <w:spacing w:after="100" w:afterAutospacing="1"/>
        <w:rPr>
          <w:rFonts w:cstheme="majorBidi"/>
          <w:sz w:val="22"/>
        </w:rPr>
      </w:pPr>
      <w:r w:rsidRPr="00E2052F">
        <w:rPr>
          <w:rFonts w:cstheme="majorBidi"/>
          <w:sz w:val="22"/>
        </w:rPr>
        <w:t>Dans ce contexte, la coordination devient un enjeu central. La diversité des intérêts et des logiques d’action nécessite la mise en place de mécanismes pour structurer les interactions, favoriser le dialogue et promouvoir des solutions concertées. Les dispositifs de médiation, de négociation et de partenariat permettent de concilier les objectifs divergents et de renforcer l’efficacité et la cohérence des actions collectives.</w:t>
      </w:r>
      <w:r w:rsidRPr="00E2052F">
        <w:rPr>
          <w:rStyle w:val="Appelnotedebasdep"/>
          <w:rFonts w:cstheme="majorBidi"/>
          <w:sz w:val="22"/>
        </w:rPr>
        <w:footnoteReference w:id="38"/>
      </w:r>
    </w:p>
    <w:p w14:paraId="05C976B3" w14:textId="77777777" w:rsidR="00172C7A" w:rsidRPr="00E2052F" w:rsidRDefault="00172C7A" w:rsidP="00395F79">
      <w:pPr>
        <w:spacing w:after="100" w:afterAutospacing="1"/>
        <w:rPr>
          <w:rFonts w:cstheme="majorBidi"/>
          <w:sz w:val="22"/>
        </w:rPr>
      </w:pPr>
      <w:r w:rsidRPr="00E2052F">
        <w:rPr>
          <w:rFonts w:cstheme="majorBidi"/>
          <w:sz w:val="22"/>
        </w:rPr>
        <w:t>En outre, la gouvernance favorise la création de réseaux d’acteurs interdépendants, facilitant le partage de ressources et de connaissances, ainsi que le développement de stratégies adaptées aux défis complexes. Ces réseaux permettent non seulement d’améliorer la qualité des décisions, mais aussi de renforcer la résilience et la capacité d’action des organisations face à un environnement incertain et dynamique.</w:t>
      </w:r>
      <w:r w:rsidRPr="00E2052F">
        <w:rPr>
          <w:rStyle w:val="Appelnotedebasdep"/>
          <w:rFonts w:cstheme="majorBidi"/>
          <w:sz w:val="22"/>
        </w:rPr>
        <w:footnoteReference w:id="39"/>
      </w:r>
    </w:p>
    <w:p w14:paraId="1CDB51EC" w14:textId="77777777" w:rsidR="00172C7A" w:rsidRPr="00E2052F" w:rsidRDefault="00172C7A" w:rsidP="00D61875">
      <w:pPr>
        <w:pStyle w:val="Titre3"/>
        <w:numPr>
          <w:ilvl w:val="0"/>
          <w:numId w:val="44"/>
        </w:numPr>
        <w:spacing w:before="100" w:after="100" w:afterAutospacing="1"/>
        <w:ind w:left="568" w:hanging="284"/>
        <w:rPr>
          <w:rFonts w:asciiTheme="majorBidi" w:hAnsiTheme="majorBidi"/>
          <w:b w:val="0"/>
          <w:bCs w:val="0"/>
          <w:color w:val="auto"/>
          <w:sz w:val="22"/>
        </w:rPr>
      </w:pPr>
      <w:bookmarkStart w:id="122" w:name="_Toc228092353"/>
      <w:bookmarkStart w:id="123" w:name="_Toc231746782"/>
      <w:bookmarkStart w:id="124" w:name="_Toc231752189"/>
      <w:bookmarkStart w:id="125" w:name="_Toc231810492"/>
      <w:bookmarkStart w:id="126" w:name="_Toc231811835"/>
      <w:bookmarkStart w:id="127" w:name="_Toc231812115"/>
      <w:bookmarkStart w:id="128" w:name="_Toc231814999"/>
      <w:r w:rsidRPr="00E2052F">
        <w:rPr>
          <w:rFonts w:asciiTheme="majorBidi" w:hAnsiTheme="majorBidi"/>
          <w:color w:val="auto"/>
          <w:sz w:val="22"/>
        </w:rPr>
        <w:t>Conférer un pouvoir effectif à la société civile :</w:t>
      </w:r>
      <w:bookmarkEnd w:id="122"/>
      <w:bookmarkEnd w:id="123"/>
      <w:bookmarkEnd w:id="124"/>
      <w:bookmarkEnd w:id="125"/>
      <w:bookmarkEnd w:id="126"/>
      <w:bookmarkEnd w:id="127"/>
      <w:bookmarkEnd w:id="128"/>
    </w:p>
    <w:p w14:paraId="24E29A9C" w14:textId="77777777" w:rsidR="00172C7A" w:rsidRPr="00E2052F" w:rsidRDefault="00172C7A" w:rsidP="00395F79">
      <w:pPr>
        <w:spacing w:after="100" w:afterAutospacing="1"/>
        <w:rPr>
          <w:rFonts w:cstheme="majorBidi"/>
          <w:sz w:val="22"/>
        </w:rPr>
      </w:pPr>
      <w:r w:rsidRPr="00E2052F">
        <w:rPr>
          <w:rFonts w:cstheme="majorBidi"/>
          <w:sz w:val="22"/>
        </w:rPr>
        <w:t xml:space="preserve">Dans les études contemporaines de gouvernance, le concept de « société civile » s’est transformé, passant d’une entité souvent opposée à l’État à un élément intégré de réseaux décisionnels complexes. Cette évolution reflète le passage d’un modèle centré sur des structures hiérarchiques étatiques vers des systèmes de gouvernance décentralisés où une diversité d’acteurs associations, institutions publiques et </w:t>
      </w:r>
      <w:r w:rsidRPr="00E2052F">
        <w:rPr>
          <w:rFonts w:cstheme="majorBidi"/>
          <w:sz w:val="22"/>
        </w:rPr>
        <w:lastRenderedPageBreak/>
        <w:t>privés interagissent de manière flexible et interconnectée. La gouvernance est ainsi conçue non plus seulement comme l’exercice du pouvoir étatique traditionnel, mais comme un cadre analytique mettant en lumière les processus de coordination dans des configurations en réseau qui redéfinissent le rôle de l’État, de la société civile et du politique. Elle met l’accent sur des formes de prise de décision collective, moins dépendantes d’une autorité unique et davantage fondées sur l’interdépendance des acteurs dans des environnements sociaux et économiques changeants.</w:t>
      </w:r>
      <w:r w:rsidRPr="00E2052F">
        <w:rPr>
          <w:rStyle w:val="Appelnotedebasdep"/>
          <w:rFonts w:cstheme="majorBidi"/>
          <w:sz w:val="22"/>
        </w:rPr>
        <w:footnoteReference w:id="40"/>
      </w:r>
    </w:p>
    <w:p w14:paraId="24521E47" w14:textId="77777777" w:rsidR="00172C7A" w:rsidRPr="00E2052F" w:rsidRDefault="00172C7A" w:rsidP="00F36332">
      <w:pPr>
        <w:pStyle w:val="Titre2"/>
        <w:numPr>
          <w:ilvl w:val="0"/>
          <w:numId w:val="237"/>
        </w:numPr>
      </w:pPr>
      <w:bookmarkStart w:id="129" w:name="_Toc228092354"/>
      <w:bookmarkStart w:id="130" w:name="_Toc231746783"/>
      <w:bookmarkStart w:id="131" w:name="_Toc231752190"/>
      <w:bookmarkStart w:id="132" w:name="_Toc231810493"/>
      <w:bookmarkStart w:id="133" w:name="_Toc231811836"/>
      <w:bookmarkStart w:id="134" w:name="_Toc231812116"/>
      <w:bookmarkStart w:id="135" w:name="_Toc231815000"/>
      <w:r w:rsidRPr="00E2052F">
        <w:t>Les typologies de la gouvernance :</w:t>
      </w:r>
      <w:bookmarkEnd w:id="129"/>
      <w:bookmarkEnd w:id="130"/>
      <w:bookmarkEnd w:id="131"/>
      <w:bookmarkEnd w:id="132"/>
      <w:bookmarkEnd w:id="133"/>
      <w:bookmarkEnd w:id="134"/>
      <w:bookmarkEnd w:id="135"/>
    </w:p>
    <w:p w14:paraId="7D6047D5" w14:textId="77777777" w:rsidR="00172C7A" w:rsidRPr="00E2052F" w:rsidRDefault="00172C7A" w:rsidP="00D61875">
      <w:pPr>
        <w:pStyle w:val="Titre3"/>
        <w:numPr>
          <w:ilvl w:val="0"/>
          <w:numId w:val="45"/>
        </w:numPr>
        <w:spacing w:before="100" w:after="100" w:afterAutospacing="1"/>
        <w:ind w:left="568" w:hanging="284"/>
        <w:rPr>
          <w:rFonts w:asciiTheme="majorBidi" w:hAnsiTheme="majorBidi"/>
          <w:b w:val="0"/>
          <w:bCs w:val="0"/>
          <w:color w:val="auto"/>
          <w:sz w:val="22"/>
        </w:rPr>
      </w:pPr>
      <w:bookmarkStart w:id="136" w:name="_Toc228092355"/>
      <w:bookmarkStart w:id="137" w:name="_Toc231746784"/>
      <w:bookmarkStart w:id="138" w:name="_Toc231752191"/>
      <w:bookmarkStart w:id="139" w:name="_Toc231810494"/>
      <w:bookmarkStart w:id="140" w:name="_Toc231811837"/>
      <w:bookmarkStart w:id="141" w:name="_Toc231812117"/>
      <w:bookmarkStart w:id="142" w:name="_Toc231815001"/>
      <w:r w:rsidRPr="00E2052F">
        <w:rPr>
          <w:rFonts w:asciiTheme="majorBidi" w:hAnsiTheme="majorBidi"/>
          <w:color w:val="auto"/>
          <w:sz w:val="22"/>
        </w:rPr>
        <w:t>La gouvernance politique :</w:t>
      </w:r>
      <w:bookmarkEnd w:id="136"/>
      <w:bookmarkEnd w:id="137"/>
      <w:bookmarkEnd w:id="138"/>
      <w:bookmarkEnd w:id="139"/>
      <w:bookmarkEnd w:id="140"/>
      <w:bookmarkEnd w:id="141"/>
      <w:bookmarkEnd w:id="142"/>
    </w:p>
    <w:p w14:paraId="71B09F80" w14:textId="77777777" w:rsidR="00172C7A" w:rsidRPr="00E2052F" w:rsidRDefault="00172C7A" w:rsidP="00395F79">
      <w:pPr>
        <w:spacing w:after="100" w:afterAutospacing="1"/>
        <w:rPr>
          <w:rFonts w:cstheme="majorBidi"/>
          <w:sz w:val="22"/>
        </w:rPr>
      </w:pPr>
      <w:r w:rsidRPr="00E2052F">
        <w:rPr>
          <w:rFonts w:cstheme="majorBidi"/>
          <w:sz w:val="22"/>
        </w:rPr>
        <w:t>La gouvernance politique renvoie à l’ensemble des mécanismes et des interactions à travers lesquels le pouvoir est exercé et régulé au sein des sociétés contemporaines, en particulier dans les systèmes démocratiques libéraux. Dans ces contextes, la gestion des affaires publiques ne relève plus exclusivement de l’État, mais s’inscrit dans une dynamique d’interaction et de coopération entre une pluralité d’acteurs, incluant les institutions publiques, les entreprises privées et la société civile.</w:t>
      </w:r>
    </w:p>
    <w:p w14:paraId="1FE3EBB6" w14:textId="77777777" w:rsidR="00172C7A" w:rsidRPr="00E2052F" w:rsidRDefault="00172C7A" w:rsidP="00395F79">
      <w:pPr>
        <w:spacing w:after="100" w:afterAutospacing="1"/>
        <w:rPr>
          <w:rFonts w:cstheme="majorBidi"/>
          <w:sz w:val="22"/>
        </w:rPr>
      </w:pPr>
      <w:r w:rsidRPr="00E2052F">
        <w:rPr>
          <w:rFonts w:cstheme="majorBidi"/>
          <w:sz w:val="22"/>
        </w:rPr>
        <w:t>Ces interactions prennent souvent la forme de réseaux, de partenariats et de systèmes de coordination, favorisant ainsi l’émergence de modes de décision plus flexibles et plus efficaces. Cette évolution traduit le passage d’un modèle hiérarchique traditionnel à un modèle plus horizontal, fondé sur la négociation, la concertation et la collaboration.</w:t>
      </w:r>
    </w:p>
    <w:p w14:paraId="05D6627D" w14:textId="77777777" w:rsidR="00172C7A" w:rsidRPr="00E2052F" w:rsidRDefault="00172C7A" w:rsidP="00395F79">
      <w:pPr>
        <w:spacing w:after="100" w:afterAutospacing="1"/>
        <w:rPr>
          <w:rFonts w:cstheme="majorBidi"/>
          <w:sz w:val="22"/>
        </w:rPr>
      </w:pPr>
      <w:r w:rsidRPr="00E2052F">
        <w:rPr>
          <w:rFonts w:cstheme="majorBidi"/>
          <w:sz w:val="22"/>
        </w:rPr>
        <w:t>Dans la tradition anglo-saxonne de la science administrative, la gouvernance politique est associée à plusieurs notions complémentaires, notamment :</w:t>
      </w:r>
    </w:p>
    <w:p w14:paraId="0C8CFFD3" w14:textId="77777777" w:rsidR="00172C7A" w:rsidRPr="00E2052F" w:rsidRDefault="00172C7A" w:rsidP="00D61875">
      <w:pPr>
        <w:pStyle w:val="Paragraphedeliste"/>
        <w:numPr>
          <w:ilvl w:val="0"/>
          <w:numId w:val="46"/>
        </w:numPr>
        <w:spacing w:after="100" w:afterAutospacing="1"/>
        <w:rPr>
          <w:rFonts w:cstheme="majorBidi"/>
          <w:sz w:val="22"/>
        </w:rPr>
      </w:pPr>
      <w:r w:rsidRPr="00E2052F">
        <w:rPr>
          <w:rFonts w:cstheme="majorBidi"/>
          <w:sz w:val="22"/>
        </w:rPr>
        <w:t>Le New Public Management, qui introduit des logiques de performance et d’efficacité issues du secteur privé dans la gestion publique.</w:t>
      </w:r>
    </w:p>
    <w:p w14:paraId="183EEDCA" w14:textId="77777777" w:rsidR="00172C7A" w:rsidRPr="00E2052F" w:rsidRDefault="00172C7A" w:rsidP="00D61875">
      <w:pPr>
        <w:pStyle w:val="Paragraphedeliste"/>
        <w:numPr>
          <w:ilvl w:val="0"/>
          <w:numId w:val="46"/>
        </w:numPr>
        <w:spacing w:after="100" w:afterAutospacing="1"/>
        <w:rPr>
          <w:rFonts w:cstheme="majorBidi"/>
          <w:sz w:val="22"/>
        </w:rPr>
      </w:pPr>
      <w:r w:rsidRPr="00E2052F">
        <w:rPr>
          <w:rFonts w:cstheme="majorBidi"/>
          <w:sz w:val="22"/>
        </w:rPr>
        <w:t>Le recours à des agences spécialisées, illustrant une délégation fonctionnelle de l’action publique.</w:t>
      </w:r>
    </w:p>
    <w:p w14:paraId="41351156" w14:textId="77777777" w:rsidR="00172C7A" w:rsidRPr="00E2052F" w:rsidRDefault="00172C7A" w:rsidP="00D61875">
      <w:pPr>
        <w:pStyle w:val="Paragraphedeliste"/>
        <w:numPr>
          <w:ilvl w:val="0"/>
          <w:numId w:val="46"/>
        </w:numPr>
        <w:spacing w:after="100" w:afterAutospacing="1"/>
        <w:rPr>
          <w:rFonts w:cstheme="majorBidi"/>
          <w:sz w:val="22"/>
        </w:rPr>
      </w:pPr>
      <w:r w:rsidRPr="00E2052F">
        <w:rPr>
          <w:rFonts w:cstheme="majorBidi"/>
          <w:sz w:val="22"/>
        </w:rPr>
        <w:t>Le développement des autorités administratives indépendantes, garantes de la régulation et de l’équilibre institutionnel.</w:t>
      </w:r>
    </w:p>
    <w:p w14:paraId="2BE6D780" w14:textId="77777777" w:rsidR="00172C7A" w:rsidRPr="00E2052F" w:rsidRDefault="00172C7A" w:rsidP="00D61875">
      <w:pPr>
        <w:pStyle w:val="Titre4"/>
        <w:numPr>
          <w:ilvl w:val="0"/>
          <w:numId w:val="47"/>
        </w:numPr>
        <w:spacing w:before="100" w:after="100" w:afterAutospacing="1"/>
        <w:ind w:left="1287" w:hanging="720"/>
        <w:rPr>
          <w:rFonts w:asciiTheme="majorBidi" w:hAnsiTheme="majorBidi"/>
          <w:b w:val="0"/>
          <w:bCs w:val="0"/>
          <w:i w:val="0"/>
          <w:iCs w:val="0"/>
          <w:color w:val="auto"/>
          <w:sz w:val="22"/>
        </w:rPr>
      </w:pPr>
      <w:bookmarkStart w:id="143" w:name="_Toc228092356"/>
      <w:bookmarkStart w:id="144" w:name="_Toc231746785"/>
      <w:bookmarkStart w:id="145" w:name="_Toc231752192"/>
      <w:bookmarkStart w:id="146" w:name="_Toc231810495"/>
      <w:bookmarkStart w:id="147" w:name="_Toc231811838"/>
      <w:bookmarkStart w:id="148" w:name="_Toc231812118"/>
      <w:bookmarkStart w:id="149" w:name="_Toc231815002"/>
      <w:r w:rsidRPr="00E2052F">
        <w:rPr>
          <w:rFonts w:asciiTheme="majorBidi" w:hAnsiTheme="majorBidi"/>
          <w:i w:val="0"/>
          <w:iCs w:val="0"/>
          <w:color w:val="auto"/>
          <w:sz w:val="22"/>
        </w:rPr>
        <w:t>L’approche de la Banque mondiale :</w:t>
      </w:r>
      <w:bookmarkEnd w:id="143"/>
      <w:bookmarkEnd w:id="144"/>
      <w:bookmarkEnd w:id="145"/>
      <w:bookmarkEnd w:id="146"/>
      <w:bookmarkEnd w:id="147"/>
      <w:bookmarkEnd w:id="148"/>
      <w:bookmarkEnd w:id="149"/>
    </w:p>
    <w:p w14:paraId="51E6195F" w14:textId="77777777" w:rsidR="00172C7A" w:rsidRPr="00E2052F" w:rsidRDefault="00172C7A" w:rsidP="00607B26">
      <w:pPr>
        <w:spacing w:after="100" w:afterAutospacing="1"/>
        <w:rPr>
          <w:rFonts w:cstheme="majorBidi"/>
          <w:sz w:val="22"/>
        </w:rPr>
      </w:pPr>
      <w:r w:rsidRPr="00E2052F">
        <w:rPr>
          <w:rFonts w:cstheme="majorBidi"/>
          <w:sz w:val="22"/>
        </w:rPr>
        <w:t xml:space="preserve">À partir de la fin des années 1980, la Banque mondiale a progressivement intégré la notion de gouvernance dans ses analyses, notamment dans le cadre de l’évaluation des programmes d’ajustement structurel. Dans cette perspective, la gouvernance est définie comme l’ensemble des traditions, des </w:t>
      </w:r>
      <w:r w:rsidRPr="00E2052F">
        <w:rPr>
          <w:rFonts w:cstheme="majorBidi"/>
          <w:sz w:val="22"/>
        </w:rPr>
        <w:lastRenderedPageBreak/>
        <w:t>institutions et des processus par lesquels le pouvoir est exercé dans un pays, ainsi que la manière dont les ressources économiques et sociales sont gérées en vue du développement.</w:t>
      </w:r>
      <w:r w:rsidRPr="00E2052F">
        <w:rPr>
          <w:rStyle w:val="Appelnotedebasdep"/>
          <w:rFonts w:cstheme="majorBidi"/>
          <w:sz w:val="22"/>
        </w:rPr>
        <w:footnoteReference w:id="41"/>
      </w:r>
    </w:p>
    <w:p w14:paraId="0368437B" w14:textId="77777777" w:rsidR="00172C7A" w:rsidRPr="00E2052F" w:rsidRDefault="00172C7A" w:rsidP="00395F79">
      <w:pPr>
        <w:spacing w:after="100" w:afterAutospacing="1"/>
        <w:rPr>
          <w:rFonts w:cstheme="majorBidi"/>
          <w:sz w:val="22"/>
        </w:rPr>
      </w:pPr>
      <w:r w:rsidRPr="00E2052F">
        <w:rPr>
          <w:rFonts w:cstheme="majorBidi"/>
          <w:sz w:val="22"/>
        </w:rPr>
        <w:t>La Banque mondiale considère que la qualité de la gouvernance constitue un facteur déterminant de la réussite des politiques économiques et du développement. Elle repose sur plusieurs dimensions essentielles, telles que l’efficacité de l’action publique, la qualité de la réglementation, la primauté du droit, la transparence et la lutte contre la corruption.</w:t>
      </w:r>
      <w:r w:rsidRPr="00E2052F">
        <w:rPr>
          <w:rStyle w:val="Appelnotedebasdep"/>
          <w:rFonts w:cstheme="majorBidi"/>
          <w:sz w:val="22"/>
        </w:rPr>
        <w:footnoteReference w:id="42"/>
      </w:r>
    </w:p>
    <w:p w14:paraId="51F183B9" w14:textId="77777777" w:rsidR="00172C7A" w:rsidRPr="00E2052F" w:rsidRDefault="00172C7A" w:rsidP="00395F79">
      <w:pPr>
        <w:spacing w:after="100" w:afterAutospacing="1"/>
        <w:rPr>
          <w:rFonts w:cstheme="majorBidi"/>
          <w:sz w:val="22"/>
        </w:rPr>
      </w:pPr>
      <w:r w:rsidRPr="00E2052F">
        <w:rPr>
          <w:rFonts w:cstheme="majorBidi"/>
          <w:sz w:val="22"/>
        </w:rPr>
        <w:t>Ainsi, l’atteinte d’un niveau élevé de « bonne gouvernance » dépend de la capacité des institutions à formuler et à mettre en œuvre des politiques publiques pertinentes, du respect des citoyens envers les institutions, ainsi que de l’existence de mécanismes de contrôle et de responsabilisation des acteurs. Elle implique également une gestion efficace des ressources publiques, orientée vers la réalisation des objectifs de développement économique et social.</w:t>
      </w:r>
      <w:r w:rsidRPr="00E2052F">
        <w:rPr>
          <w:rStyle w:val="Appelnotedebasdep"/>
          <w:rFonts w:cstheme="majorBidi"/>
          <w:sz w:val="22"/>
        </w:rPr>
        <w:footnoteReference w:id="43"/>
      </w:r>
    </w:p>
    <w:p w14:paraId="39573955" w14:textId="77777777" w:rsidR="00172C7A" w:rsidRPr="00E2052F" w:rsidRDefault="00172C7A" w:rsidP="00D61875">
      <w:pPr>
        <w:pStyle w:val="Titre4"/>
        <w:numPr>
          <w:ilvl w:val="0"/>
          <w:numId w:val="47"/>
        </w:numPr>
        <w:spacing w:before="100" w:after="100" w:afterAutospacing="1"/>
        <w:ind w:left="1287" w:hanging="720"/>
        <w:rPr>
          <w:rFonts w:asciiTheme="majorBidi" w:hAnsiTheme="majorBidi"/>
          <w:b w:val="0"/>
          <w:bCs w:val="0"/>
          <w:i w:val="0"/>
          <w:iCs w:val="0"/>
          <w:color w:val="auto"/>
          <w:sz w:val="22"/>
        </w:rPr>
      </w:pPr>
      <w:bookmarkStart w:id="150" w:name="_Toc228092357"/>
      <w:bookmarkStart w:id="151" w:name="_Toc231746786"/>
      <w:bookmarkStart w:id="152" w:name="_Toc231752193"/>
      <w:bookmarkStart w:id="153" w:name="_Toc231810496"/>
      <w:bookmarkStart w:id="154" w:name="_Toc231811839"/>
      <w:bookmarkStart w:id="155" w:name="_Toc231812119"/>
      <w:bookmarkStart w:id="156" w:name="_Toc231815003"/>
      <w:r w:rsidRPr="00E2052F">
        <w:rPr>
          <w:rFonts w:asciiTheme="majorBidi" w:hAnsiTheme="majorBidi"/>
          <w:i w:val="0"/>
          <w:iCs w:val="0"/>
          <w:color w:val="auto"/>
          <w:sz w:val="22"/>
        </w:rPr>
        <w:t>L’approche de la commission européenne :</w:t>
      </w:r>
      <w:bookmarkEnd w:id="150"/>
      <w:bookmarkEnd w:id="151"/>
      <w:bookmarkEnd w:id="152"/>
      <w:bookmarkEnd w:id="153"/>
      <w:bookmarkEnd w:id="154"/>
      <w:bookmarkEnd w:id="155"/>
      <w:bookmarkEnd w:id="156"/>
    </w:p>
    <w:p w14:paraId="623F45A6" w14:textId="77777777" w:rsidR="00172C7A" w:rsidRPr="00E2052F" w:rsidRDefault="00172C7A" w:rsidP="00395F79">
      <w:pPr>
        <w:spacing w:after="100" w:afterAutospacing="1"/>
        <w:rPr>
          <w:rFonts w:cstheme="majorBidi"/>
          <w:sz w:val="22"/>
        </w:rPr>
      </w:pPr>
      <w:r w:rsidRPr="00E2052F">
        <w:rPr>
          <w:rFonts w:cstheme="majorBidi"/>
          <w:sz w:val="22"/>
        </w:rPr>
        <w:t>La Commission européenne propose une conception spécifique de la gouvernance, formalisée dans le Livre blanc sur la gouvernance européenne : « La gouvernance européenne désigne les règles, les processus et les comportements qui influent sur l'exercice des pouvoirs au niveau européen, particulièrement du point de vue de l'ouverture, de la participation, de la responsabilité, de l'efficacité, de la cohérence. Ces cinq principes de la bonne gouvernance renforcent ceux de la subsidiarité et de proportionnalité ».</w:t>
      </w:r>
      <w:r w:rsidRPr="00E2052F">
        <w:rPr>
          <w:rStyle w:val="Appelnotedebasdep"/>
          <w:rFonts w:cstheme="majorBidi"/>
          <w:sz w:val="22"/>
        </w:rPr>
        <w:footnoteReference w:id="44"/>
      </w:r>
    </w:p>
    <w:p w14:paraId="305FCDFE" w14:textId="77777777" w:rsidR="00172C7A" w:rsidRPr="00E2052F" w:rsidRDefault="00172C7A" w:rsidP="00395F79">
      <w:pPr>
        <w:spacing w:after="100" w:afterAutospacing="1"/>
        <w:rPr>
          <w:rFonts w:eastAsia="Times New Roman" w:cstheme="majorBidi"/>
          <w:sz w:val="22"/>
          <w:lang w:eastAsia="fr-FR"/>
        </w:rPr>
      </w:pPr>
      <w:r w:rsidRPr="00E2052F">
        <w:rPr>
          <w:rFonts w:eastAsia="Times New Roman" w:cstheme="majorBidi"/>
          <w:sz w:val="22"/>
          <w:lang w:eastAsia="fr-FR"/>
        </w:rPr>
        <w:t>Cette approche repose sur cinq principes fondamentaux :</w:t>
      </w:r>
    </w:p>
    <w:p w14:paraId="666E5732" w14:textId="77777777" w:rsidR="00172C7A" w:rsidRPr="00E2052F" w:rsidRDefault="00172C7A" w:rsidP="00D61875">
      <w:pPr>
        <w:pStyle w:val="Paragraphedeliste"/>
        <w:numPr>
          <w:ilvl w:val="0"/>
          <w:numId w:val="77"/>
        </w:numPr>
        <w:spacing w:after="100" w:afterAutospacing="1"/>
        <w:ind w:left="0" w:firstLine="284"/>
        <w:rPr>
          <w:rFonts w:eastAsia="Times New Roman" w:cstheme="majorBidi"/>
          <w:sz w:val="22"/>
          <w:lang w:eastAsia="fr-FR"/>
        </w:rPr>
      </w:pPr>
      <w:r w:rsidRPr="00E2052F">
        <w:rPr>
          <w:rFonts w:eastAsia="Times New Roman" w:cstheme="majorBidi"/>
          <w:sz w:val="22"/>
          <w:lang w:eastAsia="fr-FR"/>
        </w:rPr>
        <w:t>L’ouverture ;</w:t>
      </w:r>
    </w:p>
    <w:p w14:paraId="321415C5" w14:textId="77777777" w:rsidR="00172C7A" w:rsidRPr="00E2052F" w:rsidRDefault="00172C7A" w:rsidP="00D61875">
      <w:pPr>
        <w:pStyle w:val="Paragraphedeliste"/>
        <w:numPr>
          <w:ilvl w:val="0"/>
          <w:numId w:val="77"/>
        </w:numPr>
        <w:spacing w:after="100" w:afterAutospacing="1"/>
        <w:ind w:left="0" w:firstLine="284"/>
        <w:rPr>
          <w:rFonts w:eastAsia="Times New Roman" w:cstheme="majorBidi"/>
          <w:sz w:val="22"/>
          <w:lang w:eastAsia="fr-FR"/>
        </w:rPr>
      </w:pPr>
      <w:r w:rsidRPr="00E2052F">
        <w:rPr>
          <w:rFonts w:eastAsia="Times New Roman" w:cstheme="majorBidi"/>
          <w:sz w:val="22"/>
          <w:lang w:eastAsia="fr-FR"/>
        </w:rPr>
        <w:t>La participation ;</w:t>
      </w:r>
    </w:p>
    <w:p w14:paraId="47940307" w14:textId="77777777" w:rsidR="00172C7A" w:rsidRPr="00E2052F" w:rsidRDefault="00172C7A" w:rsidP="00D61875">
      <w:pPr>
        <w:pStyle w:val="Paragraphedeliste"/>
        <w:numPr>
          <w:ilvl w:val="0"/>
          <w:numId w:val="77"/>
        </w:numPr>
        <w:spacing w:after="100" w:afterAutospacing="1"/>
        <w:ind w:left="0" w:firstLine="284"/>
        <w:rPr>
          <w:rFonts w:eastAsia="Times New Roman" w:cstheme="majorBidi"/>
          <w:sz w:val="22"/>
          <w:lang w:eastAsia="fr-FR"/>
        </w:rPr>
      </w:pPr>
      <w:r w:rsidRPr="00E2052F">
        <w:rPr>
          <w:rFonts w:eastAsia="Times New Roman" w:cstheme="majorBidi"/>
          <w:sz w:val="22"/>
          <w:lang w:eastAsia="fr-FR"/>
        </w:rPr>
        <w:t>La responsabilité ;</w:t>
      </w:r>
    </w:p>
    <w:p w14:paraId="144502EE" w14:textId="77777777" w:rsidR="00172C7A" w:rsidRPr="00E2052F" w:rsidRDefault="00172C7A" w:rsidP="00D61875">
      <w:pPr>
        <w:pStyle w:val="Paragraphedeliste"/>
        <w:numPr>
          <w:ilvl w:val="0"/>
          <w:numId w:val="77"/>
        </w:numPr>
        <w:spacing w:after="100" w:afterAutospacing="1"/>
        <w:ind w:left="0" w:firstLine="284"/>
        <w:rPr>
          <w:rFonts w:eastAsia="Times New Roman" w:cstheme="majorBidi"/>
          <w:sz w:val="22"/>
          <w:lang w:eastAsia="fr-FR"/>
        </w:rPr>
      </w:pPr>
      <w:r w:rsidRPr="00E2052F">
        <w:rPr>
          <w:rFonts w:eastAsia="Times New Roman" w:cstheme="majorBidi"/>
          <w:sz w:val="22"/>
          <w:lang w:eastAsia="fr-FR"/>
        </w:rPr>
        <w:t>L’efficacité ;</w:t>
      </w:r>
    </w:p>
    <w:p w14:paraId="368E20B4" w14:textId="77777777" w:rsidR="00172C7A" w:rsidRPr="00E2052F" w:rsidRDefault="00172C7A" w:rsidP="00D61875">
      <w:pPr>
        <w:pStyle w:val="Paragraphedeliste"/>
        <w:numPr>
          <w:ilvl w:val="0"/>
          <w:numId w:val="77"/>
        </w:numPr>
        <w:spacing w:after="100" w:afterAutospacing="1"/>
        <w:ind w:left="0" w:firstLine="284"/>
        <w:rPr>
          <w:rFonts w:eastAsia="Times New Roman" w:cstheme="majorBidi"/>
          <w:sz w:val="22"/>
          <w:lang w:eastAsia="fr-FR"/>
        </w:rPr>
      </w:pPr>
      <w:r w:rsidRPr="00E2052F">
        <w:rPr>
          <w:rFonts w:eastAsia="Times New Roman" w:cstheme="majorBidi"/>
          <w:sz w:val="22"/>
          <w:lang w:eastAsia="fr-FR"/>
        </w:rPr>
        <w:t>La cohérence.</w:t>
      </w:r>
    </w:p>
    <w:p w14:paraId="058974BB" w14:textId="77777777" w:rsidR="00172C7A" w:rsidRPr="00E2052F" w:rsidRDefault="00172C7A" w:rsidP="00395F79">
      <w:pPr>
        <w:spacing w:after="100" w:afterAutospacing="1"/>
        <w:rPr>
          <w:rFonts w:cstheme="majorBidi"/>
          <w:sz w:val="22"/>
        </w:rPr>
      </w:pPr>
      <w:r w:rsidRPr="00E2052F">
        <w:rPr>
          <w:rFonts w:cstheme="majorBidi"/>
          <w:sz w:val="22"/>
        </w:rPr>
        <w:lastRenderedPageBreak/>
        <w:t>Ces principes visent à renforcer la légitimité démocratique de l’Union européenne et à améliorer la qualité de ses politiques publiques. Ils s’inscrivent également dans le respect des principes de subsidiarité et de proportionnalité, qui garantissent une répartition équilibrée des compétences entre les différents niveaux de gouvernance .Dans cette perspective, la gouvernance européenne cherche à rapprocher les institutions des citoyens, à renforcer la transparence des décisions et à promouvoir une participation plus active des acteurs sociaux dans l’élaboration des politiques publiques.</w:t>
      </w:r>
    </w:p>
    <w:p w14:paraId="054FED86" w14:textId="77777777" w:rsidR="00172C7A" w:rsidRPr="00E2052F" w:rsidRDefault="00172C7A" w:rsidP="00D61875">
      <w:pPr>
        <w:pStyle w:val="Titre3"/>
        <w:numPr>
          <w:ilvl w:val="0"/>
          <w:numId w:val="45"/>
        </w:numPr>
        <w:spacing w:before="40" w:beforeAutospacing="0"/>
        <w:ind w:left="568" w:hanging="284"/>
        <w:rPr>
          <w:rFonts w:asciiTheme="majorBidi" w:hAnsiTheme="majorBidi"/>
          <w:b w:val="0"/>
          <w:bCs w:val="0"/>
          <w:color w:val="auto"/>
          <w:sz w:val="22"/>
        </w:rPr>
      </w:pPr>
      <w:bookmarkStart w:id="157" w:name="_Toc228092358"/>
      <w:bookmarkStart w:id="158" w:name="_Toc231746787"/>
      <w:bookmarkStart w:id="159" w:name="_Toc231752194"/>
      <w:bookmarkStart w:id="160" w:name="_Toc231810497"/>
      <w:bookmarkStart w:id="161" w:name="_Toc231811840"/>
      <w:bookmarkStart w:id="162" w:name="_Toc231812120"/>
      <w:bookmarkStart w:id="163" w:name="_Toc231815004"/>
      <w:r w:rsidRPr="00E2052F">
        <w:rPr>
          <w:rFonts w:asciiTheme="majorBidi" w:hAnsiTheme="majorBidi"/>
          <w:color w:val="auto"/>
          <w:sz w:val="22"/>
        </w:rPr>
        <w:t>La gouvernance sociétale :</w:t>
      </w:r>
      <w:bookmarkEnd w:id="157"/>
      <w:bookmarkEnd w:id="158"/>
      <w:bookmarkEnd w:id="159"/>
      <w:bookmarkEnd w:id="160"/>
      <w:bookmarkEnd w:id="161"/>
      <w:bookmarkEnd w:id="162"/>
      <w:bookmarkEnd w:id="163"/>
    </w:p>
    <w:p w14:paraId="6657DB02" w14:textId="77777777" w:rsidR="00172C7A" w:rsidRPr="00E2052F" w:rsidRDefault="00172C7A" w:rsidP="00395F79">
      <w:pPr>
        <w:spacing w:after="100" w:afterAutospacing="1"/>
        <w:rPr>
          <w:rFonts w:cstheme="majorBidi"/>
          <w:sz w:val="22"/>
        </w:rPr>
      </w:pPr>
      <w:r w:rsidRPr="00E2052F">
        <w:rPr>
          <w:rFonts w:cstheme="majorBidi"/>
          <w:sz w:val="22"/>
        </w:rPr>
        <w:t>La gouvernance sociétale s’inscrit dans une approche élargie de la gouvernance, dépassant le cadre strict des institutions politiques pour intégrer l’ensemble des acteurs de la société dans les processus de décision</w:t>
      </w:r>
      <w:r w:rsidRPr="00E2052F">
        <w:rPr>
          <w:rStyle w:val="Appelnotedebasdep"/>
          <w:rFonts w:cstheme="majorBidi"/>
          <w:sz w:val="22"/>
        </w:rPr>
        <w:footnoteReference w:id="45"/>
      </w:r>
      <w:r w:rsidRPr="00E2052F">
        <w:rPr>
          <w:rFonts w:cstheme="majorBidi"/>
          <w:sz w:val="22"/>
        </w:rPr>
        <w:t>. Elle repose sur l’idée que la régulation des sociétés contemporaines ne peut plus être assurée exclusivement par l’État, en raison de la complexité croissante des interactions sociales et économiques, mais nécessite l’implication conjointe de la société civile, des entreprises, des organisations non gouvernementales et des citoyens.</w:t>
      </w:r>
    </w:p>
    <w:p w14:paraId="5379D7CF" w14:textId="77777777" w:rsidR="00172C7A" w:rsidRPr="00E2052F" w:rsidRDefault="00172C7A" w:rsidP="00395F79">
      <w:pPr>
        <w:spacing w:after="100" w:afterAutospacing="1"/>
        <w:rPr>
          <w:rFonts w:cstheme="majorBidi"/>
          <w:sz w:val="22"/>
        </w:rPr>
      </w:pPr>
      <w:r w:rsidRPr="00E2052F">
        <w:rPr>
          <w:rFonts w:cstheme="majorBidi"/>
          <w:sz w:val="22"/>
        </w:rPr>
        <w:t>Dans ce contexte, la gouvernance sociétale traduit une transformation profonde des modes de gestion collective, marquée par le passage d’une logique verticale, centralisée et hiérarchique à une logique horizontale fondée sur la participation, la concertation et la coopération entre acteurs</w:t>
      </w:r>
      <w:r w:rsidRPr="00E2052F">
        <w:rPr>
          <w:rStyle w:val="Appelnotedebasdep"/>
          <w:rFonts w:cstheme="majorBidi"/>
          <w:sz w:val="22"/>
        </w:rPr>
        <w:footnoteReference w:id="46"/>
      </w:r>
      <w:r w:rsidRPr="00E2052F">
        <w:rPr>
          <w:rFonts w:cstheme="majorBidi"/>
          <w:sz w:val="22"/>
        </w:rPr>
        <w:t>. Cette évolution s’explique notamment par la nécessité d’adapter les mécanismes de décision aux réalités contemporaines, caractérisées par l’interdépendance des acteurs et la diversité des intérêts en présence. Elle vise ainsi à renforcer la légitimité des décisions publiques et privées en favorisant l’inclusion des parties prenantes et en améliorant leur acceptabilité sociale.</w:t>
      </w:r>
    </w:p>
    <w:p w14:paraId="0458F240" w14:textId="77777777" w:rsidR="00172C7A" w:rsidRPr="00E2052F" w:rsidRDefault="00172C7A" w:rsidP="00D61875">
      <w:pPr>
        <w:pStyle w:val="Titre4"/>
        <w:numPr>
          <w:ilvl w:val="0"/>
          <w:numId w:val="48"/>
        </w:numPr>
        <w:spacing w:before="100" w:after="100" w:afterAutospacing="1"/>
        <w:ind w:left="1287" w:hanging="720"/>
        <w:rPr>
          <w:rFonts w:asciiTheme="majorBidi" w:hAnsiTheme="majorBidi"/>
          <w:b w:val="0"/>
          <w:bCs w:val="0"/>
          <w:i w:val="0"/>
          <w:iCs w:val="0"/>
          <w:color w:val="auto"/>
          <w:sz w:val="22"/>
        </w:rPr>
      </w:pPr>
      <w:bookmarkStart w:id="164" w:name="_Toc228092359"/>
      <w:bookmarkStart w:id="165" w:name="_Toc231746788"/>
      <w:bookmarkStart w:id="166" w:name="_Toc231752195"/>
      <w:bookmarkStart w:id="167" w:name="_Toc231810498"/>
      <w:bookmarkStart w:id="168" w:name="_Toc231811841"/>
      <w:bookmarkStart w:id="169" w:name="_Toc231812121"/>
      <w:bookmarkStart w:id="170" w:name="_Toc231815005"/>
      <w:r w:rsidRPr="00E2052F">
        <w:rPr>
          <w:rFonts w:asciiTheme="majorBidi" w:hAnsiTheme="majorBidi"/>
          <w:i w:val="0"/>
          <w:iCs w:val="0"/>
          <w:color w:val="auto"/>
          <w:sz w:val="22"/>
        </w:rPr>
        <w:t>L’approche du développement et de la société civile :</w:t>
      </w:r>
      <w:bookmarkEnd w:id="164"/>
      <w:bookmarkEnd w:id="165"/>
      <w:bookmarkEnd w:id="166"/>
      <w:bookmarkEnd w:id="167"/>
      <w:bookmarkEnd w:id="168"/>
      <w:bookmarkEnd w:id="169"/>
      <w:bookmarkEnd w:id="170"/>
    </w:p>
    <w:p w14:paraId="635230C1" w14:textId="77777777" w:rsidR="00172C7A" w:rsidRPr="00E2052F" w:rsidRDefault="00172C7A" w:rsidP="00395F79">
      <w:pPr>
        <w:pStyle w:val="NormalWeb"/>
        <w:spacing w:line="360" w:lineRule="auto"/>
        <w:rPr>
          <w:rFonts w:asciiTheme="majorBidi" w:hAnsiTheme="majorBidi" w:cstheme="majorBidi"/>
          <w:sz w:val="22"/>
          <w:szCs w:val="22"/>
        </w:rPr>
      </w:pPr>
      <w:r w:rsidRPr="00E2052F">
        <w:rPr>
          <w:rFonts w:asciiTheme="majorBidi" w:hAnsiTheme="majorBidi" w:cstheme="majorBidi"/>
          <w:sz w:val="22"/>
          <w:szCs w:val="22"/>
        </w:rPr>
        <w:t>Dans le cadre des politiques de développement, la gouvernance sociétale accorde une place centrale à la participation des acteurs locaux et à l’appropriation des politiques publiques par les populations concernées</w:t>
      </w:r>
      <w:r w:rsidRPr="00E2052F">
        <w:rPr>
          <w:rStyle w:val="Appelnotedebasdep"/>
          <w:rFonts w:asciiTheme="majorBidi" w:hAnsiTheme="majorBidi" w:cstheme="majorBidi"/>
          <w:sz w:val="22"/>
          <w:szCs w:val="22"/>
        </w:rPr>
        <w:footnoteReference w:id="47"/>
      </w:r>
      <w:r w:rsidRPr="00E2052F">
        <w:rPr>
          <w:rFonts w:asciiTheme="majorBidi" w:hAnsiTheme="majorBidi" w:cstheme="majorBidi"/>
          <w:sz w:val="22"/>
          <w:szCs w:val="22"/>
        </w:rPr>
        <w:t xml:space="preserve">. Cette approche repose sur le principe selon lequel le développement ne peut être durable que s’il est construit « par le bas », à travers une implication active des citoyens dans les processus de décision et de mise en œuvre des politiques publiques. Elle favorise ainsi une meilleure adéquation entre les politiques adoptées et les besoins réels des populations. Ainsi, la société civile devient un acteur clé </w:t>
      </w:r>
      <w:r w:rsidRPr="00E2052F">
        <w:rPr>
          <w:rFonts w:asciiTheme="majorBidi" w:hAnsiTheme="majorBidi" w:cstheme="majorBidi"/>
          <w:sz w:val="22"/>
          <w:szCs w:val="22"/>
        </w:rPr>
        <w:lastRenderedPageBreak/>
        <w:t>de la gouvernance, jouant un rôle d’intermédiation entre les citoyens et les institutions</w:t>
      </w:r>
      <w:r w:rsidRPr="00E2052F">
        <w:rPr>
          <w:rStyle w:val="Appelnotedebasdep"/>
          <w:rFonts w:asciiTheme="majorBidi" w:hAnsiTheme="majorBidi" w:cstheme="majorBidi"/>
          <w:sz w:val="22"/>
          <w:szCs w:val="22"/>
        </w:rPr>
        <w:footnoteReference w:id="48"/>
      </w:r>
      <w:r w:rsidRPr="00E2052F">
        <w:rPr>
          <w:rFonts w:asciiTheme="majorBidi" w:hAnsiTheme="majorBidi" w:cstheme="majorBidi"/>
          <w:sz w:val="22"/>
          <w:szCs w:val="22"/>
        </w:rPr>
        <w:t>. Elle contribue non seulement à exprimer les revendications sociales, mais également à renforcer les mécanismes de contrôle démocratique, en assurant une veille sur l’action publique et en participant à l’évaluation des politiques. Cette dynamique favorise l’émergence d’un espace public plus ouvert, caractérisé par le dialogue, la transparence et la responsabilité. En outre, la gouvernance sociétale encourage la mise en place de dispositifs de concertation et de partenariat entre les différents acteurs. Ces mécanismes permettent de construire des solutions collectives, fondées sur la négociation et le compromis, tout en renforçant la cohésion sociale et la confiance entre les parties prenantes.</w:t>
      </w:r>
    </w:p>
    <w:p w14:paraId="63253C18" w14:textId="77777777" w:rsidR="00172C7A" w:rsidRPr="00E2052F" w:rsidRDefault="00172C7A" w:rsidP="00D61875">
      <w:pPr>
        <w:pStyle w:val="Titre4"/>
        <w:numPr>
          <w:ilvl w:val="0"/>
          <w:numId w:val="48"/>
        </w:numPr>
        <w:spacing w:before="40" w:beforeAutospacing="0"/>
        <w:ind w:left="1287" w:hanging="720"/>
        <w:rPr>
          <w:rFonts w:asciiTheme="majorBidi" w:hAnsiTheme="majorBidi"/>
          <w:b w:val="0"/>
          <w:bCs w:val="0"/>
          <w:i w:val="0"/>
          <w:iCs w:val="0"/>
          <w:color w:val="auto"/>
          <w:sz w:val="22"/>
        </w:rPr>
      </w:pPr>
      <w:bookmarkStart w:id="171" w:name="_Toc228092360"/>
      <w:bookmarkStart w:id="172" w:name="_Toc231746789"/>
      <w:bookmarkStart w:id="173" w:name="_Toc231752196"/>
      <w:bookmarkStart w:id="174" w:name="_Toc231810499"/>
      <w:bookmarkStart w:id="175" w:name="_Toc231811842"/>
      <w:bookmarkStart w:id="176" w:name="_Toc231812122"/>
      <w:bookmarkStart w:id="177" w:name="_Toc231815006"/>
      <w:r w:rsidRPr="00E2052F">
        <w:rPr>
          <w:rFonts w:asciiTheme="majorBidi" w:hAnsiTheme="majorBidi"/>
          <w:i w:val="0"/>
          <w:iCs w:val="0"/>
          <w:color w:val="auto"/>
          <w:sz w:val="22"/>
        </w:rPr>
        <w:t>L’approche de l’équité et du développement humain :</w:t>
      </w:r>
      <w:bookmarkEnd w:id="171"/>
      <w:bookmarkEnd w:id="172"/>
      <w:bookmarkEnd w:id="173"/>
      <w:bookmarkEnd w:id="174"/>
      <w:bookmarkEnd w:id="175"/>
      <w:bookmarkEnd w:id="176"/>
      <w:bookmarkEnd w:id="177"/>
    </w:p>
    <w:p w14:paraId="267F58B6" w14:textId="77777777" w:rsidR="00172C7A" w:rsidRPr="00E2052F" w:rsidRDefault="00172C7A" w:rsidP="00395F79">
      <w:pPr>
        <w:spacing w:after="100" w:afterAutospacing="1"/>
        <w:rPr>
          <w:rFonts w:cstheme="majorBidi"/>
          <w:sz w:val="22"/>
        </w:rPr>
      </w:pPr>
      <w:r w:rsidRPr="00E2052F">
        <w:rPr>
          <w:rFonts w:cstheme="majorBidi"/>
          <w:sz w:val="22"/>
        </w:rPr>
        <w:t>La gouvernance sociétale repose également sur une dimension normative centrée sur la recherche d’une plus grande équité sociale</w:t>
      </w:r>
      <w:r w:rsidRPr="00E2052F">
        <w:rPr>
          <w:rStyle w:val="Appelnotedebasdep"/>
          <w:rFonts w:cstheme="majorBidi"/>
          <w:sz w:val="22"/>
        </w:rPr>
        <w:footnoteReference w:id="49"/>
      </w:r>
      <w:r w:rsidRPr="00E2052F">
        <w:rPr>
          <w:rFonts w:cstheme="majorBidi"/>
          <w:sz w:val="22"/>
        </w:rPr>
        <w:t>. Elle s’inscrit dans une perspective visant à corriger les déséquilibres économiques et sociaux, en garantissant une répartition plus juste des ressources et des opportunités. Cette approche met en avant l’importance de la justice sociale comme fondement de la stabilité et de la cohésion des sociétés contemporaines.</w:t>
      </w:r>
    </w:p>
    <w:p w14:paraId="7E7AF87C" w14:textId="77777777" w:rsidR="00172C7A" w:rsidRPr="00E2052F" w:rsidRDefault="00172C7A" w:rsidP="00395F79">
      <w:pPr>
        <w:spacing w:after="100" w:afterAutospacing="1"/>
        <w:rPr>
          <w:rFonts w:cstheme="majorBidi"/>
          <w:sz w:val="22"/>
        </w:rPr>
      </w:pPr>
      <w:r w:rsidRPr="00E2052F">
        <w:rPr>
          <w:rFonts w:cstheme="majorBidi"/>
          <w:sz w:val="22"/>
        </w:rPr>
        <w:t>Elle s’inspire notamment des approches du développement qui mettent l’accent sur l’égalité des chances et le renforcement des capacités individuelles</w:t>
      </w:r>
      <w:r w:rsidRPr="00E2052F">
        <w:rPr>
          <w:rStyle w:val="Appelnotedebasdep"/>
          <w:rFonts w:cstheme="majorBidi"/>
          <w:sz w:val="22"/>
        </w:rPr>
        <w:footnoteReference w:id="50"/>
      </w:r>
      <w:r w:rsidRPr="00E2052F">
        <w:rPr>
          <w:rFonts w:cstheme="majorBidi"/>
          <w:sz w:val="22"/>
        </w:rPr>
        <w:t>. Dans cette optique, le développement ne se réduit pas à la croissance économique, mais inclut également l’amélioration des libertés individuelles et des possibilités offertes aux individus de mener la vie qu’ils souhaitent.</w:t>
      </w:r>
    </w:p>
    <w:p w14:paraId="4E9B99FE" w14:textId="77777777" w:rsidR="00172C7A" w:rsidRPr="00E2052F" w:rsidRDefault="00172C7A" w:rsidP="00395F79">
      <w:pPr>
        <w:spacing w:after="100" w:afterAutospacing="1"/>
        <w:rPr>
          <w:rFonts w:cstheme="majorBidi"/>
          <w:sz w:val="22"/>
        </w:rPr>
      </w:pPr>
      <w:r w:rsidRPr="00E2052F">
        <w:rPr>
          <w:rFonts w:cstheme="majorBidi"/>
          <w:sz w:val="22"/>
        </w:rPr>
        <w:t>Dans cette perspective, l’action publique vise à garantir un accès équitable aux ressources fondamentales, telles que l’éducation, la santé et les services de base</w:t>
      </w:r>
      <w:r w:rsidRPr="00E2052F">
        <w:rPr>
          <w:rStyle w:val="Appelnotedebasdep"/>
          <w:rFonts w:cstheme="majorBidi"/>
          <w:sz w:val="22"/>
        </w:rPr>
        <w:footnoteReference w:id="51"/>
      </w:r>
      <w:r w:rsidRPr="00E2052F">
        <w:rPr>
          <w:rFonts w:cstheme="majorBidi"/>
          <w:sz w:val="22"/>
        </w:rPr>
        <w:t>. L’objectif est de permettre à chaque individu de développer ses potentialités et de participer pleinement à la vie économique et sociale. Ainsi, la gouvernance sociétale apparaît comme un levier essentiel pour concilier efficacité économique, inclusion sociale et développement durable.</w:t>
      </w:r>
    </w:p>
    <w:p w14:paraId="426F834F" w14:textId="77777777" w:rsidR="00172C7A" w:rsidRPr="00E2052F" w:rsidRDefault="00172C7A" w:rsidP="00D61875">
      <w:pPr>
        <w:pStyle w:val="Titre3"/>
        <w:numPr>
          <w:ilvl w:val="0"/>
          <w:numId w:val="45"/>
        </w:numPr>
        <w:spacing w:before="40" w:beforeAutospacing="0"/>
        <w:ind w:left="568" w:hanging="284"/>
        <w:rPr>
          <w:rFonts w:asciiTheme="majorBidi" w:hAnsiTheme="majorBidi"/>
          <w:b w:val="0"/>
          <w:bCs w:val="0"/>
          <w:color w:val="auto"/>
          <w:sz w:val="22"/>
        </w:rPr>
      </w:pPr>
      <w:bookmarkStart w:id="178" w:name="_Toc228092361"/>
      <w:bookmarkStart w:id="179" w:name="_Toc231746790"/>
      <w:bookmarkStart w:id="180" w:name="_Toc231752197"/>
      <w:bookmarkStart w:id="181" w:name="_Toc231810500"/>
      <w:bookmarkStart w:id="182" w:name="_Toc231811843"/>
      <w:bookmarkStart w:id="183" w:name="_Toc231812123"/>
      <w:bookmarkStart w:id="184" w:name="_Toc231815007"/>
      <w:r w:rsidRPr="00E2052F">
        <w:rPr>
          <w:rFonts w:asciiTheme="majorBidi" w:hAnsiTheme="majorBidi"/>
          <w:color w:val="auto"/>
          <w:sz w:val="22"/>
        </w:rPr>
        <w:t>La gouvernance d’entreprise :</w:t>
      </w:r>
      <w:bookmarkEnd w:id="178"/>
      <w:bookmarkEnd w:id="179"/>
      <w:bookmarkEnd w:id="180"/>
      <w:bookmarkEnd w:id="181"/>
      <w:bookmarkEnd w:id="182"/>
      <w:bookmarkEnd w:id="183"/>
      <w:bookmarkEnd w:id="184"/>
    </w:p>
    <w:p w14:paraId="4B0D45F7" w14:textId="77777777" w:rsidR="00172C7A" w:rsidRPr="00E2052F" w:rsidRDefault="00172C7A" w:rsidP="00B34503">
      <w:pPr>
        <w:spacing w:after="100" w:afterAutospacing="1"/>
        <w:rPr>
          <w:rFonts w:cstheme="majorBidi"/>
          <w:sz w:val="22"/>
        </w:rPr>
      </w:pPr>
      <w:r w:rsidRPr="00E2052F">
        <w:rPr>
          <w:rFonts w:cstheme="majorBidi"/>
          <w:sz w:val="22"/>
        </w:rPr>
        <w:t xml:space="preserve">La gouvernance d’entreprise fait l’objet d’une pluralité de définitions, chacune apportant un éclairage spécifique et complémentaire sur ce concept. La définition la plus largement reconnue est celle proposée </w:t>
      </w:r>
      <w:r w:rsidRPr="00E2052F">
        <w:rPr>
          <w:rFonts w:cstheme="majorBidi"/>
          <w:sz w:val="22"/>
        </w:rPr>
        <w:lastRenderedPageBreak/>
        <w:t>par le Rapport Cadbury (1992), selon laquelle : « La gouvernance d'entreprise est le système par lequel les entreprises sont dirigées et contrôlées. La structure de gouvernance organise la répartition des droits et des responsabilités entre les différents acteurs de l'entreprise, tels que le conseil d'administration, les dirigeants, les actionnaires et les autres parties prenantes. Elle établit les règles et les procédures de prise de décision en matière d'affaires. Ce faisant, elle met en place les mécanismes pour établir les objectifs de l'entreprise, ainsi que les moyens de les atteindre et de contrôler leur réalisation ».</w:t>
      </w:r>
      <w:r w:rsidRPr="00E2052F">
        <w:rPr>
          <w:rStyle w:val="Appelnotedebasdep"/>
          <w:rFonts w:cstheme="majorBidi"/>
          <w:sz w:val="22"/>
        </w:rPr>
        <w:footnoteReference w:id="52"/>
      </w:r>
    </w:p>
    <w:p w14:paraId="5741ED85" w14:textId="77777777" w:rsidR="00172C7A" w:rsidRPr="00E2052F" w:rsidRDefault="00172C7A" w:rsidP="00B34503">
      <w:pPr>
        <w:spacing w:after="100" w:afterAutospacing="1"/>
        <w:rPr>
          <w:rFonts w:cstheme="majorBidi"/>
          <w:sz w:val="22"/>
        </w:rPr>
      </w:pPr>
      <w:r w:rsidRPr="00E2052F">
        <w:rPr>
          <w:rFonts w:cstheme="majorBidi"/>
          <w:sz w:val="22"/>
        </w:rPr>
        <w:t>Charreaux (1997) a centré sa définition sur la limitation du pouvoir des dirigeants, il définit le gouvernement d’entreprise comme étant l’ensemble des mécanismes organisationnels qui ont pour effet de délimiter les pouvoirs et d’influencer les décisions des dirigeants, en d’autres termes, les mécanismes permettent de gouverner leur conduite et définir leur espace discrétionnaire.</w:t>
      </w:r>
      <w:r w:rsidRPr="00E2052F">
        <w:rPr>
          <w:rStyle w:val="Appelnotedebasdep"/>
          <w:rFonts w:cstheme="majorBidi"/>
          <w:sz w:val="22"/>
        </w:rPr>
        <w:footnoteReference w:id="53"/>
      </w:r>
    </w:p>
    <w:p w14:paraId="1741EA86" w14:textId="77777777" w:rsidR="00172C7A" w:rsidRPr="00E2052F" w:rsidRDefault="00172C7A" w:rsidP="00B34503">
      <w:pPr>
        <w:spacing w:after="100" w:afterAutospacing="1"/>
        <w:rPr>
          <w:rFonts w:cstheme="majorBidi"/>
          <w:sz w:val="22"/>
        </w:rPr>
      </w:pPr>
      <w:r w:rsidRPr="00E2052F">
        <w:rPr>
          <w:rFonts w:cstheme="majorBidi"/>
          <w:sz w:val="22"/>
        </w:rPr>
        <w:t>Gomez (2009) enrichit la définition proposée par Charreaux (1997), qui se concentrait sur la limitation de la discrétion managériale, en y intégrant la notion de pérennité. Il a défini la gouvernance d’entreprise par</w:t>
      </w:r>
      <w:r w:rsidRPr="00E2052F">
        <w:rPr>
          <w:rFonts w:cstheme="majorBidi"/>
          <w:color w:val="040C28"/>
          <w:sz w:val="22"/>
        </w:rPr>
        <w:t xml:space="preserve"> l’</w:t>
      </w:r>
      <w:r w:rsidRPr="00E2052F">
        <w:rPr>
          <w:rFonts w:cstheme="majorBidi"/>
          <w:sz w:val="22"/>
        </w:rPr>
        <w:t>ensemble de dispositions légales, règlementaires ou pratiques qui délimite l'étendue du pouvoir et des responsabilités de ceux qui sont chargés d'orienter durablement l'entreprise.</w:t>
      </w:r>
      <w:r w:rsidRPr="00E2052F">
        <w:rPr>
          <w:rStyle w:val="Appelnotedebasdep"/>
          <w:rFonts w:cstheme="majorBidi"/>
          <w:sz w:val="22"/>
        </w:rPr>
        <w:footnoteReference w:id="54"/>
      </w:r>
    </w:p>
    <w:p w14:paraId="56CEDD09" w14:textId="77777777" w:rsidR="00172C7A" w:rsidRPr="00E2052F" w:rsidRDefault="00172C7A" w:rsidP="00B34503">
      <w:pPr>
        <w:spacing w:after="100" w:afterAutospacing="1"/>
        <w:rPr>
          <w:rFonts w:cstheme="majorBidi"/>
          <w:sz w:val="22"/>
        </w:rPr>
      </w:pPr>
      <w:r w:rsidRPr="00E2052F">
        <w:rPr>
          <w:rFonts w:cstheme="majorBidi"/>
          <w:sz w:val="22"/>
        </w:rPr>
        <w:t>En effet la gouvernance d’entreprise s’intéresse à la manière dont les organisations sont dirigées et contrôlées, en veillant à ce que les organes de gestion disposent de la capacité nécessaire pour atteindre des objectifs en accord avec les intérêts des actionnaires et des autres parties prenantes, mettre en place des dispositifs de contrôle efficaces pour anticiper et gérer les conflits d’intérêts ainsi que les risques potentiels, et empêcher tout abus de pouvoir susceptible de privilégier des intérêts particuliers au détriment de l’intérêt collectif de l’entreprise.</w:t>
      </w:r>
      <w:r w:rsidRPr="00E2052F">
        <w:rPr>
          <w:rStyle w:val="Appelnotedebasdep"/>
          <w:rFonts w:cstheme="majorBidi"/>
          <w:sz w:val="22"/>
        </w:rPr>
        <w:footnoteReference w:id="55"/>
      </w:r>
    </w:p>
    <w:p w14:paraId="5902919D" w14:textId="77777777" w:rsidR="00172C7A" w:rsidRPr="00E2052F" w:rsidRDefault="00172C7A" w:rsidP="00D61875">
      <w:pPr>
        <w:pStyle w:val="Titre3"/>
        <w:numPr>
          <w:ilvl w:val="0"/>
          <w:numId w:val="45"/>
        </w:numPr>
        <w:spacing w:before="40" w:beforeAutospacing="0"/>
        <w:ind w:left="568" w:hanging="284"/>
        <w:rPr>
          <w:rFonts w:asciiTheme="majorBidi" w:hAnsiTheme="majorBidi"/>
          <w:b w:val="0"/>
          <w:bCs w:val="0"/>
          <w:color w:val="auto"/>
          <w:sz w:val="22"/>
        </w:rPr>
      </w:pPr>
      <w:bookmarkStart w:id="185" w:name="_Toc228092362"/>
      <w:bookmarkStart w:id="186" w:name="_Toc231746791"/>
      <w:bookmarkStart w:id="187" w:name="_Toc231752198"/>
      <w:bookmarkStart w:id="188" w:name="_Toc231810501"/>
      <w:bookmarkStart w:id="189" w:name="_Toc231811844"/>
      <w:bookmarkStart w:id="190" w:name="_Toc231812124"/>
      <w:bookmarkStart w:id="191" w:name="_Toc231815008"/>
      <w:r w:rsidRPr="00E2052F">
        <w:rPr>
          <w:rFonts w:asciiTheme="majorBidi" w:hAnsiTheme="majorBidi"/>
          <w:color w:val="auto"/>
          <w:sz w:val="22"/>
        </w:rPr>
        <w:t>La gouvernance stratégique :</w:t>
      </w:r>
      <w:bookmarkEnd w:id="185"/>
      <w:bookmarkEnd w:id="186"/>
      <w:bookmarkEnd w:id="187"/>
      <w:bookmarkEnd w:id="188"/>
      <w:bookmarkEnd w:id="189"/>
      <w:bookmarkEnd w:id="190"/>
      <w:bookmarkEnd w:id="191"/>
    </w:p>
    <w:p w14:paraId="52990ABA" w14:textId="77777777" w:rsidR="00172C7A" w:rsidRPr="00E2052F" w:rsidRDefault="00172C7A" w:rsidP="00B34503">
      <w:pPr>
        <w:spacing w:after="100" w:afterAutospacing="1"/>
        <w:rPr>
          <w:rFonts w:cstheme="majorBidi"/>
          <w:sz w:val="22"/>
        </w:rPr>
      </w:pPr>
      <w:r w:rsidRPr="00E2052F">
        <w:rPr>
          <w:rFonts w:cstheme="majorBidi"/>
          <w:sz w:val="22"/>
        </w:rPr>
        <w:t xml:space="preserve">La gouvernance stratégique s’inscrit dans une approche renouvelée de l’organisation du pouvoir au sein des entreprises, en introduisant une logique nouvelle dans la répartition, l’exercice et le contrôle du pouvoir organisationnel. Elle dépasse les approches classiques fondées exclusivement sur la structure </w:t>
      </w:r>
      <w:r w:rsidRPr="00E2052F">
        <w:rPr>
          <w:rFonts w:cstheme="majorBidi"/>
          <w:sz w:val="22"/>
        </w:rPr>
        <w:lastRenderedPageBreak/>
        <w:t xml:space="preserve">de propriété, en intégrant dans les processus décisionnels l’ensemble des acteurs détenant des ressources critiques et/ou symboliques issues de l’environnement de l’entreprise, et en reconnaissant leur rôle dans l’orientation et la mise en œuvre des choix stratégiques. Dans cette perspective, la gouvernance stratégique ne se limite pas à une fonction de surveillance ou de contrôle des dirigeants, mais participe activement à la construction d’une vision globale et cohérente, assurant l’articulation entre les objectifs à long terme, les ressources mobilisées et les contraintes de l’environnement concurrentiel. Elle repose ainsi sur une dynamique d’interaction entre les instances de gouvernance, notamment le conseil d’administration, et l’équipe dirigeante, dans le but de garantir la pertinence et la cohérence des décisions stratégiques. </w:t>
      </w:r>
    </w:p>
    <w:p w14:paraId="543D617A" w14:textId="77777777" w:rsidR="00172C7A" w:rsidRPr="00E2052F" w:rsidRDefault="00172C7A" w:rsidP="00B34503">
      <w:pPr>
        <w:spacing w:after="100" w:afterAutospacing="1"/>
        <w:rPr>
          <w:rFonts w:cstheme="majorBidi"/>
          <w:sz w:val="22"/>
        </w:rPr>
      </w:pPr>
      <w:r w:rsidRPr="00E2052F">
        <w:rPr>
          <w:rFonts w:cstheme="majorBidi"/>
          <w:sz w:val="22"/>
        </w:rPr>
        <w:t>Par ailleurs, la performance d’une entreprise, en particulier lorsqu’elle aspire à occuper une position dominante ou à devenir un acteur majeur dans son secteur, ne résulte ni d’une exploitation opportuniste de niches de marché, ni d’une situation de monopole imposée à une clientèle non organisée, mais plutôt d’un processus de construction progressive fondé sur la capacité à défendre durablement sa position concurrentielle, à anticiper les mouvements du marché, à affronter et à concurrencer efficacement ses rivaux, tout en améliorant continuellement ses performances. À cet égard, la notion de « champion » sectoriel ne relève pas d’une construction spontanée ni d’une désignation arbitraire, mais d’un processus structuré et évolutif qui s’inscrit dans le temps. Contrairement à une logique interventionniste de type étatique visant à créer artificiellement des « champions nationaux » par un soutien financier ou institutionnel, la gouvernance stratégique met en avant une construction endogène de la compétitivité, reposant sur la mobilisation des facteurs clés de succès propres à l’environnement de l’entreprise, sur l’exploitation des opportunités stratégiques disponibles et, surtout, sur l’existence d’une vision stratégique claire, cohérente et partagée, portée par l’équipe dirigeante et encadrée par les organes de gouvernance. Dans ce cadre, la gouvernance stratégique apparaît comme un levier essentiel de performance et de pérennité, permettant d’assurer l’alignement entre les orientations stratégiques, les intérêts des parties prenantes et les exigences d’un environnement économique caractérisé par la complexité, la concurrence et l’incertitude.</w:t>
      </w:r>
      <w:r w:rsidRPr="00E2052F">
        <w:rPr>
          <w:rStyle w:val="Appelnotedebasdep"/>
          <w:rFonts w:cstheme="majorBidi"/>
          <w:sz w:val="22"/>
        </w:rPr>
        <w:footnoteReference w:id="56"/>
      </w:r>
    </w:p>
    <w:p w14:paraId="51D17257" w14:textId="77777777" w:rsidR="00172C7A" w:rsidRPr="00E2052F" w:rsidRDefault="00172C7A" w:rsidP="00BC1AEC">
      <w:pPr>
        <w:pStyle w:val="Titre1"/>
      </w:pPr>
      <w:bookmarkStart w:id="192" w:name="_Toc228092363"/>
      <w:bookmarkStart w:id="193" w:name="_Toc231742164"/>
      <w:bookmarkStart w:id="194" w:name="_Toc231746792"/>
      <w:bookmarkStart w:id="195" w:name="_Toc231752199"/>
      <w:bookmarkStart w:id="196" w:name="_Toc231810502"/>
      <w:bookmarkStart w:id="197" w:name="_Toc231811422"/>
      <w:bookmarkStart w:id="198" w:name="_Toc231811845"/>
      <w:bookmarkStart w:id="199" w:name="_Toc231812125"/>
      <w:bookmarkStart w:id="200" w:name="_Toc231815009"/>
      <w:r w:rsidRPr="00E2052F">
        <w:t>Section 02 : les fondements théoriques de la gouvernance d’entreprise</w:t>
      </w:r>
      <w:bookmarkEnd w:id="192"/>
      <w:bookmarkEnd w:id="193"/>
      <w:bookmarkEnd w:id="194"/>
      <w:bookmarkEnd w:id="195"/>
      <w:bookmarkEnd w:id="196"/>
      <w:r w:rsidR="003B6F7B">
        <w:t> :</w:t>
      </w:r>
      <w:bookmarkEnd w:id="197"/>
      <w:bookmarkEnd w:id="198"/>
      <w:bookmarkEnd w:id="199"/>
      <w:bookmarkEnd w:id="200"/>
    </w:p>
    <w:p w14:paraId="6B1C5875" w14:textId="77777777" w:rsidR="00172C7A" w:rsidRPr="00E2052F" w:rsidRDefault="00172C7A" w:rsidP="00F36332">
      <w:pPr>
        <w:pStyle w:val="Titre2"/>
        <w:numPr>
          <w:ilvl w:val="0"/>
          <w:numId w:val="229"/>
        </w:numPr>
      </w:pPr>
      <w:bookmarkStart w:id="201" w:name="_Toc228092364"/>
      <w:bookmarkStart w:id="202" w:name="_Toc231746793"/>
      <w:bookmarkStart w:id="203" w:name="_Toc231752200"/>
      <w:bookmarkStart w:id="204" w:name="_Toc231810503"/>
      <w:bookmarkStart w:id="205" w:name="_Toc231811846"/>
      <w:bookmarkStart w:id="206" w:name="_Toc231812126"/>
      <w:bookmarkStart w:id="207" w:name="_Toc231815010"/>
      <w:r w:rsidRPr="00E2052F">
        <w:t>Origines et évolution de la gouvernance d’entreprise :</w:t>
      </w:r>
      <w:bookmarkEnd w:id="201"/>
      <w:bookmarkEnd w:id="202"/>
      <w:bookmarkEnd w:id="203"/>
      <w:bookmarkEnd w:id="204"/>
      <w:bookmarkEnd w:id="205"/>
      <w:bookmarkEnd w:id="206"/>
      <w:bookmarkEnd w:id="207"/>
    </w:p>
    <w:p w14:paraId="397A6D13" w14:textId="77777777" w:rsidR="00172C7A" w:rsidRPr="00E2052F" w:rsidRDefault="00172C7A" w:rsidP="00B34503">
      <w:pPr>
        <w:pStyle w:val="NormalWeb"/>
        <w:spacing w:line="360" w:lineRule="auto"/>
        <w:rPr>
          <w:rFonts w:asciiTheme="majorBidi" w:hAnsiTheme="majorBidi" w:cstheme="majorBidi"/>
          <w:sz w:val="22"/>
          <w:szCs w:val="22"/>
        </w:rPr>
      </w:pPr>
      <w:r w:rsidRPr="00E2052F">
        <w:rPr>
          <w:rFonts w:asciiTheme="majorBidi" w:hAnsiTheme="majorBidi" w:cstheme="majorBidi"/>
          <w:sz w:val="22"/>
          <w:szCs w:val="22"/>
        </w:rPr>
        <w:t xml:space="preserve">Avant les années 1970, la gouvernance d’entreprise reposait essentiellement sur un </w:t>
      </w:r>
      <w:r w:rsidRPr="00E2052F">
        <w:rPr>
          <w:rStyle w:val="lev"/>
          <w:rFonts w:asciiTheme="majorBidi" w:hAnsiTheme="majorBidi" w:cstheme="majorBidi"/>
          <w:sz w:val="22"/>
          <w:szCs w:val="22"/>
        </w:rPr>
        <w:t>modèle managérial centré sur les dirigeants</w:t>
      </w:r>
      <w:r w:rsidRPr="00E2052F">
        <w:rPr>
          <w:rFonts w:asciiTheme="majorBidi" w:hAnsiTheme="majorBidi" w:cstheme="majorBidi"/>
          <w:sz w:val="22"/>
          <w:szCs w:val="22"/>
        </w:rPr>
        <w:t xml:space="preserve">, qui jouissaient d’une autonomie presque totale. Les conseils d’administration, quant à eux, avaient surtout un rôle consultatif et intervenaient rarement dans les décisions stratégiques. La distinction croissante entre propriété et contrôle, mise en évidence par Berle </w:t>
      </w:r>
      <w:r w:rsidRPr="00E2052F">
        <w:rPr>
          <w:rFonts w:asciiTheme="majorBidi" w:hAnsiTheme="majorBidi" w:cstheme="majorBidi"/>
          <w:sz w:val="22"/>
          <w:szCs w:val="22"/>
        </w:rPr>
        <w:lastRenderedPageBreak/>
        <w:t xml:space="preserve">et Means (1932), montrait déjà le risque d’une concentration excessive du pouvoir exécutif, mais les interventions réglementaires et externes restaient limitées. Les actionnaires, souvent dispersés et peu organisés, avaient une influence très réduite sur la direction des sociétés, et la culture d’entreprise privilégiait avant tout </w:t>
      </w:r>
      <w:r w:rsidRPr="00E2052F">
        <w:rPr>
          <w:rStyle w:val="lev"/>
          <w:rFonts w:asciiTheme="majorBidi" w:hAnsiTheme="majorBidi" w:cstheme="majorBidi"/>
          <w:sz w:val="22"/>
          <w:szCs w:val="22"/>
        </w:rPr>
        <w:t>la stabilité et la croissance interne</w:t>
      </w:r>
      <w:r w:rsidRPr="00E2052F">
        <w:rPr>
          <w:rFonts w:asciiTheme="majorBidi" w:hAnsiTheme="majorBidi" w:cstheme="majorBidi"/>
          <w:sz w:val="22"/>
          <w:szCs w:val="22"/>
        </w:rPr>
        <w:t xml:space="preserve"> plutôt que la surveillance ou la responsabilisation des dirigeants. Dans ce contexte, la gouvernance était largement fondée sur </w:t>
      </w:r>
      <w:r w:rsidRPr="00E2052F">
        <w:rPr>
          <w:rStyle w:val="lev"/>
          <w:rFonts w:asciiTheme="majorBidi" w:hAnsiTheme="majorBidi" w:cstheme="majorBidi"/>
          <w:sz w:val="22"/>
          <w:szCs w:val="22"/>
        </w:rPr>
        <w:t>la confiance envers les dirigeants</w:t>
      </w:r>
      <w:r w:rsidRPr="00E2052F">
        <w:rPr>
          <w:rFonts w:asciiTheme="majorBidi" w:hAnsiTheme="majorBidi" w:cstheme="majorBidi"/>
          <w:sz w:val="22"/>
          <w:szCs w:val="22"/>
        </w:rPr>
        <w:t>, les mécanismes de contrôle formels étant rares, et la performance financière à court terme n’était pas systématiquement évaluée en fonction de la responsabilité des administrateurs.</w:t>
      </w:r>
      <w:r w:rsidR="0082159F">
        <w:rPr>
          <w:rStyle w:val="Appelnotedebasdep"/>
          <w:rFonts w:asciiTheme="majorBidi" w:hAnsiTheme="majorBidi" w:cstheme="majorBidi"/>
          <w:sz w:val="22"/>
          <w:szCs w:val="22"/>
        </w:rPr>
        <w:footnoteReference w:id="57"/>
      </w:r>
    </w:p>
    <w:p w14:paraId="28B75363" w14:textId="77777777" w:rsidR="00172C7A" w:rsidRPr="00E2052F" w:rsidRDefault="00172C7A" w:rsidP="00D61875">
      <w:pPr>
        <w:pStyle w:val="Titre3"/>
        <w:numPr>
          <w:ilvl w:val="0"/>
          <w:numId w:val="49"/>
        </w:numPr>
        <w:spacing w:before="100" w:after="100" w:afterAutospacing="1"/>
        <w:ind w:left="568" w:hanging="284"/>
        <w:rPr>
          <w:rFonts w:asciiTheme="majorBidi" w:hAnsiTheme="majorBidi"/>
          <w:b w:val="0"/>
          <w:bCs w:val="0"/>
          <w:color w:val="auto"/>
          <w:sz w:val="22"/>
        </w:rPr>
      </w:pPr>
      <w:bookmarkStart w:id="208" w:name="_Toc228092365"/>
      <w:bookmarkStart w:id="209" w:name="_Toc231746794"/>
      <w:bookmarkStart w:id="210" w:name="_Toc231752201"/>
      <w:bookmarkStart w:id="211" w:name="_Toc231810504"/>
      <w:bookmarkStart w:id="212" w:name="_Toc231811847"/>
      <w:bookmarkStart w:id="213" w:name="_Toc231812127"/>
      <w:bookmarkStart w:id="214" w:name="_Toc231815011"/>
      <w:r w:rsidRPr="00E2052F">
        <w:rPr>
          <w:rFonts w:asciiTheme="majorBidi" w:hAnsiTheme="majorBidi"/>
          <w:color w:val="auto"/>
          <w:sz w:val="22"/>
        </w:rPr>
        <w:t>La gouvernance d’entreprise des années 1970 :</w:t>
      </w:r>
      <w:bookmarkEnd w:id="208"/>
      <w:bookmarkEnd w:id="209"/>
      <w:bookmarkEnd w:id="210"/>
      <w:bookmarkEnd w:id="211"/>
      <w:bookmarkEnd w:id="212"/>
      <w:bookmarkEnd w:id="213"/>
      <w:bookmarkEnd w:id="214"/>
    </w:p>
    <w:p w14:paraId="1C06BC82" w14:textId="77777777" w:rsidR="00172C7A" w:rsidRPr="00E2052F" w:rsidRDefault="00172C7A" w:rsidP="00B34503">
      <w:pPr>
        <w:spacing w:after="100" w:afterAutospacing="1"/>
        <w:rPr>
          <w:rFonts w:cstheme="majorBidi"/>
          <w:sz w:val="22"/>
        </w:rPr>
      </w:pPr>
      <w:r w:rsidRPr="00E2052F">
        <w:rPr>
          <w:rFonts w:cstheme="majorBidi"/>
          <w:sz w:val="22"/>
        </w:rPr>
        <w:t>Au cours des décennies ayant suivi la Seconde Guerre mondiale, l’économie américaine a connu une phase d’expansion soutenue, caractérisée par la croissance rapide des grandes entreprises et la consolidation du modèle managérial. Dans ce contexte de prospérité, la question de la gouvernance interne des sociétés demeurait relativement marginale, les dirigeants exerçant une autorité prédominante, tandis que les conseils d’administration et les actionnaires adoptaient, dans la plupart des cas, une attitude passive et consensuelle à l’égard des décisions stratégiques. Cette configuration, marquée par une faible remise en cause du pouvoir managérial, a toutefois commencé à être contestée à partir du milieu des années 1970, sous l’effet de mutations économiques et de crises révélant les limites des mécanismes de contrôle existants.</w:t>
      </w:r>
    </w:p>
    <w:p w14:paraId="497A7BE7" w14:textId="77777777" w:rsidR="00172C7A" w:rsidRPr="00E2052F" w:rsidRDefault="00172C7A" w:rsidP="00B34503">
      <w:pPr>
        <w:spacing w:after="100" w:afterAutospacing="1"/>
        <w:rPr>
          <w:rFonts w:cstheme="majorBidi"/>
          <w:sz w:val="22"/>
        </w:rPr>
      </w:pPr>
      <w:r w:rsidRPr="00E2052F">
        <w:rPr>
          <w:rFonts w:cstheme="majorBidi"/>
          <w:sz w:val="22"/>
        </w:rPr>
        <w:t>Dans cette perspective, l’intervention de la Securities and Exchange Commission (SEC) a constitué un tournant déterminant dans l’émergence de la gouvernance d’entreprise comme objet de régulation. À partir de 1974, plusieurs scandales financiers et faillites retentissantes, notamment celle de la société Penn Central, ont mis en lumière les insuffisances des dispositifs de contrôle interne ainsi que la passivité des organes de surveillance. Par ailleurs, la révélation de pratiques illicites, telles que le versement de pots-de-vin à des responsables étrangers par certaines entreprises américaines, a contribué à accentuer les préoccupations relatives à la transparence, à l’intégrité et à la responsabilité des dirigeants. Face à ces dérives, la SEC a progressivement intégré les questions de gouvernance dans son champ d’intervention, encourageant l’adoption de mesures destinées à renforcer la supervision des entreprises, notamment à travers la mise en place de comités d’audit composés d’administrateurs indépendants et l’amélioration des exigences en matière de divulgation d’informations.</w:t>
      </w:r>
    </w:p>
    <w:p w14:paraId="7AF01AFD" w14:textId="77777777" w:rsidR="00172C7A" w:rsidRPr="00E2052F" w:rsidRDefault="00172C7A" w:rsidP="00B34503">
      <w:pPr>
        <w:spacing w:after="100" w:afterAutospacing="1"/>
        <w:rPr>
          <w:rFonts w:cstheme="majorBidi"/>
          <w:sz w:val="22"/>
        </w:rPr>
      </w:pPr>
      <w:r w:rsidRPr="00E2052F">
        <w:rPr>
          <w:rFonts w:cstheme="majorBidi"/>
          <w:sz w:val="22"/>
        </w:rPr>
        <w:t xml:space="preserve">Dans le prolongement de ces initiatives, les marchés financiers et les instances de régulation ont introduit de nouvelles normes visant à encadrer plus strictement la gouvernance des sociétés cotées. Ainsi, en 1976, la New York Stock Exchange (NYSE) a été incitée à imposer la création de comités d’audit indépendants au sein des entreprises inscrites à la cote. De même, les auditions organisées en </w:t>
      </w:r>
      <w:r w:rsidRPr="00E2052F">
        <w:rPr>
          <w:rFonts w:cstheme="majorBidi"/>
          <w:sz w:val="22"/>
        </w:rPr>
        <w:lastRenderedPageBreak/>
        <w:t>1977 sur la participation des actionnaires au processus décisionnel ont conduit à un renforcement des obligations de transparence, notamment en ce qui concerne l’indépendance des administrateurs et le fonctionnement des comités spécialisés tels que les comités d’audit, de nomination et de rémunération. Toutefois, ces réformes sont demeurées relativement limitées dans leur portée, les autorités privilégiant une approche incitative fondée sur l’autorégulation plutôt que sur l’imposition de contraintes juridiques strictes.</w:t>
      </w:r>
    </w:p>
    <w:p w14:paraId="68486673" w14:textId="77777777" w:rsidR="00172C7A" w:rsidRPr="00E2052F" w:rsidRDefault="00172C7A" w:rsidP="00B34503">
      <w:pPr>
        <w:spacing w:after="100" w:afterAutospacing="1"/>
        <w:rPr>
          <w:rFonts w:cstheme="majorBidi"/>
          <w:sz w:val="22"/>
        </w:rPr>
      </w:pPr>
      <w:r w:rsidRPr="00E2052F">
        <w:rPr>
          <w:rFonts w:cstheme="majorBidi"/>
          <w:sz w:val="22"/>
        </w:rPr>
        <w:t>Parallèlement à ces évolutions institutionnelles, les années 1970 ont été marquées par un développement significatif des réflexions académiques et politiques autour de la gouvernance d’entreprise. L’ouvrage « Taming the Giant Corporation », publié en 1976 par Ralph Nader, Mark Green et JoelSeligman, constitue à cet égard une contribution majeure, en mettant en évidence la concentration du pouvoir entre les mains des dirigeants et l’insuffisance des mécanismes de contrôle exercés par les conseils d’administration. Les auteurs y dénoncent une forme « d’autocratie managériale » et plaident en faveur d’une redéfinition du rôle du conseil d’administration, appelé à exercer une fonction de surveillance plus effective. Dans le même ordre d’idées, des organisations telles que la Business Roundtable ont recommandé, dès 1978, une composition plus indépendante des conseils d’administration ainsi que la mise en place de comités spécialisés destinés à améliorer la qualité du contrôle interne.</w:t>
      </w:r>
    </w:p>
    <w:p w14:paraId="3C8F446F" w14:textId="77777777" w:rsidR="00172C7A" w:rsidRPr="00E2052F" w:rsidRDefault="00172C7A" w:rsidP="00B34503">
      <w:pPr>
        <w:spacing w:after="100" w:afterAutospacing="1"/>
        <w:rPr>
          <w:rFonts w:cstheme="majorBidi"/>
          <w:sz w:val="22"/>
        </w:rPr>
      </w:pPr>
      <w:r w:rsidRPr="00E2052F">
        <w:rPr>
          <w:rFonts w:cstheme="majorBidi"/>
          <w:sz w:val="22"/>
        </w:rPr>
        <w:t>Enfin, ces dynamiques ont conduit à l’implication croissante d’institutions juridiques dans la structuration du champ de la gouvernance d’entreprise. L’American Law Institute (ALI) a ainsi entrepris, à la fin des années 1970, des travaux visant à clarifier et moderniser le cadre juridique applicable aux sociétés. Ces initiatives traduisent l’émergence progressive de la gouvernance d’entreprise comme un domaine autonome de réflexion et de régulation, appelé à se développer davantage au cours des décennies suivantes.</w:t>
      </w:r>
      <w:r w:rsidRPr="00E2052F">
        <w:rPr>
          <w:rStyle w:val="Appelnotedebasdep"/>
          <w:rFonts w:cstheme="majorBidi"/>
          <w:sz w:val="22"/>
        </w:rPr>
        <w:footnoteReference w:id="58"/>
      </w:r>
    </w:p>
    <w:p w14:paraId="5F413D6D" w14:textId="77777777" w:rsidR="00172C7A" w:rsidRPr="00E2052F" w:rsidRDefault="00172C7A" w:rsidP="00D61875">
      <w:pPr>
        <w:pStyle w:val="Titre3"/>
        <w:numPr>
          <w:ilvl w:val="0"/>
          <w:numId w:val="49"/>
        </w:numPr>
        <w:spacing w:before="40" w:beforeAutospacing="0"/>
        <w:ind w:left="568" w:hanging="284"/>
        <w:rPr>
          <w:rFonts w:asciiTheme="majorBidi" w:hAnsiTheme="majorBidi"/>
          <w:b w:val="0"/>
          <w:bCs w:val="0"/>
          <w:color w:val="auto"/>
          <w:sz w:val="22"/>
        </w:rPr>
      </w:pPr>
      <w:bookmarkStart w:id="215" w:name="_Toc228092366"/>
      <w:bookmarkStart w:id="216" w:name="_Toc231746795"/>
      <w:bookmarkStart w:id="217" w:name="_Toc231752202"/>
      <w:bookmarkStart w:id="218" w:name="_Toc231810505"/>
      <w:bookmarkStart w:id="219" w:name="_Toc231811848"/>
      <w:bookmarkStart w:id="220" w:name="_Toc231812128"/>
      <w:bookmarkStart w:id="221" w:name="_Toc231815012"/>
      <w:r w:rsidRPr="00E2052F">
        <w:rPr>
          <w:rFonts w:asciiTheme="majorBidi" w:hAnsiTheme="majorBidi"/>
          <w:color w:val="auto"/>
          <w:sz w:val="22"/>
        </w:rPr>
        <w:t>Les mutations de la gouvernance d’entreprise dans les années 1980 :</w:t>
      </w:r>
      <w:bookmarkEnd w:id="215"/>
      <w:bookmarkEnd w:id="216"/>
      <w:bookmarkEnd w:id="217"/>
      <w:bookmarkEnd w:id="218"/>
      <w:bookmarkEnd w:id="219"/>
      <w:bookmarkEnd w:id="220"/>
      <w:bookmarkEnd w:id="221"/>
    </w:p>
    <w:p w14:paraId="64DE5609" w14:textId="77777777" w:rsidR="00172C7A" w:rsidRPr="00E2052F" w:rsidRDefault="00172C7A" w:rsidP="00B34503">
      <w:pPr>
        <w:spacing w:after="100" w:afterAutospacing="1"/>
        <w:rPr>
          <w:rFonts w:cstheme="majorBidi"/>
          <w:sz w:val="22"/>
        </w:rPr>
      </w:pPr>
      <w:r w:rsidRPr="00E2052F">
        <w:rPr>
          <w:rFonts w:cstheme="majorBidi"/>
          <w:sz w:val="22"/>
        </w:rPr>
        <w:t xml:space="preserve">Le début des années 1980 marque un tournant majeur dans l’évolution de la gouvernance d’entreprise, notamment sous l’effet des transformations politiques intervenues aux États-Unis. L’élection de Ronald Reagan en 1981 a contribué à redéfinir les orientations économiques et réglementaires, en favorisant une approche plus libérale et moins interventionniste. Dans ce contexte, l’élan réformateur observé au cours des années 1970 en matière de gouvernance d’entreprise a été progressivement freiné. Plusieurs initiatives législatives, telles que les projets visant à renforcer les droits des actionnaires, n’ont pas abouti, tandis que la Securities and Exchange Commission (SEC) a </w:t>
      </w:r>
      <w:r w:rsidRPr="00E2052F">
        <w:rPr>
          <w:rFonts w:cstheme="majorBidi"/>
          <w:sz w:val="22"/>
        </w:rPr>
        <w:lastRenderedPageBreak/>
        <w:t>adopté une posture plus modérée. Le nouveau président de la SEC, John Shad, a d’ailleurs clairement exprimé cette réorientation en mettant l’accent sur la promotion de la formation de capital plutôt que sur le renforcement des mécanismes de gouvernance.</w:t>
      </w:r>
    </w:p>
    <w:p w14:paraId="40979680" w14:textId="77777777" w:rsidR="00172C7A" w:rsidRPr="00E2052F" w:rsidRDefault="00172C7A" w:rsidP="00B34503">
      <w:pPr>
        <w:spacing w:after="100" w:afterAutospacing="1"/>
        <w:rPr>
          <w:rFonts w:cstheme="majorBidi"/>
          <w:sz w:val="22"/>
        </w:rPr>
      </w:pPr>
      <w:r w:rsidRPr="00E2052F">
        <w:rPr>
          <w:rFonts w:cstheme="majorBidi"/>
          <w:sz w:val="22"/>
        </w:rPr>
        <w:t>Dans ce contexte, l’American Law Institute (ALI) a constitué le principal forum de réflexion sur la gouvernance d’entreprise. La publication du Tentative Draft No. 1 en 1982 a suscité une opposition immédiate et massive de la part du monde des affaires. La Bourse de New York et la Business Roundtable ont dénoncé la portée contraignante de ce projet, craignant un accroissement excessif de la responsabilité des administrateurs et un encadrement rigide des pratiques de conseil, alors que de nombreuses innovations volontaires existaient déjà au sein des grandes sociétés américaines. Cette résistance s’explique également par la disparition de la menace d’une réforme fédérale, offrant aux dirigeants un espace pour rejeter toute régulation perçue comme intrusive.</w:t>
      </w:r>
    </w:p>
    <w:p w14:paraId="12757050" w14:textId="77777777" w:rsidR="00172C7A" w:rsidRPr="00E2052F" w:rsidRDefault="00172C7A" w:rsidP="00B34503">
      <w:pPr>
        <w:spacing w:after="100" w:afterAutospacing="1"/>
        <w:rPr>
          <w:rFonts w:cstheme="majorBidi"/>
          <w:sz w:val="22"/>
        </w:rPr>
      </w:pPr>
      <w:r w:rsidRPr="00E2052F">
        <w:rPr>
          <w:rFonts w:cstheme="majorBidi"/>
          <w:sz w:val="22"/>
        </w:rPr>
        <w:t>Les critiques n’étaient pas seulement pratiques, elles étaient également conceptuelles. Des universitaires, s’inscrivant dans la perspective « droit et économie », ont remis en cause les fondements de l’orthodoxie inspirée par Berle et Means (1932), qui postulait que la séparation entre propriété et contrôle justifiait un encadrement strict des administrateurs. Cette approche a mis en évidence que la gouvernance d’entreprise pouvait se construire autant par des mécanismes économiques et des incitations du marché que par des prescriptions réglementaires.</w:t>
      </w:r>
    </w:p>
    <w:p w14:paraId="3E626F4D" w14:textId="77777777" w:rsidR="00172C7A" w:rsidRPr="00E2052F" w:rsidRDefault="00172C7A" w:rsidP="00B34503">
      <w:pPr>
        <w:spacing w:after="100" w:afterAutospacing="1"/>
        <w:rPr>
          <w:rFonts w:cstheme="majorBidi"/>
          <w:sz w:val="22"/>
        </w:rPr>
      </w:pPr>
      <w:r w:rsidRPr="00E2052F">
        <w:rPr>
          <w:rFonts w:cstheme="majorBidi"/>
          <w:sz w:val="22"/>
        </w:rPr>
        <w:t>Face à cette convergence de critiques académiques et professionnelles, l’ALI a progressivement ajusté son projet. Les directives initialement obligatoires ont été converties en recommandations, et la version finale des « Principles of Corporate Governance » publiée en 1994 a été alignée sur le cadre légal existant, réduisant l’opposition initiale. Ce processus illustre une logique de compromis entre régulation, pratiques volontaires et pressions du marché, tout en soulignant l’importance stratégique de la gouvernance pour la performance, la responsabilité et la confiance dans les entreprises américaines.</w:t>
      </w:r>
    </w:p>
    <w:p w14:paraId="6154A653" w14:textId="77777777" w:rsidR="00172C7A" w:rsidRPr="00E2052F" w:rsidRDefault="00172C7A" w:rsidP="00B34503">
      <w:pPr>
        <w:spacing w:after="100" w:afterAutospacing="1"/>
        <w:rPr>
          <w:rFonts w:cstheme="majorBidi"/>
          <w:sz w:val="22"/>
        </w:rPr>
      </w:pPr>
      <w:r w:rsidRPr="00E2052F">
        <w:rPr>
          <w:rFonts w:cstheme="majorBidi"/>
          <w:sz w:val="22"/>
        </w:rPr>
        <w:t>En définitive, les années 1980 ont été une période de réalignement analytique et politique pour la gouvernance d’entreprise : l’accent s’est déplacé des prescriptions réglementaires strictes vers des mécanismes de marché et des structures flexibles adaptées aux réalités économiques. Cette période a jeté les bases de la gouvernance moderne, où la légitimité et l’efficacité reposent sur l’équilibre entre régulation, pratiques internes et forces du marché, tout en soulignant l’importance d’une approche critique et analytique pour évaluer les réformes et leur impact sur la création de valeur et la protection des parties prenantes.</w:t>
      </w:r>
      <w:r w:rsidRPr="00E2052F">
        <w:rPr>
          <w:rStyle w:val="Appelnotedebasdep"/>
          <w:rFonts w:cstheme="majorBidi"/>
          <w:sz w:val="22"/>
        </w:rPr>
        <w:footnoteReference w:id="59"/>
      </w:r>
    </w:p>
    <w:p w14:paraId="077DB7B1" w14:textId="77777777" w:rsidR="00172C7A" w:rsidRPr="00E2052F" w:rsidRDefault="00172C7A" w:rsidP="00D61875">
      <w:pPr>
        <w:pStyle w:val="Titre3"/>
        <w:numPr>
          <w:ilvl w:val="0"/>
          <w:numId w:val="49"/>
        </w:numPr>
        <w:spacing w:before="40" w:beforeAutospacing="0"/>
        <w:ind w:left="568" w:hanging="284"/>
        <w:rPr>
          <w:rFonts w:asciiTheme="majorBidi" w:hAnsiTheme="majorBidi"/>
          <w:b w:val="0"/>
          <w:bCs w:val="0"/>
          <w:color w:val="auto"/>
          <w:sz w:val="22"/>
        </w:rPr>
      </w:pPr>
      <w:bookmarkStart w:id="222" w:name="_Toc228092367"/>
      <w:bookmarkStart w:id="223" w:name="_Toc231746796"/>
      <w:bookmarkStart w:id="224" w:name="_Toc231752203"/>
      <w:bookmarkStart w:id="225" w:name="_Toc231810506"/>
      <w:bookmarkStart w:id="226" w:name="_Toc231811849"/>
      <w:bookmarkStart w:id="227" w:name="_Toc231812129"/>
      <w:bookmarkStart w:id="228" w:name="_Toc231815013"/>
      <w:r w:rsidRPr="00E2052F">
        <w:rPr>
          <w:rFonts w:asciiTheme="majorBidi" w:hAnsiTheme="majorBidi"/>
          <w:color w:val="auto"/>
          <w:sz w:val="22"/>
        </w:rPr>
        <w:lastRenderedPageBreak/>
        <w:t>La gouvernance d’entreprise au cours du milieu des années 1990 :</w:t>
      </w:r>
      <w:bookmarkEnd w:id="222"/>
      <w:bookmarkEnd w:id="223"/>
      <w:bookmarkEnd w:id="224"/>
      <w:bookmarkEnd w:id="225"/>
      <w:bookmarkEnd w:id="226"/>
      <w:bookmarkEnd w:id="227"/>
      <w:bookmarkEnd w:id="228"/>
    </w:p>
    <w:p w14:paraId="7CFCA63D" w14:textId="77777777" w:rsidR="00172C7A" w:rsidRPr="00E2052F" w:rsidRDefault="00172C7A" w:rsidP="00B34503">
      <w:pPr>
        <w:spacing w:after="100" w:afterAutospacing="1"/>
        <w:rPr>
          <w:rFonts w:cstheme="majorBidi"/>
          <w:sz w:val="22"/>
        </w:rPr>
      </w:pPr>
      <w:r w:rsidRPr="00E2052F">
        <w:rPr>
          <w:rFonts w:cstheme="majorBidi"/>
          <w:sz w:val="22"/>
        </w:rPr>
        <w:t>Au début des années 1990, la gouvernance d’entreprise connaît une transformation significative sous l’impulsion croissante des investisseurs institutionnels. Ces derniers ne se contentent plus d’un rôle passif et s’affirment comme des acteurs centraux du contrôle des entreprises, structurant leur action autour de principes formalisés. L’élaboration et la diffusion de politiques de gouvernance fournissent des critères explicites pour évaluer les administrateurs et le fonctionnement des conseils d’administration, contribuant ainsi à institutionnaliser des normes de « bonne gouvernance » et à renforcer la responsabilisation des dirigeants.</w:t>
      </w:r>
    </w:p>
    <w:p w14:paraId="0382610F" w14:textId="77777777" w:rsidR="00172C7A" w:rsidRPr="00E2052F" w:rsidRDefault="00172C7A" w:rsidP="00B34503">
      <w:pPr>
        <w:spacing w:after="100" w:afterAutospacing="1"/>
        <w:rPr>
          <w:rFonts w:cstheme="majorBidi"/>
          <w:sz w:val="22"/>
        </w:rPr>
      </w:pPr>
      <w:r w:rsidRPr="00E2052F">
        <w:rPr>
          <w:rFonts w:cstheme="majorBidi"/>
          <w:sz w:val="22"/>
        </w:rPr>
        <w:t>Dans cette dynamique, certains investisseurs institutionnels majeurs, notamment les fonds de pension publics comme CalPERS, jouent un rôle moteur en exerçant des pressions directes sur les conseils d’administration. Entre 1991 et 1993, plusieurs grandes entreprises, telles que Westinghouse, American Express, IBM, Kodak ou General Motors, ont ainsi remplacé des dirigeants jugés peu performants. Cette évolution marque un rééquilibrage du pouvoir en faveur des actionnaires et rompt avec les pratiques antérieures où les dirigeants jouissaient d’une autonomie considérable par rapport aux propriétaires du capital.</w:t>
      </w:r>
      <w:r w:rsidRPr="00E2052F">
        <w:rPr>
          <w:rStyle w:val="Appelnotedebasdep"/>
          <w:rFonts w:cstheme="majorBidi"/>
          <w:sz w:val="22"/>
        </w:rPr>
        <w:footnoteReference w:id="60"/>
      </w:r>
    </w:p>
    <w:p w14:paraId="3BD22955" w14:textId="77777777" w:rsidR="00172C7A" w:rsidRPr="00E2052F" w:rsidRDefault="00172C7A" w:rsidP="00B34503">
      <w:pPr>
        <w:spacing w:after="100" w:afterAutospacing="1"/>
        <w:rPr>
          <w:rFonts w:cstheme="majorBidi"/>
          <w:sz w:val="22"/>
        </w:rPr>
      </w:pPr>
      <w:r w:rsidRPr="00E2052F">
        <w:rPr>
          <w:rFonts w:cstheme="majorBidi"/>
          <w:sz w:val="22"/>
        </w:rPr>
        <w:t>Parallèlement, ces acteurs, soutenus par une partie de la doctrine académique, ont favorisé l’évolution du cadre réglementaire pour lever les obstacles à l’activisme actionnarial. Les réformes de 1992 introduites par la Securities and Exchange Commission (SEC), notamment en matière de sollicitation de procurations, ont facilité la coordination entre actionnaires institutionnels et renforcé leur influence collective. Ces changements déplacent le centre de gravité de la gouvernance, désormais davantage orienté vers l’exercice effectif des droits des actionnaires.</w:t>
      </w:r>
      <w:r w:rsidRPr="00E2052F">
        <w:rPr>
          <w:rStyle w:val="Appelnotedebasdep"/>
          <w:rFonts w:cstheme="majorBidi"/>
          <w:sz w:val="22"/>
        </w:rPr>
        <w:footnoteReference w:id="61"/>
      </w:r>
    </w:p>
    <w:p w14:paraId="08887427" w14:textId="77777777" w:rsidR="00172C7A" w:rsidRPr="00E2052F" w:rsidRDefault="00172C7A" w:rsidP="00B34503">
      <w:pPr>
        <w:spacing w:after="100" w:afterAutospacing="1"/>
        <w:rPr>
          <w:rFonts w:cstheme="majorBidi"/>
          <w:sz w:val="22"/>
        </w:rPr>
      </w:pPr>
      <w:r w:rsidRPr="00E2052F">
        <w:rPr>
          <w:rFonts w:cstheme="majorBidi"/>
          <w:sz w:val="22"/>
        </w:rPr>
        <w:t>Plus largement, la montée en puissance des investisseurs institutionnels, amorcée dans les années 1980 et consolidée au début des années 1990, a profondément transformé le débat sur la gouvernance d’entreprise. Elle a recentré l’analyse sur la répartition du pouvoir au sein de l’entreprise et imposé une vision axée sur la création de valeur pour l’actionnaire. Ce changement de paradigme s’accompagne d’une évolution du vocabulaire et des priorités, où la performance financière et le rendement des actionnaires deviennent des références centrales.</w:t>
      </w:r>
      <w:r w:rsidRPr="00E2052F">
        <w:rPr>
          <w:rStyle w:val="Appelnotedebasdep"/>
          <w:rFonts w:cstheme="majorBidi"/>
          <w:sz w:val="22"/>
        </w:rPr>
        <w:footnoteReference w:id="62"/>
      </w:r>
    </w:p>
    <w:p w14:paraId="75DCC093" w14:textId="77777777" w:rsidR="00172C7A" w:rsidRPr="00E2052F" w:rsidRDefault="00172C7A" w:rsidP="00B34503">
      <w:pPr>
        <w:spacing w:after="100" w:afterAutospacing="1"/>
        <w:rPr>
          <w:rFonts w:cstheme="majorBidi"/>
          <w:sz w:val="22"/>
        </w:rPr>
      </w:pPr>
      <w:r w:rsidRPr="00E2052F">
        <w:rPr>
          <w:rFonts w:cstheme="majorBidi"/>
          <w:sz w:val="22"/>
        </w:rPr>
        <w:lastRenderedPageBreak/>
        <w:t>Ainsi, cette période correspond à l’émergence d’un modèle de gouvernance dominé par l’actionnariat institutionnel, où le contrôle des entreprises repose non seulement sur la régulation externe, mais aussi sur la capacité des investisseurs à influencer directement les décisions stratégiques. Ce modèle a posé les bases de la gouvernance moderne, centrée sur l’efficacité des conseils et la performance actionnariale.</w:t>
      </w:r>
    </w:p>
    <w:p w14:paraId="30D4C163" w14:textId="77777777" w:rsidR="00172C7A" w:rsidRPr="00E2052F" w:rsidRDefault="00172C7A" w:rsidP="00D61875">
      <w:pPr>
        <w:pStyle w:val="Titre3"/>
        <w:numPr>
          <w:ilvl w:val="0"/>
          <w:numId w:val="49"/>
        </w:numPr>
        <w:spacing w:before="40" w:beforeAutospacing="0"/>
        <w:ind w:left="568" w:hanging="284"/>
        <w:rPr>
          <w:rFonts w:asciiTheme="majorBidi" w:hAnsiTheme="majorBidi"/>
          <w:b w:val="0"/>
          <w:bCs w:val="0"/>
          <w:color w:val="auto"/>
          <w:sz w:val="22"/>
        </w:rPr>
      </w:pPr>
      <w:bookmarkStart w:id="229" w:name="_Toc228092368"/>
      <w:bookmarkStart w:id="230" w:name="_Toc231746797"/>
      <w:bookmarkStart w:id="231" w:name="_Toc231752204"/>
      <w:bookmarkStart w:id="232" w:name="_Toc231810507"/>
      <w:bookmarkStart w:id="233" w:name="_Toc231811850"/>
      <w:bookmarkStart w:id="234" w:name="_Toc231812130"/>
      <w:bookmarkStart w:id="235" w:name="_Toc231815014"/>
      <w:r w:rsidRPr="00E2052F">
        <w:rPr>
          <w:rFonts w:asciiTheme="majorBidi" w:hAnsiTheme="majorBidi"/>
          <w:color w:val="auto"/>
          <w:sz w:val="22"/>
        </w:rPr>
        <w:t>Gouvernance moderne et régulation financière post</w:t>
      </w:r>
      <w:r w:rsidRPr="00E2052F">
        <w:rPr>
          <w:rFonts w:asciiTheme="majorBidi" w:hAnsiTheme="majorBidi"/>
          <w:color w:val="auto"/>
          <w:sz w:val="22"/>
        </w:rPr>
        <w:noBreakHyphen/>
        <w:t>1990 :</w:t>
      </w:r>
      <w:bookmarkEnd w:id="229"/>
      <w:bookmarkEnd w:id="230"/>
      <w:bookmarkEnd w:id="231"/>
      <w:bookmarkEnd w:id="232"/>
      <w:bookmarkEnd w:id="233"/>
      <w:bookmarkEnd w:id="234"/>
      <w:bookmarkEnd w:id="235"/>
    </w:p>
    <w:p w14:paraId="6D0BC1B6" w14:textId="77777777" w:rsidR="00172C7A" w:rsidRPr="00E2052F" w:rsidRDefault="00172C7A" w:rsidP="00B34503">
      <w:pPr>
        <w:spacing w:after="100" w:afterAutospacing="1"/>
        <w:rPr>
          <w:rFonts w:cstheme="majorBidi"/>
          <w:sz w:val="22"/>
        </w:rPr>
      </w:pPr>
      <w:r w:rsidRPr="00E2052F">
        <w:rPr>
          <w:rFonts w:cstheme="majorBidi"/>
          <w:sz w:val="22"/>
        </w:rPr>
        <w:t>Après les années 1990, la gouvernance d’entreprise a connu une transformation majeure, motivée par un ensemble de facteurs économiques, réglementaires et institutionnels. La mondialisation des marchés financiers a accentué la compétition et la pression sur les entreprises pour améliorer leur efficacité et leur transparence, tandis que la montée en puissance des investisseurs institutionnels a renforcé le rôle des actionnaires dans le contrôle stratégique des sociétés. Cette évolution s’est accélérée à la suite de scandales financiers majeurs, tels que ceux d’Enron et de WorldCom au début des années 2000, qui ont mis en évidence les insuffisances du modèle traditionnel de gouvernance centré sur l’autonomie managériale et le manque de supervision effective des dirigeants.</w:t>
      </w:r>
      <w:r w:rsidRPr="00E2052F">
        <w:rPr>
          <w:rStyle w:val="Appelnotedebasdep"/>
          <w:rFonts w:cstheme="majorBidi"/>
          <w:sz w:val="22"/>
        </w:rPr>
        <w:footnoteReference w:id="63"/>
      </w:r>
    </w:p>
    <w:p w14:paraId="77135FA5" w14:textId="77777777" w:rsidR="00172C7A" w:rsidRPr="00E2052F" w:rsidRDefault="00172C7A" w:rsidP="00B34503">
      <w:pPr>
        <w:spacing w:after="100" w:afterAutospacing="1"/>
        <w:rPr>
          <w:rFonts w:cstheme="majorBidi"/>
          <w:sz w:val="22"/>
        </w:rPr>
      </w:pPr>
      <w:r w:rsidRPr="00E2052F">
        <w:rPr>
          <w:rFonts w:cstheme="majorBidi"/>
          <w:sz w:val="22"/>
        </w:rPr>
        <w:t>En réponse à ces crises, les régulateurs ont adopté des normes plus strictes en matière de transparence, de responsabilité et de reporting, illustrées par la promulgation du Sarbanes-Oxley Act (SOX) en 2002 aux États-Unis. Cette loi a renforcé le rôle des conseils d’administration et des comités d’audit, imposé l’indépendance des administrateurs et établi des mécanismes de contrôle interne plus rigoureux, visant à garantir la fiabilité des informations financières et à limiter les risques d’abus ou de fraude.</w:t>
      </w:r>
      <w:r w:rsidRPr="00E2052F">
        <w:rPr>
          <w:rStyle w:val="Appelnotedebasdep"/>
          <w:rFonts w:cstheme="majorBidi"/>
          <w:sz w:val="22"/>
        </w:rPr>
        <w:footnoteReference w:id="64"/>
      </w:r>
      <w:r w:rsidRPr="00E2052F">
        <w:rPr>
          <w:rFonts w:cstheme="majorBidi"/>
          <w:sz w:val="22"/>
        </w:rPr>
        <w:t>Parallèlement, ces exigences réglementaires ont encouragé une professionnalisation accrue des pratiques de gouvernance, incitant les entreprises à développer des politiques internes de conformité, de contrôle des risques et d’évaluation de la performance managériale.</w:t>
      </w:r>
    </w:p>
    <w:p w14:paraId="3D4938F3" w14:textId="77777777" w:rsidR="00172C7A" w:rsidRPr="00E2052F" w:rsidRDefault="00172C7A" w:rsidP="00B34503">
      <w:pPr>
        <w:spacing w:after="100" w:afterAutospacing="1"/>
        <w:rPr>
          <w:rFonts w:cstheme="majorBidi"/>
          <w:sz w:val="22"/>
        </w:rPr>
      </w:pPr>
      <w:r w:rsidRPr="00E2052F">
        <w:rPr>
          <w:rFonts w:cstheme="majorBidi"/>
          <w:sz w:val="22"/>
        </w:rPr>
        <w:t xml:space="preserve">Les entreprises ont également intégré des pratiques de gouvernance internationales, adoptant des standards reconnus dans les principales places financières mondiales tout en conservant une flexibilité adaptée à leur contexte institutionnel et sectoriel. Cette hybridation a permis de concilier les attentes des investisseurs institutionnels avec les spécificités locales des marchés et des structures organisationnelles. Parmi les évolutions notables, la séparation des fonctions de président et de directeur général, le renforcement des comités spécialisés (audit, rémunération, nomination), ainsi que le développement </w:t>
      </w:r>
      <w:r w:rsidRPr="00E2052F">
        <w:rPr>
          <w:rFonts w:cstheme="majorBidi"/>
          <w:sz w:val="22"/>
        </w:rPr>
        <w:lastRenderedPageBreak/>
        <w:t>d’une culture de reporting éthique et de responsabilité sociale, illustrent l’approfondissement de la gouvernance comme outil de légitimation et de performance stratégique.</w:t>
      </w:r>
      <w:r w:rsidRPr="00E2052F">
        <w:rPr>
          <w:rStyle w:val="Appelnotedebasdep"/>
          <w:rFonts w:cstheme="majorBidi"/>
          <w:sz w:val="22"/>
        </w:rPr>
        <w:footnoteReference w:id="65"/>
      </w:r>
    </w:p>
    <w:p w14:paraId="3D1A8D6E" w14:textId="77777777" w:rsidR="00172C7A" w:rsidRPr="00E2052F" w:rsidRDefault="00172C7A" w:rsidP="00B34503">
      <w:pPr>
        <w:spacing w:after="100" w:afterAutospacing="1"/>
        <w:rPr>
          <w:rFonts w:cstheme="majorBidi"/>
          <w:sz w:val="22"/>
        </w:rPr>
      </w:pPr>
      <w:r w:rsidRPr="00E2052F">
        <w:rPr>
          <w:rFonts w:cstheme="majorBidi"/>
          <w:sz w:val="22"/>
        </w:rPr>
        <w:t>Ainsi, la gouvernance post-1990 ne se limite plus à une simple supervision juridique ou réglementaire des dirigeants. Elle repose désormais sur un équilibre dynamique entre régulation externe, pression des marchés et engagement des investisseurs, tout en intégrant des pratiques internes visant à améliorer la transparence, la responsabilité et la création de valeur durable pour l’ensemble des parties prenantes. Ce modèle institutionnalisé marque l’émergence d’une gouvernance moderne et intégrée, où la performance des entreprises est étroitement liée à la qualité des mécanismes de contrôle et à la capacité des actionnaires à exercer une influence stratégique de manière proactive et informée.</w:t>
      </w:r>
    </w:p>
    <w:p w14:paraId="3EB095EB" w14:textId="77777777" w:rsidR="00172C7A" w:rsidRPr="00E2052F" w:rsidRDefault="00172C7A" w:rsidP="00C8480E">
      <w:pPr>
        <w:pStyle w:val="Titre2"/>
      </w:pPr>
      <w:bookmarkStart w:id="236" w:name="_Toc228092369"/>
      <w:bookmarkStart w:id="237" w:name="_Toc231746798"/>
      <w:bookmarkStart w:id="238" w:name="_Toc231752205"/>
      <w:bookmarkStart w:id="239" w:name="_Toc231810508"/>
      <w:bookmarkStart w:id="240" w:name="_Toc231811851"/>
      <w:bookmarkStart w:id="241" w:name="_Toc231812131"/>
      <w:bookmarkStart w:id="242" w:name="_Toc231815015"/>
      <w:r w:rsidRPr="00E2052F">
        <w:t>Définition de la gouvernance d’entreprise :</w:t>
      </w:r>
      <w:bookmarkEnd w:id="236"/>
      <w:bookmarkEnd w:id="237"/>
      <w:bookmarkEnd w:id="238"/>
      <w:bookmarkEnd w:id="239"/>
      <w:bookmarkEnd w:id="240"/>
      <w:bookmarkEnd w:id="241"/>
      <w:bookmarkEnd w:id="242"/>
    </w:p>
    <w:p w14:paraId="177433DD" w14:textId="77777777" w:rsidR="00172C7A" w:rsidRPr="00E2052F" w:rsidRDefault="00172C7A" w:rsidP="00B34503">
      <w:pPr>
        <w:spacing w:before="0" w:beforeAutospacing="0"/>
        <w:rPr>
          <w:rFonts w:cstheme="majorBidi"/>
          <w:sz w:val="22"/>
        </w:rPr>
      </w:pPr>
      <w:r w:rsidRPr="00E2052F">
        <w:rPr>
          <w:rFonts w:cstheme="majorBidi"/>
          <w:sz w:val="22"/>
        </w:rPr>
        <w:t>Le concept de gouvernance d’entreprise, traduction de l’expression anglaise corporate governance, a initialement émergé dans le champ de la finance. Toutefois, l’analyse de la littérature met en évidence un intérêt croissant pour cette notion dans plusieurs disciplines, notamment le droit, l’économie, la science politique, la sociologie ainsi que les sciences de gestion. Cette diversité d’approches disciplinaires se traduit par une pluralité de définitions, reflétant la richesse et la complexité du concept.</w:t>
      </w:r>
      <w:r w:rsidRPr="00E2052F">
        <w:rPr>
          <w:rStyle w:val="Appelnotedebasdep"/>
          <w:rFonts w:cstheme="majorBidi"/>
          <w:sz w:val="22"/>
        </w:rPr>
        <w:footnoteReference w:id="66"/>
      </w:r>
    </w:p>
    <w:p w14:paraId="5FF65071" w14:textId="77777777" w:rsidR="00172C7A" w:rsidRPr="00E2052F" w:rsidRDefault="00172C7A" w:rsidP="00B34503">
      <w:pPr>
        <w:spacing w:before="0" w:beforeAutospacing="0"/>
        <w:rPr>
          <w:rFonts w:cstheme="majorBidi"/>
          <w:sz w:val="22"/>
        </w:rPr>
      </w:pPr>
      <w:r w:rsidRPr="00E2052F">
        <w:rPr>
          <w:rFonts w:cstheme="majorBidi"/>
          <w:sz w:val="22"/>
          <w:u w:val="single"/>
        </w:rPr>
        <w:t>Selon L’OCDE :</w:t>
      </w:r>
      <w:r w:rsidRPr="00E2052F">
        <w:rPr>
          <w:rFonts w:cstheme="majorBidi"/>
          <w:sz w:val="22"/>
        </w:rPr>
        <w:t xml:space="preserve"> La gouvernance d’entreprise désigne l’ensemble des dispositifs et des règles qui organisent la gestion d’une entreprise ainsi que ses relations avec ses actionnaires et ses différentes parties prenantes. Lorsqu’elle est fondée sur des structures appropriées, elle permet de promouvoir la transparence, la responsabilité et la confiance au sein de l’organisation. Une telle gouvernance constitue ainsi un levier essentiel pour encourager les investissements durables et soutenir à la fois la croissance économique et la stabilité financière</w:t>
      </w:r>
      <w:r w:rsidRPr="00E2052F">
        <w:rPr>
          <w:rStyle w:val="Appelnotedebasdep"/>
          <w:rFonts w:cstheme="majorBidi"/>
          <w:sz w:val="22"/>
        </w:rPr>
        <w:footnoteReference w:id="67"/>
      </w:r>
      <w:r w:rsidRPr="00E2052F">
        <w:rPr>
          <w:rFonts w:cstheme="majorBidi"/>
          <w:sz w:val="22"/>
        </w:rPr>
        <w:t>. L’OCDE a défini la gouvernance d’entreprise comme étant : « référence aux relations entre la direction d’une entreprise, son conseil d’administration, ses actionnaires et d’autres parties prenantes. Elle détermine également la structure par laquelle sont définis les objectifs d’une entreprise, ainsi que les moyens de les atteindre et s’assurer une surveillance des résultats».</w:t>
      </w:r>
      <w:r w:rsidRPr="00E2052F">
        <w:rPr>
          <w:rStyle w:val="Appelnotedebasdep"/>
          <w:rFonts w:cstheme="majorBidi"/>
          <w:sz w:val="22"/>
        </w:rPr>
        <w:footnoteReference w:id="68"/>
      </w:r>
    </w:p>
    <w:p w14:paraId="0778F0DF" w14:textId="77777777" w:rsidR="00172C7A" w:rsidRPr="00E2052F" w:rsidRDefault="00172C7A" w:rsidP="00B34503">
      <w:pPr>
        <w:spacing w:before="0" w:beforeAutospacing="0"/>
        <w:rPr>
          <w:rFonts w:cstheme="majorBidi"/>
          <w:sz w:val="22"/>
        </w:rPr>
      </w:pPr>
      <w:r w:rsidRPr="00E2052F">
        <w:rPr>
          <w:rFonts w:cstheme="majorBidi"/>
          <w:sz w:val="22"/>
          <w:u w:val="single"/>
        </w:rPr>
        <w:lastRenderedPageBreak/>
        <w:t>Selon l’Institute of Internal Auditor (IIA)</w:t>
      </w:r>
      <w:r w:rsidRPr="00E2052F">
        <w:rPr>
          <w:rFonts w:cstheme="majorBidi"/>
          <w:sz w:val="22"/>
        </w:rPr>
        <w:t xml:space="preserve"> : la gouvernance d’entreprise est définie comme étant « la combinaison des processus et des structures mise en œuvre par le conseil d’administration afin d’informer, de diriger et de surveiller les activités de l’organisation en vue de réaliser ses objectifs ».</w:t>
      </w:r>
      <w:r w:rsidRPr="00E2052F">
        <w:rPr>
          <w:rStyle w:val="Appelnotedebasdep"/>
          <w:rFonts w:cstheme="majorBidi"/>
          <w:sz w:val="22"/>
        </w:rPr>
        <w:footnoteReference w:id="69"/>
      </w:r>
    </w:p>
    <w:p w14:paraId="45BD4B1E" w14:textId="77777777" w:rsidR="00172C7A" w:rsidRPr="00E2052F" w:rsidRDefault="00172C7A" w:rsidP="00B34503">
      <w:pPr>
        <w:spacing w:before="0" w:beforeAutospacing="0"/>
        <w:rPr>
          <w:rFonts w:cstheme="majorBidi"/>
          <w:sz w:val="22"/>
        </w:rPr>
      </w:pPr>
      <w:r w:rsidRPr="00E2052F">
        <w:rPr>
          <w:rFonts w:cstheme="majorBidi"/>
          <w:sz w:val="22"/>
          <w:u w:val="single"/>
        </w:rPr>
        <w:t>Selon l’IFC :</w:t>
      </w:r>
      <w:r w:rsidRPr="00E2052F">
        <w:rPr>
          <w:rFonts w:cstheme="majorBidi"/>
          <w:sz w:val="22"/>
        </w:rPr>
        <w:t xml:space="preserve"> La gouvernance d’entreprise est le système par lequel les entreprises sont gérer et leurs travail est contrôler.</w:t>
      </w:r>
      <w:r w:rsidRPr="00E2052F">
        <w:rPr>
          <w:rStyle w:val="Appelnotedebasdep"/>
          <w:rFonts w:cstheme="majorBidi"/>
          <w:sz w:val="22"/>
        </w:rPr>
        <w:footnoteReference w:id="70"/>
      </w:r>
    </w:p>
    <w:p w14:paraId="09F788E8" w14:textId="77777777" w:rsidR="00172C7A" w:rsidRPr="00E2052F" w:rsidRDefault="00172C7A" w:rsidP="00B34503">
      <w:pPr>
        <w:spacing w:before="0" w:beforeAutospacing="0"/>
        <w:rPr>
          <w:rFonts w:cstheme="majorBidi"/>
          <w:sz w:val="22"/>
        </w:rPr>
      </w:pPr>
      <w:r w:rsidRPr="00E2052F">
        <w:rPr>
          <w:rFonts w:cstheme="majorBidi"/>
          <w:sz w:val="22"/>
          <w:u w:val="single"/>
        </w:rPr>
        <w:t>Selon le Global Reporting Initiative (GRI) :</w:t>
      </w:r>
      <w:r w:rsidRPr="00E2052F">
        <w:rPr>
          <w:rFonts w:cstheme="majorBidi"/>
          <w:sz w:val="22"/>
        </w:rPr>
        <w:t xml:space="preserve"> « la gouvernance s'institue au sein des entreprises par un "Organe de gouvernance" : Comité ou conseil responsable de la direction stratégique de l'organisation, du contrôle de sa gestion et de la responsabilité de rendre des comptes à l'organisation mère et à ses parties prenantes ».</w:t>
      </w:r>
      <w:r w:rsidRPr="00E2052F">
        <w:rPr>
          <w:rStyle w:val="Appelnotedebasdep"/>
          <w:rFonts w:cstheme="majorBidi"/>
          <w:sz w:val="22"/>
        </w:rPr>
        <w:footnoteReference w:id="71"/>
      </w:r>
    </w:p>
    <w:p w14:paraId="784BD8EF" w14:textId="77777777" w:rsidR="00172C7A" w:rsidRPr="00E2052F" w:rsidRDefault="00172C7A" w:rsidP="00B34503">
      <w:pPr>
        <w:spacing w:before="0" w:beforeAutospacing="0"/>
        <w:rPr>
          <w:rFonts w:cstheme="majorBidi"/>
          <w:sz w:val="22"/>
        </w:rPr>
      </w:pPr>
      <w:r w:rsidRPr="00E2052F">
        <w:rPr>
          <w:rFonts w:cstheme="majorBidi"/>
          <w:sz w:val="22"/>
          <w:u w:val="single"/>
        </w:rPr>
        <w:t>Selon la Banque Mondiale</w:t>
      </w:r>
      <w:r w:rsidRPr="00E2052F">
        <w:rPr>
          <w:rFonts w:cstheme="majorBidi"/>
          <w:sz w:val="22"/>
        </w:rPr>
        <w:t xml:space="preserve"> : « L’exercice du pouvoir politique, ainsi que d’un contrôle dans le cadre de l’administration des ressources de la société aux fin du développement économique et social ».</w:t>
      </w:r>
      <w:r w:rsidRPr="00E2052F">
        <w:rPr>
          <w:rStyle w:val="Appelnotedebasdep"/>
          <w:rFonts w:cstheme="majorBidi"/>
          <w:sz w:val="22"/>
        </w:rPr>
        <w:footnoteReference w:id="72"/>
      </w:r>
    </w:p>
    <w:p w14:paraId="10CE52EC" w14:textId="77777777" w:rsidR="00172C7A" w:rsidRPr="00E2052F" w:rsidRDefault="00172C7A" w:rsidP="00B34503">
      <w:pPr>
        <w:spacing w:before="0" w:beforeAutospacing="0"/>
        <w:rPr>
          <w:rFonts w:cstheme="majorBidi"/>
          <w:sz w:val="22"/>
        </w:rPr>
      </w:pPr>
      <w:r w:rsidRPr="00E2052F">
        <w:rPr>
          <w:rFonts w:cstheme="majorBidi"/>
          <w:sz w:val="22"/>
          <w:u w:val="single"/>
        </w:rPr>
        <w:t>Selon Jensen (1993) :</w:t>
      </w:r>
      <w:r w:rsidRPr="00E2052F">
        <w:rPr>
          <w:rFonts w:cstheme="majorBidi"/>
          <w:sz w:val="22"/>
        </w:rPr>
        <w:t xml:space="preserve"> « le gouvernement d’entreprise comme l’ensemble des structures de contrôles au niveau le plus élevé (Top Level Control Structure) ».</w:t>
      </w:r>
      <w:r w:rsidRPr="00E2052F">
        <w:rPr>
          <w:rStyle w:val="Appelnotedebasdep"/>
          <w:rFonts w:cstheme="majorBidi"/>
          <w:sz w:val="22"/>
        </w:rPr>
        <w:footnoteReference w:id="73"/>
      </w:r>
    </w:p>
    <w:p w14:paraId="564FD238" w14:textId="77777777" w:rsidR="00172C7A" w:rsidRPr="00E2052F" w:rsidRDefault="00172C7A" w:rsidP="00B34503">
      <w:pPr>
        <w:spacing w:before="0" w:beforeAutospacing="0"/>
        <w:rPr>
          <w:rFonts w:cstheme="majorBidi"/>
          <w:sz w:val="22"/>
        </w:rPr>
      </w:pPr>
      <w:r w:rsidRPr="00E2052F">
        <w:rPr>
          <w:rFonts w:cstheme="majorBidi"/>
          <w:sz w:val="22"/>
          <w:u w:val="single"/>
        </w:rPr>
        <w:t>Selon Shleifer et Vishny (1997) :</w:t>
      </w:r>
      <w:r w:rsidRPr="00E2052F">
        <w:rPr>
          <w:rFonts w:cstheme="majorBidi"/>
          <w:sz w:val="22"/>
        </w:rPr>
        <w:t>« La gouvernance des entreprises se préoccupe de la façon dont les apporteurs de capitaux, permettant de financer les sociétés, garantissent la rentabilité de leur investissement ».Cette définition implique que l’un des objectifs principaux de la gouvernance d’entreprise est d’assurer la maximisation de la valeur pour les actionnaires.</w:t>
      </w:r>
      <w:r w:rsidRPr="00E2052F">
        <w:rPr>
          <w:rStyle w:val="Appelnotedebasdep"/>
          <w:rFonts w:cstheme="majorBidi"/>
          <w:sz w:val="22"/>
        </w:rPr>
        <w:footnoteReference w:id="74"/>
      </w:r>
    </w:p>
    <w:p w14:paraId="4F4087CF" w14:textId="77777777" w:rsidR="00172C7A" w:rsidRPr="00E2052F" w:rsidRDefault="00172C7A" w:rsidP="00B34503">
      <w:pPr>
        <w:spacing w:before="0" w:beforeAutospacing="0"/>
        <w:rPr>
          <w:rFonts w:cstheme="majorBidi"/>
          <w:sz w:val="22"/>
        </w:rPr>
      </w:pPr>
      <w:r w:rsidRPr="00E2052F">
        <w:rPr>
          <w:rFonts w:cstheme="majorBidi"/>
          <w:sz w:val="22"/>
          <w:u w:val="single"/>
        </w:rPr>
        <w:t xml:space="preserve">Selon Guy HERMET : </w:t>
      </w:r>
      <w:r w:rsidRPr="00E2052F">
        <w:rPr>
          <w:rFonts w:cstheme="majorBidi"/>
          <w:sz w:val="22"/>
        </w:rPr>
        <w:t>« Elle désigne l’ensemble des procédures institutionnelles, des rapports de pouvoir et des modes de gestion publics ou privés formels aussi bien qu’informels qui régissent notamment l’action politique réelle ».</w:t>
      </w:r>
      <w:r w:rsidRPr="00E2052F">
        <w:rPr>
          <w:rStyle w:val="Appelnotedebasdep"/>
          <w:rFonts w:cstheme="majorBidi"/>
          <w:sz w:val="22"/>
        </w:rPr>
        <w:footnoteReference w:id="75"/>
      </w:r>
    </w:p>
    <w:p w14:paraId="79A6E564" w14:textId="77777777" w:rsidR="00172C7A" w:rsidRPr="00E2052F" w:rsidRDefault="00172C7A" w:rsidP="00B34503">
      <w:pPr>
        <w:spacing w:before="0" w:beforeAutospacing="0"/>
        <w:rPr>
          <w:rFonts w:cstheme="majorBidi"/>
          <w:sz w:val="22"/>
        </w:rPr>
      </w:pPr>
      <w:r w:rsidRPr="00E2052F">
        <w:rPr>
          <w:rFonts w:cstheme="majorBidi"/>
          <w:sz w:val="22"/>
          <w:u w:val="single"/>
        </w:rPr>
        <w:lastRenderedPageBreak/>
        <w:t>Selon Jean-Jacques Caussain (2005) :</w:t>
      </w:r>
      <w:r w:rsidRPr="00E2052F">
        <w:rPr>
          <w:rFonts w:cstheme="majorBidi"/>
          <w:sz w:val="22"/>
        </w:rPr>
        <w:t xml:space="preserve"> la gouvernance peut être définie conm1e un ensemble de principes qui tendent à régir les relations entre le conseil d'administration, les actiom1aires et les dirigeants dans les entreprises faisant appel aux marchés financiers. </w:t>
      </w:r>
      <w:r w:rsidRPr="00E2052F">
        <w:rPr>
          <w:rStyle w:val="Appelnotedebasdep"/>
          <w:rFonts w:cstheme="majorBidi"/>
          <w:sz w:val="22"/>
        </w:rPr>
        <w:footnoteReference w:id="76"/>
      </w:r>
    </w:p>
    <w:p w14:paraId="12BB1B53" w14:textId="77777777" w:rsidR="00172C7A" w:rsidRPr="00E2052F" w:rsidRDefault="00172C7A" w:rsidP="00B34503">
      <w:pPr>
        <w:spacing w:before="0" w:beforeAutospacing="0"/>
        <w:rPr>
          <w:rFonts w:cstheme="majorBidi"/>
          <w:sz w:val="22"/>
          <w:vertAlign w:val="superscript"/>
        </w:rPr>
      </w:pPr>
      <w:r w:rsidRPr="00E2052F">
        <w:rPr>
          <w:rFonts w:cstheme="majorBidi"/>
          <w:sz w:val="22"/>
          <w:u w:val="single"/>
        </w:rPr>
        <w:t>Keasey.K, Thompson .S, Wright.M(2005) :</w:t>
      </w:r>
      <w:r w:rsidRPr="00E2052F">
        <w:rPr>
          <w:rFonts w:cstheme="majorBidi"/>
          <w:sz w:val="22"/>
        </w:rPr>
        <w:t xml:space="preserve"> considèrent qu’un système de gouvernance constitue l’ensemble de mesures permettant d’aligner les intérêts des dirigeants avec ceux des actionnaires grâce à un mode d’interaction, de fonctionnement et de régulation.</w:t>
      </w:r>
      <w:r w:rsidRPr="00E2052F">
        <w:rPr>
          <w:rStyle w:val="Appelnotedebasdep"/>
          <w:rFonts w:cstheme="majorBidi"/>
          <w:sz w:val="22"/>
        </w:rPr>
        <w:footnoteReference w:id="77"/>
      </w:r>
    </w:p>
    <w:p w14:paraId="2F140B81" w14:textId="77777777" w:rsidR="00172C7A" w:rsidRPr="00E2052F" w:rsidRDefault="00172C7A" w:rsidP="00B34503">
      <w:pPr>
        <w:spacing w:before="0" w:beforeAutospacing="0"/>
        <w:rPr>
          <w:rFonts w:cstheme="majorBidi"/>
          <w:sz w:val="22"/>
        </w:rPr>
      </w:pPr>
      <w:r w:rsidRPr="00E2052F">
        <w:rPr>
          <w:rFonts w:cstheme="majorBidi"/>
          <w:sz w:val="22"/>
          <w:u w:val="single"/>
        </w:rPr>
        <w:t>Selon Pierre CABANE :</w:t>
      </w:r>
      <w:r w:rsidRPr="00E2052F">
        <w:rPr>
          <w:rFonts w:cstheme="majorBidi"/>
          <w:sz w:val="22"/>
        </w:rPr>
        <w:t>« Un système permettant la défense de l’intérêt social, la conduite, la gestion, le contrôle et la pérennité de l’entreprise, précisant les pouvoirs, les responsabilités et les relations des actionnaires et des dirigeants, et s’assurant que l’objectif de création de valeur pour l’ensemble des parties prenantes est bien pris en compte »</w:t>
      </w:r>
    </w:p>
    <w:p w14:paraId="2F0A313A" w14:textId="77777777" w:rsidR="00172C7A" w:rsidRPr="00E2052F" w:rsidRDefault="00172C7A" w:rsidP="00B34503">
      <w:pPr>
        <w:tabs>
          <w:tab w:val="left" w:pos="952"/>
        </w:tabs>
        <w:spacing w:before="0" w:beforeAutospacing="0"/>
        <w:rPr>
          <w:rFonts w:cstheme="majorBidi"/>
          <w:sz w:val="22"/>
        </w:rPr>
      </w:pPr>
      <w:r w:rsidRPr="00E2052F">
        <w:rPr>
          <w:rFonts w:cstheme="majorBidi"/>
          <w:sz w:val="22"/>
        </w:rPr>
        <w:tab/>
        <w:t>En résumé la gouvernance d’entreprise constitue un système structuré de règles et de pratiques visant à coordonner les parties prenantes. Elle définit clairement les pouvoirs et obligations de chacun, favorise la cohésion des actions, et met en œuvre des mécanismes destinés à maximiser la valeur tout en assurant la viabilité à long terme.</w:t>
      </w:r>
    </w:p>
    <w:p w14:paraId="350F3DFC" w14:textId="77777777" w:rsidR="00172C7A" w:rsidRPr="00E2052F" w:rsidRDefault="00172C7A" w:rsidP="00C8480E">
      <w:pPr>
        <w:pStyle w:val="Titre2"/>
      </w:pPr>
      <w:bookmarkStart w:id="243" w:name="_Toc228092370"/>
      <w:bookmarkStart w:id="244" w:name="_Toc231746799"/>
      <w:bookmarkStart w:id="245" w:name="_Toc231752206"/>
      <w:bookmarkStart w:id="246" w:name="_Toc231810509"/>
      <w:bookmarkStart w:id="247" w:name="_Toc231811852"/>
      <w:bookmarkStart w:id="248" w:name="_Toc231812132"/>
      <w:bookmarkStart w:id="249" w:name="_Toc231815016"/>
      <w:r w:rsidRPr="00E2052F">
        <w:t>Les théories de la gouvernance d’entreprise :</w:t>
      </w:r>
      <w:bookmarkEnd w:id="243"/>
      <w:bookmarkEnd w:id="244"/>
      <w:bookmarkEnd w:id="245"/>
      <w:bookmarkEnd w:id="246"/>
      <w:bookmarkEnd w:id="247"/>
      <w:bookmarkEnd w:id="248"/>
      <w:bookmarkEnd w:id="249"/>
    </w:p>
    <w:p w14:paraId="24C9C411" w14:textId="77777777" w:rsidR="00172C7A" w:rsidRPr="00E2052F" w:rsidRDefault="00172C7A" w:rsidP="00D61875">
      <w:pPr>
        <w:pStyle w:val="Titre3"/>
        <w:numPr>
          <w:ilvl w:val="0"/>
          <w:numId w:val="78"/>
        </w:numPr>
        <w:spacing w:before="100" w:after="100" w:afterAutospacing="1"/>
        <w:ind w:left="568" w:hanging="284"/>
        <w:rPr>
          <w:rFonts w:asciiTheme="majorBidi" w:hAnsiTheme="majorBidi"/>
          <w:b w:val="0"/>
          <w:bCs w:val="0"/>
          <w:color w:val="auto"/>
          <w:sz w:val="22"/>
        </w:rPr>
      </w:pPr>
      <w:bookmarkStart w:id="250" w:name="_Toc228092371"/>
      <w:bookmarkStart w:id="251" w:name="_Toc231746800"/>
      <w:bookmarkStart w:id="252" w:name="_Toc231752207"/>
      <w:bookmarkStart w:id="253" w:name="_Toc231810510"/>
      <w:bookmarkStart w:id="254" w:name="_Toc231811853"/>
      <w:bookmarkStart w:id="255" w:name="_Toc231812133"/>
      <w:bookmarkStart w:id="256" w:name="_Toc231815017"/>
      <w:r w:rsidRPr="00E2052F">
        <w:rPr>
          <w:rFonts w:asciiTheme="majorBidi" w:hAnsiTheme="majorBidi"/>
          <w:color w:val="auto"/>
          <w:sz w:val="22"/>
        </w:rPr>
        <w:t>Les théories contractuelles :</w:t>
      </w:r>
      <w:bookmarkEnd w:id="250"/>
      <w:bookmarkEnd w:id="251"/>
      <w:bookmarkEnd w:id="252"/>
      <w:bookmarkEnd w:id="253"/>
      <w:bookmarkEnd w:id="254"/>
      <w:bookmarkEnd w:id="255"/>
      <w:bookmarkEnd w:id="256"/>
    </w:p>
    <w:p w14:paraId="6B7379A5" w14:textId="77777777" w:rsidR="00172C7A" w:rsidRPr="00E2052F" w:rsidRDefault="00172C7A" w:rsidP="00B34503">
      <w:pPr>
        <w:spacing w:after="100" w:afterAutospacing="1"/>
        <w:rPr>
          <w:rFonts w:cstheme="majorBidi"/>
          <w:sz w:val="22"/>
        </w:rPr>
      </w:pPr>
      <w:r w:rsidRPr="00E2052F">
        <w:rPr>
          <w:rFonts w:cstheme="majorBidi"/>
          <w:sz w:val="22"/>
        </w:rPr>
        <w:t>L'origine de la gouvernance d'entreprise peut être retracée aux débuts de la séparation de la propriété et du pouvoir dans les entreprises. Adam Smith (1776) a déjà noté à la fin du 18e siècle que la diffusion excessive du capital peut entraîner une détérioration des performances économiques de l'entreprise, et que les dirigeants qui ne sont pas propriétaires sont moins engagés que ceux qui gèrent leur propre entreprise. La gouvernance d'entreprise est perçue comme un outil d'analyse qui regroupe les théories contractuelles, notamment la théorie de l'agence, la théorie de l'économie des coûts de transactions et la théorie des droits de propriété.</w:t>
      </w:r>
      <w:r w:rsidRPr="00E2052F">
        <w:rPr>
          <w:rStyle w:val="Appelnotedebasdep"/>
          <w:rFonts w:cstheme="majorBidi"/>
          <w:sz w:val="22"/>
        </w:rPr>
        <w:footnoteReference w:id="78"/>
      </w:r>
    </w:p>
    <w:p w14:paraId="480E94FE" w14:textId="77777777" w:rsidR="00172C7A" w:rsidRPr="00E2052F" w:rsidRDefault="00172C7A" w:rsidP="00D61875">
      <w:pPr>
        <w:pStyle w:val="Titre4"/>
        <w:numPr>
          <w:ilvl w:val="0"/>
          <w:numId w:val="79"/>
        </w:numPr>
        <w:spacing w:before="100" w:after="100" w:afterAutospacing="1"/>
        <w:ind w:left="1287" w:hanging="720"/>
        <w:rPr>
          <w:rFonts w:asciiTheme="majorBidi" w:hAnsiTheme="majorBidi"/>
          <w:b w:val="0"/>
          <w:bCs w:val="0"/>
          <w:i w:val="0"/>
          <w:iCs w:val="0"/>
          <w:color w:val="auto"/>
          <w:sz w:val="22"/>
        </w:rPr>
      </w:pPr>
      <w:bookmarkStart w:id="257" w:name="_Toc228092372"/>
      <w:bookmarkStart w:id="258" w:name="_Toc231746801"/>
      <w:bookmarkStart w:id="259" w:name="_Toc231752208"/>
      <w:bookmarkStart w:id="260" w:name="_Toc231810511"/>
      <w:bookmarkStart w:id="261" w:name="_Toc231811854"/>
      <w:bookmarkStart w:id="262" w:name="_Toc231812134"/>
      <w:bookmarkStart w:id="263" w:name="_Toc231815018"/>
      <w:r w:rsidRPr="00E2052F">
        <w:rPr>
          <w:rFonts w:asciiTheme="majorBidi" w:hAnsiTheme="majorBidi"/>
          <w:i w:val="0"/>
          <w:iCs w:val="0"/>
          <w:color w:val="auto"/>
          <w:sz w:val="22"/>
        </w:rPr>
        <w:t>La théorie de l’agence :</w:t>
      </w:r>
      <w:bookmarkEnd w:id="257"/>
      <w:bookmarkEnd w:id="258"/>
      <w:bookmarkEnd w:id="259"/>
      <w:bookmarkEnd w:id="260"/>
      <w:bookmarkEnd w:id="261"/>
      <w:bookmarkEnd w:id="262"/>
      <w:bookmarkEnd w:id="263"/>
    </w:p>
    <w:p w14:paraId="7276BD65" w14:textId="77777777" w:rsidR="00172C7A" w:rsidRPr="00E2052F" w:rsidRDefault="00172C7A" w:rsidP="006E4F3F">
      <w:pPr>
        <w:spacing w:after="100" w:afterAutospacing="1"/>
        <w:rPr>
          <w:rFonts w:cstheme="majorBidi"/>
          <w:sz w:val="22"/>
        </w:rPr>
      </w:pPr>
      <w:r w:rsidRPr="00E2052F">
        <w:rPr>
          <w:rFonts w:cstheme="majorBidi"/>
          <w:sz w:val="22"/>
        </w:rPr>
        <w:t xml:space="preserve">La théorie de l'agence étudie les problèmes liés aux coûts d'agence qui peuvent surgir entre les actionnaires et les gestionnaires, ainsi que plus largement entre une entreprise et ses parties prenantes. </w:t>
      </w:r>
      <w:r w:rsidRPr="00E2052F">
        <w:rPr>
          <w:rFonts w:cstheme="majorBidi"/>
          <w:sz w:val="22"/>
        </w:rPr>
        <w:lastRenderedPageBreak/>
        <w:t>Cette théorie se fonde sur la représentation contractuelle de l'entreprise, qui considère que les problèmes entre ses parties prenantes sont principalement dus à l'incomplétude des contrats et à l'asymétrie d'information.</w:t>
      </w:r>
    </w:p>
    <w:p w14:paraId="504CC5D3" w14:textId="77777777" w:rsidR="00172C7A" w:rsidRPr="00E2052F" w:rsidRDefault="00172C7A" w:rsidP="006E4F3F">
      <w:pPr>
        <w:spacing w:after="100" w:afterAutospacing="1"/>
        <w:rPr>
          <w:rFonts w:cstheme="majorBidi"/>
          <w:sz w:val="22"/>
        </w:rPr>
      </w:pPr>
      <w:r w:rsidRPr="00E2052F">
        <w:rPr>
          <w:rFonts w:cstheme="majorBidi"/>
          <w:sz w:val="22"/>
        </w:rPr>
        <w:t xml:space="preserve">Jensen et Meckling considèrent la firme comme étant une "fiction légale" qui agit comme point de focalisation pour un processus complexe visant à résoudre les conflits entre les objectifs des individus, certains d'entre eux pouvant représenter d'autres organisations. Ce processus est réalisé grâce à la mise en place d'un réseau de relations contractuelles. En effet, Jensen et Meckling ont développé la théorie de l'agence en prenant en compte la multiplicité des catégories de participants dans une organisation ainsi que les divergences d'intérêts qui peuvent en découler. Cette théorie définit la relation entre un mandant (le principal) et un mandataire (l'agent) comme étant uncontrat dans lequel une ou plusieurs personnes font appel aux services d'une autre personne pour accomplir une tâche en leur nom. </w:t>
      </w:r>
    </w:p>
    <w:p w14:paraId="2C4E0C7D" w14:textId="77777777" w:rsidR="00172C7A" w:rsidRPr="00E2052F" w:rsidRDefault="00172C7A" w:rsidP="006E4F3F">
      <w:pPr>
        <w:spacing w:after="100" w:afterAutospacing="1"/>
        <w:rPr>
          <w:rFonts w:cstheme="majorBidi"/>
          <w:sz w:val="22"/>
        </w:rPr>
      </w:pPr>
      <w:r w:rsidRPr="00E2052F">
        <w:rPr>
          <w:rFonts w:cstheme="majorBidi"/>
          <w:sz w:val="22"/>
        </w:rPr>
        <w:t>La relation d'agence existe en raison de la divergence d'intérêts entre l'agent et le principal. Jensen et Meckling (1976) ont avancé trois motifs pour expliquer ces divergences d'intérêts entre les dirigeants et les actionnaires :</w:t>
      </w:r>
    </w:p>
    <w:p w14:paraId="4941F346" w14:textId="77777777" w:rsidR="00172C7A" w:rsidRPr="00E2052F" w:rsidRDefault="00172C7A" w:rsidP="00D61875">
      <w:pPr>
        <w:pStyle w:val="Paragraphedeliste"/>
        <w:numPr>
          <w:ilvl w:val="0"/>
          <w:numId w:val="80"/>
        </w:numPr>
        <w:spacing w:after="100" w:afterAutospacing="1"/>
        <w:ind w:left="0" w:firstLine="284"/>
        <w:contextualSpacing w:val="0"/>
        <w:rPr>
          <w:rFonts w:cstheme="majorBidi"/>
          <w:sz w:val="22"/>
        </w:rPr>
      </w:pPr>
      <w:r w:rsidRPr="00E2052F">
        <w:rPr>
          <w:rFonts w:cstheme="majorBidi"/>
          <w:sz w:val="22"/>
        </w:rPr>
        <w:t>La différence de tolérance au risque : c'est l'un des motifs avancés par Jensen et Meckling pour expliquer les conflits d'intérêts entre les dirigeants et les actionnaires. Les dirigeants peuvent avoir une tolérance au risque différente de celle des actionnaires, ce qui peut les amener à prendre des décisions qui ne sont pas dans l'intérêt des actionnaires. Par exemple, les dirigeants peuvent prendre des risques excessifs dans le but de maximiser leur propre rémunération ou leur propre prestige, ce qui peut compromettre la rentabilité à long terme de l'entreprise et nuire aux intérêts des actionnaires. Les actionnaires peuvent donc chercher à mettre en place des mécanismes de contrôle pour limiter les risques pris par les dirigeants et s'assurer qu'ils agissent dans leur intérêt.</w:t>
      </w:r>
    </w:p>
    <w:p w14:paraId="021E926F" w14:textId="77777777" w:rsidR="00172C7A" w:rsidRPr="00E2052F" w:rsidRDefault="00172C7A" w:rsidP="00D61875">
      <w:pPr>
        <w:pStyle w:val="Paragraphedeliste"/>
        <w:numPr>
          <w:ilvl w:val="0"/>
          <w:numId w:val="80"/>
        </w:numPr>
        <w:spacing w:after="100" w:afterAutospacing="1"/>
        <w:ind w:left="0" w:firstLine="357"/>
        <w:contextualSpacing w:val="0"/>
        <w:rPr>
          <w:rFonts w:cstheme="majorBidi"/>
          <w:sz w:val="22"/>
        </w:rPr>
      </w:pPr>
      <w:r w:rsidRPr="00E2052F">
        <w:rPr>
          <w:rFonts w:cstheme="majorBidi"/>
          <w:sz w:val="22"/>
        </w:rPr>
        <w:t>Les asymétries d'information : constituent un deuxième motif avancé par Jensen et Meckling pour expliquer les conflits d'intérêts. En effet, les dirigeants peuvent avoir plus d'informations que les actionnaires sur l'état de l'entreprise, ce qui leur donne un avantage dans la prise de décision et peut les amener à prendre des décisions qui ne sont pas dans l'intérêt des actionnaires.</w:t>
      </w:r>
    </w:p>
    <w:p w14:paraId="69E4632B" w14:textId="77777777" w:rsidR="00172C7A" w:rsidRPr="00E2052F" w:rsidRDefault="00172C7A" w:rsidP="00D61875">
      <w:pPr>
        <w:pStyle w:val="Paragraphedeliste"/>
        <w:numPr>
          <w:ilvl w:val="0"/>
          <w:numId w:val="80"/>
        </w:numPr>
        <w:spacing w:after="100" w:afterAutospacing="1"/>
        <w:ind w:left="0" w:firstLine="357"/>
        <w:contextualSpacing w:val="0"/>
        <w:rPr>
          <w:rFonts w:cstheme="majorBidi"/>
          <w:sz w:val="22"/>
        </w:rPr>
      </w:pPr>
      <w:r w:rsidRPr="00E2052F">
        <w:rPr>
          <w:rFonts w:cstheme="majorBidi"/>
          <w:sz w:val="22"/>
        </w:rPr>
        <w:t>Les coûts de monitoring : Les coûts de surveillance des dirigeants peuvent être considérables pour les actionnaires, ce qui peut les dissuader de surveiller adéquatement les dirigeants et de veiller à ce qu'ils agissent dans l'intérêt des actionnaires. Cela peut entraîner des dé0cisions prises par les dirigeants qui ne sont pas dans l'intérêt des actionnaires.</w:t>
      </w:r>
      <w:r w:rsidRPr="00E2052F">
        <w:rPr>
          <w:rStyle w:val="Appelnotedebasdep"/>
          <w:rFonts w:cstheme="majorBidi"/>
          <w:sz w:val="22"/>
        </w:rPr>
        <w:footnoteReference w:id="79"/>
      </w:r>
    </w:p>
    <w:p w14:paraId="79BD6753" w14:textId="77777777" w:rsidR="00172C7A" w:rsidRPr="00E2052F" w:rsidRDefault="00172C7A" w:rsidP="00D61875">
      <w:pPr>
        <w:pStyle w:val="Titre4"/>
        <w:numPr>
          <w:ilvl w:val="0"/>
          <w:numId w:val="79"/>
        </w:numPr>
        <w:spacing w:before="40" w:beforeAutospacing="0"/>
        <w:ind w:left="1287" w:hanging="720"/>
        <w:rPr>
          <w:rFonts w:asciiTheme="majorBidi" w:hAnsiTheme="majorBidi"/>
          <w:b w:val="0"/>
          <w:bCs w:val="0"/>
          <w:i w:val="0"/>
          <w:iCs w:val="0"/>
          <w:color w:val="auto"/>
          <w:sz w:val="22"/>
        </w:rPr>
      </w:pPr>
      <w:bookmarkStart w:id="264" w:name="_Toc228092373"/>
      <w:bookmarkStart w:id="265" w:name="_Toc231746802"/>
      <w:bookmarkStart w:id="266" w:name="_Toc231752209"/>
      <w:bookmarkStart w:id="267" w:name="_Toc231810512"/>
      <w:bookmarkStart w:id="268" w:name="_Toc231811855"/>
      <w:bookmarkStart w:id="269" w:name="_Toc231812135"/>
      <w:bookmarkStart w:id="270" w:name="_Toc231815019"/>
      <w:r w:rsidRPr="00E2052F">
        <w:rPr>
          <w:rFonts w:asciiTheme="majorBidi" w:hAnsiTheme="majorBidi"/>
          <w:i w:val="0"/>
          <w:iCs w:val="0"/>
          <w:color w:val="auto"/>
          <w:sz w:val="22"/>
        </w:rPr>
        <w:lastRenderedPageBreak/>
        <w:t>La théorie des coûts de transaction :</w:t>
      </w:r>
      <w:bookmarkEnd w:id="264"/>
      <w:bookmarkEnd w:id="265"/>
      <w:bookmarkEnd w:id="266"/>
      <w:bookmarkEnd w:id="267"/>
      <w:bookmarkEnd w:id="268"/>
      <w:bookmarkEnd w:id="269"/>
      <w:bookmarkEnd w:id="270"/>
    </w:p>
    <w:p w14:paraId="7231D1E9" w14:textId="77777777" w:rsidR="00172C7A" w:rsidRPr="00E2052F" w:rsidRDefault="00172C7A" w:rsidP="006E4F3F">
      <w:pPr>
        <w:spacing w:after="100" w:afterAutospacing="1"/>
        <w:rPr>
          <w:rFonts w:cstheme="majorBidi"/>
          <w:sz w:val="22"/>
        </w:rPr>
      </w:pPr>
      <w:r w:rsidRPr="00E2052F">
        <w:rPr>
          <w:rFonts w:cstheme="majorBidi"/>
          <w:sz w:val="22"/>
        </w:rPr>
        <w:t xml:space="preserve">Lorsque la propriété et la gestion d'une entreprise sont séparées, comme dans les sociétés managériales, cela peut entraîner une limitation dans l'exercice de certains droits, tels que le fructus (droit de jouir la propriété) et l'abusus (droit de disposer de la propriété). En conséquence, il y a une atténuation de la propriété privée, car le gestionnaire exerce le droit d'utilisation à la place du propriétaire. Cette séparation entre propriété et gestion implique que les propriétaires doivent renoncer à une partie de leur pouvoir décisionnel et de leur contrôle sur l'entreprise au profit des gestionnaires, ce qui peut limiter leur capacité à exercer pleinement leurs droits de propriété. Selon l'analyse transactionnelle de Williamson, il est obligatoire d'acquérir de l'expérience, des compétences et des connaissances spécifiques qui peuvent être considérées comme des actifs spécifiques. Ces actifs peuvent être acquis sur le marché et il est possible d'appliquer l'alternative "faire" ou "faire faire" en fonction de la complexité de l'activité et de la spécificité des compétences nécessaires à la gestion. </w:t>
      </w:r>
    </w:p>
    <w:p w14:paraId="7C4ED419" w14:textId="77777777" w:rsidR="00172C7A" w:rsidRPr="00E2052F" w:rsidRDefault="00172C7A" w:rsidP="006E4F3F">
      <w:pPr>
        <w:spacing w:after="100" w:afterAutospacing="1"/>
        <w:rPr>
          <w:rFonts w:cstheme="majorBidi"/>
          <w:sz w:val="22"/>
        </w:rPr>
      </w:pPr>
      <w:r w:rsidRPr="00E2052F">
        <w:rPr>
          <w:rFonts w:cstheme="majorBidi"/>
          <w:sz w:val="22"/>
        </w:rPr>
        <w:t>La théorie des coûts de transaction, développée par Coase en 1937 puis par Williamson en 1975, se concentre sur la transaction en tant qu'unité d'analyse. Les coûts de transaction comprennent les frais encourus lors de la recherche d'informations et de la négociation avant de signer un contrat (les coûts de transaction ex ante), ainsi que les coûts liés à la surveillance de l'exécution du contrat après sa signature (les coûts de transaction ex post). Williamson (1985) affirme que deux postulats comportementaux expliquent ces coûts qui sont la rationalité limitée et l'opportunisme.</w:t>
      </w:r>
      <w:r w:rsidRPr="00E2052F">
        <w:rPr>
          <w:rStyle w:val="Appelnotedebasdep"/>
          <w:rFonts w:cstheme="majorBidi"/>
          <w:sz w:val="22"/>
        </w:rPr>
        <w:footnoteReference w:id="80"/>
      </w:r>
    </w:p>
    <w:p w14:paraId="772BB80B" w14:textId="77777777" w:rsidR="00172C7A" w:rsidRPr="00E2052F" w:rsidRDefault="00172C7A" w:rsidP="00D61875">
      <w:pPr>
        <w:pStyle w:val="Titre5"/>
        <w:numPr>
          <w:ilvl w:val="0"/>
          <w:numId w:val="84"/>
        </w:numPr>
        <w:spacing w:line="360" w:lineRule="auto"/>
        <w:ind w:left="1571" w:hanging="720"/>
        <w:jc w:val="both"/>
        <w:rPr>
          <w:rFonts w:asciiTheme="majorBidi" w:hAnsiTheme="majorBidi"/>
          <w:b/>
          <w:bCs/>
        </w:rPr>
      </w:pPr>
      <w:bookmarkStart w:id="271" w:name="_Toc228092374"/>
      <w:bookmarkStart w:id="272" w:name="_Toc231746803"/>
      <w:bookmarkStart w:id="273" w:name="_Toc231752210"/>
      <w:bookmarkStart w:id="274" w:name="_Toc231810513"/>
      <w:bookmarkStart w:id="275" w:name="_Toc231811856"/>
      <w:bookmarkStart w:id="276" w:name="_Toc231812136"/>
      <w:bookmarkStart w:id="277" w:name="_Toc231815020"/>
      <w:r w:rsidRPr="00E2052F">
        <w:rPr>
          <w:rFonts w:asciiTheme="majorBidi" w:hAnsiTheme="majorBidi"/>
          <w:b/>
          <w:bCs/>
          <w:color w:val="auto"/>
        </w:rPr>
        <w:t>La rationalité limitée :</w:t>
      </w:r>
      <w:bookmarkEnd w:id="271"/>
      <w:bookmarkEnd w:id="272"/>
      <w:bookmarkEnd w:id="273"/>
      <w:bookmarkEnd w:id="274"/>
      <w:bookmarkEnd w:id="275"/>
      <w:bookmarkEnd w:id="276"/>
      <w:bookmarkEnd w:id="277"/>
    </w:p>
    <w:p w14:paraId="63406CAA" w14:textId="77777777" w:rsidR="00172C7A" w:rsidRPr="00E2052F" w:rsidRDefault="00172C7A" w:rsidP="006E4F3F">
      <w:pPr>
        <w:spacing w:after="100" w:afterAutospacing="1"/>
        <w:rPr>
          <w:rFonts w:cstheme="majorBidi"/>
          <w:sz w:val="22"/>
        </w:rPr>
      </w:pPr>
      <w:r w:rsidRPr="00E2052F">
        <w:rPr>
          <w:rFonts w:cstheme="majorBidi"/>
          <w:sz w:val="22"/>
        </w:rPr>
        <w:t>En 1947, Herbert Simon publie l’ouvrage « Administrative Behavior », dans lequel il introduit le concept de rationalité limitée. Selon cette approche, les individus ne disposent pas d’une information complète ni d’une capacité illimitée de traitement, ce qui restreint leur aptitude à appréhender l’ensemble des contraintes et des alternatives possibles. Dans ce contexte, les décisions prises ne visent pas nécessairement l’optimalité, mais s’inscrivent plutôt dans une logique de satisfaction, les individus cherchant à atteindre un niveau d’aspiration jugé acceptable. Ainsi, la rationalité ne peut plus être considérée comme absolue et parfaitement objective ; elle devient relative et influencée par la perception et les capacités cognitives des acteurs. Par ailleurs, la rationalité est essentiellement procédurale, dans la mesure où elle dépend des processus organisationnels et du cadre dans lequel évoluent les individus. L’analyse développée par Simon s’inscrit dans une perspective comportementale, en lien avec les apports du béhaviorisme et les débuts de la cybernétique.</w:t>
      </w:r>
    </w:p>
    <w:p w14:paraId="39959A89" w14:textId="77777777" w:rsidR="00172C7A" w:rsidRPr="00E2052F" w:rsidRDefault="00172C7A" w:rsidP="006E4F3F">
      <w:pPr>
        <w:spacing w:after="100" w:afterAutospacing="1"/>
        <w:rPr>
          <w:rFonts w:cstheme="majorBidi"/>
          <w:sz w:val="22"/>
        </w:rPr>
      </w:pPr>
      <w:r w:rsidRPr="00E2052F">
        <w:rPr>
          <w:rFonts w:cstheme="majorBidi"/>
          <w:sz w:val="22"/>
        </w:rPr>
        <w:lastRenderedPageBreak/>
        <w:t>Selon les principes de la rationalité limitée développés par Herbert Simon, l’individu prend ses décisions à partir d’un ensemble restreint d’informations et d’opérations cognitives qu’il organise et hiérarchise. Dans ce cadre, les problèmes auxquels il est confronté peuvent être de deux types : d’une part, des problèmes structurés, susceptibles d’être résolus par des procédures logiques et formalisées, notamment à travers des algorithmes ; d’autre part, des problèmes non structurés, pour lesquels il n’existe pas de solution optimale clairement définie, nécessitant ainsi une approche plus subjective et approximative fondée sur un niveau de satisfaction jugé acceptable. En conséquence, les décisions prises s’éloignent souvent du modèle d’optimalité classique et relèvent davantage d’une rationalité relative. Elles sont fortement influencées par la position de l’acteur au sein de l’organisation, ainsi que par les ressources et les informations dont il dispose. Dans cette perspective, les structures organisationnelles ne garantissent pas nécessairement l’efficacité optimale des choix effectués. En situation d’information imparfaite, les individus tendent généralement à retenir la première solution qui répond de manière satisfaisante à leurs objectifs, plutôt que de rechercher systématiquement la meilleure alternative possible.</w:t>
      </w:r>
      <w:r w:rsidRPr="00E2052F">
        <w:rPr>
          <w:rStyle w:val="Appelnotedebasdep"/>
          <w:rFonts w:cstheme="majorBidi"/>
          <w:sz w:val="22"/>
        </w:rPr>
        <w:footnoteReference w:id="81"/>
      </w:r>
    </w:p>
    <w:p w14:paraId="3B565F5F" w14:textId="77777777" w:rsidR="00172C7A" w:rsidRPr="00E2052F" w:rsidRDefault="00172C7A" w:rsidP="006E4F3F">
      <w:pPr>
        <w:spacing w:after="100" w:afterAutospacing="1"/>
        <w:rPr>
          <w:rFonts w:cstheme="majorBidi"/>
          <w:sz w:val="22"/>
        </w:rPr>
      </w:pPr>
      <w:r w:rsidRPr="00E2052F">
        <w:rPr>
          <w:rFonts w:cstheme="majorBidi"/>
          <w:sz w:val="22"/>
        </w:rPr>
        <w:t>Dans le prolongement de cette analyse, Herbert Simon met en évidence un ensemble de contraintes qui expliquent les limites de la rationalité individuelle :</w:t>
      </w:r>
    </w:p>
    <w:p w14:paraId="7B95A509"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Le savoir d’un individu est par nature incomplet et fragmenté ;</w:t>
      </w:r>
    </w:p>
    <w:p w14:paraId="36E94F31"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 xml:space="preserve">Un individu ne peut pas anticiper les conséquences de tous ses actes ; </w:t>
      </w:r>
    </w:p>
    <w:p w14:paraId="2F8FEDA2"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L’attention portée à un problème est discontinue, elle est perturbée par d’autres problèmes ;</w:t>
      </w:r>
    </w:p>
    <w:p w14:paraId="3F9C29BB"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 xml:space="preserve">La mémoire de l’individu est réduite et sélective ; </w:t>
      </w:r>
    </w:p>
    <w:p w14:paraId="64F9C884"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 xml:space="preserve">L’information est perçue à travers des filtres cognitifs ; </w:t>
      </w:r>
    </w:p>
    <w:p w14:paraId="5D8E6B22"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L’action d’un individu dépend aussi d’habitudes, de routines et de choix passés ;</w:t>
      </w:r>
    </w:p>
    <w:p w14:paraId="3BB0E8DE"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 xml:space="preserve"> Le calcul rationnel coût/bénéfice est affecté par d’autres finalités telles que le maintien de la cohésion du groupe ou la détention d’une position de pouvoir ;</w:t>
      </w:r>
    </w:p>
    <w:p w14:paraId="0CE26D9C" w14:textId="77777777" w:rsidR="00172C7A" w:rsidRPr="00E2052F" w:rsidRDefault="00172C7A" w:rsidP="00D61875">
      <w:pPr>
        <w:pStyle w:val="Paragraphedeliste"/>
        <w:numPr>
          <w:ilvl w:val="0"/>
          <w:numId w:val="81"/>
        </w:numPr>
        <w:spacing w:after="100" w:afterAutospacing="1"/>
        <w:ind w:left="641" w:hanging="357"/>
        <w:rPr>
          <w:rFonts w:cstheme="majorBidi"/>
          <w:sz w:val="22"/>
        </w:rPr>
      </w:pPr>
      <w:r w:rsidRPr="00E2052F">
        <w:rPr>
          <w:rFonts w:cstheme="majorBidi"/>
          <w:sz w:val="22"/>
        </w:rPr>
        <w:t xml:space="preserve"> les contraintes organisationnelles restreignent les possibilités de choix.</w:t>
      </w:r>
      <w:r w:rsidRPr="00E2052F">
        <w:rPr>
          <w:rStyle w:val="Appelnotedebasdep"/>
          <w:rFonts w:cstheme="majorBidi"/>
          <w:sz w:val="22"/>
        </w:rPr>
        <w:footnoteReference w:id="82"/>
      </w:r>
    </w:p>
    <w:p w14:paraId="6593AECB" w14:textId="77777777" w:rsidR="00172C7A" w:rsidRPr="00E2052F" w:rsidRDefault="00172C7A" w:rsidP="00D61875">
      <w:pPr>
        <w:pStyle w:val="Titre5"/>
        <w:numPr>
          <w:ilvl w:val="0"/>
          <w:numId w:val="84"/>
        </w:numPr>
        <w:spacing w:line="360" w:lineRule="auto"/>
        <w:ind w:left="1571" w:hanging="720"/>
        <w:jc w:val="both"/>
        <w:rPr>
          <w:rFonts w:asciiTheme="majorBidi" w:hAnsiTheme="majorBidi"/>
          <w:b/>
          <w:bCs/>
          <w:color w:val="auto"/>
        </w:rPr>
      </w:pPr>
      <w:bookmarkStart w:id="278" w:name="_Toc228092375"/>
      <w:bookmarkStart w:id="279" w:name="_Toc231746804"/>
      <w:bookmarkStart w:id="280" w:name="_Toc231752211"/>
      <w:bookmarkStart w:id="281" w:name="_Toc231810514"/>
      <w:bookmarkStart w:id="282" w:name="_Toc231811857"/>
      <w:bookmarkStart w:id="283" w:name="_Toc231812137"/>
      <w:bookmarkStart w:id="284" w:name="_Toc231815021"/>
      <w:r w:rsidRPr="00E2052F">
        <w:rPr>
          <w:rFonts w:asciiTheme="majorBidi" w:hAnsiTheme="majorBidi"/>
          <w:b/>
          <w:bCs/>
          <w:color w:val="auto"/>
        </w:rPr>
        <w:t>L’opportunisme :</w:t>
      </w:r>
      <w:bookmarkEnd w:id="278"/>
      <w:bookmarkEnd w:id="279"/>
      <w:bookmarkEnd w:id="280"/>
      <w:bookmarkEnd w:id="281"/>
      <w:bookmarkEnd w:id="282"/>
      <w:bookmarkEnd w:id="283"/>
      <w:bookmarkEnd w:id="284"/>
    </w:p>
    <w:p w14:paraId="6DA599A1" w14:textId="77777777" w:rsidR="00172C7A" w:rsidRPr="00E2052F" w:rsidRDefault="00172C7A" w:rsidP="006E4F3F">
      <w:pPr>
        <w:spacing w:after="100" w:afterAutospacing="1"/>
        <w:rPr>
          <w:rFonts w:cstheme="majorBidi"/>
          <w:sz w:val="22"/>
        </w:rPr>
      </w:pPr>
      <w:r w:rsidRPr="00E2052F">
        <w:rPr>
          <w:rFonts w:cstheme="majorBidi"/>
          <w:sz w:val="22"/>
        </w:rPr>
        <w:t xml:space="preserve">Selon Williamson (1993), l’opportunisme signifie que les individus poursuivent leurs propres intérêts personnels. Brousseau (1993) considère que les agents sont suffisamment rationnels pour tenter d’exploiter les lacunes et les défauts des arrangements contractuels qu’ils établissent. Ainsi, les individus, motivés par la recherche de l’intérêt propre, recourent à la ruse et à diverses formes de </w:t>
      </w:r>
      <w:r w:rsidRPr="00E2052F">
        <w:rPr>
          <w:rFonts w:cstheme="majorBidi"/>
          <w:sz w:val="22"/>
        </w:rPr>
        <w:lastRenderedPageBreak/>
        <w:t>tricherie. En effet, l’opportunisme repose sur une révélation incomplète, déformée ou falsifiée de l’information par un agent, notamment sur ses capacités, préférences ou une dénaturation des intentions et des actions, ce qui en somme amène à une situation d’asymétrie d’information.</w:t>
      </w:r>
    </w:p>
    <w:p w14:paraId="0503A74F" w14:textId="77777777" w:rsidR="00172C7A" w:rsidRPr="00E2052F" w:rsidRDefault="00172C7A" w:rsidP="006E4F3F">
      <w:pPr>
        <w:spacing w:after="100" w:afterAutospacing="1"/>
        <w:rPr>
          <w:rFonts w:cstheme="majorBidi"/>
          <w:sz w:val="22"/>
        </w:rPr>
      </w:pPr>
      <w:r w:rsidRPr="00E2052F">
        <w:rPr>
          <w:rFonts w:cstheme="majorBidi"/>
          <w:sz w:val="22"/>
        </w:rPr>
        <w:t>En effet, sur la base de cette théorie, il est plus efficace de se lier contractuellement à des salariés spécialistes qui gèrent au nom du propriétaire. Celui-ci minimise alors les coûts en ne contrôlant que les résultats présentés par les gestionnaires. La théorie des coûts de transaction se focalise donc sur les coûts ex post à la conclusion du contrat et incluent les coûts d’inadaptation du contrat et de la transaction, les coûts de marchandage liés à la renégociation des parties pour corriger l’inadaptation, et les coûts de mise en place et de fonctionnement associés au système de gouvernance en charge du règlement des conflits. La bonne structure de gouvernance est donc celle qui permet de minimiser le coût de ces réajustements. Williamson (1985) conçoit la firme comme un instrument de gestion en apportant un nouveau traitement à la position du dirigeant, ainsi Charreaux (1997), avance que l’apport du capital humain des dirigeants est traité comme une transaction à part entière, qui nécessite la mise en œuvre des procédures de gestion spécifiques.</w:t>
      </w:r>
      <w:r w:rsidRPr="00E2052F">
        <w:rPr>
          <w:rStyle w:val="Appelnotedebasdep"/>
          <w:rFonts w:cstheme="majorBidi"/>
          <w:sz w:val="22"/>
        </w:rPr>
        <w:footnoteReference w:id="83"/>
      </w:r>
    </w:p>
    <w:p w14:paraId="783631E0" w14:textId="77777777" w:rsidR="00172C7A" w:rsidRPr="00E2052F" w:rsidRDefault="00172C7A" w:rsidP="00D61875">
      <w:pPr>
        <w:pStyle w:val="Titre4"/>
        <w:numPr>
          <w:ilvl w:val="0"/>
          <w:numId w:val="79"/>
        </w:numPr>
        <w:spacing w:before="0" w:beforeAutospacing="0" w:after="160"/>
        <w:ind w:left="1287" w:hanging="720"/>
        <w:rPr>
          <w:rFonts w:asciiTheme="majorBidi" w:hAnsiTheme="majorBidi"/>
          <w:b w:val="0"/>
          <w:bCs w:val="0"/>
          <w:i w:val="0"/>
          <w:iCs w:val="0"/>
          <w:sz w:val="22"/>
        </w:rPr>
      </w:pPr>
      <w:bookmarkStart w:id="285" w:name="_Toc228092376"/>
      <w:bookmarkStart w:id="286" w:name="_Toc231746805"/>
      <w:bookmarkStart w:id="287" w:name="_Toc231752212"/>
      <w:bookmarkStart w:id="288" w:name="_Toc231810515"/>
      <w:bookmarkStart w:id="289" w:name="_Toc231811858"/>
      <w:bookmarkStart w:id="290" w:name="_Toc231812138"/>
      <w:bookmarkStart w:id="291" w:name="_Toc231815022"/>
      <w:r w:rsidRPr="00E2052F">
        <w:rPr>
          <w:rFonts w:asciiTheme="majorBidi" w:hAnsiTheme="majorBidi"/>
          <w:i w:val="0"/>
          <w:iCs w:val="0"/>
          <w:color w:val="auto"/>
          <w:sz w:val="22"/>
        </w:rPr>
        <w:t>La théorie des droits de propriété :</w:t>
      </w:r>
      <w:bookmarkEnd w:id="285"/>
      <w:bookmarkEnd w:id="286"/>
      <w:bookmarkEnd w:id="287"/>
      <w:bookmarkEnd w:id="288"/>
      <w:bookmarkEnd w:id="289"/>
      <w:bookmarkEnd w:id="290"/>
      <w:bookmarkEnd w:id="291"/>
    </w:p>
    <w:p w14:paraId="522456B6" w14:textId="77777777" w:rsidR="00172C7A" w:rsidRPr="00E2052F" w:rsidRDefault="00172C7A" w:rsidP="006E4F3F">
      <w:pPr>
        <w:spacing w:before="0" w:beforeAutospacing="0"/>
        <w:rPr>
          <w:rFonts w:cstheme="majorBidi"/>
          <w:sz w:val="22"/>
        </w:rPr>
      </w:pPr>
      <w:r w:rsidRPr="00E2052F">
        <w:rPr>
          <w:rFonts w:cstheme="majorBidi"/>
          <w:sz w:val="22"/>
        </w:rPr>
        <w:t>Dans le cadre de la théorie des droits de propriété, EirikFurubotn et SvetozarPejovich (1972) considèrent que l’unité d’analyse fondamentale est l’individu, supposé adopter un comportement de maximisation de son utilité sous contrainte des limites imposées par l’environnement organisationnel. Dans cette perspective, les droits de propriété sont définis comme l’ensemble des prérogatives permettant d’utiliser un actif, d’en modifier la forme ou la substance, ainsi que d’en transférer tout ou partie des droits, que ce soit par cession totale (vente) ou partielle (location). Cette approche offre un cadre analytique étendu des organisations, en mettant l’accent sur la diversité des configurations possibles des droits de propriété.</w:t>
      </w:r>
    </w:p>
    <w:p w14:paraId="571F532A" w14:textId="77777777" w:rsidR="00172C7A" w:rsidRPr="00E2052F" w:rsidRDefault="00172C7A" w:rsidP="006E4F3F">
      <w:pPr>
        <w:spacing w:before="0" w:beforeAutospacing="0"/>
        <w:rPr>
          <w:rFonts w:cstheme="majorBidi"/>
          <w:sz w:val="22"/>
        </w:rPr>
      </w:pPr>
      <w:r w:rsidRPr="00E2052F">
        <w:rPr>
          <w:rFonts w:cstheme="majorBidi"/>
          <w:sz w:val="22"/>
        </w:rPr>
        <w:t xml:space="preserve">Dans le prolongement de cette analyse, Harold Demsetz (1967) souligne que la fonction essentielle des droits de propriété réside dans leur capacité à instaurer des incitations favorisant l’internalisation des externalités. Toutefois, la structure de propriété elle-même peut générer des externalités, notamment lorsque les actionnaires ne participent pas directement aux décisions de l’entreprise, situation d’autant plus marquée en présence d’un actionnariat dispersé. La firme moderne se caractérise ainsi par une atténuation des droits de propriété, les actionnaires disposant d’une capacité limitée à contrôler ou à remettre en cause les décisions des dirigeants. Cette limitation ne découle pas uniquement de contraintes juridiques, mais également des coûts associés à la surveillance des comportements managériaux et à la </w:t>
      </w:r>
      <w:r w:rsidRPr="00E2052F">
        <w:rPr>
          <w:rFonts w:cstheme="majorBidi"/>
          <w:sz w:val="22"/>
        </w:rPr>
        <w:lastRenderedPageBreak/>
        <w:t>mise en place de mécanismes incitatifs destinés à aligner les intérêts des dirigeants sur ceux des actionnaires.</w:t>
      </w:r>
    </w:p>
    <w:p w14:paraId="67C6644C" w14:textId="77777777" w:rsidR="00172C7A" w:rsidRPr="00E2052F" w:rsidRDefault="00172C7A" w:rsidP="006E4F3F">
      <w:pPr>
        <w:spacing w:before="0" w:beforeAutospacing="0"/>
        <w:rPr>
          <w:rFonts w:cstheme="majorBidi"/>
          <w:sz w:val="22"/>
        </w:rPr>
      </w:pPr>
      <w:r w:rsidRPr="00E2052F">
        <w:rPr>
          <w:rFonts w:cstheme="majorBidi"/>
          <w:sz w:val="22"/>
        </w:rPr>
        <w:t>Dans ce contexte, plus l’actionnariat est dispersé, plus les coûts de contrôle et de surveillance augmentent, ce qui élargit la marge de manœuvre des dirigeants pour poursuivre des objectifs distincts de la maximisation de la richesse des actionnaires, comme le soulignent EirikFurubotn et SvetozarPejovich (1972). De manière complémentaire, Robin Marris (1964) met en évidence que la perte de richesse supportée par les actionnaires peut être interprétée comme le coût des dispositifs nécessaires pour inciter les dirigeants à adopter un comportement conforme à l’objectif de maximisation du profit. Dans ce cadre, les dirigeants disposent d’une certaine latitude pour capter une partie de la richesse, dans la limite des coûts de contrôle supportés par les actionnaires.</w:t>
      </w:r>
    </w:p>
    <w:p w14:paraId="4102A2FB" w14:textId="77777777" w:rsidR="00172C7A" w:rsidRPr="00E2052F" w:rsidRDefault="00172C7A" w:rsidP="006E4F3F">
      <w:pPr>
        <w:spacing w:before="0" w:beforeAutospacing="0"/>
        <w:rPr>
          <w:rFonts w:cstheme="majorBidi"/>
          <w:sz w:val="22"/>
        </w:rPr>
      </w:pPr>
      <w:r w:rsidRPr="00E2052F">
        <w:rPr>
          <w:rFonts w:cstheme="majorBidi"/>
          <w:sz w:val="22"/>
        </w:rPr>
        <w:t>Enfin, Sanford Grossman et Oliver Hart (1986) montrent que la structure de propriété exerce une influence ambivalente sur la performance de la firme. D’une part, la concentration des droits de propriété peut améliorer l’efficacité ex post en augmentant le surplus global et renforcer les incitations à investir ex ante dans des actifs spécifiques. D’autre part, elle peut décourager les agents ne disposant pas de ces droits à s’engager dans la relation contractuelle, ce qui peut réduire le surplus global. Ainsi, la structure optimale des droits de propriété résulte d’un arbitrage entre les coûts et les bénéfices associés aux incitations, au contrôle et à la productivité, ainsi qu’aux décisions d’investissement des différents acteurs.</w:t>
      </w:r>
      <w:r w:rsidRPr="00E2052F">
        <w:rPr>
          <w:rStyle w:val="Appelnotedebasdep"/>
          <w:rFonts w:cstheme="majorBidi"/>
          <w:sz w:val="22"/>
        </w:rPr>
        <w:footnoteReference w:id="84"/>
      </w:r>
    </w:p>
    <w:p w14:paraId="1D335C30" w14:textId="77777777" w:rsidR="00172C7A" w:rsidRPr="00E2052F" w:rsidRDefault="00172C7A" w:rsidP="000B51BB">
      <w:pPr>
        <w:spacing w:after="100" w:afterAutospacing="1"/>
        <w:ind w:firstLine="709"/>
        <w:rPr>
          <w:rFonts w:cstheme="majorBidi"/>
          <w:b/>
          <w:bCs/>
          <w:sz w:val="22"/>
        </w:rPr>
      </w:pPr>
      <w:r w:rsidRPr="00E2052F">
        <w:rPr>
          <w:rFonts w:cstheme="majorBidi"/>
          <w:b/>
          <w:bCs/>
          <w:sz w:val="22"/>
          <w:u w:val="single"/>
        </w:rPr>
        <w:t>Tableau 01 :</w:t>
      </w:r>
      <w:r w:rsidRPr="00E2052F">
        <w:rPr>
          <w:rFonts w:cstheme="majorBidi"/>
          <w:b/>
          <w:bCs/>
          <w:sz w:val="22"/>
        </w:rPr>
        <w:t xml:space="preserve"> Grille comparative des théories de la firme – Adaptation à partir de Williamson (1988)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240"/>
        <w:gridCol w:w="2308"/>
        <w:gridCol w:w="2241"/>
      </w:tblGrid>
      <w:tr w:rsidR="00172C7A" w:rsidRPr="00E2052F" w14:paraId="7AD72EED" w14:textId="77777777" w:rsidTr="006E4F3F">
        <w:trPr>
          <w:jc w:val="center"/>
        </w:trPr>
        <w:tc>
          <w:tcPr>
            <w:tcW w:w="2544" w:type="dxa"/>
            <w:tcBorders>
              <w:top w:val="nil"/>
              <w:left w:val="nil"/>
              <w:bottom w:val="nil"/>
            </w:tcBorders>
          </w:tcPr>
          <w:p w14:paraId="56647195" w14:textId="77777777" w:rsidR="00172C7A" w:rsidRPr="00E2052F" w:rsidRDefault="00172C7A" w:rsidP="009665CE">
            <w:pPr>
              <w:spacing w:after="100" w:afterAutospacing="1" w:line="240" w:lineRule="auto"/>
              <w:rPr>
                <w:rFonts w:cstheme="majorBidi"/>
                <w:b/>
                <w:bCs/>
                <w:sz w:val="22"/>
              </w:rPr>
            </w:pPr>
          </w:p>
        </w:tc>
        <w:tc>
          <w:tcPr>
            <w:tcW w:w="7640" w:type="dxa"/>
            <w:gridSpan w:val="3"/>
            <w:shd w:val="clear" w:color="auto" w:fill="B4C6E7" w:themeFill="accent1" w:themeFillTint="66"/>
          </w:tcPr>
          <w:p w14:paraId="66663A4B" w14:textId="77777777" w:rsidR="00172C7A" w:rsidRPr="00E2052F" w:rsidRDefault="00172C7A" w:rsidP="009665CE">
            <w:pPr>
              <w:spacing w:after="100" w:afterAutospacing="1" w:line="240" w:lineRule="auto"/>
              <w:jc w:val="center"/>
              <w:rPr>
                <w:rFonts w:cstheme="majorBidi"/>
                <w:b/>
                <w:bCs/>
                <w:sz w:val="22"/>
              </w:rPr>
            </w:pPr>
            <w:r w:rsidRPr="00E2052F">
              <w:rPr>
                <w:rFonts w:cstheme="majorBidi"/>
                <w:b/>
                <w:bCs/>
                <w:sz w:val="22"/>
              </w:rPr>
              <w:t>Théories contractuelles</w:t>
            </w:r>
          </w:p>
        </w:tc>
      </w:tr>
      <w:tr w:rsidR="00172C7A" w:rsidRPr="00E2052F" w14:paraId="2AD58913" w14:textId="77777777" w:rsidTr="006E4F3F">
        <w:trPr>
          <w:jc w:val="center"/>
        </w:trPr>
        <w:tc>
          <w:tcPr>
            <w:tcW w:w="2544" w:type="dxa"/>
            <w:tcBorders>
              <w:top w:val="nil"/>
              <w:left w:val="nil"/>
            </w:tcBorders>
          </w:tcPr>
          <w:p w14:paraId="2C303894" w14:textId="77777777" w:rsidR="00172C7A" w:rsidRPr="00E2052F" w:rsidRDefault="00172C7A" w:rsidP="009665CE">
            <w:pPr>
              <w:spacing w:after="100" w:afterAutospacing="1" w:line="240" w:lineRule="auto"/>
              <w:jc w:val="right"/>
              <w:rPr>
                <w:rFonts w:cstheme="majorBidi"/>
                <w:b/>
                <w:bCs/>
                <w:sz w:val="22"/>
              </w:rPr>
            </w:pPr>
          </w:p>
        </w:tc>
        <w:tc>
          <w:tcPr>
            <w:tcW w:w="2546" w:type="dxa"/>
            <w:shd w:val="clear" w:color="auto" w:fill="D9E2F3" w:themeFill="accent1" w:themeFillTint="33"/>
          </w:tcPr>
          <w:p w14:paraId="50F7509E"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Théorie d’agence</w:t>
            </w:r>
          </w:p>
        </w:tc>
        <w:tc>
          <w:tcPr>
            <w:tcW w:w="2547" w:type="dxa"/>
            <w:shd w:val="clear" w:color="auto" w:fill="D9E2F3" w:themeFill="accent1" w:themeFillTint="33"/>
          </w:tcPr>
          <w:p w14:paraId="3ADCA8D9"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Théorie des coûts de transaction</w:t>
            </w:r>
          </w:p>
        </w:tc>
        <w:tc>
          <w:tcPr>
            <w:tcW w:w="2547" w:type="dxa"/>
            <w:shd w:val="clear" w:color="auto" w:fill="D9E2F3" w:themeFill="accent1" w:themeFillTint="33"/>
          </w:tcPr>
          <w:p w14:paraId="3E465271"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Théorie des droits de propriété</w:t>
            </w:r>
          </w:p>
        </w:tc>
      </w:tr>
      <w:tr w:rsidR="00172C7A" w:rsidRPr="00E2052F" w14:paraId="0B982558" w14:textId="77777777" w:rsidTr="006E4F3F">
        <w:trPr>
          <w:jc w:val="center"/>
        </w:trPr>
        <w:tc>
          <w:tcPr>
            <w:tcW w:w="2544" w:type="dxa"/>
            <w:shd w:val="clear" w:color="auto" w:fill="D9E2F3" w:themeFill="accent1" w:themeFillTint="33"/>
          </w:tcPr>
          <w:p w14:paraId="5CF87771"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Unité d'analyse</w:t>
            </w:r>
          </w:p>
        </w:tc>
        <w:tc>
          <w:tcPr>
            <w:tcW w:w="2546" w:type="dxa"/>
          </w:tcPr>
          <w:p w14:paraId="430B0636" w14:textId="77777777" w:rsidR="00172C7A" w:rsidRPr="00E2052F" w:rsidRDefault="00172C7A" w:rsidP="009665CE">
            <w:pPr>
              <w:spacing w:after="100" w:afterAutospacing="1" w:line="240" w:lineRule="auto"/>
              <w:rPr>
                <w:rFonts w:cstheme="majorBidi"/>
                <w:sz w:val="22"/>
              </w:rPr>
            </w:pPr>
            <w:r w:rsidRPr="00E2052F">
              <w:rPr>
                <w:rFonts w:cstheme="majorBidi"/>
                <w:sz w:val="22"/>
              </w:rPr>
              <w:t>Individu</w:t>
            </w:r>
          </w:p>
        </w:tc>
        <w:tc>
          <w:tcPr>
            <w:tcW w:w="2547" w:type="dxa"/>
          </w:tcPr>
          <w:p w14:paraId="18FA2F7E" w14:textId="77777777" w:rsidR="00172C7A" w:rsidRPr="00E2052F" w:rsidRDefault="00172C7A" w:rsidP="009665CE">
            <w:pPr>
              <w:spacing w:after="100" w:afterAutospacing="1" w:line="240" w:lineRule="auto"/>
              <w:rPr>
                <w:rFonts w:cstheme="majorBidi"/>
                <w:sz w:val="22"/>
              </w:rPr>
            </w:pPr>
            <w:r w:rsidRPr="00E2052F">
              <w:rPr>
                <w:rFonts w:cstheme="majorBidi"/>
                <w:sz w:val="22"/>
              </w:rPr>
              <w:t>Transaction</w:t>
            </w:r>
          </w:p>
        </w:tc>
        <w:tc>
          <w:tcPr>
            <w:tcW w:w="2547" w:type="dxa"/>
          </w:tcPr>
          <w:p w14:paraId="50FCC180" w14:textId="77777777" w:rsidR="00172C7A" w:rsidRPr="00E2052F" w:rsidRDefault="00172C7A" w:rsidP="009665CE">
            <w:pPr>
              <w:spacing w:after="100" w:afterAutospacing="1" w:line="240" w:lineRule="auto"/>
              <w:rPr>
                <w:rFonts w:cstheme="majorBidi"/>
                <w:sz w:val="22"/>
              </w:rPr>
            </w:pPr>
            <w:r w:rsidRPr="00E2052F">
              <w:rPr>
                <w:rFonts w:cstheme="majorBidi"/>
                <w:sz w:val="22"/>
              </w:rPr>
              <w:t>Individu</w:t>
            </w:r>
          </w:p>
        </w:tc>
      </w:tr>
      <w:tr w:rsidR="00172C7A" w:rsidRPr="00E2052F" w14:paraId="4CC46A8C" w14:textId="77777777" w:rsidTr="006E4F3F">
        <w:trPr>
          <w:jc w:val="center"/>
        </w:trPr>
        <w:tc>
          <w:tcPr>
            <w:tcW w:w="2544" w:type="dxa"/>
            <w:shd w:val="clear" w:color="auto" w:fill="D9E2F3" w:themeFill="accent1" w:themeFillTint="33"/>
          </w:tcPr>
          <w:p w14:paraId="66DD4C46"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Dimension analysée</w:t>
            </w:r>
          </w:p>
        </w:tc>
        <w:tc>
          <w:tcPr>
            <w:tcW w:w="2546" w:type="dxa"/>
          </w:tcPr>
          <w:p w14:paraId="52C4192E" w14:textId="77777777" w:rsidR="00172C7A" w:rsidRPr="00E2052F" w:rsidRDefault="00172C7A" w:rsidP="009665CE">
            <w:pPr>
              <w:spacing w:line="240" w:lineRule="auto"/>
              <w:ind w:firstLine="0"/>
              <w:rPr>
                <w:rFonts w:cstheme="majorBidi"/>
                <w:sz w:val="22"/>
              </w:rPr>
            </w:pPr>
            <w:r w:rsidRPr="00E2052F">
              <w:rPr>
                <w:rFonts w:cstheme="majorBidi"/>
                <w:sz w:val="22"/>
              </w:rPr>
              <w:t>Relation d'agence</w:t>
            </w:r>
          </w:p>
        </w:tc>
        <w:tc>
          <w:tcPr>
            <w:tcW w:w="2547" w:type="dxa"/>
          </w:tcPr>
          <w:p w14:paraId="4806EE4D" w14:textId="77777777" w:rsidR="00172C7A" w:rsidRPr="00E2052F" w:rsidRDefault="00172C7A" w:rsidP="009665CE">
            <w:pPr>
              <w:spacing w:line="240" w:lineRule="auto"/>
              <w:ind w:firstLine="0"/>
              <w:rPr>
                <w:rFonts w:cstheme="majorBidi"/>
                <w:sz w:val="22"/>
              </w:rPr>
            </w:pPr>
            <w:r w:rsidRPr="00E2052F">
              <w:rPr>
                <w:rFonts w:cstheme="majorBidi"/>
                <w:sz w:val="22"/>
              </w:rPr>
              <w:t>Spécificité des actifs</w:t>
            </w:r>
          </w:p>
        </w:tc>
        <w:tc>
          <w:tcPr>
            <w:tcW w:w="2547" w:type="dxa"/>
          </w:tcPr>
          <w:p w14:paraId="4CF0CBBA" w14:textId="77777777" w:rsidR="00172C7A" w:rsidRPr="00E2052F" w:rsidRDefault="00172C7A" w:rsidP="009665CE">
            <w:pPr>
              <w:spacing w:after="100" w:afterAutospacing="1" w:line="240" w:lineRule="auto"/>
              <w:rPr>
                <w:rFonts w:cstheme="majorBidi"/>
                <w:sz w:val="22"/>
              </w:rPr>
            </w:pPr>
            <w:r w:rsidRPr="00E2052F">
              <w:rPr>
                <w:rFonts w:cstheme="majorBidi"/>
                <w:sz w:val="22"/>
              </w:rPr>
              <w:t>Droit de propriété</w:t>
            </w:r>
          </w:p>
        </w:tc>
      </w:tr>
      <w:tr w:rsidR="00172C7A" w:rsidRPr="00E2052F" w14:paraId="66243085" w14:textId="77777777" w:rsidTr="009665CE">
        <w:trPr>
          <w:trHeight w:val="1062"/>
          <w:jc w:val="center"/>
        </w:trPr>
        <w:tc>
          <w:tcPr>
            <w:tcW w:w="2544" w:type="dxa"/>
            <w:shd w:val="clear" w:color="auto" w:fill="D9E2F3" w:themeFill="accent1" w:themeFillTint="33"/>
          </w:tcPr>
          <w:p w14:paraId="26385DBE"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Coûts concernés</w:t>
            </w:r>
          </w:p>
        </w:tc>
        <w:tc>
          <w:tcPr>
            <w:tcW w:w="2546" w:type="dxa"/>
          </w:tcPr>
          <w:p w14:paraId="5B71168B" w14:textId="77777777" w:rsidR="00172C7A" w:rsidRPr="00E2052F" w:rsidRDefault="00172C7A" w:rsidP="009665CE">
            <w:pPr>
              <w:spacing w:line="240" w:lineRule="auto"/>
              <w:ind w:firstLine="0"/>
              <w:rPr>
                <w:rFonts w:cstheme="majorBidi"/>
                <w:sz w:val="22"/>
              </w:rPr>
            </w:pPr>
            <w:r w:rsidRPr="00E2052F">
              <w:rPr>
                <w:rFonts w:cstheme="majorBidi"/>
                <w:sz w:val="22"/>
              </w:rPr>
              <w:t>Perte résiduelle</w:t>
            </w:r>
          </w:p>
        </w:tc>
        <w:tc>
          <w:tcPr>
            <w:tcW w:w="2547" w:type="dxa"/>
          </w:tcPr>
          <w:p w14:paraId="1C7AA824" w14:textId="77777777" w:rsidR="00172C7A" w:rsidRPr="00E2052F" w:rsidRDefault="00172C7A" w:rsidP="009665CE">
            <w:pPr>
              <w:spacing w:line="240" w:lineRule="auto"/>
              <w:ind w:firstLine="0"/>
              <w:rPr>
                <w:rFonts w:cstheme="majorBidi"/>
                <w:sz w:val="22"/>
              </w:rPr>
            </w:pPr>
            <w:r w:rsidRPr="00E2052F">
              <w:rPr>
                <w:rFonts w:cstheme="majorBidi"/>
                <w:sz w:val="22"/>
              </w:rPr>
              <w:t>Coûts d'inadaptation</w:t>
            </w:r>
          </w:p>
        </w:tc>
        <w:tc>
          <w:tcPr>
            <w:tcW w:w="2547" w:type="dxa"/>
          </w:tcPr>
          <w:p w14:paraId="28913828" w14:textId="77777777" w:rsidR="00172C7A" w:rsidRPr="00E2052F" w:rsidRDefault="00172C7A" w:rsidP="009665CE">
            <w:pPr>
              <w:spacing w:after="100" w:afterAutospacing="1" w:line="240" w:lineRule="auto"/>
              <w:rPr>
                <w:rFonts w:cstheme="majorBidi"/>
                <w:sz w:val="22"/>
              </w:rPr>
            </w:pPr>
            <w:r w:rsidRPr="00E2052F">
              <w:rPr>
                <w:rFonts w:cstheme="majorBidi"/>
                <w:sz w:val="22"/>
              </w:rPr>
              <w:t>Coûts d'efficience</w:t>
            </w:r>
          </w:p>
        </w:tc>
      </w:tr>
      <w:tr w:rsidR="00172C7A" w:rsidRPr="00E2052F" w14:paraId="10C106D8" w14:textId="77777777" w:rsidTr="006E4F3F">
        <w:trPr>
          <w:jc w:val="center"/>
        </w:trPr>
        <w:tc>
          <w:tcPr>
            <w:tcW w:w="2544" w:type="dxa"/>
            <w:shd w:val="clear" w:color="auto" w:fill="D9E2F3" w:themeFill="accent1" w:themeFillTint="33"/>
          </w:tcPr>
          <w:p w14:paraId="15663DEE" w14:textId="77777777" w:rsidR="00172C7A" w:rsidRPr="00E2052F" w:rsidRDefault="00172C7A" w:rsidP="009665CE">
            <w:pPr>
              <w:spacing w:after="100" w:afterAutospacing="1" w:line="240" w:lineRule="auto"/>
              <w:ind w:firstLine="0"/>
              <w:rPr>
                <w:rFonts w:cstheme="majorBidi"/>
                <w:b/>
                <w:bCs/>
                <w:sz w:val="22"/>
              </w:rPr>
            </w:pPr>
            <w:r w:rsidRPr="00E2052F">
              <w:rPr>
                <w:rFonts w:cstheme="majorBidi"/>
                <w:b/>
                <w:bCs/>
                <w:sz w:val="22"/>
              </w:rPr>
              <w:t>Analyse contractuelle principale</w:t>
            </w:r>
          </w:p>
        </w:tc>
        <w:tc>
          <w:tcPr>
            <w:tcW w:w="2546" w:type="dxa"/>
          </w:tcPr>
          <w:p w14:paraId="0E627E40" w14:textId="77777777" w:rsidR="00172C7A" w:rsidRPr="00E2052F" w:rsidRDefault="00172C7A" w:rsidP="009665CE">
            <w:pPr>
              <w:spacing w:after="100" w:afterAutospacing="1" w:line="240" w:lineRule="auto"/>
              <w:ind w:firstLine="0"/>
              <w:rPr>
                <w:rFonts w:cstheme="majorBidi"/>
                <w:sz w:val="22"/>
              </w:rPr>
            </w:pPr>
            <w:r w:rsidRPr="00E2052F">
              <w:rPr>
                <w:rFonts w:cstheme="majorBidi"/>
                <w:sz w:val="22"/>
              </w:rPr>
              <w:t>Ex ante - Alignement</w:t>
            </w:r>
          </w:p>
        </w:tc>
        <w:tc>
          <w:tcPr>
            <w:tcW w:w="2547" w:type="dxa"/>
          </w:tcPr>
          <w:p w14:paraId="739205DC" w14:textId="77777777" w:rsidR="00172C7A" w:rsidRPr="00E2052F" w:rsidRDefault="009665CE" w:rsidP="009665CE">
            <w:pPr>
              <w:spacing w:after="100" w:afterAutospacing="1" w:line="240" w:lineRule="auto"/>
              <w:ind w:firstLine="0"/>
              <w:rPr>
                <w:rFonts w:cstheme="majorBidi"/>
                <w:sz w:val="22"/>
              </w:rPr>
            </w:pPr>
            <w:r w:rsidRPr="00E2052F">
              <w:rPr>
                <w:rFonts w:cstheme="majorBidi"/>
                <w:sz w:val="22"/>
              </w:rPr>
              <w:t>Expost</w:t>
            </w:r>
            <w:r w:rsidR="00172C7A" w:rsidRPr="00E2052F">
              <w:rPr>
                <w:rFonts w:cstheme="majorBidi"/>
                <w:sz w:val="22"/>
              </w:rPr>
              <w:t>- Gouvernance</w:t>
            </w:r>
          </w:p>
        </w:tc>
        <w:tc>
          <w:tcPr>
            <w:tcW w:w="2547" w:type="dxa"/>
          </w:tcPr>
          <w:p w14:paraId="43F7B3FF" w14:textId="77777777" w:rsidR="00172C7A" w:rsidRPr="00E2052F" w:rsidRDefault="009665CE" w:rsidP="009665CE">
            <w:pPr>
              <w:spacing w:after="100" w:afterAutospacing="1" w:line="240" w:lineRule="auto"/>
              <w:rPr>
                <w:rFonts w:cstheme="majorBidi"/>
                <w:sz w:val="22"/>
              </w:rPr>
            </w:pPr>
            <w:r w:rsidRPr="00E2052F">
              <w:rPr>
                <w:rFonts w:cstheme="majorBidi"/>
                <w:sz w:val="22"/>
              </w:rPr>
              <w:t xml:space="preserve">Ex </w:t>
            </w:r>
            <w:r w:rsidR="00172C7A" w:rsidRPr="00E2052F">
              <w:rPr>
                <w:rFonts w:cstheme="majorBidi"/>
                <w:sz w:val="22"/>
              </w:rPr>
              <w:t>ante - Alignement</w:t>
            </w:r>
          </w:p>
        </w:tc>
      </w:tr>
    </w:tbl>
    <w:p w14:paraId="583051B4" w14:textId="77777777" w:rsidR="00172C7A" w:rsidRPr="00E2052F" w:rsidRDefault="00172C7A" w:rsidP="009665CE">
      <w:pPr>
        <w:spacing w:after="100" w:afterAutospacing="1" w:line="240" w:lineRule="auto"/>
        <w:jc w:val="center"/>
        <w:rPr>
          <w:rFonts w:cstheme="majorBidi"/>
          <w:sz w:val="22"/>
          <w:lang w:val="en-AE"/>
        </w:rPr>
      </w:pPr>
      <w:r w:rsidRPr="00E2052F">
        <w:rPr>
          <w:rFonts w:cstheme="majorBidi"/>
          <w:b/>
          <w:bCs/>
          <w:sz w:val="22"/>
          <w:lang w:val="en-AE"/>
        </w:rPr>
        <w:t>Source :</w:t>
      </w:r>
      <w:r w:rsidRPr="00E2052F">
        <w:rPr>
          <w:rFonts w:cstheme="majorBidi"/>
          <w:sz w:val="22"/>
          <w:lang w:val="en-AE"/>
        </w:rPr>
        <w:t xml:space="preserve"> AMAKHIR HICHAM, BENGHAZALA ZAKARIA, op.cit.,p271.</w:t>
      </w:r>
    </w:p>
    <w:p w14:paraId="50BB39EF" w14:textId="77777777" w:rsidR="00172C7A" w:rsidRPr="00E2052F" w:rsidRDefault="00172C7A" w:rsidP="00D61875">
      <w:pPr>
        <w:pStyle w:val="Titre3"/>
        <w:numPr>
          <w:ilvl w:val="0"/>
          <w:numId w:val="78"/>
        </w:numPr>
        <w:spacing w:before="40" w:beforeAutospacing="0"/>
        <w:ind w:left="568" w:hanging="284"/>
        <w:rPr>
          <w:rFonts w:asciiTheme="majorBidi" w:hAnsiTheme="majorBidi"/>
          <w:b w:val="0"/>
          <w:bCs w:val="0"/>
          <w:color w:val="auto"/>
          <w:sz w:val="22"/>
        </w:rPr>
      </w:pPr>
      <w:bookmarkStart w:id="292" w:name="_Toc228092377"/>
      <w:bookmarkStart w:id="293" w:name="_Toc231746806"/>
      <w:bookmarkStart w:id="294" w:name="_Toc231752213"/>
      <w:bookmarkStart w:id="295" w:name="_Toc231810516"/>
      <w:bookmarkStart w:id="296" w:name="_Toc231811859"/>
      <w:bookmarkStart w:id="297" w:name="_Toc231812139"/>
      <w:bookmarkStart w:id="298" w:name="_Toc231815023"/>
      <w:r w:rsidRPr="00E2052F">
        <w:rPr>
          <w:rFonts w:asciiTheme="majorBidi" w:hAnsiTheme="majorBidi"/>
          <w:color w:val="auto"/>
          <w:sz w:val="22"/>
        </w:rPr>
        <w:lastRenderedPageBreak/>
        <w:t>Théories basées sur la compétence :</w:t>
      </w:r>
      <w:bookmarkEnd w:id="292"/>
      <w:bookmarkEnd w:id="293"/>
      <w:bookmarkEnd w:id="294"/>
      <w:bookmarkEnd w:id="295"/>
      <w:bookmarkEnd w:id="296"/>
      <w:bookmarkEnd w:id="297"/>
      <w:bookmarkEnd w:id="298"/>
    </w:p>
    <w:p w14:paraId="39AA73F8" w14:textId="77777777" w:rsidR="00172C7A" w:rsidRPr="00E2052F" w:rsidRDefault="00172C7A" w:rsidP="009665CE">
      <w:pPr>
        <w:spacing w:after="100" w:afterAutospacing="1"/>
        <w:rPr>
          <w:rFonts w:cstheme="majorBidi"/>
          <w:sz w:val="22"/>
        </w:rPr>
      </w:pPr>
      <w:r w:rsidRPr="00E2052F">
        <w:rPr>
          <w:rFonts w:cstheme="majorBidi"/>
          <w:sz w:val="22"/>
        </w:rPr>
        <w:t>Les théories basées sur la compétence (ou théories de la compétence) sont des théories psychologiques qui se concentrent sur les compétences et les habiletés des individus dans les domaines cognitifs, affectifs et comportementaux. Ces théories suggèrent que les compétences sont des composantes clés de la performance et du comportement humain.</w:t>
      </w:r>
    </w:p>
    <w:p w14:paraId="5B2FCB62" w14:textId="77777777" w:rsidR="00172C7A" w:rsidRPr="00E2052F" w:rsidRDefault="00172C7A" w:rsidP="00D61875">
      <w:pPr>
        <w:pStyle w:val="Titre4"/>
        <w:numPr>
          <w:ilvl w:val="0"/>
          <w:numId w:val="85"/>
        </w:numPr>
        <w:spacing w:before="0" w:beforeAutospacing="0" w:after="160"/>
        <w:ind w:left="1287" w:hanging="720"/>
        <w:rPr>
          <w:rFonts w:asciiTheme="majorBidi" w:hAnsiTheme="majorBidi"/>
          <w:b w:val="0"/>
          <w:bCs w:val="0"/>
          <w:i w:val="0"/>
          <w:iCs w:val="0"/>
          <w:color w:val="auto"/>
          <w:sz w:val="22"/>
        </w:rPr>
      </w:pPr>
      <w:bookmarkStart w:id="299" w:name="_Toc228092378"/>
      <w:bookmarkStart w:id="300" w:name="_Toc231746807"/>
      <w:bookmarkStart w:id="301" w:name="_Toc231752214"/>
      <w:bookmarkStart w:id="302" w:name="_Toc231810517"/>
      <w:bookmarkStart w:id="303" w:name="_Toc231811860"/>
      <w:bookmarkStart w:id="304" w:name="_Toc231812140"/>
      <w:bookmarkStart w:id="305" w:name="_Toc231815024"/>
      <w:r w:rsidRPr="00E2052F">
        <w:rPr>
          <w:rFonts w:asciiTheme="majorBidi" w:hAnsiTheme="majorBidi"/>
          <w:i w:val="0"/>
          <w:iCs w:val="0"/>
          <w:color w:val="auto"/>
          <w:sz w:val="22"/>
        </w:rPr>
        <w:t>Théorie de l’enracinement :</w:t>
      </w:r>
      <w:bookmarkEnd w:id="299"/>
      <w:bookmarkEnd w:id="300"/>
      <w:bookmarkEnd w:id="301"/>
      <w:bookmarkEnd w:id="302"/>
      <w:bookmarkEnd w:id="303"/>
      <w:bookmarkEnd w:id="304"/>
      <w:bookmarkEnd w:id="305"/>
    </w:p>
    <w:p w14:paraId="539A43B8" w14:textId="77777777" w:rsidR="00172C7A" w:rsidRPr="00E2052F" w:rsidRDefault="00172C7A" w:rsidP="009665CE">
      <w:pPr>
        <w:spacing w:after="100" w:afterAutospacing="1"/>
        <w:rPr>
          <w:rFonts w:cstheme="majorBidi"/>
          <w:sz w:val="22"/>
        </w:rPr>
      </w:pPr>
      <w:r w:rsidRPr="00E2052F">
        <w:rPr>
          <w:rFonts w:cstheme="majorBidi"/>
          <w:sz w:val="22"/>
        </w:rPr>
        <w:t>L’enracinement consiste pour les dirigeants à apprécier (pour eux-mêmes) leur présence au sein de l’entreprise en rendant leur licenciement coûteux et en limitant ainsi leur risque de substitution. Le dirigeant va alors adopter des stratégies d’enracinement, c’est-à-dire se rendre indispensable au regard des actionnaires. L’enracinement reflète la volonté du dirigeant de se libérer, au moins partiellement, du contrôle des actionnaires, afin de maintenir sa position, d’accroître sa liberté d’action et/ou de maximiser ses rémunérations.</w:t>
      </w:r>
    </w:p>
    <w:p w14:paraId="6024D0DE" w14:textId="77777777" w:rsidR="00172C7A" w:rsidRPr="00E2052F" w:rsidRDefault="00172C7A" w:rsidP="009665CE">
      <w:pPr>
        <w:spacing w:after="100" w:afterAutospacing="1"/>
        <w:rPr>
          <w:rFonts w:cstheme="majorBidi"/>
          <w:sz w:val="22"/>
        </w:rPr>
      </w:pPr>
      <w:r w:rsidRPr="00E2052F">
        <w:rPr>
          <w:rFonts w:cstheme="majorBidi"/>
          <w:sz w:val="22"/>
        </w:rPr>
        <w:t>La théorie de l’enracinement est essentiellement basée sur l’opportunisme des acteurs. Cela est considéré comme un moyen pour les dirigeants de minimiser leurs efforts et de leur permettre de s’enrichir au détriment de leurs mandants. Dans cette perspective, les dirigeants sont perçus comme des agents animés uniquement par un désir d’opportunisme. Ils cherchent à profiter de toutes les ressources et moyens mis à leur disposition pour allonger leur durée de vie dans l’entreprise. Cet objectif est ensuite atteint par des méthodes qui ne visent pas à servir les intérêts des actionnaires.</w:t>
      </w:r>
      <w:r w:rsidRPr="00E2052F">
        <w:rPr>
          <w:rStyle w:val="Appelnotedebasdep"/>
          <w:rFonts w:cstheme="majorBidi"/>
          <w:sz w:val="22"/>
        </w:rPr>
        <w:footnoteReference w:id="85"/>
      </w:r>
    </w:p>
    <w:p w14:paraId="7F6DCB7B" w14:textId="77777777" w:rsidR="00172C7A" w:rsidRPr="00E2052F" w:rsidRDefault="00172C7A" w:rsidP="009665CE">
      <w:pPr>
        <w:spacing w:after="100" w:afterAutospacing="1"/>
        <w:rPr>
          <w:rFonts w:cstheme="majorBidi"/>
          <w:sz w:val="22"/>
        </w:rPr>
      </w:pPr>
      <w:r w:rsidRPr="00E2052F">
        <w:rPr>
          <w:rFonts w:cstheme="majorBidi"/>
          <w:sz w:val="22"/>
        </w:rPr>
        <w:t>Ainsi que l'ont observé A. Shleifer et R. Vishny (1989), le processus d'enracinement est multiforme. Un PDG peut privilégier le développement d'activités dans lesquelles il excelle ou favoriser la rétention d'informations en centralisant personnellement toutes les informations critiques pour la survie de l'entreprise. Il peut également favoriser un enracinement informel interne en s'appuyant sur les salariés de l'entreprise, notamment par la poursuite d'une forte croissance qui permette d'assurer des promotions abondantes, ou au contraire privilégier un enracinement de type actionnarial en accroissant son niveau de participation dans l'entreprise, en nouant des alliances avec un ou plusieurs groupes d'actionnaires significatifs ou en cumulant des mandats de PDG et d’administrateur. De ce fait on peut classifier les stratégies d’enracinement en 4 stratégies majeures :</w:t>
      </w:r>
      <w:r w:rsidRPr="00E2052F">
        <w:rPr>
          <w:rStyle w:val="Appelnotedebasdep"/>
          <w:rFonts w:cstheme="majorBidi"/>
          <w:sz w:val="22"/>
        </w:rPr>
        <w:footnoteReference w:id="86"/>
      </w:r>
    </w:p>
    <w:p w14:paraId="32243109" w14:textId="77777777" w:rsidR="00172C7A" w:rsidRPr="00E2052F" w:rsidRDefault="00172C7A" w:rsidP="00D61875">
      <w:pPr>
        <w:pStyle w:val="Paragraphedeliste"/>
        <w:numPr>
          <w:ilvl w:val="0"/>
          <w:numId w:val="82"/>
        </w:numPr>
        <w:spacing w:after="100" w:afterAutospacing="1"/>
        <w:ind w:left="0" w:firstLine="284"/>
        <w:rPr>
          <w:rFonts w:cstheme="majorBidi"/>
          <w:sz w:val="22"/>
        </w:rPr>
      </w:pPr>
      <w:r w:rsidRPr="00E2052F">
        <w:rPr>
          <w:rFonts w:cstheme="majorBidi"/>
          <w:sz w:val="22"/>
        </w:rPr>
        <w:t xml:space="preserve">Investissements spécifiques (idiosyncratiques) : Les dirigeants réalisent des investissements étroitement liés à leurs compétences ou à leur présence, dont le remplacement entraînerait une perte de </w:t>
      </w:r>
      <w:r w:rsidRPr="00E2052F">
        <w:rPr>
          <w:rFonts w:cstheme="majorBidi"/>
          <w:sz w:val="22"/>
        </w:rPr>
        <w:lastRenderedPageBreak/>
        <w:t xml:space="preserve">valeur pour l’entreprise. Cette stratégie renforce leur position, réduit le risque de révocation et accroît leur pouvoir décisionnel ainsi que leurs avantages. </w:t>
      </w:r>
    </w:p>
    <w:p w14:paraId="3179E9C8" w14:textId="77777777" w:rsidR="00172C7A" w:rsidRPr="00E2052F" w:rsidRDefault="00172C7A" w:rsidP="00D61875">
      <w:pPr>
        <w:pStyle w:val="Paragraphedeliste"/>
        <w:numPr>
          <w:ilvl w:val="0"/>
          <w:numId w:val="82"/>
        </w:numPr>
        <w:spacing w:after="100" w:afterAutospacing="1"/>
        <w:ind w:left="0" w:firstLine="284"/>
        <w:rPr>
          <w:rFonts w:cstheme="majorBidi"/>
          <w:sz w:val="22"/>
        </w:rPr>
      </w:pPr>
      <w:r w:rsidRPr="00E2052F">
        <w:rPr>
          <w:rFonts w:eastAsia="Times New Roman" w:cstheme="majorBidi"/>
          <w:sz w:val="22"/>
          <w:lang w:eastAsia="fr-FR"/>
        </w:rPr>
        <w:t xml:space="preserve">Manipulation de l’information : En contrôlant l’information et en accentuant l’asymétrie informationnelle, les dirigeants élargissent leur marge discrétionnaire. Ils privilégient des projets dont ils détiennent les informations clés, ce qui rend leur remplacement plus difficile. </w:t>
      </w:r>
    </w:p>
    <w:p w14:paraId="2D0A6A62" w14:textId="77777777" w:rsidR="00172C7A" w:rsidRPr="00E2052F" w:rsidRDefault="00172C7A" w:rsidP="00D61875">
      <w:pPr>
        <w:pStyle w:val="Paragraphedeliste"/>
        <w:numPr>
          <w:ilvl w:val="0"/>
          <w:numId w:val="82"/>
        </w:numPr>
        <w:spacing w:after="100" w:afterAutospacing="1"/>
        <w:ind w:left="0" w:firstLine="284"/>
        <w:rPr>
          <w:rFonts w:cstheme="majorBidi"/>
          <w:sz w:val="22"/>
        </w:rPr>
      </w:pPr>
      <w:r w:rsidRPr="00E2052F">
        <w:rPr>
          <w:rFonts w:eastAsia="Times New Roman" w:cstheme="majorBidi"/>
          <w:sz w:val="22"/>
          <w:lang w:eastAsia="fr-FR"/>
        </w:rPr>
        <w:t xml:space="preserve">Contrôle des ressources : Les dirigeants cherchent à limiter leur dépendance vis-à-vis des parties externes en privilégiant l’autofinancement ou l’entrée de nouveaux actionnaires. Cela leur permet d’échapper au contrôle des créanciers et de certains actionnaires. </w:t>
      </w:r>
    </w:p>
    <w:p w14:paraId="03A00B72" w14:textId="77777777" w:rsidR="00172C7A" w:rsidRPr="00E2052F" w:rsidRDefault="00172C7A" w:rsidP="00D61875">
      <w:pPr>
        <w:pStyle w:val="Paragraphedeliste"/>
        <w:numPr>
          <w:ilvl w:val="0"/>
          <w:numId w:val="82"/>
        </w:numPr>
        <w:spacing w:after="100" w:afterAutospacing="1"/>
        <w:ind w:left="0" w:firstLine="284"/>
        <w:rPr>
          <w:rFonts w:cstheme="majorBidi"/>
          <w:sz w:val="22"/>
        </w:rPr>
      </w:pPr>
      <w:r w:rsidRPr="00E2052F">
        <w:rPr>
          <w:rFonts w:eastAsia="Times New Roman" w:cstheme="majorBidi"/>
          <w:sz w:val="22"/>
          <w:lang w:eastAsia="fr-FR"/>
        </w:rPr>
        <w:t xml:space="preserve"> Réseaux relationnels : Les dirigeants développent des alliances internes et externes (salariés, actionnaires, partenaires) en distribuant avantages et opportunités, afin de consolider leur position et de rendre leur remplacement moins probable.</w:t>
      </w:r>
    </w:p>
    <w:p w14:paraId="2DE3BFB9" w14:textId="77777777" w:rsidR="00172C7A" w:rsidRPr="00E2052F" w:rsidRDefault="00172C7A" w:rsidP="009665CE">
      <w:pPr>
        <w:spacing w:after="100" w:afterAutospacing="1"/>
        <w:rPr>
          <w:rFonts w:cstheme="majorBidi"/>
          <w:sz w:val="22"/>
          <w:rtl/>
        </w:rPr>
      </w:pPr>
      <w:r w:rsidRPr="00E2052F">
        <w:rPr>
          <w:rFonts w:cstheme="majorBidi"/>
          <w:sz w:val="22"/>
        </w:rPr>
        <w:t>Paquerot (1996) quant à lui conçoit les stratégies d’enracinement des dirigeants comme des « stratégies mises en œuvre par les dirigeants pour modifier leur environnement (structure de contrôle, concurrence sur le marché de l’emploi, relations avec les partenaires…) et accroître leur pouvoir sur les actionnaires ainsi que sur les différents partenaires de la firme».</w:t>
      </w:r>
      <w:r w:rsidRPr="00E2052F">
        <w:rPr>
          <w:rStyle w:val="Appelnotedebasdep"/>
          <w:rFonts w:cstheme="majorBidi"/>
          <w:sz w:val="22"/>
        </w:rPr>
        <w:footnoteReference w:id="87"/>
      </w:r>
    </w:p>
    <w:p w14:paraId="153EF599" w14:textId="77777777" w:rsidR="00172C7A" w:rsidRPr="00E2052F" w:rsidRDefault="00172C7A" w:rsidP="00D61875">
      <w:pPr>
        <w:pStyle w:val="Titre4"/>
        <w:numPr>
          <w:ilvl w:val="0"/>
          <w:numId w:val="85"/>
        </w:numPr>
        <w:spacing w:before="0" w:beforeAutospacing="0" w:after="160"/>
        <w:ind w:left="1287" w:hanging="720"/>
        <w:rPr>
          <w:rFonts w:asciiTheme="majorBidi" w:hAnsiTheme="majorBidi"/>
          <w:b w:val="0"/>
          <w:bCs w:val="0"/>
          <w:i w:val="0"/>
          <w:iCs w:val="0"/>
          <w:color w:val="auto"/>
          <w:sz w:val="22"/>
        </w:rPr>
      </w:pPr>
      <w:bookmarkStart w:id="306" w:name="_Toc228092379"/>
      <w:bookmarkStart w:id="307" w:name="_Toc231746808"/>
      <w:bookmarkStart w:id="308" w:name="_Toc231752215"/>
      <w:bookmarkStart w:id="309" w:name="_Toc231810518"/>
      <w:bookmarkStart w:id="310" w:name="_Toc231811861"/>
      <w:bookmarkStart w:id="311" w:name="_Toc231812141"/>
      <w:bookmarkStart w:id="312" w:name="_Toc231815025"/>
      <w:r w:rsidRPr="00E2052F">
        <w:rPr>
          <w:rFonts w:asciiTheme="majorBidi" w:hAnsiTheme="majorBidi"/>
          <w:i w:val="0"/>
          <w:iCs w:val="0"/>
          <w:color w:val="auto"/>
          <w:sz w:val="22"/>
        </w:rPr>
        <w:t>Théorie de l’intendance :</w:t>
      </w:r>
      <w:bookmarkEnd w:id="306"/>
      <w:bookmarkEnd w:id="307"/>
      <w:bookmarkEnd w:id="308"/>
      <w:bookmarkEnd w:id="309"/>
      <w:bookmarkEnd w:id="310"/>
      <w:bookmarkEnd w:id="311"/>
      <w:bookmarkEnd w:id="312"/>
    </w:p>
    <w:p w14:paraId="2B60BCCF" w14:textId="77777777" w:rsidR="00172C7A" w:rsidRPr="00E2052F" w:rsidRDefault="00172C7A" w:rsidP="009665CE">
      <w:pPr>
        <w:spacing w:after="100" w:afterAutospacing="1"/>
        <w:rPr>
          <w:rFonts w:cstheme="majorBidi"/>
          <w:sz w:val="22"/>
        </w:rPr>
      </w:pPr>
      <w:r w:rsidRPr="00E2052F">
        <w:rPr>
          <w:rFonts w:cstheme="majorBidi"/>
          <w:sz w:val="22"/>
        </w:rPr>
        <w:t>La théorie de l’intendance repose sur des fondements à la fois psychologiques et sociologiques et propose une lecture alternative de la gouvernance d’entreprise, fondée sur l’hypothèse d’un comportement fondamentalement altruiste des dirigeants. Dans cette perspective, ces derniers sont envisagés comme des « intendants » agissant dans l’intérêt de l’organisation, en assumant un rôle d’experts, de conseillers et d’acteurs clés dans l’élaboration ainsi que dans la mise en œuvre de la stratégie. À cet égard, James H. Davis et ses coauteurs (1997) opposent cette approche à celle de la théorie de l’agence, centrée sur la relation principal–agent et marquée par une vision plus opportuniste du comportement des dirigeants.</w:t>
      </w:r>
    </w:p>
    <w:p w14:paraId="39381CF4" w14:textId="77777777" w:rsidR="00172C7A" w:rsidRPr="00E2052F" w:rsidRDefault="00172C7A" w:rsidP="009665CE">
      <w:pPr>
        <w:spacing w:after="100" w:afterAutospacing="1"/>
        <w:rPr>
          <w:rFonts w:cstheme="majorBidi"/>
          <w:sz w:val="22"/>
        </w:rPr>
      </w:pPr>
      <w:r w:rsidRPr="00E2052F">
        <w:rPr>
          <w:rFonts w:cstheme="majorBidi"/>
          <w:sz w:val="22"/>
        </w:rPr>
        <w:t xml:space="preserve">Dans le même ordre d’idées, Stéphane Trébucq (2003) souligne que les coûts d’agence ne suffisent pas à expliquer les écarts de performance des entreprises. Il apparaît nécessaire d’intégrer d’autres variables, telles que les compétences individuelles, le niveau de connaissance, les effets d’apprentissage ou encore la qualité de l’information disponible. Par ailleurs, Michael Armstrong (1997) considère que la théorie de l’intendance vise avant tout la maximisation du bien-être collectif à travers une logique de service, plutôt que par le recours à des mécanismes de contrôle stricts. Le dirigeant-intendant est ainsi perçu comme un coordinateur des ressources humaines et matérielles, privilégiant la coopération, </w:t>
      </w:r>
      <w:r w:rsidRPr="00E2052F">
        <w:rPr>
          <w:rFonts w:cstheme="majorBidi"/>
          <w:sz w:val="22"/>
        </w:rPr>
        <w:lastRenderedPageBreak/>
        <w:t>l’engagement organisationnel et la poursuite d’objectifs collectifs au détriment des comportements individualistes.</w:t>
      </w:r>
    </w:p>
    <w:p w14:paraId="38BB889E" w14:textId="77777777" w:rsidR="00172C7A" w:rsidRPr="00E2052F" w:rsidRDefault="00172C7A" w:rsidP="009665CE">
      <w:pPr>
        <w:spacing w:after="100" w:afterAutospacing="1"/>
        <w:rPr>
          <w:rFonts w:cstheme="majorBidi"/>
          <w:sz w:val="22"/>
        </w:rPr>
      </w:pPr>
      <w:r w:rsidRPr="00E2052F">
        <w:rPr>
          <w:rFonts w:cstheme="majorBidi"/>
          <w:sz w:val="22"/>
        </w:rPr>
        <w:t>En outre, bien que les théories de l’agence et de l’intendance s’intéressent toutes deux aux relations entre dirigeants et actionnaires, elles se distinguent fondamentalement par leur conception de la nature humaine. Là où la théorie de l’agence suppose un individu opportuniste et guidé par l’intérêt personnel, la théorie de l’intendance adopte une vision plus humaniste, postulant un alignement naturel des intérêts entre dirigeants et parties prenantes. Dans cette optique, la performance organisationnelle serait davantage favorisée par la confiance, l’autonomie et l’octroi de responsabilités accrues aux dirigeants que par des dispositifs de contrôle contraignants. Dès lors, le système de gouvernance ne vise plus prioritairement à surveiller ou discipliner les dirigeants, mais plutôt à créer un environnement propice à leur initiative, à leur engagement et à leur capacité d’innovation, le contrôle excessif pouvant même s’avérer contre-productif en freinant leur motivation.</w:t>
      </w:r>
      <w:r w:rsidRPr="00E2052F">
        <w:rPr>
          <w:rStyle w:val="Appelnotedebasdep"/>
          <w:rFonts w:cstheme="majorBidi"/>
          <w:sz w:val="22"/>
        </w:rPr>
        <w:footnoteReference w:id="88"/>
      </w:r>
    </w:p>
    <w:p w14:paraId="0D74F649" w14:textId="77777777" w:rsidR="00172C7A" w:rsidRPr="00E2052F" w:rsidRDefault="00172C7A" w:rsidP="00D61875">
      <w:pPr>
        <w:pStyle w:val="Titre3"/>
        <w:numPr>
          <w:ilvl w:val="0"/>
          <w:numId w:val="78"/>
        </w:numPr>
        <w:spacing w:before="40" w:beforeAutospacing="0"/>
        <w:ind w:left="568" w:hanging="284"/>
        <w:rPr>
          <w:rFonts w:asciiTheme="majorBidi" w:hAnsiTheme="majorBidi"/>
          <w:b w:val="0"/>
          <w:bCs w:val="0"/>
          <w:color w:val="auto"/>
          <w:sz w:val="22"/>
        </w:rPr>
      </w:pPr>
      <w:bookmarkStart w:id="313" w:name="_Toc228092380"/>
      <w:bookmarkStart w:id="314" w:name="_Toc231746809"/>
      <w:bookmarkStart w:id="315" w:name="_Toc231752216"/>
      <w:bookmarkStart w:id="316" w:name="_Toc231810519"/>
      <w:bookmarkStart w:id="317" w:name="_Toc231811862"/>
      <w:bookmarkStart w:id="318" w:name="_Toc231812142"/>
      <w:bookmarkStart w:id="319" w:name="_Toc231815026"/>
      <w:r w:rsidRPr="00E2052F">
        <w:rPr>
          <w:rFonts w:asciiTheme="majorBidi" w:hAnsiTheme="majorBidi"/>
          <w:color w:val="auto"/>
          <w:sz w:val="22"/>
        </w:rPr>
        <w:t>La théorie actionnariale (modèle sharholder) :</w:t>
      </w:r>
      <w:bookmarkEnd w:id="313"/>
      <w:bookmarkEnd w:id="314"/>
      <w:bookmarkEnd w:id="315"/>
      <w:bookmarkEnd w:id="316"/>
      <w:bookmarkEnd w:id="317"/>
      <w:bookmarkEnd w:id="318"/>
      <w:bookmarkEnd w:id="319"/>
    </w:p>
    <w:p w14:paraId="5B18FCAD" w14:textId="77777777" w:rsidR="00172C7A" w:rsidRPr="00E2052F" w:rsidRDefault="00172C7A" w:rsidP="009665CE">
      <w:pPr>
        <w:spacing w:after="100" w:afterAutospacing="1"/>
        <w:rPr>
          <w:rFonts w:cstheme="majorBidi"/>
          <w:sz w:val="22"/>
        </w:rPr>
      </w:pPr>
      <w:r w:rsidRPr="00E2052F">
        <w:rPr>
          <w:rFonts w:cstheme="majorBidi"/>
          <w:sz w:val="22"/>
        </w:rPr>
        <w:t>La théorie actionnariale de la gouvernance, également désignée sous l’appellation de modèle shareholder, constitue une approche centrée sur la primauté des actionnaires dans le processus décisionnel de l’entreprise. Elle postule que la finalité essentielle de la firme réside dans la maximisation de la richesse des actionnaires, considérés comme les détenteurs légitimes des droits de propriété. Dans cette perspective, les décisions stratégiques doivent prioritairement viser l’accroissement de la rentabilité et la création de valeur actionnariale.</w:t>
      </w:r>
    </w:p>
    <w:p w14:paraId="68A24E7D" w14:textId="77777777" w:rsidR="00172C7A" w:rsidRPr="00E2052F" w:rsidRDefault="00172C7A" w:rsidP="009665CE">
      <w:pPr>
        <w:spacing w:after="100" w:afterAutospacing="1"/>
        <w:rPr>
          <w:rFonts w:cstheme="majorBidi"/>
          <w:sz w:val="22"/>
        </w:rPr>
      </w:pPr>
      <w:r w:rsidRPr="00E2052F">
        <w:rPr>
          <w:rFonts w:cstheme="majorBidi"/>
          <w:sz w:val="22"/>
        </w:rPr>
        <w:t>L’essor de cette conception s’inscrit dans le contexte des années 1970, marqué par l’émergence des travaux de Michael Jensen et William Meckling (1976), qui ont formalisé la théorie de l’agence. Ces auteurs mettent en évidence la séparation entre propriété et contrôle, caractéristique des grandes entreprises modernes, où les actionnaires (principaux) délèguent la gestion aux dirigeants (agents). Cette relation engendre des divergences d’intérêts, les dirigeants étant susceptibles de privilégier leurs objectifs personnels au détriment de ceux des actionnaires, ce qui se traduit par l’apparition de coûts d’agence, tels que les conflits d’intérêts, les inefficiences organisationnelles ou encore la mauvaise allocation des ressources.</w:t>
      </w:r>
    </w:p>
    <w:p w14:paraId="35AA02DA" w14:textId="77777777" w:rsidR="00172C7A" w:rsidRPr="00E2052F" w:rsidRDefault="00172C7A" w:rsidP="009665CE">
      <w:pPr>
        <w:spacing w:after="100" w:afterAutospacing="1"/>
        <w:rPr>
          <w:rFonts w:cstheme="majorBidi"/>
          <w:sz w:val="22"/>
        </w:rPr>
      </w:pPr>
      <w:r w:rsidRPr="00E2052F">
        <w:rPr>
          <w:rFonts w:cstheme="majorBidi"/>
          <w:sz w:val="22"/>
        </w:rPr>
        <w:t xml:space="preserve">Afin de limiter ces dysfonctionnements, la théorie de l’agence préconise la mise en place de mécanismes de contrôle et d’incitation visant à aligner les intérêts des dirigeants sur ceux des actionnaires. Ces mécanismes incluent notamment le renforcement du pouvoir des actionnaires à travers leur participation aux assemblées générales, la nomination et la supervision des membres du conseil </w:t>
      </w:r>
      <w:r w:rsidRPr="00E2052F">
        <w:rPr>
          <w:rFonts w:cstheme="majorBidi"/>
          <w:sz w:val="22"/>
        </w:rPr>
        <w:lastRenderedPageBreak/>
        <w:t>d’administration, ainsi que l’instauration de dispositifs de rémunération incitative, tels que les stock-options ou la détention d’actions par les dirigeants.</w:t>
      </w:r>
    </w:p>
    <w:p w14:paraId="563C3F2F" w14:textId="77777777" w:rsidR="00172C7A" w:rsidRPr="00E2052F" w:rsidRDefault="00172C7A" w:rsidP="009665CE">
      <w:pPr>
        <w:spacing w:after="100" w:afterAutospacing="1"/>
        <w:rPr>
          <w:rFonts w:cstheme="majorBidi"/>
          <w:sz w:val="22"/>
        </w:rPr>
      </w:pPr>
      <w:r w:rsidRPr="00E2052F">
        <w:rPr>
          <w:rFonts w:cstheme="majorBidi"/>
          <w:sz w:val="22"/>
        </w:rPr>
        <w:t>Dans ce cadre, le modèle actionnarial s’inscrit dans une logique financière privilégiant la maximisation de la valeur des fonds propres et considérant les actionnaires comme les créanciers résiduels de l’entreprise. La performance est alors appréciée à travers l’indicateur de la valeur actionnariale (shareholder value). Toutefois, cette approche fait l’objet de critiques, en raison de son caractère restrictif, dans la mesure où elle tend à négliger les intérêts des autres parties prenantes, pourtant essentielles au fonctionnement et à la pérennité de l’entreprise.</w:t>
      </w:r>
      <w:r w:rsidRPr="00E2052F">
        <w:rPr>
          <w:rStyle w:val="Appelnotedebasdep"/>
          <w:rFonts w:cstheme="majorBidi"/>
          <w:sz w:val="22"/>
        </w:rPr>
        <w:footnoteReference w:id="89"/>
      </w:r>
    </w:p>
    <w:p w14:paraId="6050CDAE" w14:textId="77777777" w:rsidR="00172C7A" w:rsidRPr="00E2052F" w:rsidRDefault="00172C7A" w:rsidP="00D61875">
      <w:pPr>
        <w:pStyle w:val="Titre3"/>
        <w:numPr>
          <w:ilvl w:val="0"/>
          <w:numId w:val="78"/>
        </w:numPr>
        <w:spacing w:before="40" w:beforeAutospacing="0"/>
        <w:ind w:left="568" w:hanging="284"/>
        <w:rPr>
          <w:rFonts w:asciiTheme="majorBidi" w:hAnsiTheme="majorBidi"/>
          <w:b w:val="0"/>
          <w:bCs w:val="0"/>
          <w:color w:val="auto"/>
          <w:sz w:val="22"/>
        </w:rPr>
      </w:pPr>
      <w:bookmarkStart w:id="320" w:name="_Toc228092381"/>
      <w:bookmarkStart w:id="321" w:name="_Toc231746810"/>
      <w:bookmarkStart w:id="322" w:name="_Toc231752217"/>
      <w:bookmarkStart w:id="323" w:name="_Toc231810520"/>
      <w:bookmarkStart w:id="324" w:name="_Toc231811863"/>
      <w:bookmarkStart w:id="325" w:name="_Toc231812143"/>
      <w:bookmarkStart w:id="326" w:name="_Toc231815027"/>
      <w:r w:rsidRPr="00E2052F">
        <w:rPr>
          <w:rFonts w:asciiTheme="majorBidi" w:hAnsiTheme="majorBidi"/>
          <w:color w:val="auto"/>
          <w:sz w:val="22"/>
        </w:rPr>
        <w:t>La théorie partenariale (modèle stakeholder) :</w:t>
      </w:r>
      <w:bookmarkEnd w:id="320"/>
      <w:bookmarkEnd w:id="321"/>
      <w:bookmarkEnd w:id="322"/>
      <w:bookmarkEnd w:id="323"/>
      <w:bookmarkEnd w:id="324"/>
      <w:bookmarkEnd w:id="325"/>
      <w:bookmarkEnd w:id="326"/>
    </w:p>
    <w:p w14:paraId="16EF83B9" w14:textId="77777777" w:rsidR="00172C7A" w:rsidRPr="00E2052F" w:rsidRDefault="00172C7A" w:rsidP="009665CE">
      <w:pPr>
        <w:spacing w:after="100" w:afterAutospacing="1"/>
        <w:rPr>
          <w:rFonts w:cstheme="majorBidi"/>
          <w:sz w:val="22"/>
        </w:rPr>
      </w:pPr>
      <w:r w:rsidRPr="00E2052F">
        <w:rPr>
          <w:rFonts w:cstheme="majorBidi"/>
          <w:sz w:val="22"/>
        </w:rPr>
        <w:t xml:space="preserve">La théorie partenariale de la gouvernance, également désignée sous le modèle </w:t>
      </w:r>
      <w:r w:rsidRPr="00E2052F">
        <w:rPr>
          <w:rFonts w:cstheme="majorBidi"/>
          <w:i/>
          <w:iCs/>
          <w:sz w:val="22"/>
        </w:rPr>
        <w:t>stakeholder</w:t>
      </w:r>
      <w:r w:rsidRPr="00E2052F">
        <w:rPr>
          <w:rFonts w:cstheme="majorBidi"/>
          <w:sz w:val="22"/>
        </w:rPr>
        <w:t>, propose une approche élargie de l’entreprise en intégrant l’ensemble des parties prenantes dans le processus décisionnel. Elle a été notamment développée par R. Edward Freeman (1984), qui considère que l’entreprise ne doit pas se limiter à la maximisation de la richesse des actionnaires, mais qu’elle doit également prendre en compte les intérêts de tous les acteurs impliqués, tels que les salariés, les clients, les fournisseurs ou encore la société dans son ensemble. Dans cette perspective, la gouvernance vise à concilier des intérêts multiples et parfois divergents, en favorisant une gestion équilibrée et responsable.</w:t>
      </w:r>
    </w:p>
    <w:p w14:paraId="7D9D1F2E" w14:textId="77777777" w:rsidR="00172C7A" w:rsidRPr="00E2052F" w:rsidRDefault="00172C7A" w:rsidP="009665CE">
      <w:pPr>
        <w:spacing w:after="100" w:afterAutospacing="1"/>
        <w:rPr>
          <w:rFonts w:cstheme="majorBidi"/>
          <w:sz w:val="22"/>
        </w:rPr>
      </w:pPr>
      <w:r w:rsidRPr="00E2052F">
        <w:rPr>
          <w:rFonts w:cstheme="majorBidi"/>
          <w:sz w:val="22"/>
        </w:rPr>
        <w:t>Dans ce cadre, la firme est envisagée comme une coalition de parties prenantes dont la coopération constitue le fondement de la création de valeur. Celle-ci résulte des interactions et des synergies entre les différents acteurs, ce qui conduit à une conception élargie de la performance, qualifiée de valeur partenariale. Contrairement à l’approche actionnariale, la création et la répartition de la valeur ne concernent pas exclusivement les actionnaires, mais s’étendent à l’ensemble des partenaires de l’entreprise. Néanmoins, la discipline des dirigeants demeure un élément central, dans la mesure où ces derniers jouent un rôle déterminant dans l’arbitrage entre les intérêts des différentes parties prenantes.</w:t>
      </w:r>
    </w:p>
    <w:p w14:paraId="0FC212C9" w14:textId="77777777" w:rsidR="00172C7A" w:rsidRPr="00E2052F" w:rsidRDefault="00172C7A" w:rsidP="009665CE">
      <w:pPr>
        <w:spacing w:after="100" w:afterAutospacing="1"/>
        <w:rPr>
          <w:rFonts w:cstheme="majorBidi"/>
          <w:sz w:val="22"/>
        </w:rPr>
      </w:pPr>
      <w:r w:rsidRPr="00E2052F">
        <w:rPr>
          <w:rFonts w:cstheme="majorBidi"/>
          <w:sz w:val="22"/>
        </w:rPr>
        <w:t xml:space="preserve">Toutefois, bien que cette approche offre une vision plus inclusive et une capacité explicative accrue des mécanismes de gouvernance, elle conserve certaines hypothèses issues de la théorie de l’agence, notamment en ce qui concerne l’opportunisme potentiel des dirigeants. Par ailleurs, si elle élargit la notion d’efficience organisationnelle, elle reste relativement limitée dans l’analyse des processus dynamiques de création de valeur, tels que l’apprentissage organisationnel et l’innovation. Comme le souligne Eric-Alain Zoukhoua (2005), la théorie partenariale s’inscrit ainsi dans une logique </w:t>
      </w:r>
      <w:r w:rsidRPr="00E2052F">
        <w:rPr>
          <w:rFonts w:cstheme="majorBidi"/>
          <w:sz w:val="22"/>
        </w:rPr>
        <w:lastRenderedPageBreak/>
        <w:t>complémentaire aux autres approches de la gouvernance, tout en présentant certaines limites quant à l’explication globale de la performance des organisations.</w:t>
      </w:r>
      <w:r w:rsidRPr="00E2052F">
        <w:rPr>
          <w:rStyle w:val="Appelnotedebasdep"/>
          <w:rFonts w:cstheme="majorBidi"/>
          <w:sz w:val="22"/>
        </w:rPr>
        <w:footnoteReference w:id="90"/>
      </w:r>
    </w:p>
    <w:p w14:paraId="2357723A" w14:textId="77777777" w:rsidR="00172C7A" w:rsidRPr="00A05DFC" w:rsidRDefault="00172C7A" w:rsidP="00A05DFC">
      <w:pPr>
        <w:pStyle w:val="Titre3"/>
        <w:numPr>
          <w:ilvl w:val="0"/>
          <w:numId w:val="78"/>
        </w:numPr>
        <w:rPr>
          <w:rFonts w:asciiTheme="majorBidi" w:hAnsiTheme="majorBidi"/>
          <w:sz w:val="22"/>
          <w:szCs w:val="20"/>
        </w:rPr>
      </w:pPr>
      <w:bookmarkStart w:id="327" w:name="_Toc228092382"/>
      <w:bookmarkStart w:id="328" w:name="_Toc231746811"/>
      <w:bookmarkStart w:id="329" w:name="_Toc231752218"/>
      <w:bookmarkStart w:id="330" w:name="_Toc231810521"/>
      <w:bookmarkStart w:id="331" w:name="_Toc231811864"/>
      <w:bookmarkStart w:id="332" w:name="_Toc231812144"/>
      <w:bookmarkStart w:id="333" w:name="_Toc231815028"/>
      <w:r w:rsidRPr="00A05DFC">
        <w:rPr>
          <w:rFonts w:asciiTheme="majorBidi" w:hAnsiTheme="majorBidi"/>
          <w:color w:val="auto"/>
          <w:sz w:val="22"/>
          <w:szCs w:val="20"/>
        </w:rPr>
        <w:t>La théorie cognitive de la gouvernance :</w:t>
      </w:r>
      <w:bookmarkEnd w:id="327"/>
      <w:bookmarkEnd w:id="328"/>
      <w:bookmarkEnd w:id="329"/>
      <w:bookmarkEnd w:id="330"/>
      <w:bookmarkEnd w:id="331"/>
      <w:bookmarkEnd w:id="332"/>
      <w:bookmarkEnd w:id="333"/>
      <w:r w:rsidRPr="00A05DFC">
        <w:rPr>
          <w:rFonts w:asciiTheme="majorBidi" w:hAnsiTheme="majorBidi"/>
          <w:sz w:val="22"/>
          <w:szCs w:val="20"/>
        </w:rPr>
        <w:tab/>
      </w:r>
    </w:p>
    <w:p w14:paraId="6CC5E04D" w14:textId="77777777" w:rsidR="00172C7A" w:rsidRPr="00E2052F" w:rsidRDefault="00172C7A" w:rsidP="00D24F5E">
      <w:pPr>
        <w:tabs>
          <w:tab w:val="left" w:pos="1719"/>
        </w:tabs>
        <w:spacing w:after="100" w:afterAutospacing="1"/>
        <w:rPr>
          <w:rFonts w:cstheme="majorBidi"/>
          <w:sz w:val="22"/>
        </w:rPr>
      </w:pPr>
      <w:r w:rsidRPr="00E2052F">
        <w:rPr>
          <w:rFonts w:cstheme="majorBidi"/>
          <w:sz w:val="22"/>
        </w:rPr>
        <w:t>Cette approche théorique remet en cause l’hypothèse de rationalité substantielle pour lui substituer une rationalité dite procédurale, dans laquelle l’évaluation de la rationalité ne repose plus uniquement sur les résultats des décisions, mais sur les processus qui les sous-tendent. Dans cette perspective, la création de valeur dépend principalement de l’identité organisationnelle et des compétences, envisagées comme un ensemble cohérent et structuré, conformément aux travaux de David Teece et ses coauteurs. Contrairement aux approches disciplinaires, le processus de création et d’appropriation de la valeur s’inscrit ici dans une logique différente, où l’organisation est perçue comme un réservoir de connaissances capable d’identifier et d’exploiter durablement de nouvelles opportunités.</w:t>
      </w:r>
    </w:p>
    <w:p w14:paraId="7E3AE3E1" w14:textId="77777777" w:rsidR="00172C7A" w:rsidRPr="00E2052F" w:rsidRDefault="00172C7A" w:rsidP="00D24F5E">
      <w:pPr>
        <w:tabs>
          <w:tab w:val="left" w:pos="1719"/>
        </w:tabs>
        <w:spacing w:after="100" w:afterAutospacing="1"/>
        <w:rPr>
          <w:rFonts w:cstheme="majorBidi"/>
          <w:sz w:val="22"/>
        </w:rPr>
      </w:pPr>
      <w:r w:rsidRPr="00E2052F">
        <w:rPr>
          <w:rFonts w:cstheme="majorBidi"/>
          <w:sz w:val="22"/>
        </w:rPr>
        <w:t>Dans ce cadre, la valeur est générée par la capacité du management à concevoir, interpréter et développer de nouvelles opportunités productives. Comme le soulignent C. K. Prahalad (1994) ainsi que William Lazonick et Mary O'Sullivan (1998, 2000), cette dynamique repose sur l’aptitude des dirigeants à mobiliser les ressources, à innover et à coordonner efficacement les activités organisationnelles. Ainsi, une attention particulière est accordée à la dimension productive de la gouvernance, notamment à travers les processus d’innovation et de coordination qui constituent des leviers essentiels de performance.</w:t>
      </w:r>
    </w:p>
    <w:p w14:paraId="34451CF5" w14:textId="77777777" w:rsidR="00172C7A" w:rsidRPr="00E2052F" w:rsidRDefault="00172C7A" w:rsidP="00D24F5E">
      <w:pPr>
        <w:tabs>
          <w:tab w:val="left" w:pos="1719"/>
        </w:tabs>
        <w:spacing w:after="100" w:afterAutospacing="1"/>
        <w:rPr>
          <w:rFonts w:cstheme="majorBidi"/>
          <w:sz w:val="22"/>
        </w:rPr>
      </w:pPr>
      <w:r w:rsidRPr="00E2052F">
        <w:rPr>
          <w:rFonts w:cstheme="majorBidi"/>
          <w:sz w:val="22"/>
        </w:rPr>
        <w:t>Dans une perspective cognitive, Gérard Charreaux (2002) définit la gouvernance comme l’ensemble des mécanismes visant à accroître le potentiel de création de valeur par le biais de l’apprentissage et de l’innovation. Cette approche se distingue des théories précédentes par une conception plus dynamique de la création de valeur. Alors que les approches disciplinaires et actionnariales reposent sur une vision relativement statique, l’approche cognitive met en avant des processus évolutifs et cumulatifs. Dès lors, chacune de ces théories propose une lecture spécifique de la gouvernance et des mécanismes à privilégier. Dans ce contexte, il apparaît pertinent d’identifier, à travers l’analyse empirique, l’approche la plus apte à rendre compte des réalités organisationnelles, notamment dans le cadre des structures associatives.</w:t>
      </w:r>
      <w:r w:rsidRPr="00E2052F">
        <w:rPr>
          <w:rStyle w:val="Appelnotedebasdep"/>
          <w:rFonts w:cstheme="majorBidi"/>
          <w:sz w:val="22"/>
        </w:rPr>
        <w:footnoteReference w:id="91"/>
      </w:r>
    </w:p>
    <w:p w14:paraId="5A74C456" w14:textId="77777777" w:rsidR="00172C7A" w:rsidRPr="00E2052F" w:rsidRDefault="00172C7A" w:rsidP="00C8480E">
      <w:pPr>
        <w:pStyle w:val="Titre2"/>
      </w:pPr>
      <w:bookmarkStart w:id="334" w:name="_Toc228092383"/>
      <w:bookmarkStart w:id="335" w:name="_Toc231746812"/>
      <w:bookmarkStart w:id="336" w:name="_Toc231752219"/>
      <w:bookmarkStart w:id="337" w:name="_Toc231810522"/>
      <w:bookmarkStart w:id="338" w:name="_Toc231811865"/>
      <w:bookmarkStart w:id="339" w:name="_Toc231812145"/>
      <w:bookmarkStart w:id="340" w:name="_Toc231815029"/>
      <w:r w:rsidRPr="00E2052F">
        <w:lastRenderedPageBreak/>
        <w:t>Les modèles de la gouvernance d’entreprise :</w:t>
      </w:r>
      <w:bookmarkEnd w:id="334"/>
      <w:bookmarkEnd w:id="335"/>
      <w:bookmarkEnd w:id="336"/>
      <w:bookmarkEnd w:id="337"/>
      <w:bookmarkEnd w:id="338"/>
      <w:bookmarkEnd w:id="339"/>
      <w:bookmarkEnd w:id="340"/>
    </w:p>
    <w:p w14:paraId="4C9CEF35" w14:textId="77777777" w:rsidR="00172C7A" w:rsidRPr="00E2052F" w:rsidRDefault="00172C7A" w:rsidP="00D24F5E">
      <w:pPr>
        <w:spacing w:after="100" w:afterAutospacing="1"/>
        <w:rPr>
          <w:rFonts w:cstheme="majorBidi"/>
          <w:sz w:val="22"/>
        </w:rPr>
      </w:pPr>
      <w:r w:rsidRPr="00E2052F">
        <w:rPr>
          <w:rFonts w:cstheme="majorBidi"/>
          <w:sz w:val="22"/>
        </w:rPr>
        <w:t>À l’échelle internationale, les systèmes de gouvernance d’entreprise se caractérisent par une grande diversité, reflétant les spécificités propres à chaque pays. Cette hétérogénéité s’explique par l’influence de plusieurs facteurs déterminants, notamment le cadre juridique et réglementaire, les valeurs culturelles, les orientations des politiques publiques ainsi que le degré de développement des marchés financiers. Ces éléments contribuent à façonner des modèles de gouvernance distincts, adaptés aux contextes économiques et institutionnels nationaux.</w:t>
      </w:r>
    </w:p>
    <w:p w14:paraId="3B91A789" w14:textId="77777777" w:rsidR="00172C7A" w:rsidRPr="00E2052F" w:rsidRDefault="00172C7A" w:rsidP="00D24F5E">
      <w:pPr>
        <w:spacing w:after="100" w:afterAutospacing="1"/>
        <w:rPr>
          <w:rFonts w:cstheme="majorBidi"/>
          <w:sz w:val="22"/>
        </w:rPr>
      </w:pPr>
      <w:r w:rsidRPr="00E2052F">
        <w:rPr>
          <w:rFonts w:cstheme="majorBidi"/>
          <w:sz w:val="22"/>
        </w:rPr>
        <w:t>Par ailleurs, les dirigeants sont tenus d’assurer une gestion conforme aux intérêts des actionnaires, tout en prenant en considération les attentes des autres parties prenantes, c’est-à-dire l’ensemble des acteurs impliqués dans la vie de l’entreprise. Ainsi, la structure de gouvernance doit permettre de concilier ces différents intérêts afin de garantir un fonctionnement équilibré et durable. Dans cette perspective, la littérature distingue généralement deux grands modèles de gouvernance d’entreprise : d’une part, les modèles orientés vers le marché, et d’autre part, ceux reposant sur un rôle prépondérant des institutions bancaires.</w:t>
      </w:r>
    </w:p>
    <w:p w14:paraId="5DD50018" w14:textId="77777777" w:rsidR="00172C7A" w:rsidRPr="00E2052F" w:rsidRDefault="00172C7A" w:rsidP="00D61875">
      <w:pPr>
        <w:pStyle w:val="Titre3"/>
        <w:numPr>
          <w:ilvl w:val="0"/>
          <w:numId w:val="70"/>
        </w:numPr>
        <w:spacing w:before="40" w:beforeAutospacing="0"/>
        <w:ind w:left="568" w:hanging="284"/>
        <w:rPr>
          <w:rFonts w:asciiTheme="majorBidi" w:hAnsiTheme="majorBidi"/>
          <w:b w:val="0"/>
          <w:bCs w:val="0"/>
          <w:color w:val="auto"/>
          <w:sz w:val="22"/>
        </w:rPr>
      </w:pPr>
      <w:bookmarkStart w:id="341" w:name="_Toc228092384"/>
      <w:bookmarkStart w:id="342" w:name="_Toc231746813"/>
      <w:bookmarkStart w:id="343" w:name="_Toc231752220"/>
      <w:bookmarkStart w:id="344" w:name="_Toc231810523"/>
      <w:bookmarkStart w:id="345" w:name="_Toc231811866"/>
      <w:bookmarkStart w:id="346" w:name="_Toc231812146"/>
      <w:bookmarkStart w:id="347" w:name="_Toc231815030"/>
      <w:r w:rsidRPr="00E2052F">
        <w:rPr>
          <w:rFonts w:asciiTheme="majorBidi" w:hAnsiTheme="majorBidi"/>
          <w:color w:val="auto"/>
          <w:sz w:val="22"/>
        </w:rPr>
        <w:t>Modèle d’Erik Berglof :</w:t>
      </w:r>
      <w:bookmarkEnd w:id="341"/>
      <w:bookmarkEnd w:id="342"/>
      <w:bookmarkEnd w:id="343"/>
      <w:bookmarkEnd w:id="344"/>
      <w:bookmarkEnd w:id="345"/>
      <w:bookmarkEnd w:id="346"/>
      <w:bookmarkEnd w:id="347"/>
    </w:p>
    <w:p w14:paraId="4F7183F1" w14:textId="77777777" w:rsidR="00172C7A" w:rsidRPr="00E2052F" w:rsidRDefault="00172C7A" w:rsidP="00D24F5E">
      <w:pPr>
        <w:spacing w:after="100" w:afterAutospacing="1"/>
        <w:rPr>
          <w:rFonts w:cstheme="majorBidi"/>
          <w:sz w:val="22"/>
        </w:rPr>
      </w:pPr>
      <w:r w:rsidRPr="00E2052F">
        <w:rPr>
          <w:rFonts w:cstheme="majorBidi"/>
          <w:sz w:val="22"/>
        </w:rPr>
        <w:t>Selon Erik Berglof, les systèmes de gouvernance d’entreprise se décomposent en deux catégories :</w:t>
      </w:r>
    </w:p>
    <w:p w14:paraId="50DF8B9E" w14:textId="77777777" w:rsidR="00172C7A" w:rsidRPr="00E2052F" w:rsidRDefault="00172C7A" w:rsidP="00D61875">
      <w:pPr>
        <w:pStyle w:val="Titre4"/>
        <w:numPr>
          <w:ilvl w:val="0"/>
          <w:numId w:val="71"/>
        </w:numPr>
        <w:spacing w:before="100" w:after="100" w:afterAutospacing="1"/>
        <w:ind w:left="1287" w:hanging="720"/>
        <w:rPr>
          <w:rFonts w:asciiTheme="majorBidi" w:hAnsiTheme="majorBidi"/>
          <w:b w:val="0"/>
          <w:bCs w:val="0"/>
          <w:i w:val="0"/>
          <w:iCs w:val="0"/>
          <w:color w:val="auto"/>
          <w:sz w:val="22"/>
        </w:rPr>
      </w:pPr>
      <w:bookmarkStart w:id="348" w:name="_Toc228092385"/>
      <w:bookmarkStart w:id="349" w:name="_Toc231746814"/>
      <w:bookmarkStart w:id="350" w:name="_Toc231752221"/>
      <w:bookmarkStart w:id="351" w:name="_Toc231810524"/>
      <w:bookmarkStart w:id="352" w:name="_Toc231811867"/>
      <w:bookmarkStart w:id="353" w:name="_Toc231812147"/>
      <w:bookmarkStart w:id="354" w:name="_Toc231815031"/>
      <w:r w:rsidRPr="00E2052F">
        <w:rPr>
          <w:rFonts w:asciiTheme="majorBidi" w:hAnsiTheme="majorBidi"/>
          <w:i w:val="0"/>
          <w:iCs w:val="0"/>
          <w:color w:val="auto"/>
          <w:sz w:val="22"/>
        </w:rPr>
        <w:t>Systèmes orientés-marchés :</w:t>
      </w:r>
      <w:bookmarkEnd w:id="348"/>
      <w:bookmarkEnd w:id="349"/>
      <w:bookmarkEnd w:id="350"/>
      <w:bookmarkEnd w:id="351"/>
      <w:bookmarkEnd w:id="352"/>
      <w:bookmarkEnd w:id="353"/>
      <w:bookmarkEnd w:id="354"/>
    </w:p>
    <w:p w14:paraId="2AFC08C9" w14:textId="77777777" w:rsidR="00172C7A" w:rsidRPr="00E2052F" w:rsidRDefault="00172C7A" w:rsidP="00D24F5E">
      <w:pPr>
        <w:spacing w:after="100" w:afterAutospacing="1"/>
        <w:rPr>
          <w:rFonts w:cstheme="majorBidi"/>
          <w:sz w:val="22"/>
        </w:rPr>
      </w:pPr>
      <w:r w:rsidRPr="00E2052F">
        <w:rPr>
          <w:rFonts w:cstheme="majorBidi"/>
          <w:sz w:val="22"/>
        </w:rPr>
        <w:t xml:space="preserve">Dans ce modèle, les marchés financiers occupent une place centrale dans le fonctionnement et la gouvernance des entreprises. Qualifié de système orienté vers le marché, il est principalement observé dans les pays anglo-saxons tels que les États-Unis, la Grande Bretagne et le Canada et s’inscrit dans une logique de capitalisme financier. Ce modèle se caractérise par plusieurs éléments distinctifs </w:t>
      </w:r>
      <w:r w:rsidR="00343E64">
        <w:rPr>
          <w:rStyle w:val="Appelnotedebasdep"/>
          <w:rFonts w:cstheme="majorBidi"/>
          <w:sz w:val="22"/>
        </w:rPr>
        <w:footnoteReference w:id="92"/>
      </w:r>
      <w:r w:rsidRPr="00E2052F">
        <w:rPr>
          <w:rFonts w:cstheme="majorBidi"/>
          <w:sz w:val="22"/>
        </w:rPr>
        <w:t>:</w:t>
      </w:r>
    </w:p>
    <w:p w14:paraId="21E9DF70"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cstheme="majorBidi"/>
          <w:sz w:val="22"/>
        </w:rPr>
        <w:t>Une forte dispersion de l’actionnariat, entraînant une séparation marquée entre propriété et contrôle ;</w:t>
      </w:r>
    </w:p>
    <w:p w14:paraId="242D8C0E"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cstheme="majorBidi"/>
          <w:sz w:val="22"/>
        </w:rPr>
        <w:t>Une prédominance des dirigeants dans la gestion des entreprises (structure moniste) ;</w:t>
      </w:r>
    </w:p>
    <w:p w14:paraId="0262A9B1"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Style w:val="lev"/>
          <w:rFonts w:cstheme="majorBidi"/>
          <w:b w:val="0"/>
          <w:bCs w:val="0"/>
          <w:sz w:val="22"/>
        </w:rPr>
        <w:t>Un rôle limité des banques</w:t>
      </w:r>
      <w:r w:rsidRPr="00E2052F">
        <w:rPr>
          <w:rFonts w:cstheme="majorBidi"/>
          <w:sz w:val="22"/>
        </w:rPr>
        <w:t xml:space="preserve"> dans le financement et dans la détention du capital des entreprises ;</w:t>
      </w:r>
    </w:p>
    <w:p w14:paraId="1E148C0C"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t xml:space="preserve">Une importance des marchés financiers dans la levée de fonds et le recrutement des dirigeants ; </w:t>
      </w:r>
    </w:p>
    <w:p w14:paraId="154D6A4D"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t xml:space="preserve">Un grand nombre de sociétés cotées en bourse ; </w:t>
      </w:r>
    </w:p>
    <w:p w14:paraId="55F3D075"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t xml:space="preserve">Des marchés de capitaux développés, liquides et efficients ; </w:t>
      </w:r>
    </w:p>
    <w:p w14:paraId="0590F319"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t xml:space="preserve">Une transparence accrue de l’information financière et comptable ; </w:t>
      </w:r>
    </w:p>
    <w:p w14:paraId="24CAAA59"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lastRenderedPageBreak/>
        <w:t xml:space="preserve">Une primauté accordée aux droits des actionnaires, parfois au détriment des autres parties prenantes ; </w:t>
      </w:r>
    </w:p>
    <w:p w14:paraId="0DF5EEE1" w14:textId="77777777" w:rsidR="00172C7A" w:rsidRPr="00E2052F" w:rsidRDefault="00172C7A" w:rsidP="00D61875">
      <w:pPr>
        <w:pStyle w:val="Paragraphedeliste"/>
        <w:numPr>
          <w:ilvl w:val="0"/>
          <w:numId w:val="72"/>
        </w:numPr>
        <w:spacing w:after="100" w:afterAutospacing="1"/>
        <w:ind w:left="0" w:firstLine="284"/>
        <w:rPr>
          <w:rFonts w:cstheme="majorBidi"/>
          <w:sz w:val="22"/>
        </w:rPr>
      </w:pPr>
      <w:r w:rsidRPr="00E2052F">
        <w:rPr>
          <w:rFonts w:eastAsia="Times New Roman" w:cstheme="majorBidi"/>
          <w:sz w:val="22"/>
          <w:lang w:eastAsia="fr-FR"/>
        </w:rPr>
        <w:t>Des coûts de coordination et de contrôle élevés, liés à la dispersion des actionnaires.</w:t>
      </w:r>
    </w:p>
    <w:p w14:paraId="2ED9D959" w14:textId="77777777" w:rsidR="00172C7A" w:rsidRPr="00E2052F" w:rsidRDefault="00172C7A" w:rsidP="00D24F5E">
      <w:pPr>
        <w:spacing w:after="100" w:afterAutospacing="1"/>
        <w:rPr>
          <w:rFonts w:cstheme="majorBidi"/>
          <w:sz w:val="22"/>
        </w:rPr>
      </w:pPr>
      <w:r w:rsidRPr="00E2052F">
        <w:rPr>
          <w:rFonts w:cstheme="majorBidi"/>
          <w:sz w:val="22"/>
        </w:rPr>
        <w:t>Dans ce contexte, les investisseurs accordent une importance particulière à la qualité et à la fiabilité de l’information disponible, qu’ils utilisent pour évaluer la rentabilité future des projets. Leurs décisions d’investissement se portent ainsi prioritairement sur les opportunités jugées les plus prometteuses, sur la base des signaux fournis par les marchés financiers. Par ailleurs, les opérations de prise de contrôle, y compris les offres publiques d’achat à caractère hostile, sont relativement fréquentes dans ce type de système. Enfin, les modèles de gouvernance orientés vers le marché se distinguent par leur efficacité dans le financement des activités nouvelles, grâce à la capacité des marchés à mobiliser rapidement des ressources financières.</w:t>
      </w:r>
    </w:p>
    <w:p w14:paraId="7673FA3B" w14:textId="77777777" w:rsidR="00172C7A" w:rsidRPr="00E2052F" w:rsidRDefault="00172C7A" w:rsidP="00D61875">
      <w:pPr>
        <w:pStyle w:val="Titre4"/>
        <w:numPr>
          <w:ilvl w:val="0"/>
          <w:numId w:val="71"/>
        </w:numPr>
        <w:spacing w:before="100" w:after="100" w:afterAutospacing="1"/>
        <w:ind w:left="1287" w:hanging="720"/>
        <w:rPr>
          <w:rFonts w:asciiTheme="majorBidi" w:hAnsiTheme="majorBidi"/>
          <w:b w:val="0"/>
          <w:bCs w:val="0"/>
          <w:i w:val="0"/>
          <w:iCs w:val="0"/>
          <w:color w:val="auto"/>
          <w:sz w:val="22"/>
        </w:rPr>
      </w:pPr>
      <w:bookmarkStart w:id="355" w:name="_Toc228092386"/>
      <w:bookmarkStart w:id="356" w:name="_Toc231746815"/>
      <w:bookmarkStart w:id="357" w:name="_Toc231752222"/>
      <w:bookmarkStart w:id="358" w:name="_Toc231810525"/>
      <w:bookmarkStart w:id="359" w:name="_Toc231811868"/>
      <w:bookmarkStart w:id="360" w:name="_Toc231812148"/>
      <w:bookmarkStart w:id="361" w:name="_Toc231815032"/>
      <w:r w:rsidRPr="00E2052F">
        <w:rPr>
          <w:rFonts w:asciiTheme="majorBidi" w:hAnsiTheme="majorBidi"/>
          <w:i w:val="0"/>
          <w:iCs w:val="0"/>
          <w:color w:val="auto"/>
          <w:sz w:val="22"/>
        </w:rPr>
        <w:t>Système orienté-banques :</w:t>
      </w:r>
      <w:bookmarkEnd w:id="355"/>
      <w:bookmarkEnd w:id="356"/>
      <w:bookmarkEnd w:id="357"/>
      <w:bookmarkEnd w:id="358"/>
      <w:bookmarkEnd w:id="359"/>
      <w:bookmarkEnd w:id="360"/>
      <w:bookmarkEnd w:id="361"/>
    </w:p>
    <w:p w14:paraId="5A538D89" w14:textId="77777777" w:rsidR="00172C7A" w:rsidRPr="00E2052F" w:rsidRDefault="00172C7A" w:rsidP="00D24F5E">
      <w:pPr>
        <w:spacing w:before="0" w:beforeAutospacing="0"/>
        <w:rPr>
          <w:rFonts w:cstheme="majorBidi"/>
          <w:sz w:val="22"/>
        </w:rPr>
      </w:pPr>
      <w:r w:rsidRPr="00E2052F">
        <w:rPr>
          <w:rFonts w:cstheme="majorBidi"/>
          <w:sz w:val="22"/>
        </w:rPr>
        <w:t>Le modèle de gouvernance orienté vers les banques repose sur une implication active des différentes parties prenantes (stakeholders) dans le fonctionnement de l’entreprise. Ce système, caractéristique des économies telles que l’Allemagne et le Japon, s’inscrit dans une logique de capitalisme bancaire, tout en présentant des spécificités propres à chaque contexte national. Il se distingue par un ensemble de caractéristiques spécifiques, notamment :</w:t>
      </w:r>
    </w:p>
    <w:p w14:paraId="5269B462"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une forte présence des banques dans le capital ;</w:t>
      </w:r>
    </w:p>
    <w:p w14:paraId="3C39F7DB"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 ratio d’endettement plus élevé ;</w:t>
      </w:r>
    </w:p>
    <w:p w14:paraId="16E667C0"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une faible dispersion de l’actionnariat, une base d’actionnaires faible et concentrée ;</w:t>
      </w:r>
    </w:p>
    <w:p w14:paraId="2026E667"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 xml:space="preserve">une plus grande concentration et homogénéisation des créances ; </w:t>
      </w:r>
    </w:p>
    <w:p w14:paraId="0F61B2FF"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 faible nombre de prises de contrôles (peu d’OPA) ;</w:t>
      </w:r>
    </w:p>
    <w:p w14:paraId="321C8F3E"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 xml:space="preserve">un faible nombre de sociétés cotées ; </w:t>
      </w:r>
    </w:p>
    <w:p w14:paraId="0CB0169E"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 xml:space="preserve">des marchés de capitaux peu liquides, donc peu propices aux offres publiques ; </w:t>
      </w:r>
    </w:p>
    <w:p w14:paraId="5A605DC0"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une représentation plus large des droits des requérants ;</w:t>
      </w:r>
    </w:p>
    <w:p w14:paraId="3DF96AFD" w14:textId="77777777" w:rsidR="00172C7A" w:rsidRPr="00E2052F" w:rsidRDefault="00172C7A" w:rsidP="00D61875">
      <w:pPr>
        <w:numPr>
          <w:ilvl w:val="0"/>
          <w:numId w:val="73"/>
        </w:numPr>
        <w:spacing w:before="0" w:beforeAutospacing="0"/>
        <w:ind w:firstLine="284"/>
        <w:rPr>
          <w:rFonts w:eastAsia="Times New Roman" w:cstheme="majorBidi"/>
          <w:sz w:val="22"/>
          <w:lang w:eastAsia="fr-FR"/>
        </w:rPr>
      </w:pPr>
      <w:r w:rsidRPr="00E2052F">
        <w:rPr>
          <w:rFonts w:eastAsia="Times New Roman" w:cstheme="majorBidi"/>
          <w:sz w:val="22"/>
          <w:lang w:eastAsia="fr-FR"/>
        </w:rPr>
        <w:t>une forte implication des banques dans le capital des firmes (risques plus élevé car elles octroient des crédits à long terme aux entreprises pour des montants plus importants que dans les systèmes orientés marchés).</w:t>
      </w:r>
      <w:r w:rsidRPr="00E2052F">
        <w:rPr>
          <w:rStyle w:val="Appelnotedebasdep"/>
          <w:rFonts w:eastAsia="Times New Roman" w:cstheme="majorBidi"/>
          <w:sz w:val="22"/>
          <w:lang w:eastAsia="fr-FR"/>
        </w:rPr>
        <w:footnoteReference w:id="93"/>
      </w:r>
    </w:p>
    <w:p w14:paraId="248A3664" w14:textId="77777777" w:rsidR="00172C7A" w:rsidRPr="00E2052F" w:rsidRDefault="00172C7A" w:rsidP="00D61875">
      <w:pPr>
        <w:pStyle w:val="Titre3"/>
        <w:numPr>
          <w:ilvl w:val="0"/>
          <w:numId w:val="70"/>
        </w:numPr>
        <w:spacing w:before="0" w:beforeAutospacing="0" w:after="160"/>
        <w:ind w:left="568" w:hanging="284"/>
        <w:rPr>
          <w:rFonts w:asciiTheme="majorBidi" w:hAnsiTheme="majorBidi"/>
          <w:b w:val="0"/>
          <w:bCs w:val="0"/>
          <w:color w:val="auto"/>
          <w:sz w:val="22"/>
        </w:rPr>
      </w:pPr>
      <w:bookmarkStart w:id="362" w:name="_Toc228092387"/>
      <w:bookmarkStart w:id="363" w:name="_Toc231746816"/>
      <w:bookmarkStart w:id="364" w:name="_Toc231752223"/>
      <w:bookmarkStart w:id="365" w:name="_Toc231810526"/>
      <w:bookmarkStart w:id="366" w:name="_Toc231811869"/>
      <w:bookmarkStart w:id="367" w:name="_Toc231812149"/>
      <w:bookmarkStart w:id="368" w:name="_Toc231815033"/>
      <w:r w:rsidRPr="00E2052F">
        <w:rPr>
          <w:rFonts w:asciiTheme="majorBidi" w:hAnsiTheme="majorBidi"/>
          <w:color w:val="auto"/>
          <w:sz w:val="22"/>
        </w:rPr>
        <w:lastRenderedPageBreak/>
        <w:t>Modèle de j.R franks et Colin Mayer :</w:t>
      </w:r>
      <w:bookmarkEnd w:id="362"/>
      <w:bookmarkEnd w:id="363"/>
      <w:bookmarkEnd w:id="364"/>
      <w:bookmarkEnd w:id="365"/>
      <w:bookmarkEnd w:id="366"/>
      <w:bookmarkEnd w:id="367"/>
      <w:bookmarkEnd w:id="368"/>
    </w:p>
    <w:p w14:paraId="655562EF" w14:textId="77777777" w:rsidR="00172C7A" w:rsidRPr="00E2052F" w:rsidRDefault="00172C7A" w:rsidP="00D24F5E">
      <w:pPr>
        <w:spacing w:before="0" w:beforeAutospacing="0"/>
        <w:rPr>
          <w:rFonts w:cstheme="majorBidi"/>
          <w:sz w:val="22"/>
        </w:rPr>
      </w:pPr>
      <w:r w:rsidRPr="00E2052F">
        <w:rPr>
          <w:rFonts w:cstheme="majorBidi"/>
          <w:sz w:val="22"/>
        </w:rPr>
        <w:t>Selon une étude effectuée par J. Franks et C. Mayer, deux grands systèmes de gouvernance d’entreprise cohabitent, à savoir : Les systèmes de gouvernance ouverts et les systèmes de gouvernance fermés.</w:t>
      </w:r>
    </w:p>
    <w:p w14:paraId="17C1450A" w14:textId="77777777" w:rsidR="00172C7A" w:rsidRPr="00E2052F" w:rsidRDefault="00172C7A" w:rsidP="00D61875">
      <w:pPr>
        <w:pStyle w:val="Titre4"/>
        <w:numPr>
          <w:ilvl w:val="0"/>
          <w:numId w:val="74"/>
        </w:numPr>
        <w:spacing w:before="40" w:beforeAutospacing="0"/>
        <w:ind w:left="1287" w:hanging="720"/>
        <w:rPr>
          <w:rFonts w:asciiTheme="majorBidi" w:hAnsiTheme="majorBidi"/>
          <w:b w:val="0"/>
          <w:bCs w:val="0"/>
          <w:i w:val="0"/>
          <w:iCs w:val="0"/>
          <w:color w:val="auto"/>
          <w:sz w:val="22"/>
        </w:rPr>
      </w:pPr>
      <w:bookmarkStart w:id="369" w:name="_Toc228092388"/>
      <w:bookmarkStart w:id="370" w:name="_Toc231746817"/>
      <w:bookmarkStart w:id="371" w:name="_Toc231752224"/>
      <w:bookmarkStart w:id="372" w:name="_Toc231810527"/>
      <w:bookmarkStart w:id="373" w:name="_Toc231811870"/>
      <w:bookmarkStart w:id="374" w:name="_Toc231812150"/>
      <w:bookmarkStart w:id="375" w:name="_Toc231815034"/>
      <w:r w:rsidRPr="00E2052F">
        <w:rPr>
          <w:rFonts w:asciiTheme="majorBidi" w:hAnsiTheme="majorBidi"/>
          <w:i w:val="0"/>
          <w:iCs w:val="0"/>
          <w:color w:val="auto"/>
          <w:sz w:val="22"/>
        </w:rPr>
        <w:t>Les systèmes de gouvernance ouverts :</w:t>
      </w:r>
      <w:bookmarkEnd w:id="369"/>
      <w:bookmarkEnd w:id="370"/>
      <w:bookmarkEnd w:id="371"/>
      <w:bookmarkEnd w:id="372"/>
      <w:bookmarkEnd w:id="373"/>
      <w:bookmarkEnd w:id="374"/>
      <w:bookmarkEnd w:id="375"/>
    </w:p>
    <w:p w14:paraId="6C825EC8" w14:textId="77777777" w:rsidR="00172C7A" w:rsidRPr="00E2052F" w:rsidRDefault="00172C7A" w:rsidP="00D24F5E">
      <w:pPr>
        <w:spacing w:after="100" w:afterAutospacing="1"/>
        <w:rPr>
          <w:rFonts w:cstheme="majorBidi"/>
          <w:sz w:val="22"/>
        </w:rPr>
      </w:pPr>
      <w:r w:rsidRPr="00E2052F">
        <w:rPr>
          <w:rFonts w:cstheme="majorBidi"/>
          <w:sz w:val="22"/>
        </w:rPr>
        <w:t>Ce type de système est caractéristique des pays anglo-saxons, où l’on observe un nombre élevé de sociétés cotées évoluant sur des marchés de capitaux liquides. Il se distingue également par la liquidité des droits de propriété et de contrôle, ainsi que par un actionnariat largement dispersé, favorisant une orientation marquée vers le court terme. Dans ce cadre, la protection des intérêts des actionnaires constitue une priorité centrale.</w:t>
      </w:r>
    </w:p>
    <w:p w14:paraId="607B09CD" w14:textId="77777777" w:rsidR="00172C7A" w:rsidRPr="00E2052F" w:rsidRDefault="00172C7A" w:rsidP="00D24F5E">
      <w:pPr>
        <w:spacing w:after="100" w:afterAutospacing="1"/>
        <w:rPr>
          <w:rFonts w:cstheme="majorBidi"/>
          <w:sz w:val="22"/>
        </w:rPr>
      </w:pPr>
      <w:r w:rsidRPr="00E2052F">
        <w:rPr>
          <w:rFonts w:cstheme="majorBidi"/>
          <w:sz w:val="22"/>
        </w:rPr>
        <w:t>Cependant, cette configuration incite les investisseurs à privilégier des performances de court terme, parfois au détriment des actionnaires à long terme ainsi que des projets d’investissement en recherche et développement. À cet égard, les investisseurs institutionnels recherchent généralement une rentabilité immédiate, ce qui peut conduire à une appréciation biaisée des performances des entreprises. Ainsi, une firme peut être jugée insuffisamment performante dans une perspective de court terme, alors même qu’elle s’engage dans des investissements stratégiques à long terme.</w:t>
      </w:r>
    </w:p>
    <w:p w14:paraId="6B33F415" w14:textId="77777777" w:rsidR="00172C7A" w:rsidRPr="00E2052F" w:rsidRDefault="00172C7A" w:rsidP="00D61875">
      <w:pPr>
        <w:pStyle w:val="Titre4"/>
        <w:numPr>
          <w:ilvl w:val="0"/>
          <w:numId w:val="74"/>
        </w:numPr>
        <w:spacing w:before="0" w:beforeAutospacing="0" w:after="160"/>
        <w:ind w:left="1287" w:hanging="720"/>
        <w:rPr>
          <w:rFonts w:asciiTheme="majorBidi" w:hAnsiTheme="majorBidi"/>
          <w:b w:val="0"/>
          <w:bCs w:val="0"/>
          <w:i w:val="0"/>
          <w:iCs w:val="0"/>
          <w:color w:val="auto"/>
          <w:sz w:val="22"/>
        </w:rPr>
      </w:pPr>
      <w:bookmarkStart w:id="376" w:name="_Toc228092389"/>
      <w:bookmarkStart w:id="377" w:name="_Toc231746818"/>
      <w:bookmarkStart w:id="378" w:name="_Toc231752225"/>
      <w:bookmarkStart w:id="379" w:name="_Toc231810528"/>
      <w:bookmarkStart w:id="380" w:name="_Toc231811871"/>
      <w:bookmarkStart w:id="381" w:name="_Toc231812151"/>
      <w:bookmarkStart w:id="382" w:name="_Toc231815035"/>
      <w:r w:rsidRPr="00E2052F">
        <w:rPr>
          <w:rFonts w:asciiTheme="majorBidi" w:hAnsiTheme="majorBidi"/>
          <w:i w:val="0"/>
          <w:iCs w:val="0"/>
          <w:color w:val="auto"/>
          <w:sz w:val="22"/>
        </w:rPr>
        <w:t>Les systèmes de gouvernance fermés :</w:t>
      </w:r>
      <w:bookmarkEnd w:id="376"/>
      <w:bookmarkEnd w:id="377"/>
      <w:bookmarkEnd w:id="378"/>
      <w:bookmarkEnd w:id="379"/>
      <w:bookmarkEnd w:id="380"/>
      <w:bookmarkEnd w:id="381"/>
      <w:bookmarkEnd w:id="382"/>
    </w:p>
    <w:p w14:paraId="4327B813" w14:textId="77777777" w:rsidR="00172C7A" w:rsidRPr="00E2052F" w:rsidRDefault="00172C7A" w:rsidP="00D24F5E">
      <w:pPr>
        <w:spacing w:before="0" w:beforeAutospacing="0"/>
        <w:rPr>
          <w:rFonts w:cstheme="majorBidi"/>
          <w:sz w:val="22"/>
        </w:rPr>
      </w:pPr>
      <w:r w:rsidRPr="00E2052F">
        <w:rPr>
          <w:rFonts w:cstheme="majorBidi"/>
          <w:sz w:val="22"/>
        </w:rPr>
        <w:t>A l’inverse des systèmes de gouvernance ouverts, les systèmes de gouvernance fermés se caractérisent par un nombre réduit de sociétés cotées, une grande concentration de l’actionnariat, un faible développement des marchés de capitaux et un nombre important des participations croisées.</w:t>
      </w:r>
      <w:r w:rsidRPr="00E2052F">
        <w:rPr>
          <w:rStyle w:val="Appelnotedebasdep"/>
          <w:rFonts w:cstheme="majorBidi"/>
          <w:sz w:val="22"/>
        </w:rPr>
        <w:footnoteReference w:id="94"/>
      </w:r>
    </w:p>
    <w:p w14:paraId="65CD80D9" w14:textId="77777777" w:rsidR="00172C7A" w:rsidRPr="00E2052F" w:rsidRDefault="00172C7A" w:rsidP="00D61875">
      <w:pPr>
        <w:pStyle w:val="Titre3"/>
        <w:numPr>
          <w:ilvl w:val="0"/>
          <w:numId w:val="70"/>
        </w:numPr>
        <w:spacing w:before="0" w:beforeAutospacing="0" w:after="160"/>
        <w:ind w:left="568" w:hanging="284"/>
        <w:rPr>
          <w:rFonts w:asciiTheme="majorBidi" w:hAnsiTheme="majorBidi"/>
          <w:b w:val="0"/>
          <w:bCs w:val="0"/>
          <w:color w:val="auto"/>
          <w:sz w:val="22"/>
        </w:rPr>
      </w:pPr>
      <w:bookmarkStart w:id="383" w:name="_Toc228092390"/>
      <w:bookmarkStart w:id="384" w:name="_Toc231746819"/>
      <w:bookmarkStart w:id="385" w:name="_Toc231752226"/>
      <w:bookmarkStart w:id="386" w:name="_Toc231810529"/>
      <w:bookmarkStart w:id="387" w:name="_Toc231811872"/>
      <w:bookmarkStart w:id="388" w:name="_Toc231812152"/>
      <w:bookmarkStart w:id="389" w:name="_Toc231815036"/>
      <w:r w:rsidRPr="00E2052F">
        <w:rPr>
          <w:rFonts w:asciiTheme="majorBidi" w:hAnsiTheme="majorBidi"/>
          <w:color w:val="auto"/>
          <w:sz w:val="22"/>
        </w:rPr>
        <w:t>Modèle de Moreland P.W :</w:t>
      </w:r>
      <w:bookmarkEnd w:id="383"/>
      <w:bookmarkEnd w:id="384"/>
      <w:bookmarkEnd w:id="385"/>
      <w:bookmarkEnd w:id="386"/>
      <w:bookmarkEnd w:id="387"/>
      <w:bookmarkEnd w:id="388"/>
      <w:bookmarkEnd w:id="389"/>
    </w:p>
    <w:p w14:paraId="17D4FDC5" w14:textId="77777777" w:rsidR="00172C7A" w:rsidRPr="00E2052F" w:rsidRDefault="00172C7A" w:rsidP="00D24F5E">
      <w:pPr>
        <w:spacing w:before="0" w:beforeAutospacing="0"/>
        <w:rPr>
          <w:rFonts w:cstheme="majorBidi"/>
          <w:sz w:val="22"/>
        </w:rPr>
      </w:pPr>
      <w:r w:rsidRPr="00E2052F">
        <w:rPr>
          <w:rFonts w:cstheme="majorBidi"/>
          <w:sz w:val="22"/>
        </w:rPr>
        <w:t>Selon Moerland, ce modèle se caractérise par le développement des modèles précédents. IL fait distinction entre les systèmes orientés marchés et les systèmes orientés réseaux. Les premiers étant en vigueur dans les pays anglo-saxons, les seconds dans les pays latins (dont la France), l’Allemagne et le Japon.</w:t>
      </w:r>
    </w:p>
    <w:p w14:paraId="6118287C" w14:textId="77777777" w:rsidR="00172C7A" w:rsidRPr="00E2052F" w:rsidRDefault="00172C7A" w:rsidP="00D61875">
      <w:pPr>
        <w:pStyle w:val="Titre4"/>
        <w:numPr>
          <w:ilvl w:val="0"/>
          <w:numId w:val="75"/>
        </w:numPr>
        <w:spacing w:before="0" w:beforeAutospacing="0" w:after="160"/>
        <w:ind w:left="1287" w:hanging="720"/>
        <w:rPr>
          <w:rFonts w:asciiTheme="majorBidi" w:hAnsiTheme="majorBidi"/>
          <w:b w:val="0"/>
          <w:bCs w:val="0"/>
          <w:i w:val="0"/>
          <w:iCs w:val="0"/>
          <w:color w:val="auto"/>
          <w:sz w:val="22"/>
        </w:rPr>
      </w:pPr>
      <w:bookmarkStart w:id="390" w:name="_Toc228092391"/>
      <w:bookmarkStart w:id="391" w:name="_Toc231746820"/>
      <w:bookmarkStart w:id="392" w:name="_Toc231752227"/>
      <w:bookmarkStart w:id="393" w:name="_Toc231810530"/>
      <w:bookmarkStart w:id="394" w:name="_Toc231811873"/>
      <w:bookmarkStart w:id="395" w:name="_Toc231812153"/>
      <w:bookmarkStart w:id="396" w:name="_Toc231815037"/>
      <w:r w:rsidRPr="00E2052F">
        <w:rPr>
          <w:rFonts w:asciiTheme="majorBidi" w:hAnsiTheme="majorBidi"/>
          <w:i w:val="0"/>
          <w:iCs w:val="0"/>
          <w:color w:val="auto"/>
          <w:sz w:val="22"/>
        </w:rPr>
        <w:t>Les systèmes orientés marchés (anglo-saxons) :</w:t>
      </w:r>
      <w:bookmarkEnd w:id="390"/>
      <w:bookmarkEnd w:id="391"/>
      <w:bookmarkEnd w:id="392"/>
      <w:bookmarkEnd w:id="393"/>
      <w:bookmarkEnd w:id="394"/>
      <w:bookmarkEnd w:id="395"/>
      <w:bookmarkEnd w:id="396"/>
    </w:p>
    <w:p w14:paraId="76D6068B" w14:textId="77777777" w:rsidR="00172C7A" w:rsidRPr="00E2052F" w:rsidRDefault="00172C7A" w:rsidP="00D24F5E">
      <w:pPr>
        <w:spacing w:before="0" w:beforeAutospacing="0"/>
        <w:rPr>
          <w:rFonts w:cstheme="majorBidi"/>
          <w:sz w:val="22"/>
        </w:rPr>
      </w:pPr>
      <w:r w:rsidRPr="00E2052F">
        <w:rPr>
          <w:rFonts w:cstheme="majorBidi"/>
          <w:sz w:val="22"/>
        </w:rPr>
        <w:t>Dans ces systèmes, les marchés financiers sont très développés, l’actionnariat est dispersé et les prises de contrôle d’entreprises sont fréquentes.Les caractéristiques de ces systèmes, telles que proposées par Moerland, sont les mêmes que celles mentionnées par Erik Berglof.</w:t>
      </w:r>
    </w:p>
    <w:p w14:paraId="0BC5F91C" w14:textId="77777777" w:rsidR="00172C7A" w:rsidRPr="00E2052F" w:rsidRDefault="00172C7A" w:rsidP="00D61875">
      <w:pPr>
        <w:pStyle w:val="Titre4"/>
        <w:numPr>
          <w:ilvl w:val="0"/>
          <w:numId w:val="75"/>
        </w:numPr>
        <w:spacing w:before="100" w:after="100" w:afterAutospacing="1"/>
        <w:ind w:left="1287" w:hanging="720"/>
        <w:rPr>
          <w:rFonts w:asciiTheme="majorBidi" w:hAnsiTheme="majorBidi"/>
          <w:b w:val="0"/>
          <w:bCs w:val="0"/>
          <w:i w:val="0"/>
          <w:iCs w:val="0"/>
          <w:color w:val="auto"/>
          <w:sz w:val="22"/>
        </w:rPr>
      </w:pPr>
      <w:bookmarkStart w:id="397" w:name="_Toc228092392"/>
      <w:bookmarkStart w:id="398" w:name="_Toc231746821"/>
      <w:bookmarkStart w:id="399" w:name="_Toc231752228"/>
      <w:bookmarkStart w:id="400" w:name="_Toc231810531"/>
      <w:bookmarkStart w:id="401" w:name="_Toc231811874"/>
      <w:bookmarkStart w:id="402" w:name="_Toc231812154"/>
      <w:bookmarkStart w:id="403" w:name="_Toc231815038"/>
      <w:r w:rsidRPr="00E2052F">
        <w:rPr>
          <w:rFonts w:asciiTheme="majorBidi" w:hAnsiTheme="majorBidi"/>
          <w:i w:val="0"/>
          <w:iCs w:val="0"/>
          <w:color w:val="auto"/>
          <w:sz w:val="22"/>
        </w:rPr>
        <w:lastRenderedPageBreak/>
        <w:t>Les systèmes orientés réseaux (Germano-Nippon) :</w:t>
      </w:r>
      <w:bookmarkEnd w:id="397"/>
      <w:bookmarkEnd w:id="398"/>
      <w:bookmarkEnd w:id="399"/>
      <w:bookmarkEnd w:id="400"/>
      <w:bookmarkEnd w:id="401"/>
      <w:bookmarkEnd w:id="402"/>
      <w:bookmarkEnd w:id="403"/>
    </w:p>
    <w:p w14:paraId="44F26F54" w14:textId="77777777" w:rsidR="00172C7A" w:rsidRPr="00E2052F" w:rsidRDefault="00172C7A" w:rsidP="00D24F5E">
      <w:pPr>
        <w:spacing w:before="0" w:beforeAutospacing="0"/>
        <w:rPr>
          <w:rFonts w:cstheme="majorBidi"/>
          <w:sz w:val="22"/>
        </w:rPr>
      </w:pPr>
      <w:r w:rsidRPr="00E2052F">
        <w:rPr>
          <w:rFonts w:cstheme="majorBidi"/>
          <w:sz w:val="22"/>
        </w:rPr>
        <w:t>Les entreprises sont généralement intégrées au sein de groupes où les institutions financières et les banques occupent une place centrale dans les mécanismes de contrôle exercés sur la firme. Ces systèmes de gouvernance apparaissent globalement plus stables, mais également moins flexibles que les modèles orientés vers les marchés financiers.</w:t>
      </w:r>
    </w:p>
    <w:p w14:paraId="23A5C049" w14:textId="77777777" w:rsidR="006C5D80" w:rsidRPr="00E2052F" w:rsidRDefault="00172C7A" w:rsidP="006C5D80">
      <w:pPr>
        <w:spacing w:before="0" w:beforeAutospacing="0"/>
        <w:rPr>
          <w:rFonts w:cstheme="majorBidi"/>
          <w:sz w:val="22"/>
        </w:rPr>
      </w:pPr>
      <w:r w:rsidRPr="00E2052F">
        <w:rPr>
          <w:rFonts w:cstheme="majorBidi"/>
          <w:sz w:val="22"/>
        </w:rPr>
        <w:t>Ainsi, ce modèle se distingue par l’existence de structures mixtes accordant une place importante à la souveraineté de l’actionnaire. Par ailleurs, les entreprises développent souvent des participations croisées impliquant l’État, les banques ainsi que les familles, ce qui renforce l’interdépendance entre les différents acteurs économiques et financiers.</w:t>
      </w:r>
      <w:r w:rsidRPr="00E2052F">
        <w:rPr>
          <w:rStyle w:val="Appelnotedebasdep"/>
          <w:rFonts w:cstheme="majorBidi"/>
          <w:sz w:val="22"/>
        </w:rPr>
        <w:footnoteReference w:id="95"/>
      </w:r>
    </w:p>
    <w:p w14:paraId="28CE7109" w14:textId="77777777" w:rsidR="00172C7A" w:rsidRPr="00E2052F" w:rsidRDefault="00172C7A" w:rsidP="006C5D80">
      <w:pPr>
        <w:spacing w:before="0" w:beforeAutospacing="0" w:line="240" w:lineRule="auto"/>
        <w:rPr>
          <w:rFonts w:cstheme="majorBidi"/>
          <w:sz w:val="22"/>
        </w:rPr>
      </w:pPr>
      <w:r w:rsidRPr="00E2052F">
        <w:rPr>
          <w:rFonts w:cstheme="majorBidi"/>
          <w:b/>
          <w:bCs/>
          <w:sz w:val="22"/>
          <w:u w:val="single"/>
        </w:rPr>
        <w:t>Tableau 02 :</w:t>
      </w:r>
      <w:r w:rsidRPr="00E2052F">
        <w:rPr>
          <w:rFonts w:cstheme="majorBidi"/>
          <w:b/>
          <w:bCs/>
          <w:sz w:val="22"/>
        </w:rPr>
        <w:t xml:space="preserve"> Le SGE Allemand vs le SGE Japonais.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4"/>
        <w:gridCol w:w="3065"/>
      </w:tblGrid>
      <w:tr w:rsidR="00172C7A" w:rsidRPr="00E2052F" w14:paraId="63C1ED16" w14:textId="77777777" w:rsidTr="006C5D80">
        <w:tc>
          <w:tcPr>
            <w:tcW w:w="3398" w:type="dxa"/>
            <w:tcBorders>
              <w:top w:val="nil"/>
              <w:left w:val="nil"/>
            </w:tcBorders>
          </w:tcPr>
          <w:p w14:paraId="12D328CF" w14:textId="77777777" w:rsidR="00172C7A" w:rsidRPr="00E2052F" w:rsidRDefault="00172C7A" w:rsidP="006C5D80">
            <w:pPr>
              <w:spacing w:after="100" w:afterAutospacing="1" w:line="240" w:lineRule="auto"/>
              <w:rPr>
                <w:rFonts w:cstheme="majorBidi"/>
                <w:b/>
                <w:bCs/>
                <w:sz w:val="22"/>
              </w:rPr>
            </w:pPr>
          </w:p>
        </w:tc>
        <w:tc>
          <w:tcPr>
            <w:tcW w:w="3398" w:type="dxa"/>
            <w:shd w:val="clear" w:color="auto" w:fill="D9E2F3" w:themeFill="accent1" w:themeFillTint="33"/>
          </w:tcPr>
          <w:p w14:paraId="49D14C10" w14:textId="77777777" w:rsidR="00172C7A" w:rsidRPr="00E2052F" w:rsidRDefault="00172C7A" w:rsidP="006C5D80">
            <w:pPr>
              <w:spacing w:after="100" w:afterAutospacing="1" w:line="240" w:lineRule="auto"/>
              <w:rPr>
                <w:rFonts w:cstheme="majorBidi"/>
                <w:b/>
                <w:bCs/>
                <w:sz w:val="22"/>
              </w:rPr>
            </w:pPr>
            <w:r w:rsidRPr="00E2052F">
              <w:rPr>
                <w:rFonts w:cstheme="majorBidi"/>
                <w:b/>
                <w:bCs/>
                <w:sz w:val="22"/>
              </w:rPr>
              <w:t xml:space="preserve">Le système de gouvernance Allemand </w:t>
            </w:r>
          </w:p>
        </w:tc>
        <w:tc>
          <w:tcPr>
            <w:tcW w:w="3398" w:type="dxa"/>
            <w:shd w:val="clear" w:color="auto" w:fill="D9E2F3" w:themeFill="accent1" w:themeFillTint="33"/>
          </w:tcPr>
          <w:p w14:paraId="7D5FEADC" w14:textId="77777777" w:rsidR="00172C7A" w:rsidRPr="00E2052F" w:rsidRDefault="00172C7A" w:rsidP="006C5D80">
            <w:pPr>
              <w:spacing w:after="100" w:afterAutospacing="1" w:line="240" w:lineRule="auto"/>
              <w:rPr>
                <w:rFonts w:cstheme="majorBidi"/>
                <w:b/>
                <w:bCs/>
                <w:sz w:val="22"/>
              </w:rPr>
            </w:pPr>
            <w:r w:rsidRPr="00E2052F">
              <w:rPr>
                <w:rFonts w:cstheme="majorBidi"/>
                <w:b/>
                <w:bCs/>
                <w:sz w:val="22"/>
              </w:rPr>
              <w:t>Le système de gouvernance Japonais</w:t>
            </w:r>
          </w:p>
        </w:tc>
      </w:tr>
      <w:tr w:rsidR="00172C7A" w:rsidRPr="00E2052F" w14:paraId="5565F88A" w14:textId="77777777" w:rsidTr="006C5D80">
        <w:tc>
          <w:tcPr>
            <w:tcW w:w="3398" w:type="dxa"/>
            <w:shd w:val="clear" w:color="auto" w:fill="D9E2F3" w:themeFill="accent1" w:themeFillTint="33"/>
          </w:tcPr>
          <w:p w14:paraId="21B145E0" w14:textId="77777777" w:rsidR="00172C7A" w:rsidRPr="00E2052F" w:rsidRDefault="00172C7A" w:rsidP="006C5D80">
            <w:pPr>
              <w:spacing w:after="100" w:afterAutospacing="1" w:line="240" w:lineRule="auto"/>
              <w:rPr>
                <w:rFonts w:cstheme="majorBidi"/>
                <w:sz w:val="22"/>
              </w:rPr>
            </w:pPr>
          </w:p>
          <w:p w14:paraId="28D276E5" w14:textId="77777777" w:rsidR="00172C7A" w:rsidRPr="00E2052F" w:rsidRDefault="00172C7A" w:rsidP="006C5D80">
            <w:pPr>
              <w:spacing w:after="100" w:afterAutospacing="1" w:line="240" w:lineRule="auto"/>
              <w:rPr>
                <w:rFonts w:cstheme="majorBidi"/>
                <w:sz w:val="22"/>
              </w:rPr>
            </w:pPr>
          </w:p>
          <w:p w14:paraId="2D2804D6" w14:textId="77777777" w:rsidR="00172C7A" w:rsidRPr="00E2052F" w:rsidRDefault="00172C7A" w:rsidP="006C5D80">
            <w:pPr>
              <w:spacing w:after="100" w:afterAutospacing="1" w:line="240" w:lineRule="auto"/>
              <w:rPr>
                <w:rFonts w:cstheme="majorBidi"/>
                <w:b/>
                <w:bCs/>
                <w:sz w:val="22"/>
              </w:rPr>
            </w:pPr>
            <w:r w:rsidRPr="00E2052F">
              <w:rPr>
                <w:rFonts w:cstheme="majorBidi"/>
                <w:b/>
                <w:bCs/>
                <w:sz w:val="22"/>
              </w:rPr>
              <w:t>Structure du capital</w:t>
            </w:r>
          </w:p>
        </w:tc>
        <w:tc>
          <w:tcPr>
            <w:tcW w:w="3398" w:type="dxa"/>
          </w:tcPr>
          <w:p w14:paraId="734E50D1"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Le modèle allemand se caractérise par un grand nombre de participations croisées entre firmes. </w:t>
            </w:r>
          </w:p>
          <w:p w14:paraId="1E7F6248"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Selon Prowse, la moyenne des cinq principaux actionnaires détiennent plus de 40% du capital des firmes en </w:t>
            </w:r>
            <w:r w:rsidR="009F60D1">
              <w:rPr>
                <w:rFonts w:cstheme="majorBidi"/>
                <w:sz w:val="22"/>
              </w:rPr>
              <w:t>Allemagne</w:t>
            </w:r>
          </w:p>
        </w:tc>
        <w:tc>
          <w:tcPr>
            <w:tcW w:w="3398" w:type="dxa"/>
          </w:tcPr>
          <w:p w14:paraId="17EA1D7B"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Au Japon, les participations croisées entre firmes sont très développées. </w:t>
            </w:r>
          </w:p>
          <w:p w14:paraId="0B79A971" w14:textId="77777777" w:rsidR="00172C7A" w:rsidRPr="00E2052F" w:rsidRDefault="00172C7A" w:rsidP="006C5D80">
            <w:pPr>
              <w:spacing w:after="100" w:afterAutospacing="1" w:line="240" w:lineRule="auto"/>
              <w:rPr>
                <w:rFonts w:cstheme="majorBidi"/>
                <w:b/>
                <w:bCs/>
                <w:sz w:val="22"/>
              </w:rPr>
            </w:pPr>
            <w:r w:rsidRPr="00E2052F">
              <w:rPr>
                <w:rFonts w:cstheme="majorBidi"/>
                <w:sz w:val="22"/>
              </w:rPr>
              <w:sym w:font="Symbol" w:char="F0B7"/>
            </w:r>
            <w:r w:rsidRPr="00E2052F">
              <w:rPr>
                <w:rFonts w:cstheme="majorBidi"/>
                <w:sz w:val="22"/>
              </w:rPr>
              <w:t>Selon P. Heard, près des 2/3 des actions des sociétés industrielles du pays sont possédées par d'autres firmes ayant des liens plus moins directes avec elles. Une forte présence des banques dans le capital des firmes.</w:t>
            </w:r>
          </w:p>
        </w:tc>
      </w:tr>
      <w:tr w:rsidR="00172C7A" w:rsidRPr="00E2052F" w14:paraId="15ABFCFB" w14:textId="77777777" w:rsidTr="006C5D80">
        <w:tc>
          <w:tcPr>
            <w:tcW w:w="3398" w:type="dxa"/>
            <w:shd w:val="clear" w:color="auto" w:fill="D9E2F3" w:themeFill="accent1" w:themeFillTint="33"/>
          </w:tcPr>
          <w:p w14:paraId="43FCB194" w14:textId="77777777" w:rsidR="00172C7A" w:rsidRPr="00E2052F" w:rsidRDefault="00172C7A" w:rsidP="006C5D80">
            <w:pPr>
              <w:spacing w:after="100" w:afterAutospacing="1" w:line="240" w:lineRule="auto"/>
              <w:rPr>
                <w:rFonts w:cstheme="majorBidi"/>
                <w:b/>
                <w:bCs/>
                <w:sz w:val="22"/>
              </w:rPr>
            </w:pPr>
          </w:p>
          <w:p w14:paraId="503566BD" w14:textId="77777777" w:rsidR="00172C7A" w:rsidRPr="00E2052F" w:rsidRDefault="00172C7A" w:rsidP="006C5D80">
            <w:pPr>
              <w:spacing w:after="100" w:afterAutospacing="1" w:line="240" w:lineRule="auto"/>
              <w:rPr>
                <w:rFonts w:cstheme="majorBidi"/>
                <w:b/>
                <w:bCs/>
                <w:sz w:val="22"/>
              </w:rPr>
            </w:pPr>
          </w:p>
          <w:p w14:paraId="2BB330AF" w14:textId="77777777" w:rsidR="00172C7A" w:rsidRPr="00E2052F" w:rsidRDefault="00172C7A" w:rsidP="006C5D80">
            <w:pPr>
              <w:spacing w:after="100" w:afterAutospacing="1" w:line="240" w:lineRule="auto"/>
              <w:rPr>
                <w:rFonts w:cstheme="majorBidi"/>
                <w:b/>
                <w:bCs/>
                <w:sz w:val="22"/>
              </w:rPr>
            </w:pPr>
          </w:p>
          <w:p w14:paraId="145F831E" w14:textId="77777777" w:rsidR="00172C7A" w:rsidRPr="00E2052F" w:rsidRDefault="00172C7A" w:rsidP="006C5D80">
            <w:pPr>
              <w:spacing w:after="100" w:afterAutospacing="1" w:line="240" w:lineRule="auto"/>
              <w:rPr>
                <w:rFonts w:cstheme="majorBidi"/>
                <w:b/>
                <w:bCs/>
                <w:sz w:val="22"/>
              </w:rPr>
            </w:pPr>
            <w:r w:rsidRPr="00E2052F">
              <w:rPr>
                <w:rFonts w:cstheme="majorBidi"/>
                <w:b/>
                <w:bCs/>
                <w:sz w:val="22"/>
              </w:rPr>
              <w:t>Mode d'exercice du pouvoir</w:t>
            </w:r>
          </w:p>
        </w:tc>
        <w:tc>
          <w:tcPr>
            <w:tcW w:w="3398" w:type="dxa"/>
          </w:tcPr>
          <w:p w14:paraId="2F35CBB3"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Dualité du pouvoir entre le conseil des managers (directoire) qui gère l'entreprise, et le conseil de surveillance qui contrôle et nomme les membres de conseil des managers. </w:t>
            </w:r>
          </w:p>
          <w:p w14:paraId="3DD4558A" w14:textId="77777777" w:rsidR="00172C7A" w:rsidRPr="00E2052F" w:rsidRDefault="00172C7A" w:rsidP="006C5D80">
            <w:pPr>
              <w:spacing w:after="100" w:afterAutospacing="1" w:line="240" w:lineRule="auto"/>
              <w:rPr>
                <w:rFonts w:cstheme="majorBidi"/>
                <w:b/>
                <w:bCs/>
                <w:sz w:val="22"/>
              </w:rPr>
            </w:pPr>
            <w:r w:rsidRPr="00E2052F">
              <w:rPr>
                <w:rFonts w:cstheme="majorBidi"/>
                <w:sz w:val="22"/>
              </w:rPr>
              <w:sym w:font="Symbol" w:char="F0B7"/>
            </w:r>
            <w:r w:rsidRPr="00E2052F">
              <w:rPr>
                <w:rFonts w:cstheme="majorBidi"/>
                <w:sz w:val="22"/>
              </w:rPr>
              <w:t>Le conseil de surveillance composé de représentants des actionnaires (dont les banques) et des salariés ne comportent aucun membre désigné par les managers tandis que le président du conseil de surveillance n'est jamais le manager</w:t>
            </w:r>
          </w:p>
        </w:tc>
        <w:tc>
          <w:tcPr>
            <w:tcW w:w="3398" w:type="dxa"/>
          </w:tcPr>
          <w:p w14:paraId="15E25BDD"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 Concentration du pouvoir entre les mains du chef d'entreprise. </w:t>
            </w:r>
          </w:p>
          <w:p w14:paraId="27EAE0C3" w14:textId="77777777" w:rsidR="00172C7A" w:rsidRPr="00E2052F" w:rsidRDefault="00172C7A" w:rsidP="006C5D80">
            <w:pPr>
              <w:spacing w:after="100" w:afterAutospacing="1" w:line="240" w:lineRule="auto"/>
              <w:rPr>
                <w:rFonts w:cstheme="majorBidi"/>
                <w:sz w:val="22"/>
              </w:rPr>
            </w:pPr>
            <w:r w:rsidRPr="00E2052F">
              <w:rPr>
                <w:rFonts w:cstheme="majorBidi"/>
                <w:sz w:val="22"/>
              </w:rPr>
              <w:sym w:font="Symbol" w:char="F0B7"/>
            </w:r>
            <w:r w:rsidRPr="00E2052F">
              <w:rPr>
                <w:rFonts w:cstheme="majorBidi"/>
                <w:sz w:val="22"/>
              </w:rPr>
              <w:t xml:space="preserve"> Le poste de président du conseil est un poste honorifique constituant la dernière étape avant la mise en retraite définitive de l'ancien directeur général. </w:t>
            </w:r>
          </w:p>
          <w:p w14:paraId="78BD6A82" w14:textId="77777777" w:rsidR="00172C7A" w:rsidRPr="00E2052F" w:rsidRDefault="00172C7A" w:rsidP="006C5D80">
            <w:pPr>
              <w:spacing w:after="100" w:afterAutospacing="1" w:line="240" w:lineRule="auto"/>
              <w:rPr>
                <w:rFonts w:cstheme="majorBidi"/>
                <w:b/>
                <w:bCs/>
                <w:sz w:val="22"/>
              </w:rPr>
            </w:pPr>
            <w:r w:rsidRPr="00E2052F">
              <w:rPr>
                <w:rFonts w:cstheme="majorBidi"/>
                <w:sz w:val="22"/>
              </w:rPr>
              <w:sym w:font="Symbol" w:char="F0B7"/>
            </w:r>
            <w:r w:rsidRPr="00E2052F">
              <w:rPr>
                <w:rFonts w:cstheme="majorBidi"/>
                <w:sz w:val="22"/>
              </w:rPr>
              <w:t>Le conseil d'administration japonais ne comprend quasiment jamais d'administrateurs externes, et le nombre d'administrateurs y est très important (50 membres en moyenne).</w:t>
            </w:r>
          </w:p>
        </w:tc>
      </w:tr>
    </w:tbl>
    <w:p w14:paraId="0214F77D" w14:textId="77777777" w:rsidR="00172C7A" w:rsidRPr="00E2052F" w:rsidRDefault="00172C7A" w:rsidP="00C30694">
      <w:pPr>
        <w:spacing w:after="100" w:afterAutospacing="1" w:line="240" w:lineRule="auto"/>
        <w:ind w:firstLine="0"/>
        <w:jc w:val="center"/>
        <w:rPr>
          <w:rFonts w:cstheme="majorBidi"/>
          <w:sz w:val="22"/>
        </w:rPr>
      </w:pPr>
      <w:r w:rsidRPr="00E2052F">
        <w:rPr>
          <w:rFonts w:cstheme="majorBidi"/>
          <w:b/>
          <w:bCs/>
          <w:sz w:val="22"/>
        </w:rPr>
        <w:lastRenderedPageBreak/>
        <w:t xml:space="preserve">Source : </w:t>
      </w:r>
      <w:r w:rsidRPr="00E2052F">
        <w:rPr>
          <w:rFonts w:cstheme="majorBidi"/>
          <w:sz w:val="22"/>
        </w:rPr>
        <w:t>Cherif Lahlou, « Gouvernance des entreprises, actionnariats et performances », Revue d’économie et management, N°01,2012, P.12.</w:t>
      </w:r>
    </w:p>
    <w:p w14:paraId="796722C4" w14:textId="77777777" w:rsidR="00172C7A" w:rsidRPr="00E2052F" w:rsidRDefault="00172C7A" w:rsidP="00D61875">
      <w:pPr>
        <w:pStyle w:val="Titre3"/>
        <w:numPr>
          <w:ilvl w:val="0"/>
          <w:numId w:val="70"/>
        </w:numPr>
        <w:spacing w:before="0" w:beforeAutospacing="0" w:after="160"/>
        <w:ind w:left="568" w:hanging="284"/>
        <w:rPr>
          <w:rFonts w:asciiTheme="majorBidi" w:hAnsiTheme="majorBidi"/>
          <w:b w:val="0"/>
          <w:bCs w:val="0"/>
          <w:color w:val="auto"/>
          <w:sz w:val="22"/>
        </w:rPr>
      </w:pPr>
      <w:bookmarkStart w:id="404" w:name="_Toc228092393"/>
      <w:bookmarkStart w:id="405" w:name="_Toc231746822"/>
      <w:bookmarkStart w:id="406" w:name="_Toc231752229"/>
      <w:bookmarkStart w:id="407" w:name="_Toc231810532"/>
      <w:bookmarkStart w:id="408" w:name="_Toc231811875"/>
      <w:bookmarkStart w:id="409" w:name="_Toc231812155"/>
      <w:bookmarkStart w:id="410" w:name="_Toc231815039"/>
      <w:r w:rsidRPr="00E2052F">
        <w:rPr>
          <w:rFonts w:asciiTheme="majorBidi" w:hAnsiTheme="majorBidi"/>
          <w:color w:val="auto"/>
          <w:sz w:val="22"/>
        </w:rPr>
        <w:t>Modèle de Mazaru Yoshimori :</w:t>
      </w:r>
      <w:bookmarkEnd w:id="404"/>
      <w:bookmarkEnd w:id="405"/>
      <w:bookmarkEnd w:id="406"/>
      <w:bookmarkEnd w:id="407"/>
      <w:bookmarkEnd w:id="408"/>
      <w:bookmarkEnd w:id="409"/>
      <w:bookmarkEnd w:id="410"/>
    </w:p>
    <w:p w14:paraId="04ADA76E" w14:textId="77777777" w:rsidR="00172C7A" w:rsidRPr="00E2052F" w:rsidRDefault="00172C7A" w:rsidP="00C30694">
      <w:pPr>
        <w:spacing w:after="100" w:afterAutospacing="1"/>
        <w:rPr>
          <w:rFonts w:cstheme="majorBidi"/>
          <w:sz w:val="22"/>
        </w:rPr>
      </w:pPr>
      <w:r w:rsidRPr="00E2052F">
        <w:rPr>
          <w:rFonts w:cstheme="majorBidi"/>
          <w:sz w:val="22"/>
        </w:rPr>
        <w:t>Yoshimori donne une classification des systèmes de gouvernance en trois catégories principales :</w:t>
      </w:r>
    </w:p>
    <w:p w14:paraId="14FCD27F" w14:textId="77777777" w:rsidR="00172C7A" w:rsidRPr="00E2052F" w:rsidRDefault="00172C7A" w:rsidP="00D61875">
      <w:pPr>
        <w:pStyle w:val="Titre4"/>
        <w:numPr>
          <w:ilvl w:val="0"/>
          <w:numId w:val="76"/>
        </w:numPr>
        <w:spacing w:before="0" w:beforeAutospacing="0" w:after="160"/>
        <w:ind w:left="1134" w:hanging="567"/>
        <w:rPr>
          <w:rFonts w:asciiTheme="majorBidi" w:hAnsiTheme="majorBidi"/>
          <w:b w:val="0"/>
          <w:bCs w:val="0"/>
          <w:i w:val="0"/>
          <w:iCs w:val="0"/>
          <w:color w:val="auto"/>
          <w:sz w:val="22"/>
        </w:rPr>
      </w:pPr>
      <w:bookmarkStart w:id="411" w:name="_Toc228092394"/>
      <w:bookmarkStart w:id="412" w:name="_Toc231746823"/>
      <w:bookmarkStart w:id="413" w:name="_Toc231752230"/>
      <w:bookmarkStart w:id="414" w:name="_Toc231810533"/>
      <w:bookmarkStart w:id="415" w:name="_Toc231811876"/>
      <w:bookmarkStart w:id="416" w:name="_Toc231812156"/>
      <w:bookmarkStart w:id="417" w:name="_Toc231815040"/>
      <w:r w:rsidRPr="00E2052F">
        <w:rPr>
          <w:rFonts w:asciiTheme="majorBidi" w:hAnsiTheme="majorBidi"/>
          <w:i w:val="0"/>
          <w:iCs w:val="0"/>
          <w:color w:val="auto"/>
          <w:sz w:val="22"/>
        </w:rPr>
        <w:t>Le modèle anglo-saxon :</w:t>
      </w:r>
      <w:bookmarkEnd w:id="411"/>
      <w:bookmarkEnd w:id="412"/>
      <w:bookmarkEnd w:id="413"/>
      <w:bookmarkEnd w:id="414"/>
      <w:bookmarkEnd w:id="415"/>
      <w:bookmarkEnd w:id="416"/>
      <w:bookmarkEnd w:id="417"/>
    </w:p>
    <w:p w14:paraId="42241A11" w14:textId="77777777" w:rsidR="00172C7A" w:rsidRPr="00E2052F" w:rsidRDefault="00172C7A" w:rsidP="00C30694">
      <w:pPr>
        <w:spacing w:before="0" w:beforeAutospacing="0"/>
        <w:rPr>
          <w:rFonts w:cstheme="majorBidi"/>
          <w:sz w:val="22"/>
        </w:rPr>
      </w:pPr>
      <w:r w:rsidRPr="00E2052F">
        <w:rPr>
          <w:rFonts w:cstheme="majorBidi"/>
          <w:sz w:val="22"/>
        </w:rPr>
        <w:t>Ce modèle est associé à une vision moniste de la firme qui doit assurer la seule protection des actionnaires.</w:t>
      </w:r>
    </w:p>
    <w:p w14:paraId="7E08E666" w14:textId="77777777" w:rsidR="00172C7A" w:rsidRPr="00E2052F" w:rsidRDefault="00172C7A" w:rsidP="00D61875">
      <w:pPr>
        <w:pStyle w:val="Titre4"/>
        <w:numPr>
          <w:ilvl w:val="0"/>
          <w:numId w:val="76"/>
        </w:numPr>
        <w:spacing w:before="0" w:beforeAutospacing="0" w:after="160"/>
        <w:ind w:left="1134" w:hanging="567"/>
        <w:rPr>
          <w:rFonts w:asciiTheme="majorBidi" w:hAnsiTheme="majorBidi"/>
          <w:b w:val="0"/>
          <w:bCs w:val="0"/>
          <w:i w:val="0"/>
          <w:iCs w:val="0"/>
          <w:color w:val="auto"/>
          <w:sz w:val="22"/>
        </w:rPr>
      </w:pPr>
      <w:bookmarkStart w:id="418" w:name="_Toc228092395"/>
      <w:bookmarkStart w:id="419" w:name="_Toc231746824"/>
      <w:bookmarkStart w:id="420" w:name="_Toc231752231"/>
      <w:bookmarkStart w:id="421" w:name="_Toc231810534"/>
      <w:bookmarkStart w:id="422" w:name="_Toc231811877"/>
      <w:bookmarkStart w:id="423" w:name="_Toc231812157"/>
      <w:bookmarkStart w:id="424" w:name="_Toc231815041"/>
      <w:r w:rsidRPr="00E2052F">
        <w:rPr>
          <w:rFonts w:asciiTheme="majorBidi" w:hAnsiTheme="majorBidi"/>
          <w:i w:val="0"/>
          <w:iCs w:val="0"/>
          <w:color w:val="auto"/>
          <w:sz w:val="22"/>
        </w:rPr>
        <w:t>Le modèle allemand et français :</w:t>
      </w:r>
      <w:bookmarkEnd w:id="418"/>
      <w:bookmarkEnd w:id="419"/>
      <w:bookmarkEnd w:id="420"/>
      <w:bookmarkEnd w:id="421"/>
      <w:bookmarkEnd w:id="422"/>
      <w:bookmarkEnd w:id="423"/>
      <w:bookmarkEnd w:id="424"/>
    </w:p>
    <w:p w14:paraId="367BCA4C" w14:textId="77777777" w:rsidR="00172C7A" w:rsidRPr="00E2052F" w:rsidRDefault="00172C7A" w:rsidP="00C30694">
      <w:pPr>
        <w:spacing w:before="0" w:beforeAutospacing="0"/>
        <w:rPr>
          <w:rFonts w:cstheme="majorBidi"/>
          <w:sz w:val="22"/>
        </w:rPr>
      </w:pPr>
      <w:r w:rsidRPr="00E2052F">
        <w:rPr>
          <w:rFonts w:cstheme="majorBidi"/>
          <w:sz w:val="22"/>
        </w:rPr>
        <w:t>Modèle développant une vision plus dualiste du gouvernement d’entreprise ; la priorité est donnée à la défense et à la protection des intérêts des propriétaires et des salariés. En France, l’Etat exerce une influence dans le capitalisme et participe dans le capital des plus grandes firmes françaises.</w:t>
      </w:r>
    </w:p>
    <w:p w14:paraId="460C872C" w14:textId="77777777" w:rsidR="00172C7A" w:rsidRPr="00E2052F" w:rsidRDefault="00172C7A" w:rsidP="00D61875">
      <w:pPr>
        <w:pStyle w:val="Titre4"/>
        <w:numPr>
          <w:ilvl w:val="0"/>
          <w:numId w:val="76"/>
        </w:numPr>
        <w:spacing w:before="0" w:beforeAutospacing="0" w:after="160"/>
        <w:ind w:left="1134" w:hanging="567"/>
        <w:rPr>
          <w:rFonts w:asciiTheme="majorBidi" w:hAnsiTheme="majorBidi"/>
          <w:b w:val="0"/>
          <w:bCs w:val="0"/>
          <w:i w:val="0"/>
          <w:iCs w:val="0"/>
          <w:color w:val="auto"/>
          <w:sz w:val="22"/>
        </w:rPr>
      </w:pPr>
      <w:bookmarkStart w:id="425" w:name="_Toc228092396"/>
      <w:bookmarkStart w:id="426" w:name="_Toc231746825"/>
      <w:bookmarkStart w:id="427" w:name="_Toc231752232"/>
      <w:bookmarkStart w:id="428" w:name="_Toc231810535"/>
      <w:bookmarkStart w:id="429" w:name="_Toc231811878"/>
      <w:bookmarkStart w:id="430" w:name="_Toc231812158"/>
      <w:bookmarkStart w:id="431" w:name="_Toc231815042"/>
      <w:r w:rsidRPr="00E2052F">
        <w:rPr>
          <w:rFonts w:asciiTheme="majorBidi" w:hAnsiTheme="majorBidi"/>
          <w:i w:val="0"/>
          <w:iCs w:val="0"/>
          <w:color w:val="auto"/>
          <w:sz w:val="22"/>
        </w:rPr>
        <w:t>Le modèle japonais :</w:t>
      </w:r>
      <w:bookmarkEnd w:id="425"/>
      <w:bookmarkEnd w:id="426"/>
      <w:bookmarkEnd w:id="427"/>
      <w:bookmarkEnd w:id="428"/>
      <w:bookmarkEnd w:id="429"/>
      <w:bookmarkEnd w:id="430"/>
      <w:bookmarkEnd w:id="431"/>
    </w:p>
    <w:p w14:paraId="69AA7A59" w14:textId="77777777" w:rsidR="00172C7A" w:rsidRPr="00E2052F" w:rsidRDefault="00172C7A" w:rsidP="00C30694">
      <w:pPr>
        <w:spacing w:before="0" w:beforeAutospacing="0"/>
        <w:rPr>
          <w:rFonts w:cstheme="majorBidi"/>
          <w:sz w:val="22"/>
        </w:rPr>
      </w:pPr>
      <w:r w:rsidRPr="00E2052F">
        <w:rPr>
          <w:rFonts w:cstheme="majorBidi"/>
          <w:sz w:val="22"/>
        </w:rPr>
        <w:t>Modèle s’apparentent plus à une vision pluraliste de la firme dans la mesure où elle appartient à l’ensemble des stakeholders, parmi lesquels les salariés sont les plus importants.</w:t>
      </w:r>
      <w:r w:rsidRPr="00E2052F">
        <w:rPr>
          <w:rStyle w:val="Appelnotedebasdep"/>
          <w:rFonts w:cstheme="majorBidi"/>
          <w:sz w:val="22"/>
        </w:rPr>
        <w:footnoteReference w:id="96"/>
      </w:r>
    </w:p>
    <w:p w14:paraId="4C24A097" w14:textId="77777777" w:rsidR="00172C7A" w:rsidRPr="00E2052F" w:rsidRDefault="00172C7A" w:rsidP="00D61875">
      <w:pPr>
        <w:pStyle w:val="Titre3"/>
        <w:numPr>
          <w:ilvl w:val="0"/>
          <w:numId w:val="70"/>
        </w:numPr>
        <w:spacing w:before="0" w:beforeAutospacing="0" w:after="160"/>
        <w:ind w:left="568" w:hanging="284"/>
        <w:rPr>
          <w:rFonts w:asciiTheme="majorBidi" w:hAnsiTheme="majorBidi"/>
          <w:b w:val="0"/>
          <w:bCs w:val="0"/>
          <w:color w:val="auto"/>
          <w:sz w:val="22"/>
        </w:rPr>
      </w:pPr>
      <w:bookmarkStart w:id="432" w:name="_Toc228092397"/>
      <w:bookmarkStart w:id="433" w:name="_Toc231746826"/>
      <w:bookmarkStart w:id="434" w:name="_Toc231752233"/>
      <w:bookmarkStart w:id="435" w:name="_Toc231810536"/>
      <w:bookmarkStart w:id="436" w:name="_Toc231811879"/>
      <w:bookmarkStart w:id="437" w:name="_Toc231812159"/>
      <w:bookmarkStart w:id="438" w:name="_Toc231815043"/>
      <w:r w:rsidRPr="00E2052F">
        <w:rPr>
          <w:rFonts w:asciiTheme="majorBidi" w:hAnsiTheme="majorBidi"/>
          <w:color w:val="auto"/>
          <w:sz w:val="22"/>
        </w:rPr>
        <w:t>Le modèle français ou le système hybride :</w:t>
      </w:r>
      <w:bookmarkEnd w:id="432"/>
      <w:bookmarkEnd w:id="433"/>
      <w:bookmarkEnd w:id="434"/>
      <w:bookmarkEnd w:id="435"/>
      <w:bookmarkEnd w:id="436"/>
      <w:bookmarkEnd w:id="437"/>
      <w:bookmarkEnd w:id="438"/>
    </w:p>
    <w:p w14:paraId="3431AF27" w14:textId="77777777" w:rsidR="00172C7A" w:rsidRPr="00E2052F" w:rsidRDefault="00172C7A" w:rsidP="00C30694">
      <w:pPr>
        <w:spacing w:before="0" w:beforeAutospacing="0"/>
        <w:rPr>
          <w:rFonts w:cstheme="majorBidi"/>
          <w:sz w:val="22"/>
        </w:rPr>
      </w:pPr>
      <w:r w:rsidRPr="00E2052F">
        <w:rPr>
          <w:rFonts w:cstheme="majorBidi"/>
          <w:sz w:val="22"/>
        </w:rPr>
        <w:t xml:space="preserve">Le modèle français de gouvernance d’entreprise, qualifié d’hybride, a été mis en évidence par </w:t>
      </w:r>
      <w:r w:rsidRPr="00E2052F">
        <w:rPr>
          <w:rStyle w:val="whitespace-normal"/>
          <w:rFonts w:cstheme="majorBidi"/>
          <w:sz w:val="22"/>
        </w:rPr>
        <w:t>Dominique Plihon</w:t>
      </w:r>
      <w:r w:rsidRPr="00E2052F">
        <w:rPr>
          <w:rFonts w:cstheme="majorBidi"/>
          <w:sz w:val="22"/>
        </w:rPr>
        <w:t>. Il repose sur une articulation entre les principes du modèle actionnarial (shareholder-) et ceux du modèle partenarial (stakeholder), dans le but de concilier les intérêts des actionnaires avec ceux des salariés, des clients et, plus largement, de l’ensemble des parties prenantes de l’entreprise.</w:t>
      </w:r>
    </w:p>
    <w:p w14:paraId="71192D07" w14:textId="77777777" w:rsidR="00172C7A" w:rsidRPr="00E2052F" w:rsidRDefault="00172C7A" w:rsidP="00C30694">
      <w:pPr>
        <w:spacing w:before="0" w:beforeAutospacing="0"/>
        <w:rPr>
          <w:rFonts w:cstheme="majorBidi"/>
          <w:sz w:val="22"/>
        </w:rPr>
      </w:pPr>
      <w:r w:rsidRPr="00E2052F">
        <w:rPr>
          <w:rFonts w:cstheme="majorBidi"/>
          <w:sz w:val="22"/>
        </w:rPr>
        <w:t>Ce modèle se distingue par une convergence progressive de ces deux approches vers une forme intégrée de gouvernance, qui renforce les exigences en matière de transparence et de responsabilité des dirigeants. Il s’inscrit également dans une logique d’adaptation aux spécificités de l’environnement économique et organisationnel, en favorisant l’implication et la participation des différentes parties prenantes dans le processus décisionnel.</w:t>
      </w:r>
      <w:r w:rsidRPr="00E2052F">
        <w:rPr>
          <w:rStyle w:val="Appelnotedebasdep"/>
          <w:rFonts w:cstheme="majorBidi"/>
          <w:sz w:val="22"/>
        </w:rPr>
        <w:footnoteReference w:id="97"/>
      </w:r>
    </w:p>
    <w:p w14:paraId="6DE158C8" w14:textId="77777777" w:rsidR="00172C7A" w:rsidRPr="00E2052F" w:rsidRDefault="00172C7A" w:rsidP="00BC1AEC">
      <w:pPr>
        <w:pStyle w:val="Titre1"/>
      </w:pPr>
      <w:bookmarkStart w:id="439" w:name="_Toc228092398"/>
      <w:bookmarkStart w:id="440" w:name="_Toc231742165"/>
      <w:bookmarkStart w:id="441" w:name="_Toc231746827"/>
      <w:bookmarkStart w:id="442" w:name="_Toc231752234"/>
      <w:bookmarkStart w:id="443" w:name="_Toc231810537"/>
      <w:bookmarkStart w:id="444" w:name="_Toc231811423"/>
      <w:bookmarkStart w:id="445" w:name="_Toc231811880"/>
      <w:bookmarkStart w:id="446" w:name="_Toc231812160"/>
      <w:bookmarkStart w:id="447" w:name="_Toc231815044"/>
      <w:r w:rsidRPr="00E2052F">
        <w:lastRenderedPageBreak/>
        <w:t>Section 03 : Cadre opérationnel de la gouvernance d’entreprise :</w:t>
      </w:r>
      <w:bookmarkEnd w:id="439"/>
      <w:bookmarkEnd w:id="440"/>
      <w:bookmarkEnd w:id="441"/>
      <w:bookmarkEnd w:id="442"/>
      <w:bookmarkEnd w:id="443"/>
      <w:bookmarkEnd w:id="444"/>
      <w:bookmarkEnd w:id="445"/>
      <w:bookmarkEnd w:id="446"/>
      <w:bookmarkEnd w:id="447"/>
    </w:p>
    <w:p w14:paraId="7917D894" w14:textId="77777777" w:rsidR="00172C7A" w:rsidRPr="00E2052F" w:rsidRDefault="00172C7A" w:rsidP="00F36332">
      <w:pPr>
        <w:pStyle w:val="Titre2"/>
        <w:numPr>
          <w:ilvl w:val="0"/>
          <w:numId w:val="228"/>
        </w:numPr>
      </w:pPr>
      <w:bookmarkStart w:id="448" w:name="_Toc228092399"/>
      <w:bookmarkStart w:id="449" w:name="_Toc231746828"/>
      <w:bookmarkStart w:id="450" w:name="_Toc231752235"/>
      <w:bookmarkStart w:id="451" w:name="_Toc231810538"/>
      <w:bookmarkStart w:id="452" w:name="_Toc231811881"/>
      <w:bookmarkStart w:id="453" w:name="_Toc231812161"/>
      <w:bookmarkStart w:id="454" w:name="_Toc231815045"/>
      <w:r w:rsidRPr="00E2052F">
        <w:t>Les caractéristiques de la gouvernance d’entreprise</w:t>
      </w:r>
      <w:r w:rsidRPr="00E2052F">
        <w:rPr>
          <w:rStyle w:val="Appelnotedebasdep"/>
        </w:rPr>
        <w:footnoteReference w:id="98"/>
      </w:r>
      <w:r w:rsidRPr="00E2052F">
        <w:t> :</w:t>
      </w:r>
      <w:bookmarkEnd w:id="448"/>
      <w:bookmarkEnd w:id="449"/>
      <w:bookmarkEnd w:id="450"/>
      <w:bookmarkEnd w:id="451"/>
      <w:bookmarkEnd w:id="452"/>
      <w:bookmarkEnd w:id="453"/>
      <w:bookmarkEnd w:id="454"/>
    </w:p>
    <w:p w14:paraId="22DCA393" w14:textId="77777777" w:rsidR="00172C7A" w:rsidRPr="00E2052F" w:rsidRDefault="00172C7A" w:rsidP="0012023A">
      <w:pPr>
        <w:spacing w:before="0" w:beforeAutospacing="0"/>
        <w:rPr>
          <w:rFonts w:cstheme="majorBidi"/>
          <w:sz w:val="22"/>
        </w:rPr>
      </w:pPr>
      <w:r w:rsidRPr="00E2052F">
        <w:rPr>
          <w:rFonts w:cstheme="majorBidi"/>
          <w:sz w:val="22"/>
        </w:rPr>
        <w:t>La gouvernance d’entreprise constitue un élément déterminant dans le fonctionnement et la pérennité des organisations contemporaines. Elle s’inscrit dans une logique d’encadrement des relations entre les différents acteurs de l’entreprise, tout en visant à garantir une gestion à la fois efficiente et équilibrée. Dans cette perspective, son efficacité repose sur un ensemble de caractéristiques essentielles qui participent au renforcement de la transparence, de la responsabilité et de la confiance entre les parties prenantes. Dès lors, l’identification de ces caractéristiques apparaît comme un préalable nécessaire à l’appréciation de la qualité d’une gouvernance d’entreprise.</w:t>
      </w:r>
    </w:p>
    <w:p w14:paraId="057BF0FC"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55" w:name="_Toc228092400"/>
      <w:r w:rsidRPr="00E2052F">
        <w:rPr>
          <w:rFonts w:cstheme="majorBidi"/>
          <w:b/>
          <w:bCs/>
          <w:sz w:val="22"/>
        </w:rPr>
        <w:t>La participation :</w:t>
      </w:r>
      <w:bookmarkEnd w:id="455"/>
    </w:p>
    <w:p w14:paraId="7ED897F5" w14:textId="77777777" w:rsidR="00172C7A" w:rsidRPr="00E2052F" w:rsidRDefault="00172C7A" w:rsidP="0012023A">
      <w:pPr>
        <w:spacing w:before="0" w:beforeAutospacing="0"/>
        <w:rPr>
          <w:rFonts w:cstheme="majorBidi"/>
          <w:sz w:val="22"/>
        </w:rPr>
      </w:pPr>
      <w:r w:rsidRPr="00E2052F">
        <w:rPr>
          <w:rFonts w:cstheme="majorBidi"/>
          <w:sz w:val="22"/>
        </w:rPr>
        <w:t>La principale caractéristique de la gouvernance est la participation citoyenne. Les citoyens ne sont pas seulement bénéficiaires de la gouvernance, mais ils en sont aussi les médiateurs. La participation implique l'engagement de différentes composantes de la société, hommes, femmes et personnes appartenant à divers groupes sociaux, notamment les groupes marginalisés, leur permettant de faire entendre leur voix dans le processus décisionnel, que ce soit directement ou indirectement par le biais d'organisations représentant leurs intérêts.</w:t>
      </w:r>
    </w:p>
    <w:p w14:paraId="564A9CD8"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56" w:name="_Toc228092401"/>
      <w:r w:rsidRPr="00E2052F">
        <w:rPr>
          <w:rFonts w:cstheme="majorBidi"/>
          <w:b/>
          <w:bCs/>
          <w:sz w:val="22"/>
        </w:rPr>
        <w:t>La discipline :</w:t>
      </w:r>
      <w:bookmarkEnd w:id="456"/>
    </w:p>
    <w:p w14:paraId="076FFAA4" w14:textId="77777777" w:rsidR="00172C7A" w:rsidRPr="00E2052F" w:rsidRDefault="00172C7A" w:rsidP="0012023A">
      <w:pPr>
        <w:spacing w:before="0" w:beforeAutospacing="0"/>
        <w:rPr>
          <w:rFonts w:cstheme="majorBidi"/>
          <w:sz w:val="22"/>
        </w:rPr>
      </w:pPr>
      <w:r w:rsidRPr="00E2052F">
        <w:rPr>
          <w:rFonts w:cstheme="majorBidi"/>
          <w:sz w:val="22"/>
        </w:rPr>
        <w:t>La discipline implique le respect de l'éthique des affaires, dont l'importance réside dans son application aux intérêts des individus ou de l'organisation à laquelle ils appartiennent. Ainsi, la discipline contribue à renforcer l'engagement envers des principes de travail corrects et appropriés et facilite l'instauration d'une culture de gouvernance au sein de l'organisation.</w:t>
      </w:r>
    </w:p>
    <w:p w14:paraId="6DEF15D4"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57" w:name="_Toc228092402"/>
      <w:r w:rsidRPr="00E2052F">
        <w:rPr>
          <w:rFonts w:cstheme="majorBidi"/>
          <w:b/>
          <w:bCs/>
          <w:sz w:val="22"/>
        </w:rPr>
        <w:t>La transparence :</w:t>
      </w:r>
      <w:bookmarkEnd w:id="457"/>
    </w:p>
    <w:p w14:paraId="08256553" w14:textId="77777777" w:rsidR="00172C7A" w:rsidRPr="00E2052F" w:rsidRDefault="00172C7A" w:rsidP="0012023A">
      <w:pPr>
        <w:spacing w:before="0" w:beforeAutospacing="0"/>
        <w:rPr>
          <w:rFonts w:cstheme="majorBidi"/>
          <w:sz w:val="22"/>
        </w:rPr>
      </w:pPr>
      <w:r w:rsidRPr="00E2052F">
        <w:rPr>
          <w:rFonts w:cstheme="majorBidi"/>
          <w:sz w:val="22"/>
        </w:rPr>
        <w:t>La transparence est essentielle. Elle permet aux parties prenantes de recueillir des informations cruciales pour déceler les dysfonctionnements et protéger leurs intérêts. Les systèmes transparents disposent de canaux de communication et de procédures décisionnelles clairs. Ces canaux sont ouverts aux acteurs concernés et aux responsables, et un large éventail d'informations est mis à la disposition du public.</w:t>
      </w:r>
    </w:p>
    <w:p w14:paraId="1DACC5A5" w14:textId="77777777" w:rsidR="00172C7A" w:rsidRPr="00E2052F" w:rsidRDefault="00172C7A" w:rsidP="0012023A">
      <w:pPr>
        <w:spacing w:before="0" w:beforeAutospacing="0"/>
        <w:rPr>
          <w:rFonts w:cstheme="majorBidi"/>
          <w:sz w:val="22"/>
        </w:rPr>
      </w:pPr>
      <w:r w:rsidRPr="00E2052F">
        <w:rPr>
          <w:rFonts w:cstheme="majorBidi"/>
          <w:sz w:val="22"/>
        </w:rPr>
        <w:t xml:space="preserve">La qualité du processus décisionnel, ainsi que les risques et les coûts qui y sont associés, dépendent de la nature de la source d'information principale fournie aux décideurs. Il est clair que les gouvernements sont à la fois sources et utilisateurs d'information. Leurs politiques sont tout aussi susceptibles d'être influencées par une information de mauvaise qualité que par une information </w:t>
      </w:r>
      <w:r w:rsidRPr="00E2052F">
        <w:rPr>
          <w:rFonts w:cstheme="majorBidi"/>
          <w:sz w:val="22"/>
        </w:rPr>
        <w:lastRenderedPageBreak/>
        <w:t>économique et de marché précise. La transparence est essentielle à la capacité du secteur privé de rendre compte librement de l'information. Elle permet aux parties prenantes d'observer directement le fonctionnement des processus, des institutions et de l'information, et facilite l'accès à cette dernière.</w:t>
      </w:r>
    </w:p>
    <w:p w14:paraId="08271007"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58" w:name="_Toc228092403"/>
      <w:r w:rsidRPr="00E2052F">
        <w:rPr>
          <w:rFonts w:cstheme="majorBidi"/>
          <w:b/>
          <w:bCs/>
          <w:sz w:val="22"/>
        </w:rPr>
        <w:t>La responsabilité et imputabilité :</w:t>
      </w:r>
      <w:bookmarkEnd w:id="458"/>
    </w:p>
    <w:p w14:paraId="5D9EA226" w14:textId="77777777" w:rsidR="00172C7A" w:rsidRPr="00E2052F" w:rsidRDefault="00172C7A" w:rsidP="0012023A">
      <w:pPr>
        <w:spacing w:before="0" w:beforeAutospacing="0"/>
        <w:rPr>
          <w:rFonts w:cstheme="majorBidi"/>
          <w:sz w:val="22"/>
          <w:lang w:bidi="ar-DZ"/>
        </w:rPr>
      </w:pPr>
      <w:r w:rsidRPr="00E2052F">
        <w:rPr>
          <w:rFonts w:cstheme="majorBidi"/>
          <w:sz w:val="22"/>
          <w:lang w:bidi="ar-DZ"/>
        </w:rPr>
        <w:t>Le Programme des Nations Unies pour le développement (PNUD) définit la responsabilité comme l’obligation pour les fonctionnaires de fournir aux parties prenantes les explications nécessaires sur la manière dont ils exercent leurs pouvoirs et s’acquittent de leurs fonctions, de répondre aux critiques qui leur sont adressées, de satisfaire aux exigences qui leur sont imposées et d’assumer la responsabilité de leurs échecs, de leur incompétence, de leurs tromperies et de leurs fraudes.</w:t>
      </w:r>
    </w:p>
    <w:p w14:paraId="29BF8231" w14:textId="77777777" w:rsidR="00172C7A" w:rsidRPr="00E2052F" w:rsidRDefault="00172C7A" w:rsidP="0012023A">
      <w:pPr>
        <w:spacing w:before="0" w:beforeAutospacing="0"/>
        <w:rPr>
          <w:rFonts w:cstheme="majorBidi"/>
          <w:sz w:val="22"/>
          <w:lang w:bidi="ar-DZ"/>
        </w:rPr>
      </w:pPr>
      <w:r w:rsidRPr="00E2052F">
        <w:rPr>
          <w:rFonts w:cstheme="majorBidi"/>
          <w:sz w:val="22"/>
          <w:lang w:bidi="ar-DZ"/>
        </w:rPr>
        <w:t>La responsabilité administrative, notamment en matière de gestion des fonds publics, constitue un autre critère d'une saine administration publique. Cette responsabilité exige un système de suivi et de contrôle de la performance des agents et des institutions gouvernementales, prenant en compte à la fois la qualité et l'efficacité, en particulier en ce qui concerne les déficits et le détournement de ressources. Des systèmes rigoureux de gestion financière et d'agence, de comptabilité et d'audit, ainsi que de recouvrement des recettes (droits de douane, par exemple) sont également essentiels, de même que l'existence de sanctions applicables aux auteurs d'infractions financières et administratives. La responsabilité requiert la liberté d'accès à l'information, l'autorégulation, le respect de l'État de droit et la capacité de communiquer honnêtement et en toute transparence les informations divulguées.</w:t>
      </w:r>
    </w:p>
    <w:p w14:paraId="32F26B57" w14:textId="77777777" w:rsidR="00172C7A" w:rsidRPr="00E2052F" w:rsidRDefault="00172C7A" w:rsidP="0012023A">
      <w:pPr>
        <w:spacing w:before="0" w:beforeAutospacing="0"/>
        <w:rPr>
          <w:rFonts w:cstheme="majorBidi"/>
          <w:sz w:val="22"/>
          <w:rtl/>
        </w:rPr>
      </w:pPr>
      <w:r w:rsidRPr="00E2052F">
        <w:rPr>
          <w:rFonts w:cstheme="majorBidi"/>
          <w:sz w:val="22"/>
        </w:rPr>
        <w:t>Dans cette perspective, la transparence et la responsabilité se renforcent mutuellement. La transparence accroît la responsabilité en facilitant le contrôle, tandis que la responsabilité renforce la transparence en incitant les acteurs à veiller à ce que leur travail soit correctement diffusé et compris. La transparence et la responsabilité peuvent toutes deux créer un système qui améliore la qualité de la prise de décision dans le secteur des introductions en bourse. Elles permettent d'élaborer des politiques plus efficaces en améliorant la compréhension, par les parties prenantes, de la manière dont les décideurs peuvent réagir aux différents événements économiques.</w:t>
      </w:r>
      <w:r w:rsidR="00343E64">
        <w:rPr>
          <w:rStyle w:val="Appelnotedebasdep"/>
          <w:rFonts w:cstheme="majorBidi"/>
          <w:sz w:val="22"/>
        </w:rPr>
        <w:footnoteReference w:id="99"/>
      </w:r>
    </w:p>
    <w:p w14:paraId="190CC4C5" w14:textId="77777777" w:rsidR="00172C7A" w:rsidRPr="00E2052F" w:rsidRDefault="00172C7A" w:rsidP="00D61875">
      <w:pPr>
        <w:pStyle w:val="Paragraphedeliste"/>
        <w:numPr>
          <w:ilvl w:val="0"/>
          <w:numId w:val="98"/>
        </w:numPr>
        <w:spacing w:before="0" w:beforeAutospacing="0"/>
        <w:ind w:left="0" w:firstLine="284"/>
        <w:rPr>
          <w:rFonts w:cstheme="majorBidi"/>
          <w:b/>
          <w:bCs/>
          <w:sz w:val="22"/>
          <w:lang w:bidi="ar-DZ"/>
        </w:rPr>
      </w:pPr>
      <w:bookmarkStart w:id="459" w:name="_Toc228092404"/>
      <w:r w:rsidRPr="00E2052F">
        <w:rPr>
          <w:rFonts w:cstheme="majorBidi"/>
          <w:b/>
          <w:bCs/>
          <w:sz w:val="22"/>
          <w:lang w:bidi="ar-DZ"/>
        </w:rPr>
        <w:t>L’équité :</w:t>
      </w:r>
      <w:bookmarkEnd w:id="459"/>
    </w:p>
    <w:p w14:paraId="19E57D14" w14:textId="77777777" w:rsidR="00172C7A" w:rsidRPr="00E2052F" w:rsidRDefault="00172C7A" w:rsidP="0012023A">
      <w:pPr>
        <w:spacing w:before="0" w:beforeAutospacing="0"/>
        <w:rPr>
          <w:rFonts w:cstheme="majorBidi"/>
          <w:sz w:val="22"/>
          <w:lang w:bidi="ar-DZ"/>
        </w:rPr>
      </w:pPr>
      <w:r w:rsidRPr="00E2052F">
        <w:rPr>
          <w:rFonts w:cstheme="majorBidi"/>
          <w:sz w:val="22"/>
          <w:lang w:bidi="ar-DZ"/>
        </w:rPr>
        <w:t>L’équité organisationnelle se réalise à travers le respect des droits de l’ensemble des parties prenantes. Elle constitue l’un des fondements essentiels sur lesquels reposent les normes de gouvernance, en assurant à la fois l’égalité et la justice entre les différents acteurs de l’organisation. À cet égard, les principes de gouvernance imposent le respect du principe d’égalité entre les membres et les parties prenantes.</w:t>
      </w:r>
    </w:p>
    <w:p w14:paraId="13FC34FF" w14:textId="77777777" w:rsidR="00172C7A" w:rsidRPr="00E2052F" w:rsidRDefault="00172C7A" w:rsidP="0012023A">
      <w:pPr>
        <w:spacing w:before="0" w:beforeAutospacing="0"/>
        <w:rPr>
          <w:rFonts w:cstheme="majorBidi"/>
          <w:sz w:val="22"/>
          <w:lang w:bidi="ar-DZ"/>
        </w:rPr>
      </w:pPr>
      <w:r w:rsidRPr="00E2052F">
        <w:rPr>
          <w:rFonts w:cstheme="majorBidi"/>
          <w:sz w:val="22"/>
          <w:lang w:bidi="ar-DZ"/>
        </w:rPr>
        <w:lastRenderedPageBreak/>
        <w:t>Ce principe commence dès la composition des conseils d’administration, dont les membres doivent être élus selon des modalités permettant une représentation équilibrée des actionnaires, conformément aux meilleures pratiques internationales en matière de gouvernance. Par ailleurs, le respect des principes de divulgation et de transparence constitue un élément fondamental de cette égalité. En effet, la mise à disposition d’informations pertinentes à l’ensemble des actionnaires, au même moment, représente un pilier essentiel de l’équité, tout en garantissant la protection des droits des actionnaires minoritaires.</w:t>
      </w:r>
    </w:p>
    <w:p w14:paraId="4D89CE1D"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60" w:name="_Toc228092405"/>
      <w:r w:rsidRPr="00E2052F">
        <w:rPr>
          <w:rFonts w:cstheme="majorBidi"/>
          <w:b/>
          <w:bCs/>
          <w:sz w:val="22"/>
        </w:rPr>
        <w:t>L’indépendance :</w:t>
      </w:r>
      <w:bookmarkEnd w:id="460"/>
    </w:p>
    <w:p w14:paraId="3AB50035" w14:textId="77777777" w:rsidR="00172C7A" w:rsidRPr="00E2052F" w:rsidRDefault="00172C7A" w:rsidP="0012023A">
      <w:pPr>
        <w:spacing w:before="0" w:beforeAutospacing="0"/>
        <w:rPr>
          <w:rFonts w:cstheme="majorBidi"/>
          <w:sz w:val="22"/>
        </w:rPr>
      </w:pPr>
      <w:r w:rsidRPr="00E2052F">
        <w:rPr>
          <w:rFonts w:cstheme="majorBidi"/>
          <w:sz w:val="22"/>
        </w:rPr>
        <w:t>L’indépendance permet d’assurer que les décisions sont prises de manière objective et impartiale, sans influence ni conflit d’intérêts. Elle concerne principalement les membres du conseil d’administration, notamment les administrateurs indépendants, qui ne doivent entretenir aucune relation susceptible d’affecter leur jugement avec l’entreprise, ses dirigeants ou ses actionnaires majoritaires. Elle s’étend également aux organes de contrôle, tels que les comités d’audit et les auditeurs externes, qui doivent exercer leurs fonctions en toute autonomie afin de garantir la fiabilité de l’information financière. De ce fait, elle renforce la transparence, améliore la qualité des décisions, protège les actionnaires minoritaires et contribue à instaurer un climat de confiance entre l’entreprise et l’ensemble de ses parties prenantes.</w:t>
      </w:r>
    </w:p>
    <w:p w14:paraId="4CD5CAA5"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61" w:name="_Toc228092406"/>
      <w:r w:rsidRPr="00E2052F">
        <w:rPr>
          <w:rFonts w:cstheme="majorBidi"/>
          <w:b/>
          <w:bCs/>
          <w:sz w:val="22"/>
        </w:rPr>
        <w:t>Efficacité et efficience :</w:t>
      </w:r>
      <w:bookmarkEnd w:id="461"/>
    </w:p>
    <w:p w14:paraId="40CBEA2B" w14:textId="77777777" w:rsidR="00172C7A" w:rsidRPr="00E2052F" w:rsidRDefault="00172C7A" w:rsidP="0012023A">
      <w:pPr>
        <w:spacing w:before="0" w:beforeAutospacing="0"/>
        <w:rPr>
          <w:rFonts w:cstheme="majorBidi"/>
          <w:sz w:val="22"/>
        </w:rPr>
      </w:pPr>
      <w:r w:rsidRPr="00E2052F">
        <w:rPr>
          <w:rFonts w:cstheme="majorBidi"/>
          <w:sz w:val="22"/>
        </w:rPr>
        <w:t>L'efficacité et l'efficience signifient que les processus et les institutions produisent des résultats qui permettent une utilisation optimale des ressources dont dispose l'organisme d'exécution.</w:t>
      </w:r>
    </w:p>
    <w:p w14:paraId="69E33F5F"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62" w:name="_Toc228092407"/>
      <w:r w:rsidRPr="00E2052F">
        <w:rPr>
          <w:rFonts w:cstheme="majorBidi"/>
          <w:b/>
          <w:bCs/>
          <w:sz w:val="22"/>
        </w:rPr>
        <w:t>Orientée vers le consensus :</w:t>
      </w:r>
      <w:bookmarkEnd w:id="462"/>
    </w:p>
    <w:p w14:paraId="4E0311DA" w14:textId="77777777" w:rsidR="00172C7A" w:rsidRPr="00E2052F" w:rsidRDefault="00172C7A" w:rsidP="0012023A">
      <w:pPr>
        <w:spacing w:before="0" w:beforeAutospacing="0"/>
        <w:rPr>
          <w:rFonts w:cstheme="majorBidi"/>
          <w:sz w:val="22"/>
        </w:rPr>
      </w:pPr>
      <w:r w:rsidRPr="00E2052F">
        <w:rPr>
          <w:rFonts w:cstheme="majorBidi"/>
          <w:sz w:val="22"/>
        </w:rPr>
        <w:t>La recherche du consensus implique la médiation des différents intérêts afin de parvenir à un large consensus sur ce qui est dans l'intérêt supérieur du groupe et, si possible, sur les politiques et les procédures.</w:t>
      </w:r>
      <w:r w:rsidR="002127AA">
        <w:rPr>
          <w:rStyle w:val="Appelnotedebasdep"/>
          <w:rFonts w:cstheme="majorBidi"/>
          <w:sz w:val="22"/>
        </w:rPr>
        <w:footnoteReference w:id="100"/>
      </w:r>
    </w:p>
    <w:p w14:paraId="66D0B913" w14:textId="77777777" w:rsidR="00172C7A" w:rsidRPr="00E2052F" w:rsidRDefault="00172C7A" w:rsidP="00D61875">
      <w:pPr>
        <w:pStyle w:val="Paragraphedeliste"/>
        <w:numPr>
          <w:ilvl w:val="0"/>
          <w:numId w:val="98"/>
        </w:numPr>
        <w:spacing w:before="0" w:beforeAutospacing="0"/>
        <w:ind w:left="0" w:firstLine="284"/>
        <w:rPr>
          <w:rFonts w:cstheme="majorBidi"/>
          <w:b/>
          <w:bCs/>
          <w:sz w:val="22"/>
        </w:rPr>
      </w:pPr>
      <w:bookmarkStart w:id="463" w:name="_Toc228092408"/>
      <w:r w:rsidRPr="00E2052F">
        <w:rPr>
          <w:rFonts w:cstheme="majorBidi"/>
          <w:b/>
          <w:bCs/>
          <w:sz w:val="22"/>
        </w:rPr>
        <w:t>La responsabilité sociale :</w:t>
      </w:r>
      <w:bookmarkEnd w:id="463"/>
    </w:p>
    <w:p w14:paraId="705908C8" w14:textId="77777777" w:rsidR="00172C7A" w:rsidRPr="00E2052F" w:rsidRDefault="00172C7A" w:rsidP="0012023A">
      <w:pPr>
        <w:spacing w:before="0" w:beforeAutospacing="0"/>
        <w:rPr>
          <w:rFonts w:cstheme="majorBidi"/>
          <w:sz w:val="22"/>
        </w:rPr>
      </w:pPr>
      <w:r w:rsidRPr="00E2052F">
        <w:rPr>
          <w:rFonts w:cstheme="majorBidi"/>
          <w:sz w:val="22"/>
        </w:rPr>
        <w:t xml:space="preserve">La responsabilité sociale constitue une dimension essentielle de la gouvernance d’entreprise, dans la mesure où elle traduit l’engagement de l’entreprise à intégrer des préoccupations sociales, environnementales et éthiques dans ses décisions et ses pratiques de gestion. Elle implique que les dirigeants ne se limitent pas à la recherche du profit, mais prennent également en considération les attentes des différentes parties prenantes, telles que les salariés, les clients, les fournisseurs et la société en général. En ce sens, elle favorise un équilibre entre performance économique et développement </w:t>
      </w:r>
      <w:r w:rsidRPr="00E2052F">
        <w:rPr>
          <w:rFonts w:cstheme="majorBidi"/>
          <w:sz w:val="22"/>
        </w:rPr>
        <w:lastRenderedPageBreak/>
        <w:t>durable, renforce la transparence et la légitimité de l’entreprise, et contribue à instaurer une gouvernance plus responsable et orientée vers le long terme.</w:t>
      </w:r>
    </w:p>
    <w:p w14:paraId="22B2DCAA" w14:textId="77777777" w:rsidR="00172C7A" w:rsidRPr="00E2052F" w:rsidRDefault="00172C7A" w:rsidP="00C8480E">
      <w:pPr>
        <w:pStyle w:val="Titre2"/>
      </w:pPr>
      <w:bookmarkStart w:id="464" w:name="_Toc228092409"/>
      <w:bookmarkStart w:id="465" w:name="_Toc231746829"/>
      <w:bookmarkStart w:id="466" w:name="_Toc231752236"/>
      <w:bookmarkStart w:id="467" w:name="_Toc231810539"/>
      <w:bookmarkStart w:id="468" w:name="_Toc231811882"/>
      <w:bookmarkStart w:id="469" w:name="_Toc231812162"/>
      <w:bookmarkStart w:id="470" w:name="_Toc231815046"/>
      <w:r w:rsidRPr="00E2052F">
        <w:t>Les principes fondamentaux de la gouvernance d’entreprise :</w:t>
      </w:r>
      <w:bookmarkEnd w:id="464"/>
      <w:bookmarkEnd w:id="465"/>
      <w:bookmarkEnd w:id="466"/>
      <w:bookmarkEnd w:id="467"/>
      <w:bookmarkEnd w:id="468"/>
      <w:bookmarkEnd w:id="469"/>
      <w:bookmarkEnd w:id="470"/>
    </w:p>
    <w:p w14:paraId="42C830E9" w14:textId="77777777" w:rsidR="00172C7A" w:rsidRPr="00E2052F" w:rsidRDefault="00172C7A" w:rsidP="00D61875">
      <w:pPr>
        <w:pStyle w:val="Titre3"/>
        <w:numPr>
          <w:ilvl w:val="0"/>
          <w:numId w:val="50"/>
        </w:numPr>
        <w:spacing w:before="100" w:after="100" w:afterAutospacing="1"/>
        <w:ind w:left="568" w:hanging="284"/>
        <w:rPr>
          <w:rFonts w:asciiTheme="majorBidi" w:hAnsiTheme="majorBidi"/>
          <w:b w:val="0"/>
          <w:bCs w:val="0"/>
          <w:color w:val="auto"/>
          <w:sz w:val="22"/>
        </w:rPr>
      </w:pPr>
      <w:bookmarkStart w:id="471" w:name="_Toc228092410"/>
      <w:bookmarkStart w:id="472" w:name="_Toc231746830"/>
      <w:bookmarkStart w:id="473" w:name="_Toc231752237"/>
      <w:bookmarkStart w:id="474" w:name="_Toc231810540"/>
      <w:bookmarkStart w:id="475" w:name="_Toc231811883"/>
      <w:bookmarkStart w:id="476" w:name="_Toc231812163"/>
      <w:bookmarkStart w:id="477" w:name="_Toc231815047"/>
      <w:r w:rsidRPr="00E2052F">
        <w:rPr>
          <w:rFonts w:asciiTheme="majorBidi" w:hAnsiTheme="majorBidi"/>
          <w:color w:val="auto"/>
          <w:sz w:val="22"/>
        </w:rPr>
        <w:t>Organisation de coopération et de développement économiques OCDE :</w:t>
      </w:r>
      <w:bookmarkEnd w:id="471"/>
      <w:bookmarkEnd w:id="472"/>
      <w:bookmarkEnd w:id="473"/>
      <w:bookmarkEnd w:id="474"/>
      <w:bookmarkEnd w:id="475"/>
      <w:bookmarkEnd w:id="476"/>
      <w:bookmarkEnd w:id="477"/>
    </w:p>
    <w:p w14:paraId="15093B9B" w14:textId="77777777" w:rsidR="00172C7A" w:rsidRPr="00E2052F" w:rsidRDefault="00172C7A" w:rsidP="00D61875">
      <w:pPr>
        <w:pStyle w:val="Titre4"/>
        <w:numPr>
          <w:ilvl w:val="0"/>
          <w:numId w:val="97"/>
        </w:numPr>
        <w:spacing w:before="100" w:after="100" w:afterAutospacing="1"/>
        <w:ind w:left="1134" w:hanging="567"/>
        <w:rPr>
          <w:rFonts w:asciiTheme="majorBidi" w:hAnsiTheme="majorBidi"/>
          <w:b w:val="0"/>
          <w:bCs w:val="0"/>
          <w:i w:val="0"/>
          <w:iCs w:val="0"/>
          <w:color w:val="auto"/>
          <w:sz w:val="22"/>
        </w:rPr>
      </w:pPr>
      <w:bookmarkStart w:id="478" w:name="_Toc228092411"/>
      <w:bookmarkStart w:id="479" w:name="_Toc231746831"/>
      <w:bookmarkStart w:id="480" w:name="_Toc231752238"/>
      <w:bookmarkStart w:id="481" w:name="_Toc231810541"/>
      <w:bookmarkStart w:id="482" w:name="_Toc231811884"/>
      <w:bookmarkStart w:id="483" w:name="_Toc231812164"/>
      <w:bookmarkStart w:id="484" w:name="_Toc231815048"/>
      <w:r w:rsidRPr="00E2052F">
        <w:rPr>
          <w:rFonts w:asciiTheme="majorBidi" w:hAnsiTheme="majorBidi"/>
          <w:i w:val="0"/>
          <w:iCs w:val="0"/>
          <w:color w:val="auto"/>
          <w:sz w:val="22"/>
        </w:rPr>
        <w:t>Mise en place des fondements d'un régime de gouvernement d'entreprise efficace :</w:t>
      </w:r>
      <w:bookmarkEnd w:id="478"/>
      <w:bookmarkEnd w:id="479"/>
      <w:bookmarkEnd w:id="480"/>
      <w:bookmarkEnd w:id="481"/>
      <w:bookmarkEnd w:id="482"/>
      <w:bookmarkEnd w:id="483"/>
      <w:bookmarkEnd w:id="484"/>
    </w:p>
    <w:p w14:paraId="1E405E6F" w14:textId="77777777" w:rsidR="00172C7A" w:rsidRPr="00E2052F" w:rsidRDefault="00172C7A" w:rsidP="0051550F">
      <w:pPr>
        <w:spacing w:after="100" w:afterAutospacing="1"/>
        <w:rPr>
          <w:rFonts w:cstheme="majorBidi"/>
          <w:sz w:val="22"/>
        </w:rPr>
      </w:pPr>
      <w:r w:rsidRPr="00E2052F">
        <w:rPr>
          <w:rFonts w:cstheme="majorBidi"/>
          <w:sz w:val="22"/>
        </w:rPr>
        <w:t>Le régime de gouvernement d'entreprise devrait concourir à la transparence et à l'efficience des marchés, être compatible avec l'état de droit et clairement définir la répartition des compétences entre les instances chargées de la surveillance, de la réglementation et de l'application des textes.</w:t>
      </w:r>
    </w:p>
    <w:p w14:paraId="267399D9" w14:textId="77777777" w:rsidR="00172C7A" w:rsidRPr="00E2052F" w:rsidRDefault="00172C7A" w:rsidP="00D61875">
      <w:pPr>
        <w:pStyle w:val="Paragraphedeliste"/>
        <w:numPr>
          <w:ilvl w:val="0"/>
          <w:numId w:val="65"/>
        </w:numPr>
        <w:spacing w:after="100" w:afterAutospacing="1"/>
        <w:ind w:left="0" w:firstLine="284"/>
        <w:rPr>
          <w:rFonts w:cstheme="majorBidi"/>
          <w:sz w:val="22"/>
        </w:rPr>
      </w:pPr>
      <w:r w:rsidRPr="00E2052F">
        <w:rPr>
          <w:rFonts w:cstheme="majorBidi"/>
          <w:sz w:val="22"/>
        </w:rPr>
        <w:t>Un régime de gouvernement d'entreprise doit être élaboré en tenant compte de ses effets sur les performances globales de l'économie, de l'intégrité des marchés en promouvant leur transparence et leur efficience, ainsi que des incitations qu'il crée pour les participants au marché.</w:t>
      </w:r>
    </w:p>
    <w:p w14:paraId="3BE1E549" w14:textId="77777777" w:rsidR="00172C7A" w:rsidRPr="00E2052F" w:rsidRDefault="00172C7A" w:rsidP="00D61875">
      <w:pPr>
        <w:pStyle w:val="Paragraphedeliste"/>
        <w:numPr>
          <w:ilvl w:val="0"/>
          <w:numId w:val="65"/>
        </w:numPr>
        <w:spacing w:after="100" w:afterAutospacing="1"/>
        <w:ind w:left="0" w:firstLine="284"/>
        <w:rPr>
          <w:rFonts w:cstheme="majorBidi"/>
          <w:sz w:val="22"/>
        </w:rPr>
      </w:pPr>
      <w:r w:rsidRPr="00E2052F">
        <w:rPr>
          <w:rFonts w:cstheme="majorBidi"/>
          <w:sz w:val="22"/>
        </w:rPr>
        <w:t>Les dispositions législatives et réglementaires qui influent sur les pratiques de gouvernement d'entreprise dans un pays donné doivent être consistantes avec l'état de droit, transparentes et pouvoir être mises en œuvre.</w:t>
      </w:r>
    </w:p>
    <w:p w14:paraId="6425F7FC" w14:textId="77777777" w:rsidR="00172C7A" w:rsidRPr="00E2052F" w:rsidRDefault="00172C7A" w:rsidP="00D61875">
      <w:pPr>
        <w:pStyle w:val="Paragraphedeliste"/>
        <w:numPr>
          <w:ilvl w:val="0"/>
          <w:numId w:val="65"/>
        </w:numPr>
        <w:spacing w:after="100" w:afterAutospacing="1"/>
        <w:ind w:left="0" w:firstLine="284"/>
        <w:rPr>
          <w:rFonts w:cstheme="majorBidi"/>
          <w:sz w:val="22"/>
        </w:rPr>
      </w:pPr>
      <w:r w:rsidRPr="00E2052F">
        <w:rPr>
          <w:rFonts w:cstheme="majorBidi"/>
          <w:sz w:val="22"/>
        </w:rPr>
        <w:t>La répartition des compétences entre les différentes instances chargées de la réglementation dans un pays donné doit être clairement définie et servir l'intérêt général.</w:t>
      </w:r>
    </w:p>
    <w:p w14:paraId="1FA76FEA" w14:textId="77777777" w:rsidR="00172C7A" w:rsidRPr="00E2052F" w:rsidRDefault="00172C7A" w:rsidP="00D61875">
      <w:pPr>
        <w:pStyle w:val="Paragraphedeliste"/>
        <w:numPr>
          <w:ilvl w:val="0"/>
          <w:numId w:val="65"/>
        </w:numPr>
        <w:spacing w:after="100" w:afterAutospacing="1"/>
        <w:ind w:left="0" w:firstLine="284"/>
        <w:rPr>
          <w:rFonts w:cstheme="majorBidi"/>
          <w:sz w:val="22"/>
        </w:rPr>
      </w:pPr>
      <w:r w:rsidRPr="00E2052F">
        <w:rPr>
          <w:rFonts w:cstheme="majorBidi"/>
          <w:sz w:val="22"/>
        </w:rPr>
        <w:t xml:space="preserve"> Les instances compétentes en matière de surveillance, de réglementation et d'application des textes doivent avoir le pouvoir, l'intégrité et les ressources leur permettant de mener à bien leurs missions avec professionnalisme et objectivité. En outre, leurs décisions doivent intervenir en temps voulu et être transparentes et motivées.</w:t>
      </w:r>
      <w:r w:rsidRPr="00E2052F">
        <w:rPr>
          <w:rStyle w:val="Appelnotedebasdep"/>
          <w:rFonts w:cstheme="majorBidi"/>
          <w:sz w:val="22"/>
        </w:rPr>
        <w:footnoteReference w:id="101"/>
      </w:r>
    </w:p>
    <w:p w14:paraId="757D3707" w14:textId="77777777" w:rsidR="00172C7A" w:rsidRPr="00E2052F" w:rsidRDefault="00172C7A" w:rsidP="00D61875">
      <w:pPr>
        <w:pStyle w:val="Titre4"/>
        <w:numPr>
          <w:ilvl w:val="0"/>
          <w:numId w:val="97"/>
        </w:numPr>
        <w:spacing w:before="40" w:beforeAutospacing="0"/>
        <w:ind w:left="1134" w:hanging="567"/>
        <w:rPr>
          <w:rFonts w:asciiTheme="majorBidi" w:hAnsiTheme="majorBidi"/>
          <w:b w:val="0"/>
          <w:bCs w:val="0"/>
          <w:i w:val="0"/>
          <w:iCs w:val="0"/>
          <w:color w:val="auto"/>
          <w:sz w:val="22"/>
        </w:rPr>
      </w:pPr>
      <w:bookmarkStart w:id="485" w:name="_Toc228092412"/>
      <w:bookmarkStart w:id="486" w:name="_Toc231746832"/>
      <w:bookmarkStart w:id="487" w:name="_Toc231752239"/>
      <w:bookmarkStart w:id="488" w:name="_Toc231810542"/>
      <w:bookmarkStart w:id="489" w:name="_Toc231811885"/>
      <w:bookmarkStart w:id="490" w:name="_Toc231812165"/>
      <w:bookmarkStart w:id="491" w:name="_Toc231815049"/>
      <w:r w:rsidRPr="00E2052F">
        <w:rPr>
          <w:rFonts w:asciiTheme="majorBidi" w:hAnsiTheme="majorBidi"/>
          <w:i w:val="0"/>
          <w:iCs w:val="0"/>
          <w:color w:val="auto"/>
          <w:sz w:val="22"/>
        </w:rPr>
        <w:t>Droits des actionnaires et principales fonctions des détenteurs du capital :</w:t>
      </w:r>
      <w:bookmarkEnd w:id="485"/>
      <w:bookmarkEnd w:id="486"/>
      <w:bookmarkEnd w:id="487"/>
      <w:bookmarkEnd w:id="488"/>
      <w:bookmarkEnd w:id="489"/>
      <w:bookmarkEnd w:id="490"/>
      <w:bookmarkEnd w:id="491"/>
    </w:p>
    <w:p w14:paraId="5FB4EB45" w14:textId="77777777" w:rsidR="00172C7A" w:rsidRPr="00E2052F" w:rsidRDefault="00172C7A" w:rsidP="000D1BF7">
      <w:pPr>
        <w:spacing w:before="0" w:beforeAutospacing="0"/>
        <w:rPr>
          <w:rFonts w:cstheme="majorBidi"/>
          <w:sz w:val="22"/>
        </w:rPr>
      </w:pPr>
      <w:r w:rsidRPr="00E2052F">
        <w:rPr>
          <w:rFonts w:cstheme="majorBidi"/>
          <w:sz w:val="22"/>
        </w:rPr>
        <w:t>Un régime de gouvernement d'entreprise doit protéger les droits des actionnaires et faciliter leur exercice.</w:t>
      </w:r>
    </w:p>
    <w:p w14:paraId="3AB2AD47"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Les droits élémentaires des actionnaires doivent comprendre le droit :</w:t>
      </w:r>
    </w:p>
    <w:p w14:paraId="73AE5641" w14:textId="77777777" w:rsidR="00172C7A" w:rsidRPr="00E2052F" w:rsidRDefault="00172C7A" w:rsidP="00D61875">
      <w:pPr>
        <w:pStyle w:val="Paragraphedeliste"/>
        <w:numPr>
          <w:ilvl w:val="0"/>
          <w:numId w:val="51"/>
        </w:numPr>
        <w:spacing w:before="0" w:beforeAutospacing="0"/>
        <w:ind w:left="0" w:firstLine="284"/>
        <w:rPr>
          <w:rFonts w:cstheme="majorBidi"/>
          <w:sz w:val="22"/>
        </w:rPr>
      </w:pPr>
      <w:r w:rsidRPr="00E2052F">
        <w:rPr>
          <w:rFonts w:cstheme="majorBidi"/>
          <w:sz w:val="22"/>
        </w:rPr>
        <w:t>de bénéficier de méthodes fiables d'enregistrement de leurs titres ;</w:t>
      </w:r>
    </w:p>
    <w:p w14:paraId="022FF72D" w14:textId="77777777" w:rsidR="00172C7A" w:rsidRPr="00E2052F" w:rsidRDefault="00172C7A" w:rsidP="00D61875">
      <w:pPr>
        <w:pStyle w:val="Paragraphedeliste"/>
        <w:numPr>
          <w:ilvl w:val="0"/>
          <w:numId w:val="51"/>
        </w:numPr>
        <w:spacing w:before="0" w:beforeAutospacing="0"/>
        <w:ind w:left="0" w:firstLine="284"/>
        <w:rPr>
          <w:rFonts w:cstheme="majorBidi"/>
          <w:sz w:val="22"/>
        </w:rPr>
      </w:pPr>
      <w:r w:rsidRPr="00E2052F">
        <w:rPr>
          <w:rFonts w:cstheme="majorBidi"/>
          <w:sz w:val="22"/>
        </w:rPr>
        <w:t>de pouvoir céder ou de transférer des actions ;</w:t>
      </w:r>
    </w:p>
    <w:p w14:paraId="052A1AB2" w14:textId="77777777" w:rsidR="00172C7A" w:rsidRPr="00E2052F" w:rsidRDefault="00172C7A" w:rsidP="00D61875">
      <w:pPr>
        <w:pStyle w:val="Paragraphedeliste"/>
        <w:numPr>
          <w:ilvl w:val="0"/>
          <w:numId w:val="51"/>
        </w:numPr>
        <w:spacing w:before="0" w:beforeAutospacing="0"/>
        <w:ind w:left="0" w:firstLine="284"/>
        <w:rPr>
          <w:rFonts w:cstheme="majorBidi"/>
          <w:sz w:val="22"/>
        </w:rPr>
      </w:pPr>
      <w:r w:rsidRPr="00E2052F">
        <w:rPr>
          <w:rFonts w:cstheme="majorBidi"/>
          <w:sz w:val="22"/>
        </w:rPr>
        <w:t>d'obtenir en temps opportun et de façon régulière des informations pertinentes et significatives sur la société ;</w:t>
      </w:r>
    </w:p>
    <w:p w14:paraId="3B4ECBA0" w14:textId="77777777" w:rsidR="00172C7A" w:rsidRPr="00E2052F" w:rsidRDefault="00172C7A" w:rsidP="00D61875">
      <w:pPr>
        <w:pStyle w:val="Paragraphedeliste"/>
        <w:numPr>
          <w:ilvl w:val="0"/>
          <w:numId w:val="51"/>
        </w:numPr>
        <w:spacing w:before="0" w:beforeAutospacing="0"/>
        <w:ind w:left="0" w:firstLine="284"/>
        <w:rPr>
          <w:rFonts w:cstheme="majorBidi"/>
          <w:sz w:val="22"/>
        </w:rPr>
      </w:pPr>
      <w:r w:rsidRPr="00E2052F">
        <w:rPr>
          <w:rFonts w:cstheme="majorBidi"/>
          <w:sz w:val="22"/>
        </w:rPr>
        <w:t>de participer et de voter aux assemblées générales des actionnaires ;</w:t>
      </w:r>
    </w:p>
    <w:p w14:paraId="58E682FE" w14:textId="77777777" w:rsidR="00172C7A" w:rsidRPr="00E2052F" w:rsidRDefault="00172C7A" w:rsidP="00D61875">
      <w:pPr>
        <w:pStyle w:val="Paragraphedeliste"/>
        <w:numPr>
          <w:ilvl w:val="0"/>
          <w:numId w:val="51"/>
        </w:numPr>
        <w:spacing w:before="0" w:beforeAutospacing="0"/>
        <w:ind w:left="0" w:firstLine="284"/>
        <w:rPr>
          <w:rFonts w:cstheme="majorBidi"/>
          <w:sz w:val="22"/>
        </w:rPr>
      </w:pPr>
      <w:r w:rsidRPr="00E2052F">
        <w:rPr>
          <w:rFonts w:cstheme="majorBidi"/>
          <w:sz w:val="22"/>
        </w:rPr>
        <w:t>d'élire et de révoquer les administrateurs ;</w:t>
      </w:r>
    </w:p>
    <w:p w14:paraId="1E3C3EF0" w14:textId="77777777" w:rsidR="00172C7A" w:rsidRPr="00E2052F" w:rsidRDefault="00172C7A" w:rsidP="00D61875">
      <w:pPr>
        <w:pStyle w:val="Paragraphedeliste"/>
        <w:numPr>
          <w:ilvl w:val="0"/>
          <w:numId w:val="51"/>
        </w:numPr>
        <w:spacing w:before="0" w:beforeAutospacing="0"/>
        <w:ind w:left="0" w:firstLine="284"/>
        <w:contextualSpacing w:val="0"/>
        <w:rPr>
          <w:rFonts w:cstheme="majorBidi"/>
          <w:sz w:val="22"/>
        </w:rPr>
      </w:pPr>
      <w:r w:rsidRPr="00E2052F">
        <w:rPr>
          <w:rFonts w:cstheme="majorBidi"/>
          <w:sz w:val="22"/>
        </w:rPr>
        <w:lastRenderedPageBreak/>
        <w:t>d'être associés au partage des bénéfices de la société.</w:t>
      </w:r>
    </w:p>
    <w:p w14:paraId="08474FE9"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Les actionnaires doivent avoir le droit d'être suffisamment informés et de participer aux décisions concernant des changements fondamentaux pour la société, notamment pour :</w:t>
      </w:r>
    </w:p>
    <w:p w14:paraId="32D16580" w14:textId="77777777" w:rsidR="00172C7A" w:rsidRPr="00E2052F" w:rsidRDefault="00172C7A" w:rsidP="00D61875">
      <w:pPr>
        <w:pStyle w:val="Paragraphedeliste"/>
        <w:numPr>
          <w:ilvl w:val="0"/>
          <w:numId w:val="53"/>
        </w:numPr>
        <w:spacing w:before="0" w:beforeAutospacing="0"/>
        <w:ind w:left="0" w:firstLine="284"/>
        <w:contextualSpacing w:val="0"/>
        <w:rPr>
          <w:rFonts w:cstheme="majorBidi"/>
          <w:sz w:val="22"/>
        </w:rPr>
      </w:pPr>
      <w:r w:rsidRPr="00E2052F">
        <w:rPr>
          <w:rFonts w:cstheme="majorBidi"/>
          <w:sz w:val="22"/>
        </w:rPr>
        <w:t>toute modification des statuts de la société ou de tout autre document analogue régissant la société ;</w:t>
      </w:r>
    </w:p>
    <w:p w14:paraId="262FC0C2" w14:textId="77777777" w:rsidR="00172C7A" w:rsidRPr="00E2052F" w:rsidRDefault="00172C7A" w:rsidP="00D61875">
      <w:pPr>
        <w:pStyle w:val="Paragraphedeliste"/>
        <w:numPr>
          <w:ilvl w:val="0"/>
          <w:numId w:val="53"/>
        </w:numPr>
        <w:spacing w:before="0" w:beforeAutospacing="0"/>
        <w:ind w:left="0" w:firstLine="284"/>
        <w:contextualSpacing w:val="0"/>
        <w:rPr>
          <w:rFonts w:cstheme="majorBidi"/>
          <w:sz w:val="22"/>
        </w:rPr>
      </w:pPr>
      <w:r w:rsidRPr="00E2052F">
        <w:rPr>
          <w:rFonts w:cstheme="majorBidi"/>
          <w:sz w:val="22"/>
        </w:rPr>
        <w:t>toute autorisation d'émission de nouvelles actions ;</w:t>
      </w:r>
    </w:p>
    <w:p w14:paraId="1102A37A" w14:textId="77777777" w:rsidR="00172C7A" w:rsidRPr="00E2052F" w:rsidRDefault="00172C7A" w:rsidP="00D61875">
      <w:pPr>
        <w:pStyle w:val="Paragraphedeliste"/>
        <w:numPr>
          <w:ilvl w:val="0"/>
          <w:numId w:val="53"/>
        </w:numPr>
        <w:spacing w:before="0" w:beforeAutospacing="0"/>
        <w:ind w:left="0" w:firstLine="284"/>
        <w:contextualSpacing w:val="0"/>
        <w:rPr>
          <w:rFonts w:cstheme="majorBidi"/>
          <w:sz w:val="22"/>
        </w:rPr>
      </w:pPr>
      <w:r w:rsidRPr="00E2052F">
        <w:rPr>
          <w:rFonts w:cstheme="majorBidi"/>
          <w:sz w:val="22"/>
        </w:rPr>
        <w:t>toute opération à caractère exceptionnel, notamment le transfert de tous ou quasiment tous les actifs se traduisant dans les faits par la cession de la société.</w:t>
      </w:r>
    </w:p>
    <w:p w14:paraId="2D46405C"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Les actionnaires doivent avoir la possibilité de participer effectivement et de voter aux assemblées générales des actionnaires et d'être informés du règlement de ces assemblées, notamment des procédures de vote :</w:t>
      </w:r>
    </w:p>
    <w:p w14:paraId="7B1FD65F" w14:textId="77777777" w:rsidR="00172C7A" w:rsidRPr="00E2052F" w:rsidRDefault="00172C7A" w:rsidP="00D61875">
      <w:pPr>
        <w:pStyle w:val="Paragraphedeliste"/>
        <w:numPr>
          <w:ilvl w:val="0"/>
          <w:numId w:val="54"/>
        </w:numPr>
        <w:spacing w:before="0" w:beforeAutospacing="0"/>
        <w:ind w:left="0" w:firstLine="284"/>
        <w:contextualSpacing w:val="0"/>
        <w:rPr>
          <w:rFonts w:cstheme="majorBidi"/>
          <w:sz w:val="22"/>
        </w:rPr>
      </w:pPr>
      <w:r w:rsidRPr="00E2052F">
        <w:rPr>
          <w:rFonts w:cstheme="majorBidi"/>
          <w:sz w:val="22"/>
        </w:rPr>
        <w:t>Les actionnaires doivent avoir accès en temps opportun à des informations suffisantes concernant la date, le lieu et l'ordre du jour des assemblées générales, ainsi qu'à des informations complètes sur les décisions devant être prises lors de l'assemblée générale.</w:t>
      </w:r>
    </w:p>
    <w:p w14:paraId="0F6FE942" w14:textId="77777777" w:rsidR="00172C7A" w:rsidRPr="00E2052F" w:rsidRDefault="00172C7A" w:rsidP="00D61875">
      <w:pPr>
        <w:pStyle w:val="Paragraphedeliste"/>
        <w:numPr>
          <w:ilvl w:val="0"/>
          <w:numId w:val="54"/>
        </w:numPr>
        <w:spacing w:before="0" w:beforeAutospacing="0"/>
        <w:ind w:left="0" w:firstLine="284"/>
        <w:contextualSpacing w:val="0"/>
        <w:rPr>
          <w:rFonts w:cstheme="majorBidi"/>
          <w:sz w:val="22"/>
        </w:rPr>
      </w:pPr>
      <w:r w:rsidRPr="00E2052F">
        <w:rPr>
          <w:rFonts w:cstheme="majorBidi"/>
          <w:sz w:val="22"/>
        </w:rPr>
        <w:t>Les actionnaires doivent avoir la possibilité, dans des limites raisonnables, de poser des questions au conseil d'administration, y compris des questions relatives à la révision annuelle des comptes effectuée par des auditeurs externes, de faire inscrire des points à l'ordre du jour des assemblées générales et de proposer des résolutions.</w:t>
      </w:r>
    </w:p>
    <w:p w14:paraId="53544E6F" w14:textId="77777777" w:rsidR="00172C7A" w:rsidRPr="00E2052F" w:rsidRDefault="00172C7A" w:rsidP="00D61875">
      <w:pPr>
        <w:pStyle w:val="Paragraphedeliste"/>
        <w:numPr>
          <w:ilvl w:val="0"/>
          <w:numId w:val="54"/>
        </w:numPr>
        <w:spacing w:before="0" w:beforeAutospacing="0"/>
        <w:ind w:left="0" w:firstLine="284"/>
        <w:contextualSpacing w:val="0"/>
        <w:rPr>
          <w:rFonts w:cstheme="majorBidi"/>
          <w:sz w:val="22"/>
        </w:rPr>
      </w:pPr>
      <w:r w:rsidRPr="00E2052F">
        <w:rPr>
          <w:rFonts w:cstheme="majorBidi"/>
          <w:sz w:val="22"/>
        </w:rPr>
        <w:t>Il convient de faciliter la participation réelle des actionnaires aux grandes décisions relevant du gouvernement d'entreprise, notamment la nomination et l'élection des administrateurs. Les actionnaires doivent pouvoir faire entendre leur opinion sur la politique de rémunération des administrateurs et des principaux dirigeants. La composante en actions de la rémunération des administrateurs et des salariés doit être soumise à l'approbation des actionnaires.</w:t>
      </w:r>
      <w:r w:rsidR="00577546">
        <w:rPr>
          <w:rStyle w:val="Appelnotedebasdep"/>
          <w:rFonts w:cstheme="majorBidi"/>
          <w:sz w:val="22"/>
        </w:rPr>
        <w:footnoteReference w:id="102"/>
      </w:r>
    </w:p>
    <w:p w14:paraId="6451E0C6" w14:textId="77777777" w:rsidR="00172C7A" w:rsidRPr="00E2052F" w:rsidRDefault="00172C7A" w:rsidP="00D61875">
      <w:pPr>
        <w:pStyle w:val="Paragraphedeliste"/>
        <w:numPr>
          <w:ilvl w:val="0"/>
          <w:numId w:val="54"/>
        </w:numPr>
        <w:spacing w:before="0" w:beforeAutospacing="0"/>
        <w:ind w:left="0" w:firstLine="284"/>
        <w:contextualSpacing w:val="0"/>
        <w:rPr>
          <w:rFonts w:cstheme="majorBidi"/>
          <w:sz w:val="22"/>
        </w:rPr>
      </w:pPr>
      <w:r w:rsidRPr="00E2052F">
        <w:rPr>
          <w:rFonts w:cstheme="majorBidi"/>
          <w:sz w:val="22"/>
        </w:rPr>
        <w:t>Les actionnaires doivent pouvoir exercer leur droit de vote personnellement ou in absentia, et les votes ainsi exprimés doivent avoir la même valeur.</w:t>
      </w:r>
    </w:p>
    <w:p w14:paraId="3428EDB6"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Il convient de rendre publics les structures du capital et les dispositifs qui permettent à certains actionnaires d'exercer sur une société un contrôle disproportionné par rapport au montant de leur participation.</w:t>
      </w:r>
    </w:p>
    <w:p w14:paraId="21343A88"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Les marchés du contrôle des sociétés doivent pouvoir fonctionner de manière efficace et transparente :</w:t>
      </w:r>
    </w:p>
    <w:p w14:paraId="6BB63DF5" w14:textId="77777777" w:rsidR="00172C7A" w:rsidRPr="00E2052F" w:rsidRDefault="00172C7A" w:rsidP="00D61875">
      <w:pPr>
        <w:pStyle w:val="Paragraphedeliste"/>
        <w:numPr>
          <w:ilvl w:val="0"/>
          <w:numId w:val="55"/>
        </w:numPr>
        <w:spacing w:before="0" w:beforeAutospacing="0"/>
        <w:ind w:left="0" w:firstLine="284"/>
        <w:contextualSpacing w:val="0"/>
        <w:rPr>
          <w:rFonts w:cstheme="majorBidi"/>
          <w:sz w:val="22"/>
        </w:rPr>
      </w:pPr>
      <w:r w:rsidRPr="00E2052F">
        <w:rPr>
          <w:rFonts w:cstheme="majorBidi"/>
          <w:sz w:val="22"/>
        </w:rPr>
        <w:lastRenderedPageBreak/>
        <w:t>Il convient de définir clairement et de rendre publiques les règles et procédures relatives à l'acquisition sur les marchés financiers d'une participation de contrôle dans une société, ainsi qu'aux opérations à caractère exceptionnel comme les fusions et les cessions de fractions importantes des actifs d'une société, de sorte que les investisseurs aient connaissance de leurs droits et de leurs possibilités de recours. Les transactions doivent s'effectuer à des prix transparents et dans des conditions équitables qui protègent les droits de tous les actionnaires, en fonction de la catégorie à laquelle ils appartiennent.</w:t>
      </w:r>
    </w:p>
    <w:p w14:paraId="4973D5F1" w14:textId="77777777" w:rsidR="00172C7A" w:rsidRPr="00E2052F" w:rsidRDefault="00172C7A" w:rsidP="00D61875">
      <w:pPr>
        <w:pStyle w:val="Paragraphedeliste"/>
        <w:numPr>
          <w:ilvl w:val="0"/>
          <w:numId w:val="55"/>
        </w:numPr>
        <w:spacing w:before="0" w:beforeAutospacing="0"/>
        <w:ind w:left="0" w:firstLine="284"/>
        <w:contextualSpacing w:val="0"/>
        <w:rPr>
          <w:rFonts w:cstheme="majorBidi"/>
          <w:sz w:val="22"/>
        </w:rPr>
      </w:pPr>
      <w:r w:rsidRPr="00E2052F">
        <w:rPr>
          <w:rFonts w:cstheme="majorBidi"/>
          <w:sz w:val="22"/>
        </w:rPr>
        <w:t>Les dispositifs anti-OPA ne doivent pas servir à exonérer la direction et le conseil d'administration de leurs responsabilités.</w:t>
      </w:r>
    </w:p>
    <w:p w14:paraId="7BE354CA" w14:textId="77777777" w:rsidR="00172C7A" w:rsidRPr="00E2052F" w:rsidRDefault="00172C7A" w:rsidP="00D61875">
      <w:pPr>
        <w:pStyle w:val="Paragraphedeliste"/>
        <w:numPr>
          <w:ilvl w:val="0"/>
          <w:numId w:val="52"/>
        </w:numPr>
        <w:spacing w:before="0" w:beforeAutospacing="0"/>
        <w:ind w:left="0" w:firstLine="284"/>
        <w:contextualSpacing w:val="0"/>
        <w:rPr>
          <w:rFonts w:cstheme="majorBidi"/>
          <w:sz w:val="22"/>
        </w:rPr>
      </w:pPr>
      <w:r w:rsidRPr="00E2052F">
        <w:rPr>
          <w:rFonts w:cstheme="majorBidi"/>
          <w:sz w:val="22"/>
        </w:rPr>
        <w:t>Il convient de faciliter l'exercice par l'ensemble des actionnaires, y par compris les investisseurs institutionnels, de leurs droits en tant que détenteurs du capital.</w:t>
      </w:r>
    </w:p>
    <w:p w14:paraId="5B38CC35" w14:textId="77777777" w:rsidR="00172C7A" w:rsidRPr="00E2052F" w:rsidRDefault="00172C7A" w:rsidP="00D61875">
      <w:pPr>
        <w:pStyle w:val="Paragraphedeliste"/>
        <w:numPr>
          <w:ilvl w:val="0"/>
          <w:numId w:val="56"/>
        </w:numPr>
        <w:spacing w:before="0" w:beforeAutospacing="0"/>
        <w:ind w:left="0" w:firstLine="284"/>
        <w:rPr>
          <w:rFonts w:cstheme="majorBidi"/>
          <w:sz w:val="22"/>
        </w:rPr>
      </w:pPr>
      <w:r w:rsidRPr="00E2052F">
        <w:rPr>
          <w:rFonts w:cstheme="majorBidi"/>
          <w:sz w:val="22"/>
        </w:rPr>
        <w:t>Les investisseurs institutionnels agissant à titre fiduciaire doivent rendre publique leur politique en matière de gouvernement d'entreprise et de vote qu'ils appliquent aux sociétés dans lesquelles ils investissent, y compris les procédures qu'ils ont mises en place pour statuer sur l'utilisation de leurs droits de vote.</w:t>
      </w:r>
    </w:p>
    <w:p w14:paraId="2CFEECCA" w14:textId="77777777" w:rsidR="00172C7A" w:rsidRPr="00E2052F" w:rsidRDefault="00172C7A" w:rsidP="00D61875">
      <w:pPr>
        <w:pStyle w:val="Paragraphedeliste"/>
        <w:numPr>
          <w:ilvl w:val="0"/>
          <w:numId w:val="56"/>
        </w:numPr>
        <w:spacing w:before="0" w:beforeAutospacing="0"/>
        <w:ind w:left="0" w:firstLine="284"/>
        <w:contextualSpacing w:val="0"/>
        <w:rPr>
          <w:rFonts w:cstheme="majorBidi"/>
          <w:sz w:val="22"/>
        </w:rPr>
      </w:pPr>
      <w:r w:rsidRPr="00E2052F">
        <w:rPr>
          <w:rFonts w:cstheme="majorBidi"/>
          <w:sz w:val="22"/>
        </w:rPr>
        <w:t>Les investisseurs institutionnels agissant à titre fiduciaire doivent diffuser des informations sur la manière dont ils gèrent les conflits d'intérêts significatifs pouvant avoir une incidence sur l'exercice de leurs principaux droits en tant que détenteurs du capital des sociétés dans lesquelles ils investissent.</w:t>
      </w:r>
    </w:p>
    <w:p w14:paraId="4ACECB90" w14:textId="77777777" w:rsidR="00172C7A" w:rsidRPr="00E2052F" w:rsidRDefault="00172C7A" w:rsidP="00D61875">
      <w:pPr>
        <w:pStyle w:val="Paragraphedeliste"/>
        <w:numPr>
          <w:ilvl w:val="0"/>
          <w:numId w:val="52"/>
        </w:numPr>
        <w:spacing w:before="0" w:beforeAutospacing="0"/>
        <w:ind w:left="0" w:firstLine="284"/>
        <w:rPr>
          <w:rFonts w:cstheme="majorBidi"/>
          <w:sz w:val="22"/>
        </w:rPr>
      </w:pPr>
      <w:r w:rsidRPr="00E2052F">
        <w:rPr>
          <w:rFonts w:cstheme="majorBidi"/>
          <w:sz w:val="22"/>
        </w:rPr>
        <w:t>Les actionnaires, notamment les investisseurs institutionnels, doivent être autorisés à se consulter entre eux sur toute question relative aux droits élémentaires que leur confère leur statut d'actionnaire, tels qu'ils sont définis précédemment, sous réserve de certaines exceptions destinées à prévenir les abus.</w:t>
      </w:r>
      <w:r w:rsidRPr="00E2052F">
        <w:rPr>
          <w:rStyle w:val="Appelnotedebasdep"/>
          <w:rFonts w:cstheme="majorBidi"/>
          <w:sz w:val="22"/>
        </w:rPr>
        <w:footnoteReference w:id="103"/>
      </w:r>
    </w:p>
    <w:p w14:paraId="7A642668" w14:textId="77777777" w:rsidR="00172C7A" w:rsidRPr="00E2052F" w:rsidRDefault="00172C7A" w:rsidP="00D61875">
      <w:pPr>
        <w:pStyle w:val="Titre4"/>
        <w:numPr>
          <w:ilvl w:val="0"/>
          <w:numId w:val="97"/>
        </w:numPr>
        <w:spacing w:before="0" w:beforeAutospacing="0" w:after="160"/>
        <w:ind w:left="1134" w:hanging="567"/>
        <w:rPr>
          <w:rFonts w:asciiTheme="majorBidi" w:hAnsiTheme="majorBidi"/>
          <w:b w:val="0"/>
          <w:bCs w:val="0"/>
          <w:i w:val="0"/>
          <w:iCs w:val="0"/>
          <w:color w:val="auto"/>
          <w:sz w:val="22"/>
        </w:rPr>
      </w:pPr>
      <w:bookmarkStart w:id="492" w:name="_Toc228092413"/>
      <w:bookmarkStart w:id="493" w:name="_Toc231746833"/>
      <w:bookmarkStart w:id="494" w:name="_Toc231752240"/>
      <w:bookmarkStart w:id="495" w:name="_Toc231810543"/>
      <w:bookmarkStart w:id="496" w:name="_Toc231811886"/>
      <w:bookmarkStart w:id="497" w:name="_Toc231812166"/>
      <w:bookmarkStart w:id="498" w:name="_Toc231815050"/>
      <w:r w:rsidRPr="00E2052F">
        <w:rPr>
          <w:rFonts w:asciiTheme="majorBidi" w:hAnsiTheme="majorBidi"/>
          <w:i w:val="0"/>
          <w:iCs w:val="0"/>
          <w:color w:val="auto"/>
          <w:sz w:val="22"/>
        </w:rPr>
        <w:t>Traitement équitable des actionnaires :</w:t>
      </w:r>
      <w:bookmarkEnd w:id="492"/>
      <w:bookmarkEnd w:id="493"/>
      <w:bookmarkEnd w:id="494"/>
      <w:bookmarkEnd w:id="495"/>
      <w:bookmarkEnd w:id="496"/>
      <w:bookmarkEnd w:id="497"/>
      <w:bookmarkEnd w:id="498"/>
    </w:p>
    <w:p w14:paraId="6F224E7A" w14:textId="77777777" w:rsidR="00172C7A" w:rsidRPr="00E2052F" w:rsidRDefault="00172C7A" w:rsidP="0051550F">
      <w:pPr>
        <w:spacing w:before="0" w:beforeAutospacing="0"/>
        <w:rPr>
          <w:rFonts w:cstheme="majorBidi"/>
          <w:sz w:val="22"/>
        </w:rPr>
      </w:pPr>
      <w:r w:rsidRPr="00E2052F">
        <w:rPr>
          <w:rFonts w:cstheme="majorBidi"/>
          <w:sz w:val="22"/>
        </w:rPr>
        <w:t>Un régime de gouvernement d’entreprise doit assurer un traitement équitable de tous les actionnaires, y compris les actionnaires minoritaires et étrangers. Tout actionnaire doit avoir la possibilité d’obtenir la réparation effective de toute violation de ses droits.</w:t>
      </w:r>
    </w:p>
    <w:p w14:paraId="12299157" w14:textId="77777777" w:rsidR="00172C7A" w:rsidRPr="00E2052F" w:rsidRDefault="00172C7A" w:rsidP="00D61875">
      <w:pPr>
        <w:pStyle w:val="Paragraphedeliste"/>
        <w:numPr>
          <w:ilvl w:val="0"/>
          <w:numId w:val="57"/>
        </w:numPr>
        <w:spacing w:before="0" w:beforeAutospacing="0"/>
        <w:ind w:left="0" w:firstLine="284"/>
        <w:contextualSpacing w:val="0"/>
        <w:rPr>
          <w:rFonts w:cstheme="majorBidi"/>
          <w:sz w:val="22"/>
        </w:rPr>
      </w:pPr>
      <w:r w:rsidRPr="00E2052F">
        <w:rPr>
          <w:rFonts w:cstheme="majorBidi"/>
          <w:sz w:val="22"/>
        </w:rPr>
        <w:t>Tous les actionnaires détenteurs d’actions d’une même série à l’intérieur d’une classe doivent être traités sur un pied d’égalité.</w:t>
      </w:r>
    </w:p>
    <w:p w14:paraId="5FB96330" w14:textId="77777777" w:rsidR="00172C7A" w:rsidRPr="00E2052F" w:rsidRDefault="00172C7A" w:rsidP="00D61875">
      <w:pPr>
        <w:pStyle w:val="Paragraphedeliste"/>
        <w:numPr>
          <w:ilvl w:val="0"/>
          <w:numId w:val="58"/>
        </w:numPr>
        <w:spacing w:before="0" w:beforeAutospacing="0"/>
        <w:ind w:left="0" w:firstLine="284"/>
        <w:rPr>
          <w:rFonts w:cstheme="majorBidi"/>
          <w:sz w:val="22"/>
        </w:rPr>
      </w:pPr>
      <w:r w:rsidRPr="00E2052F">
        <w:rPr>
          <w:rFonts w:cstheme="majorBidi"/>
          <w:sz w:val="22"/>
        </w:rPr>
        <w:t>Toutes les actions d’une série d’actions d’une classe donnée doivent conférer les mêmes droits. Tous les investisseurs doivent pouvoir obtenir des informations sur les droits attachés à chaque série et classe d’actions avant même d’acquérir des titres. Toute modification des droits de vote doit être soumise à l’approbation des classes d’actionnaires affectées négativement par cette décision.</w:t>
      </w:r>
    </w:p>
    <w:p w14:paraId="661F0532" w14:textId="77777777" w:rsidR="00172C7A" w:rsidRPr="00E2052F" w:rsidRDefault="00172C7A" w:rsidP="00D61875">
      <w:pPr>
        <w:pStyle w:val="Paragraphedeliste"/>
        <w:numPr>
          <w:ilvl w:val="0"/>
          <w:numId w:val="58"/>
        </w:numPr>
        <w:spacing w:before="0" w:beforeAutospacing="0"/>
        <w:ind w:left="0" w:firstLine="284"/>
        <w:rPr>
          <w:rFonts w:cstheme="majorBidi"/>
          <w:sz w:val="22"/>
        </w:rPr>
      </w:pPr>
      <w:r w:rsidRPr="00E2052F">
        <w:rPr>
          <w:rFonts w:cstheme="majorBidi"/>
          <w:sz w:val="22"/>
        </w:rPr>
        <w:lastRenderedPageBreak/>
        <w:t>Les actionnaires minoritaires doivent être protégés contre les actes abusifs commis directement ou indirectement par les actionnaires de contrôle ou dans leur intérêt, et disposer de voies de recours efficaces.</w:t>
      </w:r>
    </w:p>
    <w:p w14:paraId="4F174A6C" w14:textId="77777777" w:rsidR="00172C7A" w:rsidRPr="00E2052F" w:rsidRDefault="00172C7A" w:rsidP="00D61875">
      <w:pPr>
        <w:pStyle w:val="Paragraphedeliste"/>
        <w:numPr>
          <w:ilvl w:val="0"/>
          <w:numId w:val="58"/>
        </w:numPr>
        <w:spacing w:before="0" w:beforeAutospacing="0"/>
        <w:ind w:left="0" w:firstLine="284"/>
        <w:rPr>
          <w:rFonts w:cstheme="majorBidi"/>
          <w:sz w:val="22"/>
        </w:rPr>
      </w:pPr>
      <w:r w:rsidRPr="00E2052F">
        <w:rPr>
          <w:rFonts w:cstheme="majorBidi"/>
          <w:sz w:val="22"/>
        </w:rPr>
        <w:t>Les droits de vote doivent être exercés par les dépositaires des titres ou les fondés de pouvoir en accord avec les propriétaires effectifs.</w:t>
      </w:r>
    </w:p>
    <w:p w14:paraId="4B8EE35B" w14:textId="77777777" w:rsidR="00172C7A" w:rsidRPr="00E2052F" w:rsidRDefault="00172C7A" w:rsidP="00D61875">
      <w:pPr>
        <w:pStyle w:val="Paragraphedeliste"/>
        <w:numPr>
          <w:ilvl w:val="0"/>
          <w:numId w:val="58"/>
        </w:numPr>
        <w:spacing w:before="0" w:beforeAutospacing="0"/>
        <w:ind w:left="0" w:firstLine="284"/>
        <w:rPr>
          <w:rFonts w:cstheme="majorBidi"/>
          <w:sz w:val="22"/>
        </w:rPr>
      </w:pPr>
      <w:r w:rsidRPr="00E2052F">
        <w:rPr>
          <w:rFonts w:cstheme="majorBidi"/>
          <w:sz w:val="22"/>
        </w:rPr>
        <w:t>Il convient d’éliminer les obstacles entravant l’exercice des votes transnationaux.</w:t>
      </w:r>
    </w:p>
    <w:p w14:paraId="43B4F6E5" w14:textId="77777777" w:rsidR="00172C7A" w:rsidRPr="00E2052F" w:rsidRDefault="00172C7A" w:rsidP="00D61875">
      <w:pPr>
        <w:pStyle w:val="Paragraphedeliste"/>
        <w:numPr>
          <w:ilvl w:val="0"/>
          <w:numId w:val="58"/>
        </w:numPr>
        <w:spacing w:before="0" w:beforeAutospacing="0"/>
        <w:ind w:left="0" w:firstLine="284"/>
        <w:contextualSpacing w:val="0"/>
        <w:rPr>
          <w:rFonts w:cstheme="majorBidi"/>
          <w:sz w:val="22"/>
        </w:rPr>
      </w:pPr>
      <w:r w:rsidRPr="00E2052F">
        <w:rPr>
          <w:rFonts w:cstheme="majorBidi"/>
          <w:sz w:val="22"/>
        </w:rPr>
        <w:t>Les démarches et procédures relatives aux assemblées générales d’actionnaires doivent assurer un traitement équitable de l’ensemble des actionnaires. Les procédures propres aux sociétés ne doivent pas rendre l’exercice du droit de vote par les actionnaires inutilement difficile ou onéreux.</w:t>
      </w:r>
    </w:p>
    <w:p w14:paraId="10708B0F" w14:textId="77777777" w:rsidR="00172C7A" w:rsidRPr="00E2052F" w:rsidRDefault="00172C7A" w:rsidP="00D61875">
      <w:pPr>
        <w:pStyle w:val="Paragraphedeliste"/>
        <w:numPr>
          <w:ilvl w:val="0"/>
          <w:numId w:val="57"/>
        </w:numPr>
        <w:spacing w:before="0" w:beforeAutospacing="0"/>
        <w:ind w:left="0" w:firstLine="284"/>
        <w:contextualSpacing w:val="0"/>
        <w:rPr>
          <w:rFonts w:cstheme="majorBidi"/>
          <w:sz w:val="22"/>
        </w:rPr>
      </w:pPr>
      <w:r w:rsidRPr="00E2052F">
        <w:rPr>
          <w:rFonts w:cstheme="majorBidi"/>
          <w:sz w:val="22"/>
        </w:rPr>
        <w:t>Les opérations d’initiés et les opérations pour compte propre abusives doivent être interdites.</w:t>
      </w:r>
    </w:p>
    <w:p w14:paraId="48936616" w14:textId="77777777" w:rsidR="00172C7A" w:rsidRPr="00E2052F" w:rsidRDefault="00172C7A" w:rsidP="00D61875">
      <w:pPr>
        <w:pStyle w:val="Paragraphedeliste"/>
        <w:numPr>
          <w:ilvl w:val="0"/>
          <w:numId w:val="57"/>
        </w:numPr>
        <w:spacing w:before="0" w:beforeAutospacing="0"/>
        <w:ind w:left="0" w:firstLine="284"/>
        <w:contextualSpacing w:val="0"/>
        <w:rPr>
          <w:rFonts w:cstheme="majorBidi"/>
          <w:sz w:val="22"/>
        </w:rPr>
      </w:pPr>
      <w:r w:rsidRPr="00E2052F">
        <w:rPr>
          <w:rFonts w:cstheme="majorBidi"/>
          <w:sz w:val="22"/>
        </w:rPr>
        <w:t>Les administrateurs et les principaux dirigeants doivent informer le conseil d’administration de tout intérêt significatif qu’ils pourraient avoir, directement, indirectement ou pour le compte de tiers dans une opération ou une affaire affectant directement la société.</w:t>
      </w:r>
      <w:r w:rsidRPr="00E2052F">
        <w:rPr>
          <w:rStyle w:val="Appelnotedebasdep"/>
          <w:rFonts w:cstheme="majorBidi"/>
          <w:sz w:val="22"/>
        </w:rPr>
        <w:footnoteReference w:id="104"/>
      </w:r>
    </w:p>
    <w:p w14:paraId="59C03734" w14:textId="77777777" w:rsidR="00172C7A" w:rsidRPr="00E2052F" w:rsidRDefault="00172C7A" w:rsidP="00D61875">
      <w:pPr>
        <w:pStyle w:val="Titre4"/>
        <w:numPr>
          <w:ilvl w:val="0"/>
          <w:numId w:val="97"/>
        </w:numPr>
        <w:spacing w:before="0" w:beforeAutospacing="0" w:after="160"/>
        <w:ind w:left="1134" w:hanging="567"/>
        <w:rPr>
          <w:rFonts w:asciiTheme="majorBidi" w:hAnsiTheme="majorBidi"/>
          <w:b w:val="0"/>
          <w:bCs w:val="0"/>
          <w:i w:val="0"/>
          <w:iCs w:val="0"/>
          <w:color w:val="auto"/>
          <w:sz w:val="22"/>
        </w:rPr>
      </w:pPr>
      <w:bookmarkStart w:id="499" w:name="_Toc228092414"/>
      <w:bookmarkStart w:id="500" w:name="_Toc231746834"/>
      <w:bookmarkStart w:id="501" w:name="_Toc231752241"/>
      <w:bookmarkStart w:id="502" w:name="_Toc231810544"/>
      <w:bookmarkStart w:id="503" w:name="_Toc231811887"/>
      <w:bookmarkStart w:id="504" w:name="_Toc231812167"/>
      <w:bookmarkStart w:id="505" w:name="_Toc231815051"/>
      <w:r w:rsidRPr="00E2052F">
        <w:rPr>
          <w:rFonts w:asciiTheme="majorBidi" w:hAnsiTheme="majorBidi"/>
          <w:i w:val="0"/>
          <w:iCs w:val="0"/>
          <w:color w:val="auto"/>
          <w:sz w:val="22"/>
        </w:rPr>
        <w:t>Rôle des différentes parties prenantes dans le gouvernement d'entreprise :</w:t>
      </w:r>
      <w:bookmarkEnd w:id="499"/>
      <w:bookmarkEnd w:id="500"/>
      <w:bookmarkEnd w:id="501"/>
      <w:bookmarkEnd w:id="502"/>
      <w:bookmarkEnd w:id="503"/>
      <w:bookmarkEnd w:id="504"/>
      <w:bookmarkEnd w:id="505"/>
    </w:p>
    <w:p w14:paraId="3E129E3B" w14:textId="77777777" w:rsidR="00172C7A" w:rsidRPr="00E2052F" w:rsidRDefault="00172C7A" w:rsidP="000D1BF7">
      <w:pPr>
        <w:spacing w:before="0" w:beforeAutospacing="0"/>
        <w:rPr>
          <w:rFonts w:cstheme="majorBidi"/>
          <w:sz w:val="22"/>
        </w:rPr>
      </w:pPr>
      <w:r w:rsidRPr="00E2052F">
        <w:rPr>
          <w:rFonts w:cstheme="majorBidi"/>
          <w:sz w:val="22"/>
        </w:rPr>
        <w:t>Un régime de gouvernement d’entreprise doit reconnaître les droits des différentes parties prenantes à la vie d’une société tels qu’ils sont définis par le droit en vigueur ou par des accords mutuels, et encourager une coopération active entre les sociétés et les différentes parties prenantes pour créer de la richesse et des emplois et assurer la pérennité des entreprises financièrement saines.</w:t>
      </w:r>
    </w:p>
    <w:p w14:paraId="6B4D1D31"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t xml:space="preserve">Les droits établis des différentes parties prenantes, dont la loi prévoit la protection ou qui sont établis sur la base d’accords mutuels, doivent être respectés. </w:t>
      </w:r>
    </w:p>
    <w:p w14:paraId="0865BFE3"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t xml:space="preserve">Lorsque les intérêts des parties prenantes sont protégés par la loi, lesdites parties prenantes doivent pouvoir obtenir la réparation effective de toute violation de leurs droits. </w:t>
      </w:r>
    </w:p>
    <w:p w14:paraId="427F2E46"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t>Il convient de permettre le développement des mécanismes de participation des salariés qui sont de nature à améliorer les performances.</w:t>
      </w:r>
    </w:p>
    <w:p w14:paraId="241EFFDC"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t xml:space="preserve"> Lorsque les parties prenantes interviennent dans le gouvernement d’entreprise, elles doivent avoir accès en temps opportun et de façon régulière à des informations pertinentes, suffisantes et fiables.</w:t>
      </w:r>
    </w:p>
    <w:p w14:paraId="544A58E3"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t xml:space="preserve"> Les parties prenantes, y compris les salariés au niveau individuel et les organes qui les représentent, doivent pouvoir faire état librement auprès du conseil d’administration de leurs inquiétudes concernant d’éventuelles pratiques illicites ou contraires à l’éthique, et une telle intervention ne doit pas compromettre l’exercice de leurs droits. </w:t>
      </w:r>
    </w:p>
    <w:p w14:paraId="4340DE9F" w14:textId="77777777" w:rsidR="00172C7A" w:rsidRPr="00E2052F" w:rsidRDefault="00172C7A" w:rsidP="00D61875">
      <w:pPr>
        <w:pStyle w:val="Paragraphedeliste"/>
        <w:numPr>
          <w:ilvl w:val="0"/>
          <w:numId w:val="59"/>
        </w:numPr>
        <w:spacing w:before="0" w:beforeAutospacing="0"/>
        <w:ind w:left="0" w:firstLine="284"/>
        <w:contextualSpacing w:val="0"/>
        <w:rPr>
          <w:rFonts w:cstheme="majorBidi"/>
          <w:sz w:val="22"/>
        </w:rPr>
      </w:pPr>
      <w:r w:rsidRPr="00E2052F">
        <w:rPr>
          <w:rFonts w:cstheme="majorBidi"/>
          <w:sz w:val="22"/>
        </w:rPr>
        <w:lastRenderedPageBreak/>
        <w:t>Le régime de gouvernement d’entreprise doit être complété par un dispositif efficace et efficient en matière de faillite et par la mise en œuvre effective des droits des créanciers.</w:t>
      </w:r>
      <w:r w:rsidRPr="00E2052F">
        <w:rPr>
          <w:rStyle w:val="Appelnotedebasdep"/>
          <w:rFonts w:cstheme="majorBidi"/>
          <w:sz w:val="22"/>
        </w:rPr>
        <w:footnoteReference w:id="105"/>
      </w:r>
    </w:p>
    <w:p w14:paraId="2AA951A7" w14:textId="77777777" w:rsidR="00172C7A" w:rsidRPr="00E2052F" w:rsidRDefault="00172C7A" w:rsidP="00D61875">
      <w:pPr>
        <w:pStyle w:val="Titre4"/>
        <w:numPr>
          <w:ilvl w:val="0"/>
          <w:numId w:val="97"/>
        </w:numPr>
        <w:spacing w:before="0" w:beforeAutospacing="0" w:after="160"/>
        <w:ind w:left="1134" w:hanging="567"/>
        <w:rPr>
          <w:rFonts w:asciiTheme="majorBidi" w:hAnsiTheme="majorBidi"/>
          <w:b w:val="0"/>
          <w:bCs w:val="0"/>
          <w:i w:val="0"/>
          <w:iCs w:val="0"/>
          <w:sz w:val="22"/>
        </w:rPr>
      </w:pPr>
      <w:bookmarkStart w:id="506" w:name="_Toc228092415"/>
      <w:bookmarkStart w:id="507" w:name="_Toc231746835"/>
      <w:bookmarkStart w:id="508" w:name="_Toc231752242"/>
      <w:bookmarkStart w:id="509" w:name="_Toc231810545"/>
      <w:bookmarkStart w:id="510" w:name="_Toc231811888"/>
      <w:bookmarkStart w:id="511" w:name="_Toc231812168"/>
      <w:bookmarkStart w:id="512" w:name="_Toc231815052"/>
      <w:r w:rsidRPr="00E2052F">
        <w:rPr>
          <w:rFonts w:asciiTheme="majorBidi" w:hAnsiTheme="majorBidi"/>
          <w:i w:val="0"/>
          <w:iCs w:val="0"/>
          <w:color w:val="auto"/>
          <w:sz w:val="22"/>
        </w:rPr>
        <w:t>Transparence et diffusion de l’information :</w:t>
      </w:r>
      <w:bookmarkEnd w:id="506"/>
      <w:bookmarkEnd w:id="507"/>
      <w:bookmarkEnd w:id="508"/>
      <w:bookmarkEnd w:id="509"/>
      <w:bookmarkEnd w:id="510"/>
      <w:bookmarkEnd w:id="511"/>
      <w:bookmarkEnd w:id="512"/>
    </w:p>
    <w:p w14:paraId="3CAE4FFB" w14:textId="77777777" w:rsidR="00172C7A" w:rsidRPr="00E2052F" w:rsidRDefault="00172C7A" w:rsidP="000D1BF7">
      <w:pPr>
        <w:spacing w:before="0" w:beforeAutospacing="0"/>
        <w:rPr>
          <w:rFonts w:cstheme="majorBidi"/>
          <w:sz w:val="22"/>
        </w:rPr>
      </w:pPr>
      <w:r w:rsidRPr="00E2052F">
        <w:rPr>
          <w:rFonts w:cstheme="majorBidi"/>
          <w:sz w:val="22"/>
        </w:rPr>
        <w:t>Un régime de gouvernement d'entreprise doit garantir la diffusion en temps opportun d'informations exactes sur tous les sujets significatifs concernant l'entreprise, notamment la situation financière, les résultats, l'actionnariat et le gouvernement de cette entreprise.</w:t>
      </w:r>
    </w:p>
    <w:p w14:paraId="063F21A2" w14:textId="77777777" w:rsidR="00172C7A" w:rsidRPr="00E2052F" w:rsidRDefault="00172C7A" w:rsidP="00D61875">
      <w:pPr>
        <w:pStyle w:val="Paragraphedeliste"/>
        <w:numPr>
          <w:ilvl w:val="0"/>
          <w:numId w:val="60"/>
        </w:numPr>
        <w:spacing w:before="0" w:beforeAutospacing="0"/>
        <w:ind w:left="0" w:firstLine="284"/>
        <w:contextualSpacing w:val="0"/>
        <w:rPr>
          <w:rFonts w:cstheme="majorBidi"/>
          <w:sz w:val="22"/>
        </w:rPr>
      </w:pPr>
      <w:r w:rsidRPr="00E2052F">
        <w:rPr>
          <w:rFonts w:cstheme="majorBidi"/>
          <w:sz w:val="22"/>
        </w:rPr>
        <w:t>La diffusion de ces informations doit porter, de façon non exclusive, sur :</w:t>
      </w:r>
    </w:p>
    <w:p w14:paraId="3EFA0856"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 xml:space="preserve">Le résultat financier et le résultat d'exploitation de l'entreprise. </w:t>
      </w:r>
    </w:p>
    <w:p w14:paraId="191EA5D5"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Les objectifs de l'entreprise.</w:t>
      </w:r>
    </w:p>
    <w:p w14:paraId="47CCA702"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 xml:space="preserve">Les principales participations au capital et les droits de vote. </w:t>
      </w:r>
    </w:p>
    <w:p w14:paraId="112FCE46"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 xml:space="preserve">La politique de rémunération des administrateurs et des principaux dirigeants, ainsi que les données relatives aux administrateurs portant notamment sur leurs qualifications, le processus de sélection, leur appartenance au conseil d'administration d'autres sociétés et le fait qu'ils sont considérés comme indépendants par le conseil d'administration. </w:t>
      </w:r>
    </w:p>
    <w:p w14:paraId="7208FF09"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Les transactions effectuées avec des parties liées.</w:t>
      </w:r>
    </w:p>
    <w:p w14:paraId="5E2CF188"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 xml:space="preserve">Les facteurs de risque prévisibles. </w:t>
      </w:r>
    </w:p>
    <w:p w14:paraId="7D3AD295" w14:textId="77777777" w:rsidR="00172C7A" w:rsidRPr="00E2052F" w:rsidRDefault="00172C7A" w:rsidP="00D61875">
      <w:pPr>
        <w:pStyle w:val="Paragraphedeliste"/>
        <w:numPr>
          <w:ilvl w:val="0"/>
          <w:numId w:val="61"/>
        </w:numPr>
        <w:spacing w:before="0" w:beforeAutospacing="0"/>
        <w:ind w:left="0" w:firstLine="284"/>
        <w:rPr>
          <w:rFonts w:cstheme="majorBidi"/>
          <w:sz w:val="22"/>
        </w:rPr>
      </w:pPr>
      <w:r w:rsidRPr="00E2052F">
        <w:rPr>
          <w:rFonts w:cstheme="majorBidi"/>
          <w:sz w:val="22"/>
        </w:rPr>
        <w:t>Les questions intéressant les salariés et les autres parties prenantes.</w:t>
      </w:r>
    </w:p>
    <w:p w14:paraId="54AD98B6" w14:textId="77777777" w:rsidR="00172C7A" w:rsidRPr="00E2052F" w:rsidRDefault="00172C7A" w:rsidP="00D61875">
      <w:pPr>
        <w:pStyle w:val="Paragraphedeliste"/>
        <w:numPr>
          <w:ilvl w:val="0"/>
          <w:numId w:val="61"/>
        </w:numPr>
        <w:spacing w:before="0" w:beforeAutospacing="0"/>
        <w:ind w:left="0" w:firstLine="284"/>
        <w:contextualSpacing w:val="0"/>
        <w:rPr>
          <w:rFonts w:cstheme="majorBidi"/>
          <w:sz w:val="22"/>
        </w:rPr>
      </w:pPr>
      <w:r w:rsidRPr="00E2052F">
        <w:rPr>
          <w:rFonts w:cstheme="majorBidi"/>
          <w:sz w:val="22"/>
        </w:rPr>
        <w:t>Les structures et politiques de gouvernance de l'entreprise, et en particulier sur le contenu de tout code ou de toute stratégie de gouvernement d'entreprise.</w:t>
      </w:r>
    </w:p>
    <w:p w14:paraId="22C85E41" w14:textId="77777777" w:rsidR="00172C7A" w:rsidRPr="00E2052F" w:rsidRDefault="00172C7A" w:rsidP="00D61875">
      <w:pPr>
        <w:pStyle w:val="Paragraphedeliste"/>
        <w:numPr>
          <w:ilvl w:val="0"/>
          <w:numId w:val="60"/>
        </w:numPr>
        <w:spacing w:before="0" w:beforeAutospacing="0"/>
        <w:ind w:left="0" w:firstLine="284"/>
        <w:contextualSpacing w:val="0"/>
        <w:rPr>
          <w:rFonts w:cstheme="majorBidi"/>
          <w:sz w:val="22"/>
        </w:rPr>
      </w:pPr>
      <w:r w:rsidRPr="00E2052F">
        <w:rPr>
          <w:rFonts w:cstheme="majorBidi"/>
          <w:sz w:val="22"/>
        </w:rPr>
        <w:t>Il convient d’établir et de diffuser ces informations conformément à des normes de grande qualité reconnues au niveau international, en matière de comptabilité et de communication financière et non financière.</w:t>
      </w:r>
    </w:p>
    <w:p w14:paraId="7BD498CF" w14:textId="77777777" w:rsidR="00172C7A" w:rsidRPr="00E2052F" w:rsidRDefault="00172C7A" w:rsidP="00D61875">
      <w:pPr>
        <w:pStyle w:val="Paragraphedeliste"/>
        <w:numPr>
          <w:ilvl w:val="0"/>
          <w:numId w:val="60"/>
        </w:numPr>
        <w:spacing w:before="0" w:beforeAutospacing="0"/>
        <w:ind w:left="0" w:firstLine="284"/>
        <w:contextualSpacing w:val="0"/>
        <w:rPr>
          <w:rFonts w:cstheme="majorBidi"/>
          <w:sz w:val="22"/>
        </w:rPr>
      </w:pPr>
      <w:r w:rsidRPr="00E2052F">
        <w:rPr>
          <w:rFonts w:cstheme="majorBidi"/>
          <w:sz w:val="22"/>
        </w:rPr>
        <w:t>Une vérification des comptes doit être effectuée chaque année par un auditeur indépendant, compétent et qualifié, chargé de donner au conseil d'administration et aux actionnaires un avis externe et objectif certifiant que les états financiers rendent compte fidèlement de tous les aspects importants de la situation financière et des résultats de la société.</w:t>
      </w:r>
    </w:p>
    <w:p w14:paraId="25F73C0E" w14:textId="77777777" w:rsidR="00172C7A" w:rsidRPr="00E2052F" w:rsidRDefault="00172C7A" w:rsidP="00D61875">
      <w:pPr>
        <w:pStyle w:val="Paragraphedeliste"/>
        <w:numPr>
          <w:ilvl w:val="0"/>
          <w:numId w:val="60"/>
        </w:numPr>
        <w:spacing w:before="0" w:beforeAutospacing="0"/>
        <w:ind w:left="0" w:firstLine="284"/>
        <w:rPr>
          <w:rFonts w:cstheme="majorBidi"/>
          <w:sz w:val="22"/>
        </w:rPr>
      </w:pPr>
      <w:r w:rsidRPr="00E2052F">
        <w:rPr>
          <w:rFonts w:cstheme="majorBidi"/>
          <w:sz w:val="22"/>
        </w:rPr>
        <w:t>Les auditeurs externes doivent être responsables devant les actionnaires et ont l’obligation vis-à-vis de la société de mener à bien la révision des comptes avec toute la diligence que l’on est en droit d’attendre de professionnels.</w:t>
      </w:r>
    </w:p>
    <w:p w14:paraId="18C7AC7F" w14:textId="77777777" w:rsidR="00172C7A" w:rsidRPr="00E2052F" w:rsidRDefault="00172C7A" w:rsidP="00D61875">
      <w:pPr>
        <w:pStyle w:val="Paragraphedeliste"/>
        <w:numPr>
          <w:ilvl w:val="0"/>
          <w:numId w:val="60"/>
        </w:numPr>
        <w:spacing w:before="0" w:beforeAutospacing="0"/>
        <w:ind w:left="0" w:firstLine="284"/>
        <w:rPr>
          <w:rFonts w:cstheme="majorBidi"/>
          <w:sz w:val="22"/>
        </w:rPr>
      </w:pPr>
      <w:r w:rsidRPr="00E2052F">
        <w:rPr>
          <w:rFonts w:cstheme="majorBidi"/>
          <w:sz w:val="22"/>
        </w:rPr>
        <w:t>Les modes de diffusion retenus doivent permettre aux utilisateurs d’accéder aux informations pertinentes dans des conditions équitables, en temps opportun et au meilleur coût.</w:t>
      </w:r>
    </w:p>
    <w:p w14:paraId="3F313B96" w14:textId="77777777" w:rsidR="00172C7A" w:rsidRPr="00E2052F" w:rsidRDefault="00172C7A" w:rsidP="00D61875">
      <w:pPr>
        <w:pStyle w:val="Paragraphedeliste"/>
        <w:numPr>
          <w:ilvl w:val="0"/>
          <w:numId w:val="60"/>
        </w:numPr>
        <w:spacing w:before="0" w:beforeAutospacing="0"/>
        <w:ind w:left="0" w:firstLine="284"/>
        <w:contextualSpacing w:val="0"/>
        <w:rPr>
          <w:rFonts w:cstheme="majorBidi"/>
          <w:sz w:val="22"/>
        </w:rPr>
      </w:pPr>
      <w:r w:rsidRPr="00E2052F">
        <w:rPr>
          <w:rFonts w:cstheme="majorBidi"/>
          <w:sz w:val="22"/>
        </w:rPr>
        <w:lastRenderedPageBreak/>
        <w:t>Le régime de gouvernement d’entreprise devrait être complété par l’adoption d’une stratégie efficace visant et encourageant la fourniture par des analystes, des entreprises d’investissement, des agences de notation et autres d’analyses ou d’avis utiles pour éclairer les décisions des investisseurs, indépendamment de tout conflit d’intérêts significatif susceptible de compromettre la sincérité de leurs observations ou conseils.</w:t>
      </w:r>
      <w:r w:rsidRPr="00E2052F">
        <w:rPr>
          <w:rStyle w:val="Appelnotedebasdep"/>
          <w:rFonts w:cstheme="majorBidi"/>
          <w:sz w:val="22"/>
        </w:rPr>
        <w:footnoteReference w:id="106"/>
      </w:r>
    </w:p>
    <w:p w14:paraId="5EC7ACDA" w14:textId="77777777" w:rsidR="00172C7A" w:rsidRPr="00E2052F" w:rsidRDefault="00172C7A" w:rsidP="00D61875">
      <w:pPr>
        <w:pStyle w:val="Titre4"/>
        <w:numPr>
          <w:ilvl w:val="0"/>
          <w:numId w:val="97"/>
        </w:numPr>
        <w:spacing w:before="100" w:after="100" w:afterAutospacing="1"/>
        <w:ind w:left="1134" w:hanging="567"/>
        <w:rPr>
          <w:rFonts w:asciiTheme="majorBidi" w:hAnsiTheme="majorBidi"/>
          <w:b w:val="0"/>
          <w:bCs w:val="0"/>
          <w:i w:val="0"/>
          <w:iCs w:val="0"/>
          <w:color w:val="auto"/>
          <w:sz w:val="22"/>
        </w:rPr>
      </w:pPr>
      <w:bookmarkStart w:id="513" w:name="_Toc228092416"/>
      <w:bookmarkStart w:id="514" w:name="_Toc231746836"/>
      <w:bookmarkStart w:id="515" w:name="_Toc231752243"/>
      <w:bookmarkStart w:id="516" w:name="_Toc231810546"/>
      <w:bookmarkStart w:id="517" w:name="_Toc231811889"/>
      <w:bookmarkStart w:id="518" w:name="_Toc231812169"/>
      <w:bookmarkStart w:id="519" w:name="_Toc231815053"/>
      <w:r w:rsidRPr="00E2052F">
        <w:rPr>
          <w:rFonts w:asciiTheme="majorBidi" w:hAnsiTheme="majorBidi"/>
          <w:i w:val="0"/>
          <w:iCs w:val="0"/>
          <w:color w:val="auto"/>
          <w:sz w:val="22"/>
        </w:rPr>
        <w:t>Responsabilités du conseil d'administration :</w:t>
      </w:r>
      <w:bookmarkEnd w:id="513"/>
      <w:bookmarkEnd w:id="514"/>
      <w:bookmarkEnd w:id="515"/>
      <w:bookmarkEnd w:id="516"/>
      <w:bookmarkEnd w:id="517"/>
      <w:bookmarkEnd w:id="518"/>
      <w:bookmarkEnd w:id="519"/>
    </w:p>
    <w:p w14:paraId="2D3F0C5A" w14:textId="77777777" w:rsidR="00172C7A" w:rsidRPr="00E2052F" w:rsidRDefault="00172C7A" w:rsidP="000D1BF7">
      <w:pPr>
        <w:spacing w:before="0" w:beforeAutospacing="0"/>
        <w:rPr>
          <w:rFonts w:cstheme="majorBidi"/>
          <w:sz w:val="22"/>
        </w:rPr>
      </w:pPr>
      <w:r w:rsidRPr="00E2052F">
        <w:rPr>
          <w:rFonts w:cstheme="majorBidi"/>
          <w:sz w:val="22"/>
        </w:rPr>
        <w:t>Un régime de gouvernement d'entreprise doit assurer le pilotage stratégique de l'entreprise et la surveillance effective de la gestion par le conseil d'administration, ainsi que la responsabilité et la loyauté du conseil d'administration vis-à-vis de la société et de ses actionnaires.</w:t>
      </w:r>
    </w:p>
    <w:p w14:paraId="66C99469" w14:textId="77777777" w:rsidR="00172C7A" w:rsidRPr="00E2052F" w:rsidRDefault="00172C7A" w:rsidP="00D61875">
      <w:pPr>
        <w:pStyle w:val="Paragraphedeliste"/>
        <w:numPr>
          <w:ilvl w:val="0"/>
          <w:numId w:val="62"/>
        </w:numPr>
        <w:spacing w:before="0" w:beforeAutospacing="0"/>
        <w:ind w:left="0" w:firstLine="284"/>
        <w:rPr>
          <w:rFonts w:cstheme="majorBidi"/>
          <w:sz w:val="22"/>
        </w:rPr>
      </w:pPr>
      <w:r w:rsidRPr="00E2052F">
        <w:rPr>
          <w:rFonts w:cstheme="majorBidi"/>
          <w:sz w:val="22"/>
        </w:rPr>
        <w:t>Les administrateurs doivent agir en toute connaissance de cause, de bonne foi, avec toute la diligence et le soin requis et dans l'intérêt de la société et de ses actionnaires.</w:t>
      </w:r>
    </w:p>
    <w:p w14:paraId="5E4F776E" w14:textId="77777777" w:rsidR="00172C7A" w:rsidRPr="00E2052F" w:rsidRDefault="00172C7A" w:rsidP="00D61875">
      <w:pPr>
        <w:pStyle w:val="Paragraphedeliste"/>
        <w:numPr>
          <w:ilvl w:val="0"/>
          <w:numId w:val="62"/>
        </w:numPr>
        <w:spacing w:before="0" w:beforeAutospacing="0"/>
        <w:ind w:left="0" w:firstLine="284"/>
        <w:rPr>
          <w:rFonts w:cstheme="majorBidi"/>
          <w:sz w:val="22"/>
        </w:rPr>
      </w:pPr>
      <w:r w:rsidRPr="00E2052F">
        <w:rPr>
          <w:rFonts w:cstheme="majorBidi"/>
          <w:sz w:val="22"/>
        </w:rPr>
        <w:t xml:space="preserve"> Lorsque ses décisions peuvent affecter de manière variable les différentes catégories d'actionnaires, le conseil d'administration doit veiller à traiter équitablement tous les actionnaires.</w:t>
      </w:r>
    </w:p>
    <w:p w14:paraId="29A59765" w14:textId="77777777" w:rsidR="00172C7A" w:rsidRPr="00E2052F" w:rsidRDefault="00172C7A" w:rsidP="00D61875">
      <w:pPr>
        <w:pStyle w:val="Paragraphedeliste"/>
        <w:numPr>
          <w:ilvl w:val="0"/>
          <w:numId w:val="62"/>
        </w:numPr>
        <w:spacing w:before="0" w:beforeAutospacing="0"/>
        <w:ind w:left="0" w:firstLine="284"/>
        <w:rPr>
          <w:rFonts w:cstheme="majorBidi"/>
          <w:sz w:val="22"/>
        </w:rPr>
      </w:pPr>
      <w:r w:rsidRPr="00E2052F">
        <w:rPr>
          <w:rFonts w:cstheme="majorBidi"/>
          <w:sz w:val="22"/>
        </w:rPr>
        <w:t xml:space="preserve">Le conseil d'administration doit appliquer des normes éthiques élevées. Il doit prendre en considération les intérêts des différentes parties prenantes. </w:t>
      </w:r>
    </w:p>
    <w:p w14:paraId="50ADCEC3" w14:textId="77777777" w:rsidR="00172C7A" w:rsidRPr="00E2052F" w:rsidRDefault="00172C7A" w:rsidP="00D61875">
      <w:pPr>
        <w:pStyle w:val="Paragraphedeliste"/>
        <w:numPr>
          <w:ilvl w:val="0"/>
          <w:numId w:val="62"/>
        </w:numPr>
        <w:spacing w:before="0" w:beforeAutospacing="0"/>
        <w:ind w:left="0" w:firstLine="284"/>
        <w:contextualSpacing w:val="0"/>
        <w:rPr>
          <w:rFonts w:cstheme="majorBidi"/>
          <w:sz w:val="22"/>
        </w:rPr>
      </w:pPr>
      <w:r w:rsidRPr="00E2052F">
        <w:rPr>
          <w:rFonts w:cstheme="majorBidi"/>
          <w:sz w:val="22"/>
        </w:rPr>
        <w:t>Le conseil d'administration doit remplir certaines fonctions essentielles, notamment :</w:t>
      </w:r>
    </w:p>
    <w:p w14:paraId="36E1FD36"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 xml:space="preserve">Revoir et guider la stratégie de l’entreprise, ses principaux plans d’action, sa politique de risque, ses budgets annuels et programmes d’activité, définir ses objectifs de résultats, assurer la surveillance de la mise en œuvre de ces objectifs et des résultats de l’entreprise et contrôler les principales dépenses d’équipement, acquisitions et cessions d’actifs. </w:t>
      </w:r>
    </w:p>
    <w:p w14:paraId="16BBC973"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 xml:space="preserve">Surveiller les pratiques effectives de la société en matière de gouvernement d’entreprise et procéder aux changements qui s’imposent. </w:t>
      </w:r>
    </w:p>
    <w:p w14:paraId="3D2C0989"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 xml:space="preserve">Recruter les principaux dirigeants, déterminer leurs rémunérations, suivre leurs activités et, le cas échéant, les remplacer et préparer les plans de succession. </w:t>
      </w:r>
    </w:p>
    <w:p w14:paraId="5D768E8E"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 xml:space="preserve">Aligner les rémunérations des principaux dirigeants et des administrateurs avec les intérêts à long terme de la société et de ses actionnaires. </w:t>
      </w:r>
    </w:p>
    <w:p w14:paraId="2847C9DC"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S’assurer de la mise en place d’une procédure clairement définie et transparente pour la nomination et l’élection des administrateurs.</w:t>
      </w:r>
    </w:p>
    <w:p w14:paraId="6517C274"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t>Surveiller et gérer les conflits d’intérêt pouvant survenir entre la direction, les administrateurs et les actionnaires, y compris les abus de biens sociaux ou les abus commis dans le cadre de transactions avec des parties liées.</w:t>
      </w:r>
    </w:p>
    <w:p w14:paraId="5B8BCB8F" w14:textId="77777777" w:rsidR="00172C7A" w:rsidRPr="00E2052F" w:rsidRDefault="00172C7A" w:rsidP="00D61875">
      <w:pPr>
        <w:pStyle w:val="Paragraphedeliste"/>
        <w:numPr>
          <w:ilvl w:val="0"/>
          <w:numId w:val="63"/>
        </w:numPr>
        <w:spacing w:before="0" w:beforeAutospacing="0"/>
        <w:ind w:left="0" w:firstLine="284"/>
        <w:rPr>
          <w:rFonts w:cstheme="majorBidi"/>
          <w:sz w:val="22"/>
        </w:rPr>
      </w:pPr>
      <w:r w:rsidRPr="00E2052F">
        <w:rPr>
          <w:rFonts w:cstheme="majorBidi"/>
          <w:sz w:val="22"/>
        </w:rPr>
        <w:lastRenderedPageBreak/>
        <w:t>S’assurer de l’intégrité des systèmes de comptabilité et de communication financière de la société, notamment de l’indépendance de la vérification des comptes, et que l’entreprise est dotée de dispositifs de contrôle adéquats, en particulier de dispositifs de gestion des risques et de contrôle financier et opérationnel, ainsi que de respect du droit et des normes applicables.</w:t>
      </w:r>
    </w:p>
    <w:p w14:paraId="1D0D0A9D" w14:textId="77777777" w:rsidR="00172C7A" w:rsidRPr="00E2052F" w:rsidRDefault="00172C7A" w:rsidP="00D61875">
      <w:pPr>
        <w:pStyle w:val="Paragraphedeliste"/>
        <w:numPr>
          <w:ilvl w:val="0"/>
          <w:numId w:val="63"/>
        </w:numPr>
        <w:spacing w:before="0" w:beforeAutospacing="0"/>
        <w:ind w:left="0" w:firstLine="284"/>
        <w:contextualSpacing w:val="0"/>
        <w:rPr>
          <w:rFonts w:cstheme="majorBidi"/>
          <w:sz w:val="22"/>
        </w:rPr>
      </w:pPr>
      <w:r w:rsidRPr="00E2052F">
        <w:rPr>
          <w:rFonts w:cstheme="majorBidi"/>
          <w:sz w:val="22"/>
        </w:rPr>
        <w:t>Surveiller le processus de diffusion de l’information et de communication de l’entreprise.</w:t>
      </w:r>
    </w:p>
    <w:p w14:paraId="185CDE76" w14:textId="77777777" w:rsidR="00172C7A" w:rsidRPr="00E2052F" w:rsidRDefault="00172C7A" w:rsidP="00D61875">
      <w:pPr>
        <w:pStyle w:val="Paragraphedeliste"/>
        <w:numPr>
          <w:ilvl w:val="0"/>
          <w:numId w:val="62"/>
        </w:numPr>
        <w:spacing w:before="0" w:beforeAutospacing="0"/>
        <w:ind w:left="0" w:firstLine="284"/>
        <w:contextualSpacing w:val="0"/>
        <w:rPr>
          <w:rFonts w:cstheme="majorBidi"/>
          <w:sz w:val="22"/>
        </w:rPr>
      </w:pPr>
      <w:r w:rsidRPr="00E2052F">
        <w:rPr>
          <w:rFonts w:cstheme="majorBidi"/>
          <w:sz w:val="22"/>
        </w:rPr>
        <w:t>Le conseil d’administration doit être en mesure de porter un jugement objectif et indépendant sur la conduite des affaires de la société.</w:t>
      </w:r>
    </w:p>
    <w:p w14:paraId="3DCF1BE6" w14:textId="77777777" w:rsidR="00172C7A" w:rsidRPr="00E2052F" w:rsidRDefault="00172C7A" w:rsidP="00D61875">
      <w:pPr>
        <w:pStyle w:val="Paragraphedeliste"/>
        <w:numPr>
          <w:ilvl w:val="0"/>
          <w:numId w:val="64"/>
        </w:numPr>
        <w:spacing w:before="0" w:beforeAutospacing="0"/>
        <w:ind w:left="0" w:firstLine="284"/>
        <w:rPr>
          <w:rFonts w:cstheme="majorBidi"/>
          <w:sz w:val="22"/>
        </w:rPr>
      </w:pPr>
      <w:r w:rsidRPr="00E2052F">
        <w:rPr>
          <w:rFonts w:cstheme="majorBidi"/>
          <w:sz w:val="22"/>
        </w:rPr>
        <w:t xml:space="preserve">Le conseil doit confier les tâches pouvant être source de conflit d’intérêts à un nombre suffisant d’administrateurs sans fonctions de direction et capables d’exercer un jugement indépendant. Figurent notamment au nombre de ces responsabilités essentielles : la surveillance de l’intégrité de la communication financière et non financière, l’examen des transactions avec des parties liées, la nomination des administrateurs et des principaux dirigeants et la rémunération des administrateurs. </w:t>
      </w:r>
    </w:p>
    <w:p w14:paraId="4D6E27E3" w14:textId="77777777" w:rsidR="00172C7A" w:rsidRPr="00E2052F" w:rsidRDefault="00172C7A" w:rsidP="00D61875">
      <w:pPr>
        <w:pStyle w:val="Paragraphedeliste"/>
        <w:numPr>
          <w:ilvl w:val="0"/>
          <w:numId w:val="64"/>
        </w:numPr>
        <w:spacing w:before="0" w:beforeAutospacing="0"/>
        <w:ind w:left="0" w:firstLine="284"/>
        <w:rPr>
          <w:rFonts w:cstheme="majorBidi"/>
          <w:sz w:val="22"/>
        </w:rPr>
      </w:pPr>
      <w:r w:rsidRPr="00E2052F">
        <w:rPr>
          <w:rFonts w:cstheme="majorBidi"/>
          <w:sz w:val="22"/>
        </w:rPr>
        <w:t xml:space="preserve">Lorsque des comités spéciaux sont créés au sein du conseil d’administration, leur mandat, leur composition et leurs procédures de fonctionnement doivent être clairement définis et rendus publics par le conseil d’administration. </w:t>
      </w:r>
    </w:p>
    <w:p w14:paraId="15FD076F" w14:textId="77777777" w:rsidR="00172C7A" w:rsidRPr="00E2052F" w:rsidRDefault="00172C7A" w:rsidP="00D61875">
      <w:pPr>
        <w:pStyle w:val="Paragraphedeliste"/>
        <w:numPr>
          <w:ilvl w:val="0"/>
          <w:numId w:val="64"/>
        </w:numPr>
        <w:spacing w:before="0" w:beforeAutospacing="0"/>
        <w:ind w:left="0" w:firstLine="284"/>
        <w:rPr>
          <w:rFonts w:cstheme="majorBidi"/>
          <w:sz w:val="22"/>
        </w:rPr>
      </w:pPr>
      <w:r w:rsidRPr="00E2052F">
        <w:rPr>
          <w:rFonts w:cstheme="majorBidi"/>
          <w:sz w:val="22"/>
        </w:rPr>
        <w:t>Les administrateurs doivent pouvoir s’investir véritablement dans l’exercice de leurs responsabilités.</w:t>
      </w:r>
    </w:p>
    <w:p w14:paraId="2712EA3E" w14:textId="77777777" w:rsidR="00172C7A" w:rsidRPr="00E2052F" w:rsidRDefault="00172C7A" w:rsidP="00D61875">
      <w:pPr>
        <w:pStyle w:val="Paragraphedeliste"/>
        <w:numPr>
          <w:ilvl w:val="0"/>
          <w:numId w:val="62"/>
        </w:numPr>
        <w:tabs>
          <w:tab w:val="left" w:pos="1311"/>
        </w:tabs>
        <w:spacing w:before="0" w:beforeAutospacing="0"/>
        <w:ind w:left="0" w:firstLine="284"/>
        <w:rPr>
          <w:rFonts w:cstheme="majorBidi"/>
          <w:sz w:val="22"/>
        </w:rPr>
      </w:pPr>
      <w:r w:rsidRPr="00E2052F">
        <w:rPr>
          <w:rFonts w:cstheme="majorBidi"/>
          <w:sz w:val="22"/>
        </w:rPr>
        <w:t>Pour assumer leurs responsabilités, les administrateurs doivent avoir accès à des informations exactes, pertinentes et disponibles en temps opportun.</w:t>
      </w:r>
      <w:r w:rsidRPr="00E2052F">
        <w:rPr>
          <w:rStyle w:val="Appelnotedebasdep"/>
          <w:rFonts w:cstheme="majorBidi"/>
          <w:sz w:val="22"/>
        </w:rPr>
        <w:footnoteReference w:id="107"/>
      </w:r>
    </w:p>
    <w:p w14:paraId="1BB119DA" w14:textId="77777777" w:rsidR="00172C7A" w:rsidRPr="00E2052F" w:rsidRDefault="00172C7A" w:rsidP="00D61875">
      <w:pPr>
        <w:pStyle w:val="Titre3"/>
        <w:numPr>
          <w:ilvl w:val="0"/>
          <w:numId w:val="50"/>
        </w:numPr>
        <w:spacing w:before="0" w:beforeAutospacing="0" w:after="160"/>
        <w:ind w:left="568" w:hanging="284"/>
        <w:rPr>
          <w:rFonts w:asciiTheme="majorBidi" w:hAnsiTheme="majorBidi"/>
          <w:b w:val="0"/>
          <w:bCs w:val="0"/>
          <w:color w:val="auto"/>
          <w:sz w:val="22"/>
        </w:rPr>
      </w:pPr>
      <w:bookmarkStart w:id="520" w:name="_Toc228092417"/>
      <w:bookmarkStart w:id="521" w:name="_Toc231746837"/>
      <w:bookmarkStart w:id="522" w:name="_Toc231752244"/>
      <w:bookmarkStart w:id="523" w:name="_Toc231810547"/>
      <w:bookmarkStart w:id="524" w:name="_Toc231811890"/>
      <w:bookmarkStart w:id="525" w:name="_Toc231812170"/>
      <w:bookmarkStart w:id="526" w:name="_Toc231815054"/>
      <w:r w:rsidRPr="00E2052F">
        <w:rPr>
          <w:rFonts w:asciiTheme="majorBidi" w:hAnsiTheme="majorBidi"/>
          <w:color w:val="auto"/>
          <w:sz w:val="22"/>
        </w:rPr>
        <w:t>Selon le Comité de Bâle sur le contrôle bancaire (BCBS) :</w:t>
      </w:r>
      <w:bookmarkEnd w:id="520"/>
      <w:bookmarkEnd w:id="521"/>
      <w:bookmarkEnd w:id="522"/>
      <w:bookmarkEnd w:id="523"/>
      <w:bookmarkEnd w:id="524"/>
      <w:bookmarkEnd w:id="525"/>
      <w:bookmarkEnd w:id="526"/>
    </w:p>
    <w:p w14:paraId="7439850D" w14:textId="77777777" w:rsidR="00172C7A" w:rsidRPr="00E2052F" w:rsidRDefault="00172C7A" w:rsidP="0051550F">
      <w:pPr>
        <w:spacing w:before="0" w:beforeAutospacing="0"/>
        <w:rPr>
          <w:rFonts w:cstheme="majorBidi"/>
          <w:sz w:val="22"/>
        </w:rPr>
      </w:pPr>
      <w:r w:rsidRPr="00E2052F">
        <w:rPr>
          <w:rFonts w:cstheme="majorBidi"/>
          <w:sz w:val="22"/>
        </w:rPr>
        <w:t xml:space="preserve">Les autorités de contrôle ont un intérêt primordial à veiller à ce que les établissements bancaires mettent en œuvre des pratiques rigoureuses et efficaces en matière de gouvernance d’entreprise. En effet, la solidité de cette gouvernance constitue un élément clé de la stabilité financière et de la confiance dans le système bancaire. L’analyse présentée s’appuie sur l’expérience acquise par ces autorités face aux défaillances et insuffisances de gouvernance observées au sein des institutions bancaires. Elle vise, dans cette perspective, à identifier et à renforcer les principes susceptibles de prévenir l’émergence de tels dysfonctionnements et d’en atténuer les </w:t>
      </w:r>
      <w:r w:rsidR="0051550F" w:rsidRPr="00E2052F">
        <w:rPr>
          <w:rFonts w:cstheme="majorBidi"/>
          <w:sz w:val="22"/>
        </w:rPr>
        <w:t>impacts. Ainsi</w:t>
      </w:r>
      <w:r w:rsidRPr="00E2052F">
        <w:rPr>
          <w:rFonts w:cstheme="majorBidi"/>
          <w:sz w:val="22"/>
        </w:rPr>
        <w:t>, les principes mis en avant apparaissent comme des repères fondamentaux et indispensables, sur lesquels doit reposer l’ensemble du dispositif de gouvernance d’entreprise, afin d’en garantir l’efficacité, la transparence et la pérennité.</w:t>
      </w:r>
    </w:p>
    <w:p w14:paraId="5DB24127" w14:textId="77777777" w:rsidR="00172C7A" w:rsidRPr="00E2052F" w:rsidRDefault="00172C7A" w:rsidP="0051550F">
      <w:pPr>
        <w:spacing w:before="0" w:beforeAutospacing="0"/>
        <w:rPr>
          <w:rFonts w:cstheme="majorBidi"/>
          <w:sz w:val="22"/>
        </w:rPr>
      </w:pPr>
      <w:r w:rsidRPr="00E2052F">
        <w:rPr>
          <w:rFonts w:cstheme="majorBidi"/>
          <w:b/>
          <w:bCs/>
          <w:sz w:val="22"/>
        </w:rPr>
        <w:t>Principe 1 :</w:t>
      </w:r>
      <w:r w:rsidRPr="00E2052F">
        <w:rPr>
          <w:rFonts w:cstheme="majorBidi"/>
          <w:sz w:val="22"/>
        </w:rPr>
        <w:t xml:space="preserve"> Les administrateurs devraient posséder les qualifications voulues pour remplir leur mission, avoir une compréhension précise de leur rôle dans la gouvernance d’entreprise et être capables de porter un jugement avisé sur les activités de la banque.</w:t>
      </w:r>
    </w:p>
    <w:p w14:paraId="1A7A51B5" w14:textId="77777777" w:rsidR="00172C7A" w:rsidRPr="00E2052F" w:rsidRDefault="00172C7A" w:rsidP="0051550F">
      <w:pPr>
        <w:spacing w:before="0" w:beforeAutospacing="0"/>
        <w:rPr>
          <w:rFonts w:cstheme="majorBidi"/>
          <w:sz w:val="22"/>
        </w:rPr>
      </w:pPr>
      <w:r w:rsidRPr="00E2052F">
        <w:rPr>
          <w:rFonts w:cstheme="majorBidi"/>
          <w:b/>
          <w:bCs/>
          <w:sz w:val="22"/>
        </w:rPr>
        <w:lastRenderedPageBreak/>
        <w:t>Principe 2 :</w:t>
      </w:r>
      <w:r w:rsidRPr="00E2052F">
        <w:rPr>
          <w:rFonts w:cstheme="majorBidi"/>
          <w:sz w:val="22"/>
        </w:rPr>
        <w:t xml:space="preserve"> Le conseil d’administration devrait approuver les objectifs stratégiques de la banque ainsi que les valeurs d’entreprise communiqués à l’ensemble de l’établissement bancaire, et il devrait assurer le suivi de leur application. </w:t>
      </w:r>
    </w:p>
    <w:p w14:paraId="619D4CBE" w14:textId="77777777" w:rsidR="00172C7A" w:rsidRPr="00E2052F" w:rsidRDefault="00172C7A" w:rsidP="0051550F">
      <w:pPr>
        <w:spacing w:before="0" w:beforeAutospacing="0"/>
        <w:rPr>
          <w:rFonts w:cstheme="majorBidi"/>
          <w:sz w:val="22"/>
        </w:rPr>
      </w:pPr>
      <w:r w:rsidRPr="00E2052F">
        <w:rPr>
          <w:rFonts w:cstheme="majorBidi"/>
          <w:b/>
          <w:bCs/>
          <w:sz w:val="22"/>
        </w:rPr>
        <w:t>Principe 3 :</w:t>
      </w:r>
      <w:r w:rsidRPr="00E2052F">
        <w:rPr>
          <w:rFonts w:cstheme="majorBidi"/>
          <w:sz w:val="22"/>
        </w:rPr>
        <w:t xml:space="preserve"> Le conseil d’administration devrait établir et faire respecter une hiérarchie et des responsabilités claires à tous les niveaux de l’établissement bancaire. </w:t>
      </w:r>
    </w:p>
    <w:p w14:paraId="6A95F381" w14:textId="77777777" w:rsidR="00172C7A" w:rsidRPr="00E2052F" w:rsidRDefault="00172C7A" w:rsidP="0051550F">
      <w:pPr>
        <w:spacing w:before="0" w:beforeAutospacing="0"/>
        <w:rPr>
          <w:rFonts w:cstheme="majorBidi"/>
          <w:sz w:val="22"/>
        </w:rPr>
      </w:pPr>
      <w:r w:rsidRPr="00E2052F">
        <w:rPr>
          <w:rFonts w:cstheme="majorBidi"/>
          <w:b/>
          <w:bCs/>
          <w:sz w:val="22"/>
        </w:rPr>
        <w:t xml:space="preserve">Principe 4 : </w:t>
      </w:r>
      <w:r w:rsidRPr="00E2052F">
        <w:rPr>
          <w:rFonts w:cstheme="majorBidi"/>
          <w:sz w:val="22"/>
        </w:rPr>
        <w:t>Le conseil d’administration devrait s’assurer que la direction générale exerce une surveillance appropriée, en se conformant à la politique qu’il a définie.</w:t>
      </w:r>
    </w:p>
    <w:p w14:paraId="15AB9DF1" w14:textId="77777777" w:rsidR="00172C7A" w:rsidRPr="00E2052F" w:rsidRDefault="00172C7A" w:rsidP="0051550F">
      <w:pPr>
        <w:spacing w:before="0" w:beforeAutospacing="0"/>
        <w:rPr>
          <w:rFonts w:cstheme="majorBidi"/>
          <w:sz w:val="22"/>
        </w:rPr>
      </w:pPr>
      <w:r w:rsidRPr="00E2052F">
        <w:rPr>
          <w:rFonts w:cstheme="majorBidi"/>
          <w:sz w:val="22"/>
        </w:rPr>
        <w:t xml:space="preserve"> </w:t>
      </w:r>
      <w:r w:rsidRPr="00E2052F">
        <w:rPr>
          <w:rFonts w:cstheme="majorBidi"/>
          <w:b/>
          <w:bCs/>
          <w:sz w:val="22"/>
        </w:rPr>
        <w:t>Principe 5 :</w:t>
      </w:r>
      <w:r w:rsidRPr="00E2052F">
        <w:rPr>
          <w:rFonts w:cstheme="majorBidi"/>
          <w:sz w:val="22"/>
        </w:rPr>
        <w:t xml:space="preserve"> Le conseil d’administration et la direction générale devraient utiliser efficacement l’audit interne, les auditeurs externes et les fonctions de contrôle interne. </w:t>
      </w:r>
    </w:p>
    <w:p w14:paraId="73D6E69D" w14:textId="77777777" w:rsidR="00172C7A" w:rsidRPr="00E2052F" w:rsidRDefault="00172C7A" w:rsidP="0051550F">
      <w:pPr>
        <w:spacing w:before="0" w:beforeAutospacing="0"/>
        <w:rPr>
          <w:rFonts w:cstheme="majorBidi"/>
          <w:sz w:val="22"/>
        </w:rPr>
      </w:pPr>
      <w:r w:rsidRPr="00E2052F">
        <w:rPr>
          <w:rFonts w:cstheme="majorBidi"/>
          <w:b/>
          <w:bCs/>
          <w:sz w:val="22"/>
        </w:rPr>
        <w:t>Principe 6 :</w:t>
      </w:r>
      <w:r w:rsidRPr="00E2052F">
        <w:rPr>
          <w:rFonts w:cstheme="majorBidi"/>
          <w:sz w:val="22"/>
        </w:rPr>
        <w:t xml:space="preserve"> Le conseil d’administration devrait s’assurer que la politique et les pratiques de rémunération sont en conformité avec la culture d’entreprise, les objectifs et la stratégie à long terme ainsi qu’avec la structure de contrôle de la banque.</w:t>
      </w:r>
    </w:p>
    <w:p w14:paraId="1659FA7E" w14:textId="77777777" w:rsidR="00172C7A" w:rsidRPr="00E2052F" w:rsidRDefault="00172C7A" w:rsidP="0051550F">
      <w:pPr>
        <w:spacing w:before="0" w:beforeAutospacing="0"/>
        <w:rPr>
          <w:rFonts w:cstheme="majorBidi"/>
          <w:sz w:val="22"/>
        </w:rPr>
      </w:pPr>
      <w:r w:rsidRPr="00E2052F">
        <w:rPr>
          <w:rFonts w:cstheme="majorBidi"/>
          <w:b/>
          <w:bCs/>
          <w:sz w:val="22"/>
        </w:rPr>
        <w:t>Principe 7 :</w:t>
      </w:r>
      <w:r w:rsidRPr="00E2052F">
        <w:rPr>
          <w:rFonts w:cstheme="majorBidi"/>
          <w:sz w:val="22"/>
        </w:rPr>
        <w:t xml:space="preserve"> La banque devrait être administrée de façon transparente car il est difficile aux actionnaires, aux autres parties prenantes et aux intervenants du marché d’apprécier effectivement et convenablement la responsabilité du conseil d’administration et de la direction générale en l’absence de transparence.</w:t>
      </w:r>
    </w:p>
    <w:p w14:paraId="14EB6527" w14:textId="77777777" w:rsidR="00172C7A" w:rsidRPr="00E2052F" w:rsidRDefault="00172C7A" w:rsidP="0051550F">
      <w:pPr>
        <w:spacing w:before="0" w:beforeAutospacing="0"/>
        <w:rPr>
          <w:rFonts w:cstheme="majorBidi"/>
          <w:sz w:val="22"/>
        </w:rPr>
      </w:pPr>
      <w:r w:rsidRPr="00E2052F">
        <w:rPr>
          <w:rFonts w:cstheme="majorBidi"/>
          <w:b/>
          <w:bCs/>
          <w:sz w:val="22"/>
        </w:rPr>
        <w:t xml:space="preserve"> Principe 8 :</w:t>
      </w:r>
      <w:r w:rsidRPr="00E2052F">
        <w:rPr>
          <w:rFonts w:cstheme="majorBidi"/>
          <w:sz w:val="22"/>
        </w:rPr>
        <w:t xml:space="preserve"> Le conseil d’administration et la direction générale devraient bien comprendre la structure opérationnelle de la banque, y compris lorsque la banque opère dans des juridictions, ou par l’intermédiaire de structures, qui font écran à la transparence.</w:t>
      </w:r>
      <w:r w:rsidRPr="00E2052F">
        <w:rPr>
          <w:rStyle w:val="Appelnotedebasdep"/>
          <w:rFonts w:cstheme="majorBidi"/>
          <w:sz w:val="22"/>
        </w:rPr>
        <w:footnoteReference w:id="108"/>
      </w:r>
    </w:p>
    <w:p w14:paraId="2594578B" w14:textId="77777777" w:rsidR="00172C7A" w:rsidRPr="00E2052F" w:rsidRDefault="00172C7A" w:rsidP="00D61875">
      <w:pPr>
        <w:pStyle w:val="Titre3"/>
        <w:numPr>
          <w:ilvl w:val="0"/>
          <w:numId w:val="50"/>
        </w:numPr>
        <w:spacing w:before="0" w:beforeAutospacing="0" w:after="160"/>
        <w:ind w:left="568" w:hanging="284"/>
        <w:rPr>
          <w:rFonts w:asciiTheme="majorBidi" w:hAnsiTheme="majorBidi"/>
          <w:b w:val="0"/>
          <w:bCs w:val="0"/>
          <w:color w:val="auto"/>
          <w:sz w:val="22"/>
        </w:rPr>
      </w:pPr>
      <w:bookmarkStart w:id="527" w:name="_Toc228092418"/>
      <w:bookmarkStart w:id="528" w:name="_Toc231746838"/>
      <w:bookmarkStart w:id="529" w:name="_Toc231752245"/>
      <w:bookmarkStart w:id="530" w:name="_Toc231810548"/>
      <w:bookmarkStart w:id="531" w:name="_Toc231811891"/>
      <w:bookmarkStart w:id="532" w:name="_Toc231812171"/>
      <w:bookmarkStart w:id="533" w:name="_Toc231815055"/>
      <w:r w:rsidRPr="00E2052F">
        <w:rPr>
          <w:rFonts w:asciiTheme="majorBidi" w:hAnsiTheme="majorBidi"/>
          <w:color w:val="auto"/>
          <w:sz w:val="22"/>
        </w:rPr>
        <w:t>Selon La Société Financière Internationale (SFI) :</w:t>
      </w:r>
      <w:bookmarkEnd w:id="527"/>
      <w:bookmarkEnd w:id="528"/>
      <w:bookmarkEnd w:id="529"/>
      <w:bookmarkEnd w:id="530"/>
      <w:bookmarkEnd w:id="531"/>
      <w:bookmarkEnd w:id="532"/>
      <w:bookmarkEnd w:id="533"/>
    </w:p>
    <w:p w14:paraId="46EF492F" w14:textId="77777777" w:rsidR="00172C7A" w:rsidRPr="00E2052F" w:rsidRDefault="00172C7A" w:rsidP="0051550F">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w:t>
      </w:r>
      <w:r w:rsidRPr="00E2052F">
        <w:rPr>
          <w:rStyle w:val="whitespace-normal"/>
          <w:rFonts w:asciiTheme="majorBidi" w:eastAsiaTheme="majorEastAsia" w:hAnsiTheme="majorBidi" w:cstheme="majorBidi"/>
          <w:sz w:val="22"/>
          <w:szCs w:val="22"/>
        </w:rPr>
        <w:t>Société Financière Internationale</w:t>
      </w:r>
      <w:r w:rsidRPr="00E2052F">
        <w:rPr>
          <w:rFonts w:asciiTheme="majorBidi" w:hAnsiTheme="majorBidi" w:cstheme="majorBidi"/>
          <w:sz w:val="22"/>
          <w:szCs w:val="22"/>
        </w:rPr>
        <w:t xml:space="preserve"> (SFI), institution affiliée au Groupe de la Banque mondiale, a élaboré, en 2003, un ensemble de principes visant à favoriser la stabilité au sein des organisations, qu’elles soient de nature financière ou non financière. Ces principes ont pour objectif de renforcer la résilience des systèmes économiques en promouvant des pratiques de gestion rigoureuses, une répartition claire des responsabilités entre les organes de direction et de contrôle, ainsi qu’un haut niveau de transparence dans l’ensemble des activités opérationnelles.</w:t>
      </w:r>
    </w:p>
    <w:p w14:paraId="64D77A2C" w14:textId="77777777" w:rsidR="00172C7A" w:rsidRPr="00E2052F" w:rsidRDefault="00172C7A" w:rsidP="00D61875">
      <w:pPr>
        <w:pStyle w:val="NormalWeb"/>
        <w:numPr>
          <w:ilvl w:val="0"/>
          <w:numId w:val="66"/>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Pratiques acceptables pour une bonne gouvernance.</w:t>
      </w:r>
    </w:p>
    <w:p w14:paraId="3976CB9E" w14:textId="77777777" w:rsidR="00172C7A" w:rsidRPr="00E2052F" w:rsidRDefault="00172C7A" w:rsidP="00D61875">
      <w:pPr>
        <w:pStyle w:val="NormalWeb"/>
        <w:numPr>
          <w:ilvl w:val="0"/>
          <w:numId w:val="66"/>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Mesures supplémentaires pour assurer une bonne gouvernance dans le nouveau système.</w:t>
      </w:r>
    </w:p>
    <w:p w14:paraId="1D6E39E0" w14:textId="77777777" w:rsidR="00172C7A" w:rsidRPr="00E2052F" w:rsidRDefault="00172C7A" w:rsidP="00D61875">
      <w:pPr>
        <w:pStyle w:val="NormalWeb"/>
        <w:numPr>
          <w:ilvl w:val="0"/>
          <w:numId w:val="66"/>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Contributions clés à l'amélioration de la bonne gouvernance locale.</w:t>
      </w:r>
    </w:p>
    <w:p w14:paraId="28AF192C" w14:textId="77777777" w:rsidR="00172C7A" w:rsidRPr="00E2052F" w:rsidRDefault="00172C7A" w:rsidP="00D61875">
      <w:pPr>
        <w:pStyle w:val="NormalWeb"/>
        <w:numPr>
          <w:ilvl w:val="0"/>
          <w:numId w:val="66"/>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lastRenderedPageBreak/>
        <w:t>La bonne direction.</w:t>
      </w:r>
      <w:r w:rsidRPr="00E2052F">
        <w:rPr>
          <w:rStyle w:val="Appelnotedebasdep"/>
          <w:rFonts w:asciiTheme="majorBidi" w:hAnsiTheme="majorBidi" w:cstheme="majorBidi"/>
          <w:sz w:val="22"/>
          <w:szCs w:val="22"/>
        </w:rPr>
        <w:footnoteReference w:id="109"/>
      </w:r>
    </w:p>
    <w:p w14:paraId="60657BCF" w14:textId="77777777" w:rsidR="00172C7A" w:rsidRPr="00E2052F" w:rsidRDefault="00172C7A" w:rsidP="00D61875">
      <w:pPr>
        <w:pStyle w:val="Titre3"/>
        <w:numPr>
          <w:ilvl w:val="0"/>
          <w:numId w:val="50"/>
        </w:numPr>
        <w:spacing w:before="40" w:beforeAutospacing="0"/>
        <w:ind w:left="568" w:hanging="284"/>
        <w:rPr>
          <w:rFonts w:asciiTheme="majorBidi" w:hAnsiTheme="majorBidi"/>
          <w:b w:val="0"/>
          <w:bCs w:val="0"/>
          <w:color w:val="auto"/>
          <w:sz w:val="22"/>
        </w:rPr>
      </w:pPr>
      <w:bookmarkStart w:id="534" w:name="_Toc228092419"/>
      <w:bookmarkStart w:id="535" w:name="_Toc231746839"/>
      <w:bookmarkStart w:id="536" w:name="_Toc231752246"/>
      <w:bookmarkStart w:id="537" w:name="_Toc231810549"/>
      <w:bookmarkStart w:id="538" w:name="_Toc231811892"/>
      <w:bookmarkStart w:id="539" w:name="_Toc231812172"/>
      <w:bookmarkStart w:id="540" w:name="_Toc231815056"/>
      <w:r w:rsidRPr="00E2052F">
        <w:rPr>
          <w:rFonts w:asciiTheme="majorBidi" w:hAnsiTheme="majorBidi"/>
          <w:color w:val="auto"/>
          <w:sz w:val="22"/>
        </w:rPr>
        <w:t>Selon Le Fonds monétaire international (FMI) :</w:t>
      </w:r>
      <w:bookmarkEnd w:id="534"/>
      <w:bookmarkEnd w:id="535"/>
      <w:bookmarkEnd w:id="536"/>
      <w:bookmarkEnd w:id="537"/>
      <w:bookmarkEnd w:id="538"/>
      <w:bookmarkEnd w:id="539"/>
      <w:bookmarkEnd w:id="540"/>
    </w:p>
    <w:p w14:paraId="304B9156" w14:textId="77777777" w:rsidR="00172C7A" w:rsidRPr="00E2052F" w:rsidRDefault="00172C7A" w:rsidP="0051550F">
      <w:pPr>
        <w:spacing w:before="0" w:beforeAutospacing="0"/>
        <w:rPr>
          <w:rFonts w:cstheme="majorBidi"/>
          <w:sz w:val="22"/>
        </w:rPr>
      </w:pPr>
      <w:r w:rsidRPr="00E2052F">
        <w:rPr>
          <w:rFonts w:cstheme="majorBidi"/>
          <w:sz w:val="22"/>
        </w:rPr>
        <w:t>Le Fonds monétaire international a établi des pratiques exemplaires en matière de transparence des politiques budgétaires, monétaires et gouvernementales en publiant le Code de politique budgétaire et le Code des pratiques, comme suit :</w:t>
      </w:r>
    </w:p>
    <w:p w14:paraId="5E13619D" w14:textId="77777777" w:rsidR="00172C7A" w:rsidRPr="00E2052F" w:rsidRDefault="00172C7A" w:rsidP="00D61875">
      <w:pPr>
        <w:pStyle w:val="Paragraphedeliste"/>
        <w:numPr>
          <w:ilvl w:val="0"/>
          <w:numId w:val="67"/>
        </w:numPr>
        <w:spacing w:before="0" w:beforeAutospacing="0"/>
        <w:ind w:left="0" w:firstLine="284"/>
        <w:contextualSpacing w:val="0"/>
        <w:rPr>
          <w:rFonts w:cstheme="majorBidi"/>
          <w:sz w:val="22"/>
          <w:lang w:bidi="ar-DZ"/>
        </w:rPr>
      </w:pPr>
      <w:r w:rsidRPr="00E2052F">
        <w:rPr>
          <w:rFonts w:cstheme="majorBidi"/>
          <w:b/>
          <w:bCs/>
          <w:sz w:val="22"/>
          <w:lang w:bidi="ar-DZ"/>
        </w:rPr>
        <w:t>Droit de la politique financière :</w:t>
      </w:r>
      <w:r w:rsidRPr="00E2052F">
        <w:rPr>
          <w:rFonts w:cstheme="majorBidi"/>
          <w:sz w:val="22"/>
          <w:lang w:bidi="ar-DZ"/>
        </w:rPr>
        <w:t xml:space="preserve"> Le Fonds monétaire international encourage ses pays membres à mettre en œuvre le code de bonnes pratiques en matière de transparence financière. Ce code souligne la nécessité de clarifier les responsabilités de l’État et les modalités d’élaboration et d’exécution du budget. Il exige également de l’État qu’il fournisse des informations sur ses activités aux citoyens et que les informations financières respectent des normes de qualité globales convenues et soient soumises à un système de garantie d’intégrité. Ce droit inclut les fondements et les moyens adoptés par l’État pour atteindre ces objectifs, notamment :</w:t>
      </w:r>
    </w:p>
    <w:p w14:paraId="2894A7EB" w14:textId="77777777" w:rsidR="00172C7A" w:rsidRPr="00E2052F" w:rsidRDefault="00172C7A" w:rsidP="00D61875">
      <w:pPr>
        <w:pStyle w:val="Paragraphedeliste"/>
        <w:numPr>
          <w:ilvl w:val="0"/>
          <w:numId w:val="68"/>
        </w:numPr>
        <w:spacing w:before="0" w:beforeAutospacing="0"/>
        <w:ind w:left="0" w:firstLine="284"/>
        <w:contextualSpacing w:val="0"/>
        <w:rPr>
          <w:rFonts w:cstheme="majorBidi"/>
          <w:sz w:val="22"/>
          <w:lang w:bidi="ar-DZ"/>
        </w:rPr>
      </w:pPr>
      <w:r w:rsidRPr="00E2052F">
        <w:rPr>
          <w:rFonts w:cstheme="majorBidi"/>
          <w:sz w:val="22"/>
          <w:lang w:bidi="ar-DZ"/>
        </w:rPr>
        <w:t>Clarté des rôles et des responsabilités : Il s’agit de distinguer le secteur public et ses organismes affiliés des autres secteurs de l’économie. Les rôles en matière de politiques et de gestion au sein du secteur public doivent être clairement définis et rendus publics. Un cadre juridique et administratif clair pour la gestion financière des institutions publiques est également essentiel.</w:t>
      </w:r>
    </w:p>
    <w:p w14:paraId="69FA9AB7" w14:textId="77777777" w:rsidR="00172C7A" w:rsidRPr="00E2052F" w:rsidRDefault="00172C7A" w:rsidP="00D61875">
      <w:pPr>
        <w:pStyle w:val="Paragraphedeliste"/>
        <w:numPr>
          <w:ilvl w:val="0"/>
          <w:numId w:val="68"/>
        </w:numPr>
        <w:spacing w:before="0" w:beforeAutospacing="0"/>
        <w:ind w:left="0" w:firstLine="284"/>
        <w:contextualSpacing w:val="0"/>
        <w:rPr>
          <w:rFonts w:cstheme="majorBidi"/>
          <w:sz w:val="22"/>
          <w:lang w:bidi="ar-DZ"/>
        </w:rPr>
      </w:pPr>
      <w:r w:rsidRPr="00E2052F">
        <w:rPr>
          <w:rFonts w:cstheme="majorBidi"/>
          <w:sz w:val="22"/>
          <w:lang w:bidi="ar-DZ"/>
        </w:rPr>
        <w:t>Accès du public à l'information : les citoyens doivent avoir accès à une information complète sur les activités financières, et cette information doit être publiée en temps opportun. Des informations doivent également être fournies concernant les règles de gouvernance actuellement en vigueur, celles qui l'ont été et celles qui seront appliquées à l'avenir.</w:t>
      </w:r>
    </w:p>
    <w:p w14:paraId="4E0E4F19" w14:textId="77777777" w:rsidR="00172C7A" w:rsidRPr="00E2052F" w:rsidRDefault="00172C7A" w:rsidP="00D61875">
      <w:pPr>
        <w:pStyle w:val="Paragraphedeliste"/>
        <w:numPr>
          <w:ilvl w:val="0"/>
          <w:numId w:val="68"/>
        </w:numPr>
        <w:spacing w:before="0" w:beforeAutospacing="0"/>
        <w:ind w:left="0" w:firstLine="284"/>
        <w:contextualSpacing w:val="0"/>
        <w:rPr>
          <w:rFonts w:cstheme="majorBidi"/>
          <w:sz w:val="22"/>
          <w:lang w:bidi="ar-DZ"/>
        </w:rPr>
      </w:pPr>
      <w:r w:rsidRPr="00E2052F">
        <w:rPr>
          <w:rFonts w:cstheme="majorBidi"/>
          <w:sz w:val="22"/>
          <w:lang w:bidi="ar-DZ"/>
        </w:rPr>
        <w:t>Élaboration, mise en œuvre et compte rendu budgétaires clairs : les documents budgétaires doivent définir les objectifs de la politique fiscale ainsi que les principaux risques financiers susceptibles de survenir. Les informations relatives au budget, aux procédures de mise en œuvre et de suivi des dépenses approuvées et à l’ensemble des recettes doivent être clairement définies. Des rapports financiers périodiques doivent être soumis à l’organe législatif et au public.</w:t>
      </w:r>
    </w:p>
    <w:p w14:paraId="15FD4C26" w14:textId="77777777" w:rsidR="00172C7A" w:rsidRPr="00E2052F" w:rsidRDefault="00172C7A" w:rsidP="00D61875">
      <w:pPr>
        <w:pStyle w:val="Paragraphedeliste"/>
        <w:numPr>
          <w:ilvl w:val="0"/>
          <w:numId w:val="68"/>
        </w:numPr>
        <w:spacing w:before="0" w:beforeAutospacing="0"/>
        <w:ind w:left="0" w:firstLine="284"/>
        <w:contextualSpacing w:val="0"/>
        <w:rPr>
          <w:rFonts w:cstheme="majorBidi"/>
          <w:sz w:val="22"/>
          <w:lang w:bidi="ar-DZ"/>
        </w:rPr>
      </w:pPr>
      <w:r w:rsidRPr="00E2052F">
        <w:rPr>
          <w:rFonts w:cstheme="majorBidi"/>
          <w:sz w:val="22"/>
          <w:lang w:bidi="ar-DZ"/>
        </w:rPr>
        <w:t>Garantir l'intégrité : Ceci est réalisé en veillant à ce que les données financières soient conformes aux normes de qualité des données convenues et que les informations financières soient soumises à un examen indépendant.</w:t>
      </w:r>
    </w:p>
    <w:p w14:paraId="315F0E05" w14:textId="77777777" w:rsidR="00172C7A" w:rsidRPr="00E2052F" w:rsidRDefault="00172C7A" w:rsidP="00D61875">
      <w:pPr>
        <w:pStyle w:val="Paragraphedeliste"/>
        <w:numPr>
          <w:ilvl w:val="0"/>
          <w:numId w:val="67"/>
        </w:numPr>
        <w:spacing w:before="0" w:beforeAutospacing="0"/>
        <w:ind w:left="0" w:firstLine="284"/>
        <w:contextualSpacing w:val="0"/>
        <w:rPr>
          <w:rFonts w:cstheme="majorBidi"/>
          <w:sz w:val="22"/>
          <w:lang w:bidi="ar-DZ"/>
        </w:rPr>
      </w:pPr>
      <w:r w:rsidRPr="00E2052F">
        <w:rPr>
          <w:rFonts w:cstheme="majorBidi"/>
          <w:b/>
          <w:bCs/>
          <w:sz w:val="22"/>
          <w:lang w:bidi="ar-DZ"/>
        </w:rPr>
        <w:t xml:space="preserve">Code de bonnes pratiques en matière de transparence des politiques monétaires et budgétaires : </w:t>
      </w:r>
      <w:r w:rsidRPr="00E2052F">
        <w:rPr>
          <w:rFonts w:cstheme="majorBidi"/>
          <w:sz w:val="22"/>
          <w:lang w:bidi="ar-DZ"/>
        </w:rPr>
        <w:t>Le Fonds monétaire international a élaboré le Code de bonnes pratiques en matière de transparence des politiques monétaires et budgétaires, et de nouvelles mesures de transparence ont été ajoutées au Code sur la base de deux principes :</w:t>
      </w:r>
    </w:p>
    <w:p w14:paraId="26A9A2D8" w14:textId="77777777" w:rsidR="00172C7A" w:rsidRPr="00E2052F" w:rsidRDefault="00172C7A" w:rsidP="00D61875">
      <w:pPr>
        <w:pStyle w:val="Paragraphedeliste"/>
        <w:numPr>
          <w:ilvl w:val="0"/>
          <w:numId w:val="69"/>
        </w:numPr>
        <w:spacing w:before="0" w:beforeAutospacing="0"/>
        <w:ind w:left="0" w:firstLine="284"/>
        <w:rPr>
          <w:rFonts w:cstheme="majorBidi"/>
          <w:sz w:val="22"/>
          <w:lang w:bidi="ar-DZ"/>
        </w:rPr>
      </w:pPr>
      <w:r w:rsidRPr="00E2052F">
        <w:rPr>
          <w:rFonts w:cstheme="majorBidi"/>
          <w:sz w:val="22"/>
          <w:lang w:bidi="ar-DZ"/>
        </w:rPr>
        <w:lastRenderedPageBreak/>
        <w:t>Les politiques monétaires et fiscales peuvent être plus efficaces si les citoyens comprennent les objectifs et les outils de ces politiques, et si le gouvernement les respecte.</w:t>
      </w:r>
    </w:p>
    <w:p w14:paraId="54D907D1" w14:textId="77777777" w:rsidR="00172C7A" w:rsidRPr="00E2052F" w:rsidRDefault="00172C7A" w:rsidP="00D61875">
      <w:pPr>
        <w:pStyle w:val="Paragraphedeliste"/>
        <w:numPr>
          <w:ilvl w:val="0"/>
          <w:numId w:val="69"/>
        </w:numPr>
        <w:spacing w:before="0" w:beforeAutospacing="0"/>
        <w:ind w:left="0" w:firstLine="284"/>
        <w:rPr>
          <w:rFonts w:cstheme="majorBidi"/>
          <w:sz w:val="22"/>
          <w:lang w:bidi="ar-DZ"/>
        </w:rPr>
      </w:pPr>
      <w:r w:rsidRPr="00E2052F">
        <w:rPr>
          <w:rFonts w:cstheme="majorBidi"/>
          <w:sz w:val="22"/>
          <w:lang w:bidi="ar-DZ"/>
        </w:rPr>
        <w:t>L'un des principes de la bonne gouvernance exige que les banques centrales et les institutions financières rendent des comptes, surtout lorsque les autorités monétaires et financières bénéficient d'un haut degré d'indépendance.</w:t>
      </w:r>
      <w:r w:rsidRPr="00E2052F">
        <w:rPr>
          <w:rStyle w:val="Appelnotedebasdep"/>
          <w:rFonts w:cstheme="majorBidi"/>
          <w:sz w:val="22"/>
          <w:lang w:bidi="ar-DZ"/>
        </w:rPr>
        <w:footnoteReference w:id="110"/>
      </w:r>
    </w:p>
    <w:p w14:paraId="250DC47B" w14:textId="77777777" w:rsidR="00172C7A" w:rsidRPr="00E2052F" w:rsidRDefault="00172C7A" w:rsidP="00D61875">
      <w:pPr>
        <w:pStyle w:val="Titre3"/>
        <w:numPr>
          <w:ilvl w:val="0"/>
          <w:numId w:val="50"/>
        </w:numPr>
        <w:spacing w:before="0" w:beforeAutospacing="0" w:after="160"/>
        <w:ind w:left="568" w:hanging="284"/>
        <w:rPr>
          <w:rFonts w:asciiTheme="majorBidi" w:hAnsiTheme="majorBidi"/>
          <w:b w:val="0"/>
          <w:bCs w:val="0"/>
          <w:sz w:val="22"/>
        </w:rPr>
      </w:pPr>
      <w:bookmarkStart w:id="541" w:name="_Toc228092420"/>
      <w:bookmarkStart w:id="542" w:name="_Toc231746840"/>
      <w:bookmarkStart w:id="543" w:name="_Toc231752247"/>
      <w:bookmarkStart w:id="544" w:name="_Toc231810550"/>
      <w:bookmarkStart w:id="545" w:name="_Toc231811893"/>
      <w:bookmarkStart w:id="546" w:name="_Toc231812173"/>
      <w:bookmarkStart w:id="547" w:name="_Toc231815057"/>
      <w:r w:rsidRPr="00E2052F">
        <w:rPr>
          <w:rFonts w:asciiTheme="majorBidi" w:hAnsiTheme="majorBidi"/>
          <w:color w:val="auto"/>
          <w:sz w:val="22"/>
        </w:rPr>
        <w:t xml:space="preserve">Selon le réseau international de la gouvernance d'entreprise ICGN </w:t>
      </w:r>
      <w:r w:rsidRPr="00E2052F">
        <w:rPr>
          <w:rStyle w:val="Appelnotedebasdep"/>
          <w:rFonts w:asciiTheme="majorBidi" w:hAnsiTheme="majorBidi"/>
          <w:color w:val="auto"/>
          <w:sz w:val="22"/>
        </w:rPr>
        <w:footnoteReference w:id="111"/>
      </w:r>
      <w:r w:rsidRPr="00E2052F">
        <w:rPr>
          <w:rFonts w:asciiTheme="majorBidi" w:hAnsiTheme="majorBidi"/>
          <w:color w:val="auto"/>
          <w:sz w:val="22"/>
        </w:rPr>
        <w:t>:</w:t>
      </w:r>
      <w:bookmarkEnd w:id="541"/>
      <w:bookmarkEnd w:id="542"/>
      <w:bookmarkEnd w:id="543"/>
      <w:bookmarkEnd w:id="544"/>
      <w:bookmarkEnd w:id="545"/>
      <w:bookmarkEnd w:id="546"/>
      <w:bookmarkEnd w:id="547"/>
    </w:p>
    <w:p w14:paraId="1C375736" w14:textId="77777777" w:rsidR="00172C7A" w:rsidRPr="00E2052F" w:rsidRDefault="00172C7A" w:rsidP="0051550F">
      <w:pPr>
        <w:spacing w:before="0" w:beforeAutospacing="0"/>
        <w:rPr>
          <w:rFonts w:cstheme="majorBidi"/>
          <w:sz w:val="22"/>
        </w:rPr>
      </w:pPr>
      <w:r w:rsidRPr="00E2052F">
        <w:rPr>
          <w:rFonts w:cstheme="majorBidi"/>
          <w:b/>
          <w:bCs/>
          <w:sz w:val="22"/>
        </w:rPr>
        <w:t>Principe 1 : Rôle et responsabilités du conseil d'administration</w:t>
      </w:r>
    </w:p>
    <w:p w14:paraId="121972C2"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promouvoir les intérêts à long terme de l’entreprise en agissant de manière éclairée, de bonne foi, avec diligence et loyauté, dans l’intérêt des actionnaires, tout en tenant compte des parties prenantes pertinentes.</w:t>
      </w:r>
    </w:p>
    <w:p w14:paraId="75544288" w14:textId="77777777" w:rsidR="00172C7A" w:rsidRPr="00E2052F" w:rsidRDefault="00172C7A" w:rsidP="0051550F">
      <w:pPr>
        <w:spacing w:before="0" w:beforeAutospacing="0"/>
        <w:rPr>
          <w:rFonts w:cstheme="majorBidi"/>
          <w:sz w:val="22"/>
        </w:rPr>
      </w:pPr>
      <w:r w:rsidRPr="00E2052F">
        <w:rPr>
          <w:rFonts w:cstheme="majorBidi"/>
          <w:b/>
          <w:bCs/>
          <w:sz w:val="22"/>
        </w:rPr>
        <w:t>Principe 2 : Leadership et indépendance</w:t>
      </w:r>
    </w:p>
    <w:p w14:paraId="3C89553D" w14:textId="77777777" w:rsidR="00172C7A" w:rsidRPr="00E2052F" w:rsidRDefault="00172C7A" w:rsidP="0051550F">
      <w:pPr>
        <w:spacing w:before="0" w:beforeAutospacing="0"/>
        <w:rPr>
          <w:rFonts w:cstheme="majorBidi"/>
          <w:sz w:val="22"/>
        </w:rPr>
      </w:pPr>
      <w:r w:rsidRPr="00E2052F">
        <w:rPr>
          <w:rFonts w:cstheme="majorBidi"/>
          <w:sz w:val="22"/>
        </w:rPr>
        <w:t>Le leadership du conseil d’administration exige une répartition claire et équilibrée des rôles entre le conseil et la direction exécutive, ainsi que l’intégrité d’un processus indépendant afin de protéger les intérêts des actionnaires et des parties prenantes, dans la perspective de favoriser le succès à long terme de l’entreprise.</w:t>
      </w:r>
    </w:p>
    <w:p w14:paraId="7B97EC7C" w14:textId="77777777" w:rsidR="00172C7A" w:rsidRPr="00E2052F" w:rsidRDefault="00172C7A" w:rsidP="0051550F">
      <w:pPr>
        <w:spacing w:before="0" w:beforeAutospacing="0"/>
        <w:rPr>
          <w:rFonts w:cstheme="majorBidi"/>
          <w:sz w:val="22"/>
        </w:rPr>
      </w:pPr>
      <w:r w:rsidRPr="00E2052F">
        <w:rPr>
          <w:rFonts w:cstheme="majorBidi"/>
          <w:b/>
          <w:bCs/>
          <w:sz w:val="22"/>
        </w:rPr>
        <w:t>Principe 3 :</w:t>
      </w:r>
      <w:r w:rsidRPr="00E2052F">
        <w:rPr>
          <w:rFonts w:cstheme="majorBidi"/>
          <w:sz w:val="22"/>
        </w:rPr>
        <w:t xml:space="preserve"> </w:t>
      </w:r>
      <w:r w:rsidRPr="00E2052F">
        <w:rPr>
          <w:rFonts w:cstheme="majorBidi"/>
          <w:b/>
          <w:bCs/>
          <w:sz w:val="22"/>
        </w:rPr>
        <w:t>Composition et nomination</w:t>
      </w:r>
      <w:r w:rsidRPr="00E2052F">
        <w:rPr>
          <w:rFonts w:cstheme="majorBidi"/>
          <w:sz w:val="22"/>
        </w:rPr>
        <w:t xml:space="preserve"> </w:t>
      </w:r>
    </w:p>
    <w:p w14:paraId="0E583D66" w14:textId="77777777" w:rsidR="00172C7A" w:rsidRPr="00E2052F" w:rsidRDefault="00172C7A" w:rsidP="0051550F">
      <w:pPr>
        <w:spacing w:before="0" w:beforeAutospacing="0"/>
        <w:rPr>
          <w:rFonts w:cstheme="majorBidi"/>
          <w:b/>
          <w:bCs/>
          <w:sz w:val="22"/>
        </w:rPr>
      </w:pPr>
      <w:r w:rsidRPr="00E2052F">
        <w:rPr>
          <w:rFonts w:cstheme="majorBidi"/>
          <w:sz w:val="22"/>
        </w:rPr>
        <w:t>Le conseil d’administration doit être composé d’un nombre suffisant d’administrateurs présentant une combinaison adéquate de compétences, d’indépendance, de connaissances, d’expérience sectorielle et de diversité de points de vue, afin de favoriser un débat constructif, un esprit critique et une prise de décision objective, en cohérence avec la mission, la stratégie à long terme de l’entreprise et les intérêts des parties prenantes.</w:t>
      </w:r>
    </w:p>
    <w:p w14:paraId="6A381857" w14:textId="77777777" w:rsidR="00172C7A" w:rsidRPr="00E2052F" w:rsidRDefault="00172C7A" w:rsidP="0051550F">
      <w:pPr>
        <w:spacing w:before="0" w:beforeAutospacing="0"/>
        <w:rPr>
          <w:rFonts w:cstheme="majorBidi"/>
          <w:sz w:val="22"/>
        </w:rPr>
      </w:pPr>
      <w:r w:rsidRPr="00E2052F">
        <w:rPr>
          <w:rFonts w:cstheme="majorBidi"/>
          <w:b/>
          <w:bCs/>
          <w:sz w:val="22"/>
        </w:rPr>
        <w:t>Principe 4 :</w:t>
      </w:r>
      <w:r w:rsidRPr="00E2052F">
        <w:rPr>
          <w:rFonts w:cstheme="majorBidi"/>
          <w:sz w:val="22"/>
        </w:rPr>
        <w:t xml:space="preserve"> </w:t>
      </w:r>
      <w:r w:rsidRPr="00E2052F">
        <w:rPr>
          <w:rFonts w:cstheme="majorBidi"/>
          <w:b/>
          <w:bCs/>
          <w:sz w:val="22"/>
        </w:rPr>
        <w:t xml:space="preserve">Culture d’entreprise  </w:t>
      </w:r>
    </w:p>
    <w:p w14:paraId="050ABAD8"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instaurer et promouvoir une culture fondée sur des normes élevées d’éthique et d’intégrité, en adéquation avec la mission et les valeurs de l’entreprise, tant au niveau du conseil qu’au sein de l’ensemble de l’organisation.</w:t>
      </w:r>
    </w:p>
    <w:p w14:paraId="07AE9FE7" w14:textId="77777777" w:rsidR="00172C7A" w:rsidRPr="00E2052F" w:rsidRDefault="00172C7A" w:rsidP="0051550F">
      <w:pPr>
        <w:spacing w:before="0" w:beforeAutospacing="0"/>
        <w:rPr>
          <w:rFonts w:cstheme="majorBidi"/>
          <w:sz w:val="22"/>
        </w:rPr>
      </w:pPr>
      <w:r w:rsidRPr="00E2052F">
        <w:rPr>
          <w:rFonts w:cstheme="majorBidi"/>
          <w:b/>
          <w:bCs/>
          <w:sz w:val="22"/>
        </w:rPr>
        <w:t>Principe 5 :</w:t>
      </w:r>
      <w:r w:rsidRPr="00E2052F">
        <w:rPr>
          <w:rFonts w:cstheme="majorBidi"/>
          <w:sz w:val="22"/>
        </w:rPr>
        <w:t xml:space="preserve"> </w:t>
      </w:r>
      <w:r w:rsidRPr="00E2052F">
        <w:rPr>
          <w:rFonts w:cstheme="majorBidi"/>
          <w:b/>
          <w:bCs/>
          <w:sz w:val="22"/>
        </w:rPr>
        <w:t xml:space="preserve">Rémunération  </w:t>
      </w:r>
    </w:p>
    <w:p w14:paraId="51391392" w14:textId="77777777" w:rsidR="00172C7A" w:rsidRPr="00E2052F" w:rsidRDefault="00172C7A" w:rsidP="0051550F">
      <w:pPr>
        <w:spacing w:before="0" w:beforeAutospacing="0"/>
        <w:rPr>
          <w:rFonts w:cstheme="majorBidi"/>
          <w:sz w:val="22"/>
        </w:rPr>
      </w:pPr>
      <w:r w:rsidRPr="00E2052F">
        <w:rPr>
          <w:rFonts w:cstheme="majorBidi"/>
          <w:sz w:val="22"/>
        </w:rPr>
        <w:lastRenderedPageBreak/>
        <w:t>La politique de rémunération doit être conçue de manière équitable et efficace afin d’aligner les intérêts du directeur général, des dirigeants et des employés avec la stratégie et la mission de l’entreprise, dans le but d’assurer la préservation et la création de valeur durable à long terme. La rémunération globale doit être équilibrée avec la distribution de dividendes aux actionnaires, la rétention des capitaux pour les investissements futurs, et son niveau doit être justifiable au regard des considérations sociales, notamment celles liées aux inégalités.</w:t>
      </w:r>
    </w:p>
    <w:p w14:paraId="15B099CA" w14:textId="77777777" w:rsidR="00172C7A" w:rsidRPr="00E2052F" w:rsidRDefault="00172C7A" w:rsidP="0051550F">
      <w:pPr>
        <w:spacing w:before="0" w:beforeAutospacing="0"/>
        <w:rPr>
          <w:rFonts w:cstheme="majorBidi"/>
          <w:sz w:val="22"/>
        </w:rPr>
      </w:pPr>
      <w:r w:rsidRPr="00E2052F">
        <w:rPr>
          <w:rFonts w:cstheme="majorBidi"/>
          <w:b/>
          <w:bCs/>
          <w:sz w:val="22"/>
        </w:rPr>
        <w:t>Principe 6 :</w:t>
      </w:r>
      <w:r w:rsidRPr="00E2052F">
        <w:rPr>
          <w:rFonts w:cstheme="majorBidi"/>
          <w:sz w:val="22"/>
        </w:rPr>
        <w:t xml:space="preserve"> </w:t>
      </w:r>
      <w:r w:rsidRPr="00E2052F">
        <w:rPr>
          <w:rFonts w:cstheme="majorBidi"/>
          <w:b/>
          <w:bCs/>
          <w:sz w:val="22"/>
        </w:rPr>
        <w:t>Supervision des risques</w:t>
      </w:r>
    </w:p>
    <w:p w14:paraId="33089461"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assurer une supervision proactive de l’évaluation et de la communication des principaux risques de l’entreprise. Il doit approuver l’approche en matière de gestion des risques et de contrôle interne de manière régulière ou en cas de changement significatif, et s’assurer de son efficacité.</w:t>
      </w:r>
    </w:p>
    <w:p w14:paraId="6B311757" w14:textId="77777777" w:rsidR="00172C7A" w:rsidRPr="00E2052F" w:rsidRDefault="00172C7A" w:rsidP="0051550F">
      <w:pPr>
        <w:spacing w:before="0" w:beforeAutospacing="0"/>
        <w:rPr>
          <w:rFonts w:cstheme="majorBidi"/>
          <w:b/>
          <w:bCs/>
          <w:sz w:val="22"/>
        </w:rPr>
      </w:pPr>
      <w:r w:rsidRPr="00E2052F">
        <w:rPr>
          <w:rFonts w:cstheme="majorBidi"/>
          <w:b/>
          <w:bCs/>
          <w:sz w:val="22"/>
        </w:rPr>
        <w:t>Principe 7 :</w:t>
      </w:r>
      <w:r w:rsidRPr="00E2052F">
        <w:rPr>
          <w:rFonts w:cstheme="majorBidi"/>
          <w:sz w:val="22"/>
        </w:rPr>
        <w:t xml:space="preserve"> </w:t>
      </w:r>
      <w:r w:rsidRPr="00E2052F">
        <w:rPr>
          <w:rFonts w:cstheme="majorBidi"/>
          <w:b/>
          <w:bCs/>
          <w:sz w:val="22"/>
        </w:rPr>
        <w:t xml:space="preserve">Information financière et communication </w:t>
      </w:r>
    </w:p>
    <w:p w14:paraId="55595718"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veiller à la publication, en temps utile et de manière fiable, des informations relatives à la situation financière de l’entreprise, à sa performance, à son modèle économique, à sa stratégie, à ses perspectives à long terme ainsi qu’à son approche en matière de durabilité, à destination des actionnaires et des parties prenantes.</w:t>
      </w:r>
    </w:p>
    <w:p w14:paraId="5F6F2289" w14:textId="77777777" w:rsidR="00172C7A" w:rsidRPr="00E2052F" w:rsidRDefault="00172C7A" w:rsidP="0051550F">
      <w:pPr>
        <w:spacing w:before="0" w:beforeAutospacing="0"/>
        <w:rPr>
          <w:rFonts w:cstheme="majorBidi"/>
          <w:b/>
          <w:bCs/>
          <w:sz w:val="22"/>
        </w:rPr>
      </w:pPr>
      <w:r w:rsidRPr="00E2052F">
        <w:rPr>
          <w:rFonts w:cstheme="majorBidi"/>
          <w:b/>
          <w:bCs/>
          <w:sz w:val="22"/>
        </w:rPr>
        <w:t>Principe 8 : Audit interne et externe</w:t>
      </w:r>
    </w:p>
    <w:p w14:paraId="458CD469"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mettre en place des procédures d’audit interne et externe rigoureuses, indépendantes et efficaces, afin de garantir la qualité et l’intégrité de l’information financière et des rapports de l’entreprise.</w:t>
      </w:r>
    </w:p>
    <w:p w14:paraId="46BD9689" w14:textId="77777777" w:rsidR="00172C7A" w:rsidRPr="00E2052F" w:rsidRDefault="00172C7A" w:rsidP="0051550F">
      <w:pPr>
        <w:spacing w:before="0" w:beforeAutospacing="0"/>
        <w:rPr>
          <w:rFonts w:cstheme="majorBidi"/>
          <w:b/>
          <w:bCs/>
          <w:sz w:val="22"/>
        </w:rPr>
      </w:pPr>
      <w:r w:rsidRPr="00E2052F">
        <w:rPr>
          <w:rFonts w:cstheme="majorBidi"/>
          <w:b/>
          <w:bCs/>
          <w:sz w:val="22"/>
        </w:rPr>
        <w:t>Principe 9 : Droits des actionnaires</w:t>
      </w:r>
    </w:p>
    <w:p w14:paraId="7244F02A" w14:textId="77777777" w:rsidR="00172C7A" w:rsidRPr="00E2052F" w:rsidRDefault="00172C7A" w:rsidP="0051550F">
      <w:pPr>
        <w:spacing w:before="0" w:beforeAutospacing="0"/>
        <w:rPr>
          <w:rFonts w:cstheme="majorBidi"/>
          <w:sz w:val="22"/>
        </w:rPr>
      </w:pPr>
      <w:r w:rsidRPr="00E2052F">
        <w:rPr>
          <w:rFonts w:cstheme="majorBidi"/>
          <w:sz w:val="22"/>
        </w:rPr>
        <w:t>Les droits de tous les actionnaires doivent être égaux et protégés. Cette protection repose notamment sur le principe selon lequel les droits de vote doivent être proportionnels à la participation économique détenue, et sur la garantie que les actionnaires minoritaires puissent se prononcer sur les décisions ou transactions majeures affectant leurs intérêts.</w:t>
      </w:r>
      <w:r w:rsidR="002127AA">
        <w:rPr>
          <w:rStyle w:val="Appelnotedebasdep"/>
          <w:rFonts w:cstheme="majorBidi"/>
          <w:sz w:val="22"/>
        </w:rPr>
        <w:footnoteReference w:id="112"/>
      </w:r>
    </w:p>
    <w:p w14:paraId="59BE78C3" w14:textId="77777777" w:rsidR="00172C7A" w:rsidRPr="00E2052F" w:rsidRDefault="00172C7A" w:rsidP="0051550F">
      <w:pPr>
        <w:spacing w:before="0" w:beforeAutospacing="0"/>
        <w:rPr>
          <w:rFonts w:cstheme="majorBidi"/>
          <w:sz w:val="22"/>
        </w:rPr>
      </w:pPr>
      <w:r w:rsidRPr="00E2052F">
        <w:rPr>
          <w:rFonts w:cstheme="majorBidi"/>
          <w:b/>
          <w:bCs/>
          <w:sz w:val="22"/>
        </w:rPr>
        <w:t>Principe 10 :</w:t>
      </w:r>
      <w:r w:rsidRPr="00E2052F">
        <w:rPr>
          <w:rFonts w:cstheme="majorBidi"/>
          <w:sz w:val="22"/>
        </w:rPr>
        <w:t xml:space="preserve"> </w:t>
      </w:r>
      <w:r w:rsidRPr="00E2052F">
        <w:rPr>
          <w:rFonts w:cstheme="majorBidi"/>
          <w:b/>
          <w:bCs/>
          <w:sz w:val="22"/>
        </w:rPr>
        <w:t>Assemblées générales des actionnaires</w:t>
      </w:r>
    </w:p>
    <w:p w14:paraId="7B2BB444" w14:textId="77777777" w:rsidR="00172C7A" w:rsidRPr="00E2052F" w:rsidRDefault="00172C7A" w:rsidP="0051550F">
      <w:pPr>
        <w:spacing w:before="0" w:beforeAutospacing="0"/>
        <w:rPr>
          <w:rFonts w:cstheme="majorBidi"/>
          <w:sz w:val="22"/>
        </w:rPr>
      </w:pPr>
      <w:r w:rsidRPr="00E2052F">
        <w:rPr>
          <w:rFonts w:cstheme="majorBidi"/>
          <w:sz w:val="22"/>
        </w:rPr>
        <w:t>Le conseil d’administration doit veiller à ce que les assemblées des actionnaires soient organisées de manière efficace, transparente, démocratique et sécurisée, afin de favoriser un dialogue constructif et d’assurer la responsabilité du conseil quant à la stratégie à long terme, à la performance et à la création de valeur durable de l’entreprise, éléments susceptibles d’influencer les décisions de vote.</w:t>
      </w:r>
    </w:p>
    <w:p w14:paraId="56AF9654" w14:textId="77777777" w:rsidR="00172C7A" w:rsidRPr="00E2052F" w:rsidRDefault="00172C7A" w:rsidP="00C8480E">
      <w:pPr>
        <w:pStyle w:val="Titre2"/>
      </w:pPr>
      <w:bookmarkStart w:id="548" w:name="_Toc228092421"/>
      <w:bookmarkStart w:id="549" w:name="_Toc231746841"/>
      <w:bookmarkStart w:id="550" w:name="_Toc231752248"/>
      <w:bookmarkStart w:id="551" w:name="_Toc231810551"/>
      <w:bookmarkStart w:id="552" w:name="_Toc231811894"/>
      <w:bookmarkStart w:id="553" w:name="_Toc231812174"/>
      <w:bookmarkStart w:id="554" w:name="_Toc231815058"/>
      <w:r w:rsidRPr="00E2052F">
        <w:lastRenderedPageBreak/>
        <w:t>Les mécanismes de la gouvernance d’entreprise</w:t>
      </w:r>
      <w:bookmarkEnd w:id="548"/>
      <w:bookmarkEnd w:id="549"/>
      <w:bookmarkEnd w:id="550"/>
      <w:bookmarkEnd w:id="551"/>
      <w:r w:rsidR="003B6F7B">
        <w:t> :</w:t>
      </w:r>
      <w:bookmarkEnd w:id="552"/>
      <w:bookmarkEnd w:id="553"/>
      <w:bookmarkEnd w:id="554"/>
    </w:p>
    <w:p w14:paraId="2926F7A6" w14:textId="77777777" w:rsidR="00172C7A" w:rsidRPr="00E2052F" w:rsidRDefault="00172C7A" w:rsidP="00D61875">
      <w:pPr>
        <w:pStyle w:val="Titre3"/>
        <w:numPr>
          <w:ilvl w:val="0"/>
          <w:numId w:val="83"/>
        </w:numPr>
        <w:spacing w:before="0" w:beforeAutospacing="0" w:after="160"/>
        <w:ind w:left="568" w:hanging="284"/>
        <w:rPr>
          <w:rFonts w:asciiTheme="majorBidi" w:hAnsiTheme="majorBidi"/>
          <w:b w:val="0"/>
          <w:bCs w:val="0"/>
          <w:color w:val="auto"/>
          <w:sz w:val="22"/>
        </w:rPr>
      </w:pPr>
      <w:bookmarkStart w:id="555" w:name="_Toc228092422"/>
      <w:bookmarkStart w:id="556" w:name="_Toc231746842"/>
      <w:bookmarkStart w:id="557" w:name="_Toc231752249"/>
      <w:bookmarkStart w:id="558" w:name="_Toc231810552"/>
      <w:bookmarkStart w:id="559" w:name="_Toc231811895"/>
      <w:bookmarkStart w:id="560" w:name="_Toc231812175"/>
      <w:bookmarkStart w:id="561" w:name="_Toc231815059"/>
      <w:r w:rsidRPr="00E2052F">
        <w:rPr>
          <w:rFonts w:asciiTheme="majorBidi" w:hAnsiTheme="majorBidi"/>
          <w:color w:val="auto"/>
          <w:sz w:val="22"/>
        </w:rPr>
        <w:t>Les mécanismes internes de la gouvernance d’entreprise :</w:t>
      </w:r>
      <w:bookmarkEnd w:id="555"/>
      <w:bookmarkEnd w:id="556"/>
      <w:bookmarkEnd w:id="557"/>
      <w:bookmarkEnd w:id="558"/>
      <w:bookmarkEnd w:id="559"/>
      <w:bookmarkEnd w:id="560"/>
      <w:bookmarkEnd w:id="561"/>
    </w:p>
    <w:p w14:paraId="56F75AB1"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562" w:name="_Toc228092423"/>
      <w:bookmarkStart w:id="563" w:name="_Toc231746843"/>
      <w:bookmarkStart w:id="564" w:name="_Toc231752250"/>
      <w:bookmarkStart w:id="565" w:name="_Toc231810553"/>
      <w:bookmarkStart w:id="566" w:name="_Toc231811896"/>
      <w:bookmarkStart w:id="567" w:name="_Toc231812176"/>
      <w:bookmarkStart w:id="568" w:name="_Toc231815060"/>
      <w:r w:rsidRPr="00E2052F">
        <w:rPr>
          <w:rFonts w:asciiTheme="majorBidi" w:hAnsiTheme="majorBidi"/>
          <w:i w:val="0"/>
          <w:iCs w:val="0"/>
          <w:color w:val="auto"/>
          <w:sz w:val="22"/>
        </w:rPr>
        <w:t>Le conseil d’administration :</w:t>
      </w:r>
      <w:bookmarkEnd w:id="562"/>
      <w:bookmarkEnd w:id="563"/>
      <w:bookmarkEnd w:id="564"/>
      <w:bookmarkEnd w:id="565"/>
      <w:bookmarkEnd w:id="566"/>
      <w:bookmarkEnd w:id="567"/>
      <w:bookmarkEnd w:id="568"/>
    </w:p>
    <w:p w14:paraId="6A5F2BC3" w14:textId="77777777" w:rsidR="00172C7A" w:rsidRPr="00E2052F" w:rsidRDefault="00172C7A" w:rsidP="0051550F">
      <w:pPr>
        <w:spacing w:after="100" w:afterAutospacing="1"/>
        <w:rPr>
          <w:rFonts w:cstheme="majorBidi"/>
          <w:sz w:val="22"/>
        </w:rPr>
      </w:pPr>
      <w:r w:rsidRPr="00E2052F">
        <w:rPr>
          <w:rFonts w:cstheme="majorBidi"/>
          <w:sz w:val="22"/>
        </w:rPr>
        <w:t>Le CA est tout simplement un groupe d’individus élus par leurs collègues actionnaires et habilités à agir pour leur propre compte ou pour celui d’autrui, généralement une autre organisation. Les administrateurs sont investis d’un pouvoir de décision distinct de l’autorité et des responsabilités des propriétaires et des gestionnaires.</w:t>
      </w:r>
      <w:r w:rsidRPr="00E2052F">
        <w:rPr>
          <w:rStyle w:val="Appelnotedebasdep"/>
          <w:rFonts w:cstheme="majorBidi"/>
          <w:sz w:val="22"/>
        </w:rPr>
        <w:footnoteReference w:id="113"/>
      </w:r>
      <w:r w:rsidRPr="00E2052F">
        <w:rPr>
          <w:rFonts w:cstheme="majorBidi"/>
          <w:sz w:val="22"/>
        </w:rPr>
        <w:t>Pour Charreaux « Le conseil d’administration intervient en incitant les dirigeants à être performants, soit par les systèmes de rémunération (bonus, stock-options…), soit en menaçant de les évincer. (…) Il intervient comme un organe hiérarchique qui, outre son rôle d’arbitre dans le partage de la rente, doit encourager le travail en équipe ».</w:t>
      </w:r>
      <w:r w:rsidRPr="00E2052F">
        <w:rPr>
          <w:rStyle w:val="Appelnotedebasdep"/>
          <w:rFonts w:cstheme="majorBidi"/>
          <w:sz w:val="22"/>
        </w:rPr>
        <w:footnoteReference w:id="114"/>
      </w:r>
      <w:r w:rsidRPr="00E2052F">
        <w:rPr>
          <w:rFonts w:cstheme="majorBidi"/>
          <w:sz w:val="22"/>
        </w:rPr>
        <w:t>Le rôle principal du conseil d'administration est de surveiller les décisions des dirigeants pour garantir qu'elles servent les intérêts des actionnaires et de sanctionner tout comportement opportuniste, assurant ainsi la protection des richesses des actionnaires contre toute expropriation.</w:t>
      </w:r>
      <w:r w:rsidRPr="00E2052F">
        <w:rPr>
          <w:rStyle w:val="Appelnotedebasdep"/>
          <w:rFonts w:cstheme="majorBidi"/>
          <w:sz w:val="22"/>
        </w:rPr>
        <w:footnoteReference w:id="115"/>
      </w:r>
      <w:r w:rsidRPr="00E2052F">
        <w:rPr>
          <w:rFonts w:cstheme="majorBidi"/>
          <w:sz w:val="22"/>
        </w:rPr>
        <w:t>Toutefois, pour Charreaux « le CA intervient pour protéger l’ensemble des relations créatrices de valeur, préserver et accroître le caractère productif du nœud de contrats, (et) contribue au processus d’innovation ».</w:t>
      </w:r>
      <w:r w:rsidRPr="00E2052F">
        <w:rPr>
          <w:rStyle w:val="Appelnotedebasdep"/>
          <w:rFonts w:cstheme="majorBidi"/>
          <w:sz w:val="22"/>
        </w:rPr>
        <w:footnoteReference w:id="116"/>
      </w:r>
    </w:p>
    <w:p w14:paraId="601ED485" w14:textId="77777777" w:rsidR="00172C7A" w:rsidRPr="00E2052F" w:rsidRDefault="00172C7A" w:rsidP="00607B26">
      <w:pPr>
        <w:spacing w:after="100" w:afterAutospacing="1"/>
        <w:rPr>
          <w:rFonts w:cstheme="majorBidi"/>
          <w:sz w:val="22"/>
        </w:rPr>
      </w:pPr>
      <w:r w:rsidRPr="00E2052F">
        <w:rPr>
          <w:rFonts w:cstheme="majorBidi"/>
          <w:sz w:val="22"/>
        </w:rPr>
        <w:t>Le conseil d’administration constitue un mécanisme de contrôle fondamental dans le dispositif du gouvernement d’entreprise. En effet, plusieurs auteurs s’accordent que le conseil d’administration a deux fonctions principales : contrôler l’équipe managériale et apporter les conseils aux actionnaires. Selon wirtzpeter le CA est un mécanisme majeur dans la gouvernance d’entreprise, car il peut influencer l’action des dirigeants en matière de création de valeur, comme il est susceptible de leur faciliter le repérage des meilleurs projets, ainsi que l’élaboration de la stratégie d’investissement.</w:t>
      </w:r>
      <w:r w:rsidRPr="00E2052F">
        <w:rPr>
          <w:rStyle w:val="Appelnotedebasdep"/>
          <w:rFonts w:cstheme="majorBidi"/>
          <w:sz w:val="22"/>
        </w:rPr>
        <w:footnoteReference w:id="117"/>
      </w:r>
      <w:r w:rsidRPr="00E2052F">
        <w:rPr>
          <w:rFonts w:cstheme="majorBidi"/>
          <w:sz w:val="22"/>
        </w:rPr>
        <w:t xml:space="preserve">D’après Zahra et Pearce, le CA comporte un certain nombre de caractéristiques qui peuvent influencer la performance de la firme. </w:t>
      </w:r>
      <w:r w:rsidRPr="00E2052F">
        <w:rPr>
          <w:rStyle w:val="Appelnotedebasdep"/>
          <w:rFonts w:cstheme="majorBidi"/>
          <w:sz w:val="22"/>
        </w:rPr>
        <w:footnoteReference w:id="118"/>
      </w:r>
      <w:r w:rsidRPr="00E2052F">
        <w:rPr>
          <w:rFonts w:cstheme="majorBidi"/>
          <w:sz w:val="22"/>
        </w:rPr>
        <w:t xml:space="preserve">Ils distinguent quatre caractéristiques interdépendantes : la composition (taille, type </w:t>
      </w:r>
      <w:r w:rsidRPr="00E2052F">
        <w:rPr>
          <w:rFonts w:cstheme="majorBidi"/>
          <w:sz w:val="22"/>
        </w:rPr>
        <w:lastRenderedPageBreak/>
        <w:t>d’administrateur), les caractéristiques (profil individuel des administrateurs : âge, expériences, diplômes…), les structures (nombres de comités, la forme de leadership au sein du CA…), et le processus décisionnel (le mode de fonctionnement du conseil dans la prise de décision). Toutefois, nous allons nous concentrer sur les attributs clés souligné dans les différentes études à savoir : la structure du CA, sa taille, sa composition, et l’existence des comités permanents.</w:t>
      </w:r>
    </w:p>
    <w:p w14:paraId="19CBD5C0" w14:textId="77777777" w:rsidR="00172C7A" w:rsidRPr="00E2052F" w:rsidRDefault="00172C7A" w:rsidP="00D61875">
      <w:pPr>
        <w:pStyle w:val="Titre5"/>
        <w:numPr>
          <w:ilvl w:val="0"/>
          <w:numId w:val="87"/>
        </w:numPr>
        <w:spacing w:before="100" w:beforeAutospacing="1" w:after="100" w:afterAutospacing="1" w:line="360" w:lineRule="auto"/>
        <w:ind w:left="1702" w:hanging="851"/>
        <w:jc w:val="both"/>
        <w:rPr>
          <w:rFonts w:asciiTheme="majorBidi" w:hAnsiTheme="majorBidi"/>
          <w:b/>
          <w:bCs/>
          <w:color w:val="auto"/>
        </w:rPr>
      </w:pPr>
      <w:bookmarkStart w:id="569" w:name="_Toc228092424"/>
      <w:bookmarkStart w:id="570" w:name="_Toc231746844"/>
      <w:bookmarkStart w:id="571" w:name="_Toc231752251"/>
      <w:bookmarkStart w:id="572" w:name="_Toc231810554"/>
      <w:bookmarkStart w:id="573" w:name="_Toc231811897"/>
      <w:bookmarkStart w:id="574" w:name="_Toc231812177"/>
      <w:bookmarkStart w:id="575" w:name="_Toc231815061"/>
      <w:r w:rsidRPr="00E2052F">
        <w:rPr>
          <w:rFonts w:asciiTheme="majorBidi" w:hAnsiTheme="majorBidi"/>
          <w:b/>
          <w:bCs/>
          <w:color w:val="auto"/>
        </w:rPr>
        <w:t>Les missions du conseil d’administration :</w:t>
      </w:r>
      <w:bookmarkEnd w:id="569"/>
      <w:bookmarkEnd w:id="570"/>
      <w:bookmarkEnd w:id="571"/>
      <w:bookmarkEnd w:id="572"/>
      <w:bookmarkEnd w:id="573"/>
      <w:bookmarkEnd w:id="574"/>
      <w:bookmarkEnd w:id="575"/>
    </w:p>
    <w:p w14:paraId="3BD3DBA6" w14:textId="77777777" w:rsidR="00172C7A" w:rsidRPr="00E2052F" w:rsidRDefault="00172C7A" w:rsidP="0051550F">
      <w:pPr>
        <w:spacing w:before="0" w:beforeAutospacing="0"/>
        <w:rPr>
          <w:rFonts w:cstheme="majorBidi"/>
          <w:sz w:val="22"/>
        </w:rPr>
      </w:pPr>
      <w:r w:rsidRPr="00E2052F">
        <w:rPr>
          <w:rFonts w:cstheme="majorBidi"/>
          <w:sz w:val="22"/>
        </w:rPr>
        <w:t>Le CA selon Parrat « s’est vu confier deux missions principales : la gestion de l’organisation et la représentation des intérêts des actionnaires. Ces dernières années, le CA a vu la liste de ses prérogatives s’étendre à de nouvelles missions : la contribution au choix des grandes orientations stratégiques, la défense des intérêts de l’entreprise et de ses parties prenantes, le contrôle l’équipe managériale, le recrutement et la révocation des dirigeants, la détermination de la rémunération des dirigeants… ».</w:t>
      </w:r>
      <w:r w:rsidRPr="00E2052F">
        <w:rPr>
          <w:rStyle w:val="Appelnotedebasdep"/>
          <w:rFonts w:cstheme="majorBidi"/>
          <w:sz w:val="22"/>
        </w:rPr>
        <w:footnoteReference w:id="119"/>
      </w:r>
    </w:p>
    <w:p w14:paraId="499E5249" w14:textId="77777777" w:rsidR="00172C7A" w:rsidRPr="00E2052F" w:rsidRDefault="00172C7A" w:rsidP="0051550F">
      <w:pPr>
        <w:spacing w:before="0" w:beforeAutospacing="0"/>
        <w:rPr>
          <w:rFonts w:cstheme="majorBidi"/>
          <w:sz w:val="22"/>
        </w:rPr>
      </w:pPr>
      <w:r w:rsidRPr="00E2052F">
        <w:rPr>
          <w:rFonts w:cstheme="majorBidi"/>
          <w:sz w:val="22"/>
        </w:rPr>
        <w:t xml:space="preserve">Pour Appercel et Valognes parmi ses multiples fonctions, le CA a les responsabilités générales suivantes : </w:t>
      </w:r>
    </w:p>
    <w:p w14:paraId="59C79256" w14:textId="77777777" w:rsidR="00172C7A" w:rsidRPr="00E2052F" w:rsidRDefault="00172C7A" w:rsidP="00D61875">
      <w:pPr>
        <w:pStyle w:val="Paragraphedeliste"/>
        <w:numPr>
          <w:ilvl w:val="0"/>
          <w:numId w:val="88"/>
        </w:numPr>
        <w:spacing w:before="0" w:beforeAutospacing="0"/>
        <w:ind w:left="0" w:firstLine="284"/>
        <w:rPr>
          <w:rFonts w:cstheme="majorBidi"/>
          <w:sz w:val="22"/>
        </w:rPr>
      </w:pPr>
      <w:r w:rsidRPr="00E2052F">
        <w:rPr>
          <w:rFonts w:cstheme="majorBidi"/>
          <w:sz w:val="22"/>
        </w:rPr>
        <w:t>Évaluer le périmètre et l’efficacité des systèmes mis en place par la direction pour identifier, évaluer, gérer et contrôler les différents risques découlant des activités de l’organisation ;</w:t>
      </w:r>
    </w:p>
    <w:p w14:paraId="5845C296" w14:textId="77777777" w:rsidR="00172C7A" w:rsidRPr="00E2052F" w:rsidRDefault="00172C7A" w:rsidP="00D61875">
      <w:pPr>
        <w:pStyle w:val="Paragraphedeliste"/>
        <w:numPr>
          <w:ilvl w:val="0"/>
          <w:numId w:val="88"/>
        </w:numPr>
        <w:spacing w:before="0" w:beforeAutospacing="0"/>
        <w:ind w:left="0" w:firstLine="284"/>
        <w:rPr>
          <w:rFonts w:cstheme="majorBidi"/>
          <w:sz w:val="22"/>
        </w:rPr>
      </w:pPr>
      <w:r w:rsidRPr="00E2052F">
        <w:rPr>
          <w:rFonts w:cstheme="majorBidi"/>
          <w:sz w:val="22"/>
        </w:rPr>
        <w:t xml:space="preserve">S’assurer que la direction établit et maintien des contrôles internes adéquats et efficaces ; </w:t>
      </w:r>
    </w:p>
    <w:p w14:paraId="0746CA10" w14:textId="77777777" w:rsidR="00172C7A" w:rsidRPr="00E2052F" w:rsidRDefault="00172C7A" w:rsidP="00D61875">
      <w:pPr>
        <w:pStyle w:val="Paragraphedeliste"/>
        <w:numPr>
          <w:ilvl w:val="0"/>
          <w:numId w:val="88"/>
        </w:numPr>
        <w:spacing w:before="0" w:beforeAutospacing="0"/>
        <w:ind w:left="0" w:firstLine="284"/>
        <w:rPr>
          <w:rFonts w:cstheme="majorBidi"/>
          <w:sz w:val="22"/>
        </w:rPr>
      </w:pPr>
      <w:r w:rsidRPr="00E2052F">
        <w:rPr>
          <w:rFonts w:cstheme="majorBidi"/>
          <w:sz w:val="22"/>
        </w:rPr>
        <w:t xml:space="preserve">S’assurer que des contrôles appropriés sont en place pour surveiller la conformité aux lois, aux règlements, aux exigences de supervision et aux politiques internes pertinentes ; </w:t>
      </w:r>
    </w:p>
    <w:p w14:paraId="41C28BEC" w14:textId="77777777" w:rsidR="00172C7A" w:rsidRPr="00E2052F" w:rsidRDefault="00172C7A" w:rsidP="00D61875">
      <w:pPr>
        <w:pStyle w:val="Paragraphedeliste"/>
        <w:numPr>
          <w:ilvl w:val="0"/>
          <w:numId w:val="88"/>
        </w:numPr>
        <w:spacing w:before="0" w:beforeAutospacing="0"/>
        <w:ind w:left="0" w:firstLine="284"/>
        <w:rPr>
          <w:rFonts w:cstheme="majorBidi"/>
          <w:sz w:val="22"/>
        </w:rPr>
      </w:pPr>
      <w:r w:rsidRPr="00E2052F">
        <w:rPr>
          <w:rFonts w:cstheme="majorBidi"/>
          <w:sz w:val="22"/>
        </w:rPr>
        <w:t xml:space="preserve">Surveiller et examiner l’efficacité de la fonction d’audit interne ; </w:t>
      </w:r>
    </w:p>
    <w:p w14:paraId="5F7EBAD8" w14:textId="77777777" w:rsidR="00172C7A" w:rsidRPr="00E2052F" w:rsidRDefault="00172C7A" w:rsidP="00D61875">
      <w:pPr>
        <w:pStyle w:val="Paragraphedeliste"/>
        <w:numPr>
          <w:ilvl w:val="0"/>
          <w:numId w:val="88"/>
        </w:numPr>
        <w:spacing w:before="0" w:beforeAutospacing="0"/>
        <w:ind w:left="0" w:firstLine="284"/>
        <w:rPr>
          <w:rFonts w:cstheme="majorBidi"/>
          <w:sz w:val="22"/>
          <w:rtl/>
        </w:rPr>
      </w:pPr>
      <w:r w:rsidRPr="00E2052F">
        <w:rPr>
          <w:rFonts w:cstheme="majorBidi"/>
          <w:sz w:val="22"/>
        </w:rPr>
        <w:t>Communication et publication financière et opérationnelle.</w:t>
      </w:r>
      <w:r w:rsidRPr="00E2052F">
        <w:rPr>
          <w:rStyle w:val="Appelnotedebasdep"/>
          <w:rFonts w:cstheme="majorBidi"/>
          <w:sz w:val="22"/>
        </w:rPr>
        <w:footnoteReference w:id="120"/>
      </w:r>
    </w:p>
    <w:p w14:paraId="1BD2CFB5" w14:textId="77777777" w:rsidR="00172C7A" w:rsidRPr="00E2052F" w:rsidRDefault="00172C7A" w:rsidP="00D61875">
      <w:pPr>
        <w:pStyle w:val="Titre5"/>
        <w:numPr>
          <w:ilvl w:val="0"/>
          <w:numId w:val="87"/>
        </w:numPr>
        <w:spacing w:before="100" w:beforeAutospacing="1" w:after="100" w:afterAutospacing="1" w:line="360" w:lineRule="auto"/>
        <w:ind w:left="1702" w:hanging="851"/>
        <w:jc w:val="both"/>
        <w:rPr>
          <w:rFonts w:asciiTheme="majorBidi" w:hAnsiTheme="majorBidi"/>
          <w:b/>
          <w:bCs/>
          <w:color w:val="auto"/>
        </w:rPr>
      </w:pPr>
      <w:bookmarkStart w:id="576" w:name="_Toc228092425"/>
      <w:bookmarkStart w:id="577" w:name="_Toc231746845"/>
      <w:bookmarkStart w:id="578" w:name="_Toc231752252"/>
      <w:bookmarkStart w:id="579" w:name="_Toc231810555"/>
      <w:bookmarkStart w:id="580" w:name="_Toc231811898"/>
      <w:bookmarkStart w:id="581" w:name="_Toc231812178"/>
      <w:bookmarkStart w:id="582" w:name="_Toc231815062"/>
      <w:r w:rsidRPr="00E2052F">
        <w:rPr>
          <w:rFonts w:asciiTheme="majorBidi" w:hAnsiTheme="majorBidi"/>
          <w:b/>
          <w:bCs/>
          <w:color w:val="auto"/>
        </w:rPr>
        <w:t>La taille du conseil d’administration en tant qu’indicateur de gouvernance :</w:t>
      </w:r>
      <w:bookmarkEnd w:id="576"/>
      <w:bookmarkEnd w:id="577"/>
      <w:bookmarkEnd w:id="578"/>
      <w:bookmarkEnd w:id="579"/>
      <w:bookmarkEnd w:id="580"/>
      <w:bookmarkEnd w:id="581"/>
      <w:bookmarkEnd w:id="582"/>
    </w:p>
    <w:p w14:paraId="01770110" w14:textId="77777777" w:rsidR="00172C7A" w:rsidRPr="00E2052F" w:rsidRDefault="00172C7A" w:rsidP="00851595">
      <w:pPr>
        <w:spacing w:before="0" w:beforeAutospacing="0"/>
        <w:rPr>
          <w:rFonts w:cstheme="majorBidi"/>
          <w:sz w:val="22"/>
        </w:rPr>
      </w:pPr>
      <w:r w:rsidRPr="00E2052F">
        <w:rPr>
          <w:rFonts w:cstheme="majorBidi"/>
          <w:sz w:val="22"/>
        </w:rPr>
        <w:t>Pour Jensen (1993), un conseil de taille moyenne (de sept ou huit membres) serait plus performant car il permettrait de prendre des décisions plus rapides et de réduire les coûts d’agence grâce à une meilleure coordination. Dans le cas où la taille et la complexité de l’entreprise augmentent, le besoin d’expertise étant plus important ce qui constitue une réponse organisationnelle aux exigences environnementales de la firme. Donc, un nombre plus élevé au sein du conseil d’administration peut être justifié car il permettrait la représentation des différentes parties prenantes.</w:t>
      </w:r>
      <w:r w:rsidRPr="00E2052F">
        <w:rPr>
          <w:rStyle w:val="Appelnotedebasdep"/>
          <w:rFonts w:cstheme="majorBidi"/>
          <w:sz w:val="22"/>
        </w:rPr>
        <w:footnoteReference w:id="121"/>
      </w:r>
    </w:p>
    <w:p w14:paraId="4D708007" w14:textId="77777777" w:rsidR="00172C7A" w:rsidRPr="00E2052F" w:rsidRDefault="00172C7A" w:rsidP="00851595">
      <w:pPr>
        <w:spacing w:before="0" w:beforeAutospacing="0"/>
        <w:rPr>
          <w:rFonts w:cstheme="majorBidi"/>
          <w:sz w:val="22"/>
        </w:rPr>
      </w:pPr>
      <w:r w:rsidRPr="00E2052F">
        <w:rPr>
          <w:rFonts w:cstheme="majorBidi"/>
          <w:sz w:val="22"/>
        </w:rPr>
        <w:lastRenderedPageBreak/>
        <w:t>Carter et Lorsh (2004), en étudiant la relation entre la taille du conseil d’administration et la performance d’entreprise, estiment que le nombre maximum des administrateurs au sein du conseil est de 10 administrateurs.</w:t>
      </w:r>
      <w:r w:rsidRPr="00E2052F">
        <w:rPr>
          <w:rStyle w:val="Appelnotedebasdep"/>
          <w:rFonts w:cstheme="majorBidi"/>
          <w:sz w:val="22"/>
        </w:rPr>
        <w:footnoteReference w:id="122"/>
      </w:r>
    </w:p>
    <w:p w14:paraId="6FEC75BE" w14:textId="77777777" w:rsidR="00172C7A" w:rsidRPr="00E2052F" w:rsidRDefault="00172C7A" w:rsidP="00851595">
      <w:pPr>
        <w:spacing w:before="0" w:beforeAutospacing="0"/>
        <w:rPr>
          <w:rFonts w:cstheme="majorBidi"/>
          <w:sz w:val="22"/>
        </w:rPr>
      </w:pPr>
      <w:r w:rsidRPr="00E2052F">
        <w:rPr>
          <w:rFonts w:cstheme="majorBidi"/>
          <w:sz w:val="22"/>
        </w:rPr>
        <w:t>Le code britannique de gouvernance (FRC, 2010) réclame que les conseils d’administration doivent être de taille suffisante pour que les exigences de l’entreprise puissent être satisfaites, ainsi que les changements de composition du conseil d’administration peuvent être gères sans perturbation, mais aussi une grande taille du conseil d’administration risque d’être lourde de conséquences.</w:t>
      </w:r>
      <w:r w:rsidRPr="00E2052F">
        <w:rPr>
          <w:rStyle w:val="Appelnotedebasdep"/>
          <w:rFonts w:cstheme="majorBidi"/>
          <w:sz w:val="22"/>
        </w:rPr>
        <w:footnoteReference w:id="123"/>
      </w:r>
    </w:p>
    <w:p w14:paraId="5D6DE039" w14:textId="77777777" w:rsidR="00172C7A" w:rsidRPr="00E2052F" w:rsidRDefault="00172C7A" w:rsidP="00D61875">
      <w:pPr>
        <w:pStyle w:val="Titre5"/>
        <w:numPr>
          <w:ilvl w:val="0"/>
          <w:numId w:val="87"/>
        </w:numPr>
        <w:spacing w:before="0" w:after="160" w:line="360" w:lineRule="auto"/>
        <w:ind w:left="1702" w:hanging="851"/>
        <w:jc w:val="both"/>
        <w:rPr>
          <w:rFonts w:asciiTheme="majorBidi" w:hAnsiTheme="majorBidi"/>
          <w:b/>
          <w:bCs/>
          <w:color w:val="auto"/>
        </w:rPr>
      </w:pPr>
      <w:bookmarkStart w:id="583" w:name="_Toc228092426"/>
      <w:bookmarkStart w:id="584" w:name="_Toc231746846"/>
      <w:bookmarkStart w:id="585" w:name="_Toc231752253"/>
      <w:bookmarkStart w:id="586" w:name="_Toc231810556"/>
      <w:bookmarkStart w:id="587" w:name="_Toc231811899"/>
      <w:bookmarkStart w:id="588" w:name="_Toc231812179"/>
      <w:bookmarkStart w:id="589" w:name="_Toc231815063"/>
      <w:r w:rsidRPr="00E2052F">
        <w:rPr>
          <w:rFonts w:asciiTheme="majorBidi" w:hAnsiTheme="majorBidi"/>
          <w:b/>
          <w:bCs/>
          <w:color w:val="auto"/>
        </w:rPr>
        <w:t>L’indépendance des administrateurs en tant qu’indicateur de gouvernance :</w:t>
      </w:r>
      <w:bookmarkEnd w:id="583"/>
      <w:bookmarkEnd w:id="584"/>
      <w:bookmarkEnd w:id="585"/>
      <w:bookmarkEnd w:id="586"/>
      <w:bookmarkEnd w:id="587"/>
      <w:bookmarkEnd w:id="588"/>
      <w:bookmarkEnd w:id="589"/>
    </w:p>
    <w:p w14:paraId="5B3FE19E" w14:textId="77777777" w:rsidR="00172C7A" w:rsidRPr="00E2052F" w:rsidRDefault="00172C7A" w:rsidP="00851595">
      <w:pPr>
        <w:spacing w:before="0" w:beforeAutospacing="0"/>
        <w:rPr>
          <w:rFonts w:cstheme="majorBidi"/>
          <w:sz w:val="22"/>
        </w:rPr>
      </w:pPr>
      <w:r w:rsidRPr="00E2052F">
        <w:rPr>
          <w:rFonts w:cstheme="majorBidi"/>
          <w:sz w:val="22"/>
        </w:rPr>
        <w:t>Les conseils d'administration bénéficiant d'une plus grande indépendance sont plus enclins à remplacer les PDG sous-performants, selon Franck, Mayer et Renneboog (2001), ainsi que Dahya et McConnell (2005) qui constatent une corrélation significative entre la nomination externe du PDG et la présence d'administrateurs externes dans le conseil. Bien que le conseil d'administration soit chargé de protéger les intérêts des actionnaires contre les prises de risques excessives, les administrateurs indépendants doivent surveiller efficacement ces risques. De plus, Erkens, Hung et Matos (2009) notent que les entreprises avec des administrateurs plus indépendants sont plus enclines à remplacer les PDG en cas de mauvaise performance, soulignant ainsi l'importance cruciale des administrateurs indépendants en période de crise financière lorsque les réglementations sur les dérivés de crédit sont incomplètes.</w:t>
      </w:r>
    </w:p>
    <w:p w14:paraId="3CBF4E5A" w14:textId="77777777" w:rsidR="00172C7A" w:rsidRPr="00E2052F" w:rsidRDefault="00172C7A" w:rsidP="00D61875">
      <w:pPr>
        <w:pStyle w:val="Titre5"/>
        <w:numPr>
          <w:ilvl w:val="0"/>
          <w:numId w:val="87"/>
        </w:numPr>
        <w:spacing w:before="0" w:after="160" w:line="360" w:lineRule="auto"/>
        <w:ind w:left="1702" w:hanging="851"/>
        <w:jc w:val="both"/>
        <w:rPr>
          <w:rFonts w:asciiTheme="majorBidi" w:hAnsiTheme="majorBidi"/>
          <w:b/>
          <w:bCs/>
          <w:color w:val="auto"/>
        </w:rPr>
      </w:pPr>
      <w:bookmarkStart w:id="590" w:name="_Toc228092427"/>
      <w:bookmarkStart w:id="591" w:name="_Toc231746847"/>
      <w:bookmarkStart w:id="592" w:name="_Toc231752254"/>
      <w:bookmarkStart w:id="593" w:name="_Toc231810557"/>
      <w:bookmarkStart w:id="594" w:name="_Toc231811900"/>
      <w:bookmarkStart w:id="595" w:name="_Toc231812180"/>
      <w:bookmarkStart w:id="596" w:name="_Toc231815064"/>
      <w:r w:rsidRPr="00E2052F">
        <w:rPr>
          <w:rFonts w:asciiTheme="majorBidi" w:hAnsiTheme="majorBidi"/>
          <w:b/>
          <w:bCs/>
          <w:color w:val="auto"/>
        </w:rPr>
        <w:t>La dualité en tant qu’indicateur de gouvernance :</w:t>
      </w:r>
      <w:bookmarkEnd w:id="590"/>
      <w:bookmarkEnd w:id="591"/>
      <w:bookmarkEnd w:id="592"/>
      <w:bookmarkEnd w:id="593"/>
      <w:bookmarkEnd w:id="594"/>
      <w:bookmarkEnd w:id="595"/>
      <w:bookmarkEnd w:id="596"/>
    </w:p>
    <w:p w14:paraId="122DB860" w14:textId="77777777" w:rsidR="00172C7A" w:rsidRPr="00E2052F" w:rsidRDefault="00172C7A" w:rsidP="00851595">
      <w:pPr>
        <w:spacing w:before="0" w:beforeAutospacing="0"/>
        <w:rPr>
          <w:rFonts w:cstheme="majorBidi"/>
          <w:sz w:val="22"/>
        </w:rPr>
      </w:pPr>
      <w:r w:rsidRPr="00E2052F">
        <w:rPr>
          <w:rFonts w:cstheme="majorBidi"/>
          <w:sz w:val="22"/>
        </w:rPr>
        <w:t>La dualité du conseil d’administration constitue un thème central dans l’analyse des mécanismes de gouvernance d’entreprise. Elle désigne une situation dans laquelle le président du conseil d’administration cumule également les fonctions de directeur général. Cette configuration soulève un débat important, tant dans la littérature académique que dans les pratiques managériales, en raison de ses implications potentielles sur l’efficacité du contrôle et la performance organisationnelle.</w:t>
      </w:r>
    </w:p>
    <w:p w14:paraId="7F070101" w14:textId="77777777" w:rsidR="00172C7A" w:rsidRPr="00E2052F" w:rsidRDefault="00172C7A" w:rsidP="00851595">
      <w:pPr>
        <w:spacing w:before="0" w:beforeAutospacing="0"/>
        <w:rPr>
          <w:rFonts w:cstheme="majorBidi"/>
          <w:sz w:val="22"/>
        </w:rPr>
      </w:pPr>
      <w:r w:rsidRPr="00E2052F">
        <w:rPr>
          <w:rFonts w:cstheme="majorBidi"/>
          <w:sz w:val="22"/>
        </w:rPr>
        <w:t>Une première approche considère que la séparation des fonctions de direction et de contrôle constitue un facteur d’amélioration de la gouvernance. Dans cette perspective, Rechner et Dalton (1991) montrent que les entreprises ayant opté pour une dissociation des rôles présentent de meilleures performances. Cette position repose sur l’idée qu’une séparation claire permet de renforcer l’indépendance du conseil d’administration et de limiter les conflits d’intérêts, favorisant ainsi une prise de décision plus objective.</w:t>
      </w:r>
    </w:p>
    <w:p w14:paraId="4ABE842A" w14:textId="77777777" w:rsidR="00172C7A" w:rsidRPr="00E2052F" w:rsidRDefault="00172C7A" w:rsidP="00851595">
      <w:pPr>
        <w:spacing w:before="0" w:beforeAutospacing="0"/>
        <w:rPr>
          <w:rFonts w:cstheme="majorBidi"/>
          <w:sz w:val="22"/>
        </w:rPr>
      </w:pPr>
      <w:r w:rsidRPr="00E2052F">
        <w:rPr>
          <w:rFonts w:cstheme="majorBidi"/>
          <w:sz w:val="22"/>
        </w:rPr>
        <w:lastRenderedPageBreak/>
        <w:t>Cependant, d’autres travaux remettent en question cette vision. Brickley et al. (1997) soutiennent que le cumul des fonctions n’a pas nécessairement d’impact négatif sur la performance, notamment lorsque le dirigeant dispose d’une expertise approfondie et d’une connaissance fine de l’entreprise. Dans le même sens, Elsayed (2007) conclut à l’absence de relation significative entre la structure de gouvernance et la performance, suggérant que la dualité n’est pas en soi un facteur déterminant.</w:t>
      </w:r>
    </w:p>
    <w:p w14:paraId="09E12264" w14:textId="77777777" w:rsidR="00172C7A" w:rsidRPr="00E2052F" w:rsidRDefault="00172C7A" w:rsidP="00851595">
      <w:pPr>
        <w:spacing w:before="0" w:beforeAutospacing="0"/>
        <w:rPr>
          <w:rFonts w:cstheme="majorBidi"/>
          <w:sz w:val="22"/>
        </w:rPr>
      </w:pPr>
      <w:r w:rsidRPr="00E2052F">
        <w:rPr>
          <w:rFonts w:cstheme="majorBidi"/>
          <w:sz w:val="22"/>
        </w:rPr>
        <w:t>À l’inverse, certains auteurs mettent en évidence les risques associés à la concentration du pouvoir. Ainsi, Aktas et al. (2018) montrent que la dualité peut nuire à l’efficacité des décisions d’investissement, tandis que Hsu et al. (2021) soulignent un effet négatif sur la performance, particulièrement dans des contextes caractérisés par une forte asymétrie d’information. Ces résultats mettent en évidence le rôle crucial de la transparence et de la qualité de l’information dans l’évaluation des effets de la dualité.</w:t>
      </w:r>
    </w:p>
    <w:p w14:paraId="1CF115B8" w14:textId="77777777" w:rsidR="00172C7A" w:rsidRPr="00E2052F" w:rsidRDefault="00172C7A" w:rsidP="00851595">
      <w:pPr>
        <w:spacing w:before="0" w:beforeAutospacing="0"/>
        <w:rPr>
          <w:rFonts w:cstheme="majorBidi"/>
          <w:sz w:val="22"/>
        </w:rPr>
      </w:pPr>
      <w:r w:rsidRPr="00E2052F">
        <w:rPr>
          <w:rFonts w:cstheme="majorBidi"/>
          <w:sz w:val="22"/>
        </w:rPr>
        <w:t>Certains travaux défendent une vision plus favorable à la dualité. Des études telles que celles de Tuggle et al. (2008), Gill et Mathur (2011), Yang et Zhao (2014) et Duru et al. (2016) suggèrent que le cumul des fonctions peut améliorer la coordination stratégique, accélérer la prise de décision et renforcer la cohérence des actions managériales. Ces résultats confirment que l’impact de la dualité dépend largement du contexte organisationnel et institutionnel.</w:t>
      </w:r>
    </w:p>
    <w:p w14:paraId="67DB00F1" w14:textId="77777777" w:rsidR="00172C7A" w:rsidRPr="00E2052F" w:rsidRDefault="00172C7A" w:rsidP="00851595">
      <w:pPr>
        <w:spacing w:before="0" w:beforeAutospacing="0"/>
        <w:rPr>
          <w:rFonts w:cstheme="majorBidi"/>
          <w:sz w:val="22"/>
        </w:rPr>
      </w:pPr>
      <w:r w:rsidRPr="00E2052F">
        <w:rPr>
          <w:rFonts w:cstheme="majorBidi"/>
          <w:sz w:val="22"/>
        </w:rPr>
        <w:t>Ces résultats contrastés suggèrent que la dualité du conseil d’administration ne peut être appréhendée de manière universelle, mais doit être analysée en fonction des spécificités institutionnelles et organisationnelles.</w:t>
      </w:r>
      <w:r w:rsidRPr="00E2052F">
        <w:rPr>
          <w:rStyle w:val="Appelnotedebasdep"/>
          <w:rFonts w:cstheme="majorBidi"/>
          <w:sz w:val="22"/>
        </w:rPr>
        <w:footnoteReference w:id="124"/>
      </w:r>
    </w:p>
    <w:p w14:paraId="57C01A3B" w14:textId="77777777" w:rsidR="00172C7A" w:rsidRPr="00E2052F" w:rsidRDefault="00172C7A" w:rsidP="00D61875">
      <w:pPr>
        <w:pStyle w:val="Titre5"/>
        <w:numPr>
          <w:ilvl w:val="0"/>
          <w:numId w:val="87"/>
        </w:numPr>
        <w:spacing w:before="0" w:after="160" w:line="360" w:lineRule="auto"/>
        <w:ind w:left="1702" w:hanging="851"/>
        <w:jc w:val="both"/>
        <w:rPr>
          <w:rFonts w:asciiTheme="majorBidi" w:hAnsiTheme="majorBidi"/>
          <w:b/>
          <w:bCs/>
          <w:color w:val="auto"/>
        </w:rPr>
      </w:pPr>
      <w:bookmarkStart w:id="597" w:name="_Toc228092428"/>
      <w:bookmarkStart w:id="598" w:name="_Toc231746848"/>
      <w:bookmarkStart w:id="599" w:name="_Toc231752255"/>
      <w:bookmarkStart w:id="600" w:name="_Toc231810558"/>
      <w:bookmarkStart w:id="601" w:name="_Toc231811901"/>
      <w:bookmarkStart w:id="602" w:name="_Toc231812181"/>
      <w:bookmarkStart w:id="603" w:name="_Toc231815065"/>
      <w:r w:rsidRPr="00E2052F">
        <w:rPr>
          <w:rFonts w:asciiTheme="majorBidi" w:hAnsiTheme="majorBidi"/>
          <w:b/>
          <w:bCs/>
          <w:color w:val="auto"/>
        </w:rPr>
        <w:t>Age du PDG en tant qu’indicateur de gouvernance :</w:t>
      </w:r>
      <w:bookmarkEnd w:id="597"/>
      <w:bookmarkEnd w:id="598"/>
      <w:bookmarkEnd w:id="599"/>
      <w:bookmarkEnd w:id="600"/>
      <w:bookmarkEnd w:id="601"/>
      <w:bookmarkEnd w:id="602"/>
      <w:bookmarkEnd w:id="603"/>
    </w:p>
    <w:p w14:paraId="7FBB2CDC" w14:textId="77777777" w:rsidR="00172C7A" w:rsidRPr="00E2052F" w:rsidRDefault="00172C7A" w:rsidP="00851595">
      <w:pPr>
        <w:spacing w:before="0" w:beforeAutospacing="0"/>
        <w:rPr>
          <w:rFonts w:cstheme="majorBidi"/>
          <w:sz w:val="22"/>
        </w:rPr>
      </w:pPr>
      <w:r w:rsidRPr="00E2052F">
        <w:rPr>
          <w:rFonts w:cstheme="majorBidi"/>
          <w:sz w:val="22"/>
        </w:rPr>
        <w:t>Un dirigeant âgé peut avoir une grande expérience, prendre de bonnes décisions pour l’organisation, mais par contre peut manquer d’énergie et d’incitation pour surveiller et conseiller les administrateurs. Les avis sur le rôle de l’âge des administrateurs sont très divergents dans la littérature. L’association nationale d'administration des entreprises (NACD) oriente les débats sur ce point vers la fixation d'un âge limite de retraite et la limitation de fonction pour les administrateurs. L’entreprise « Lehman and Brothers » a été critiquée pour avoir plus que 50% de ses membres du CA ayant plus de 70 ans.</w:t>
      </w:r>
    </w:p>
    <w:p w14:paraId="4AB4F58C" w14:textId="77777777" w:rsidR="00172C7A" w:rsidRPr="00E2052F" w:rsidRDefault="00172C7A" w:rsidP="00D61875">
      <w:pPr>
        <w:pStyle w:val="Titre5"/>
        <w:numPr>
          <w:ilvl w:val="0"/>
          <w:numId w:val="87"/>
        </w:numPr>
        <w:spacing w:before="0" w:after="160" w:line="360" w:lineRule="auto"/>
        <w:ind w:left="1702" w:hanging="851"/>
        <w:jc w:val="both"/>
        <w:rPr>
          <w:rFonts w:asciiTheme="majorBidi" w:hAnsiTheme="majorBidi"/>
          <w:b/>
          <w:bCs/>
        </w:rPr>
      </w:pPr>
      <w:bookmarkStart w:id="604" w:name="_Toc228092429"/>
      <w:bookmarkStart w:id="605" w:name="_Toc231746849"/>
      <w:bookmarkStart w:id="606" w:name="_Toc231752256"/>
      <w:bookmarkStart w:id="607" w:name="_Toc231810559"/>
      <w:bookmarkStart w:id="608" w:name="_Toc231811902"/>
      <w:bookmarkStart w:id="609" w:name="_Toc231812182"/>
      <w:bookmarkStart w:id="610" w:name="_Toc231815066"/>
      <w:r w:rsidRPr="00E2052F">
        <w:rPr>
          <w:rFonts w:asciiTheme="majorBidi" w:hAnsiTheme="majorBidi"/>
          <w:b/>
          <w:bCs/>
          <w:color w:val="auto"/>
        </w:rPr>
        <w:t>Le nombre des réunions du conseil d’administration en tant qu’indicateur de gouvernance :</w:t>
      </w:r>
      <w:bookmarkEnd w:id="604"/>
      <w:bookmarkEnd w:id="605"/>
      <w:bookmarkEnd w:id="606"/>
      <w:bookmarkEnd w:id="607"/>
      <w:bookmarkEnd w:id="608"/>
      <w:bookmarkEnd w:id="609"/>
      <w:bookmarkEnd w:id="610"/>
    </w:p>
    <w:p w14:paraId="1B3CDEFE" w14:textId="77777777" w:rsidR="00172C7A" w:rsidRPr="00E2052F" w:rsidRDefault="00172C7A" w:rsidP="00851595">
      <w:pPr>
        <w:spacing w:before="0" w:beforeAutospacing="0"/>
        <w:rPr>
          <w:rFonts w:cstheme="majorBidi"/>
          <w:sz w:val="22"/>
        </w:rPr>
      </w:pPr>
      <w:r w:rsidRPr="00E2052F">
        <w:rPr>
          <w:rFonts w:cstheme="majorBidi"/>
          <w:sz w:val="22"/>
        </w:rPr>
        <w:t xml:space="preserve">Le nombre des réunions du conseil d’administration au cours de l’année donne une idée sur les caractéristiques et le fonctionnement des conseils d’administration dans chaque pays. Les réunions fréquentes des conseils d’administration peuvent améliorer la supervision de la gestion du dirigeant, donc un rôle consultatif plus pertinent, ce qui peut diminuer les coûts d’agence dans les entreprises en </w:t>
      </w:r>
      <w:r w:rsidRPr="00E2052F">
        <w:rPr>
          <w:rFonts w:cstheme="majorBidi"/>
          <w:sz w:val="22"/>
        </w:rPr>
        <w:lastRenderedPageBreak/>
        <w:t>général, et dans les institutions financières, en particulier. Anders et Vallelado (2008) conçoivent qu’un nombre de réunions élevé agit positivement sur la performance des banques.</w:t>
      </w:r>
      <w:r w:rsidRPr="00E2052F">
        <w:rPr>
          <w:rStyle w:val="Appelnotedebasdep"/>
          <w:rFonts w:cstheme="majorBidi"/>
          <w:sz w:val="22"/>
        </w:rPr>
        <w:footnoteReference w:id="125"/>
      </w:r>
    </w:p>
    <w:p w14:paraId="094375AB" w14:textId="77777777" w:rsidR="00172C7A" w:rsidRPr="00E2052F" w:rsidRDefault="00172C7A" w:rsidP="00D61875">
      <w:pPr>
        <w:pStyle w:val="Titre5"/>
        <w:numPr>
          <w:ilvl w:val="0"/>
          <w:numId w:val="87"/>
        </w:numPr>
        <w:spacing w:before="0" w:after="160" w:line="360" w:lineRule="auto"/>
        <w:ind w:left="1702" w:hanging="851"/>
        <w:jc w:val="both"/>
        <w:rPr>
          <w:rFonts w:asciiTheme="majorBidi" w:hAnsiTheme="majorBidi"/>
          <w:b/>
          <w:bCs/>
          <w:color w:val="auto"/>
        </w:rPr>
      </w:pPr>
      <w:bookmarkStart w:id="611" w:name="_Toc228092430"/>
      <w:bookmarkStart w:id="612" w:name="_Toc231746850"/>
      <w:bookmarkStart w:id="613" w:name="_Toc231752257"/>
      <w:bookmarkStart w:id="614" w:name="_Toc231810560"/>
      <w:bookmarkStart w:id="615" w:name="_Toc231811903"/>
      <w:bookmarkStart w:id="616" w:name="_Toc231812183"/>
      <w:bookmarkStart w:id="617" w:name="_Toc231815067"/>
      <w:r w:rsidRPr="00E2052F">
        <w:rPr>
          <w:rFonts w:asciiTheme="majorBidi" w:hAnsiTheme="majorBidi"/>
          <w:b/>
          <w:bCs/>
          <w:color w:val="auto"/>
        </w:rPr>
        <w:t>Le taux d’assiduité du conseil d’administration en tant qu’indicateur de gouvernance :</w:t>
      </w:r>
      <w:bookmarkEnd w:id="611"/>
      <w:bookmarkEnd w:id="612"/>
      <w:bookmarkEnd w:id="613"/>
      <w:bookmarkEnd w:id="614"/>
      <w:bookmarkEnd w:id="615"/>
      <w:bookmarkEnd w:id="616"/>
      <w:bookmarkEnd w:id="617"/>
    </w:p>
    <w:p w14:paraId="7C05C7DB" w14:textId="77777777" w:rsidR="00172C7A" w:rsidRPr="00E2052F" w:rsidRDefault="00172C7A" w:rsidP="00851595">
      <w:pPr>
        <w:spacing w:before="0" w:beforeAutospacing="0"/>
        <w:rPr>
          <w:rFonts w:cstheme="majorBidi"/>
          <w:sz w:val="22"/>
        </w:rPr>
      </w:pPr>
      <w:r w:rsidRPr="00E2052F">
        <w:rPr>
          <w:rFonts w:cstheme="majorBidi"/>
          <w:sz w:val="22"/>
        </w:rPr>
        <w:t xml:space="preserve">Le taux d’assiduité du conseil d’administration traduit la présence des administrateurs au sein des réunions du conseil. Cet indicateur de gouvernance n’est pas encore développé dans les études de recherche, seuls quelques travaux utilisent cette variable. Nous attendons que le taux d’assiduité agisse positivement sur la qualité de gouvernance des banques françaises, allemandes et japonaises. </w:t>
      </w:r>
    </w:p>
    <w:p w14:paraId="04D1193E" w14:textId="77777777" w:rsidR="00172C7A" w:rsidRPr="00E2052F" w:rsidRDefault="00172C7A" w:rsidP="002C7D21">
      <w:pPr>
        <w:spacing w:before="0" w:beforeAutospacing="0"/>
        <w:rPr>
          <w:rFonts w:cstheme="majorBidi"/>
          <w:sz w:val="22"/>
        </w:rPr>
      </w:pPr>
      <w:r w:rsidRPr="00E2052F">
        <w:rPr>
          <w:rFonts w:cstheme="majorBidi"/>
          <w:sz w:val="22"/>
        </w:rPr>
        <w:t>En étudiant la relation entre les attributs du conseil d’administration sur la rémunération du dirigeant, Ben Ali (2014) considère que le taux d’assiduité agit négativement sur la rémunération du PDG.</w:t>
      </w:r>
    </w:p>
    <w:p w14:paraId="64C21C97"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618" w:name="_Toc228092431"/>
      <w:bookmarkStart w:id="619" w:name="_Toc231746851"/>
      <w:bookmarkStart w:id="620" w:name="_Toc231752258"/>
      <w:bookmarkStart w:id="621" w:name="_Toc231810561"/>
      <w:bookmarkStart w:id="622" w:name="_Toc231811904"/>
      <w:bookmarkStart w:id="623" w:name="_Toc231812184"/>
      <w:bookmarkStart w:id="624" w:name="_Toc231815068"/>
      <w:r w:rsidRPr="00E2052F">
        <w:rPr>
          <w:rFonts w:asciiTheme="majorBidi" w:hAnsiTheme="majorBidi"/>
          <w:i w:val="0"/>
          <w:iCs w:val="0"/>
          <w:color w:val="auto"/>
          <w:sz w:val="22"/>
        </w:rPr>
        <w:t>Le comité des comptes ou comité d’audit :</w:t>
      </w:r>
      <w:bookmarkEnd w:id="618"/>
      <w:bookmarkEnd w:id="619"/>
      <w:bookmarkEnd w:id="620"/>
      <w:bookmarkEnd w:id="621"/>
      <w:bookmarkEnd w:id="622"/>
      <w:bookmarkEnd w:id="623"/>
      <w:bookmarkEnd w:id="624"/>
    </w:p>
    <w:p w14:paraId="05CFA81F" w14:textId="77777777" w:rsidR="00172C7A" w:rsidRPr="00E2052F" w:rsidRDefault="00172C7A" w:rsidP="00851595">
      <w:pPr>
        <w:spacing w:before="0" w:beforeAutospacing="0"/>
        <w:rPr>
          <w:rFonts w:cstheme="majorBidi"/>
          <w:sz w:val="22"/>
        </w:rPr>
      </w:pPr>
      <w:r w:rsidRPr="00E2052F">
        <w:rPr>
          <w:rFonts w:cstheme="majorBidi"/>
          <w:sz w:val="22"/>
        </w:rPr>
        <w:t>Il est considéré comme étant le plus important des comités. Pour Cabane « il est chargé d’assurer le travail préparatoire relative à l’élaboration et au contrôle des informations comptables et financières, de sélectionner les commissaires aux comptes, d’arrêter les comptes sociaux annuels et d’établir les comptes consolidés annuels ».</w:t>
      </w:r>
      <w:r w:rsidRPr="00E2052F">
        <w:rPr>
          <w:rStyle w:val="Appelnotedebasdep"/>
          <w:rFonts w:cstheme="majorBidi"/>
          <w:sz w:val="22"/>
        </w:rPr>
        <w:footnoteReference w:id="126"/>
      </w:r>
    </w:p>
    <w:p w14:paraId="0A7169E2" w14:textId="77777777" w:rsidR="00172C7A" w:rsidRPr="00E2052F" w:rsidRDefault="00172C7A" w:rsidP="00851595">
      <w:pPr>
        <w:spacing w:before="0" w:beforeAutospacing="0"/>
        <w:rPr>
          <w:rFonts w:cstheme="majorBidi"/>
          <w:sz w:val="22"/>
        </w:rPr>
      </w:pPr>
      <w:r w:rsidRPr="00E2052F">
        <w:rPr>
          <w:rFonts w:cstheme="majorBidi"/>
          <w:sz w:val="22"/>
        </w:rPr>
        <w:t>Le comité d'audit se réunit au moins une fois par trimestre. Il dresse un compte-rendu des réunions du comité d'audit. Celui-ci est communiqué aux membres du comité d'audit et aux autres administrateurs de la société. Les fonctions des comités d’audit incluent la nomination des auditeurs externes, la révision des états financiers de l’entreprise et le contrôle de l’efficacité et de l’objectivité des fonctions de l’audit interne. En plus de recommander la mise en place d’un comité d’audit, le rapport Creenbury6 propose aussi que le comité doit avoir au minimum trois membres qui sont uniquement des directeurs non exécutifs et dont la majorité sont des indépendants.</w:t>
      </w:r>
      <w:r w:rsidRPr="00E2052F">
        <w:rPr>
          <w:rStyle w:val="Appelnotedebasdep"/>
          <w:rFonts w:cstheme="majorBidi"/>
          <w:sz w:val="22"/>
        </w:rPr>
        <w:footnoteReference w:id="127"/>
      </w:r>
    </w:p>
    <w:p w14:paraId="3BF7B48E" w14:textId="77777777" w:rsidR="00172C7A" w:rsidRPr="00E2052F" w:rsidRDefault="00172C7A" w:rsidP="00851595">
      <w:pPr>
        <w:spacing w:before="0" w:beforeAutospacing="0"/>
        <w:rPr>
          <w:rFonts w:cstheme="majorBidi"/>
          <w:sz w:val="22"/>
        </w:rPr>
      </w:pPr>
      <w:r w:rsidRPr="00E2052F">
        <w:rPr>
          <w:rFonts w:cstheme="majorBidi"/>
          <w:sz w:val="22"/>
        </w:rPr>
        <w:t>La présence d’un comité d’audit au conseil constitue un instrument utile pour renforcer le système de gouvernance d’une entreprise, et conséquemment, son image et la confiance de ses différents partenaires.Il est chargée d’aider le conseil d’administration à s’acquitter de ses obligations et responsabilités de surveillance relatives à la qualité et intégrité de l’information financière. Trois grandes fonctions peuvent lui être attribuées :</w:t>
      </w:r>
    </w:p>
    <w:p w14:paraId="28D680EE" w14:textId="77777777" w:rsidR="00172C7A" w:rsidRPr="00E2052F" w:rsidRDefault="00172C7A" w:rsidP="00D61875">
      <w:pPr>
        <w:pStyle w:val="Paragraphedeliste"/>
        <w:numPr>
          <w:ilvl w:val="0"/>
          <w:numId w:val="89"/>
        </w:numPr>
        <w:spacing w:before="0" w:beforeAutospacing="0"/>
        <w:ind w:left="0" w:firstLine="284"/>
        <w:rPr>
          <w:rFonts w:cstheme="majorBidi"/>
          <w:sz w:val="22"/>
        </w:rPr>
      </w:pPr>
      <w:r w:rsidRPr="00E2052F">
        <w:rPr>
          <w:rFonts w:cstheme="majorBidi"/>
          <w:sz w:val="22"/>
        </w:rPr>
        <w:t>La supervision des travaux de l’audit et l’analyse critique du contrôle interne ;</w:t>
      </w:r>
    </w:p>
    <w:p w14:paraId="481D0007" w14:textId="77777777" w:rsidR="00172C7A" w:rsidRPr="00E2052F" w:rsidRDefault="00172C7A" w:rsidP="00D61875">
      <w:pPr>
        <w:pStyle w:val="Paragraphedeliste"/>
        <w:numPr>
          <w:ilvl w:val="0"/>
          <w:numId w:val="89"/>
        </w:numPr>
        <w:spacing w:before="0" w:beforeAutospacing="0"/>
        <w:ind w:left="0" w:firstLine="284"/>
        <w:rPr>
          <w:rFonts w:cstheme="majorBidi"/>
          <w:sz w:val="22"/>
        </w:rPr>
      </w:pPr>
      <w:r w:rsidRPr="00E2052F">
        <w:rPr>
          <w:rFonts w:cstheme="majorBidi"/>
          <w:sz w:val="22"/>
        </w:rPr>
        <w:lastRenderedPageBreak/>
        <w:t>Assurer le suivi des relations avec les auditeurs externes : sélection, contrôle de leurs indépendances, examen de leurs conclusions ;</w:t>
      </w:r>
    </w:p>
    <w:p w14:paraId="1B96F705" w14:textId="77777777" w:rsidR="00172C7A" w:rsidRPr="00E2052F" w:rsidRDefault="00172C7A" w:rsidP="00D61875">
      <w:pPr>
        <w:pStyle w:val="Paragraphedeliste"/>
        <w:numPr>
          <w:ilvl w:val="0"/>
          <w:numId w:val="89"/>
        </w:numPr>
        <w:spacing w:before="0" w:beforeAutospacing="0"/>
        <w:ind w:left="0" w:firstLine="284"/>
        <w:rPr>
          <w:rFonts w:cstheme="majorBidi"/>
          <w:sz w:val="22"/>
        </w:rPr>
      </w:pPr>
      <w:r w:rsidRPr="00E2052F">
        <w:rPr>
          <w:rFonts w:cstheme="majorBidi"/>
          <w:sz w:val="22"/>
        </w:rPr>
        <w:t>La revue de la qualité et de la conformité financière, à travers notamment l’examen du référentiel de consolidation, de transactions susceptible d’être affectées par les conflits d’intérêts (opération entre sociétés apparentées), et des principales options et méthode comptable retenue par la direction.</w:t>
      </w:r>
      <w:r w:rsidRPr="00E2052F">
        <w:rPr>
          <w:rStyle w:val="Appelnotedebasdep"/>
          <w:rFonts w:cstheme="majorBidi"/>
          <w:sz w:val="22"/>
        </w:rPr>
        <w:footnoteReference w:id="128"/>
      </w:r>
    </w:p>
    <w:p w14:paraId="098F3291"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625" w:name="_Toc228092432"/>
      <w:bookmarkStart w:id="626" w:name="_Toc231746852"/>
      <w:bookmarkStart w:id="627" w:name="_Toc231752259"/>
      <w:bookmarkStart w:id="628" w:name="_Toc231810562"/>
      <w:bookmarkStart w:id="629" w:name="_Toc231811905"/>
      <w:bookmarkStart w:id="630" w:name="_Toc231812185"/>
      <w:bookmarkStart w:id="631" w:name="_Toc231815069"/>
      <w:r w:rsidRPr="00E2052F">
        <w:rPr>
          <w:rFonts w:asciiTheme="majorBidi" w:hAnsiTheme="majorBidi"/>
          <w:i w:val="0"/>
          <w:iCs w:val="0"/>
          <w:color w:val="auto"/>
          <w:sz w:val="22"/>
        </w:rPr>
        <w:t>Le comité de rémunération :</w:t>
      </w:r>
      <w:bookmarkEnd w:id="625"/>
      <w:bookmarkEnd w:id="626"/>
      <w:bookmarkEnd w:id="627"/>
      <w:bookmarkEnd w:id="628"/>
      <w:bookmarkEnd w:id="629"/>
      <w:bookmarkEnd w:id="630"/>
      <w:bookmarkEnd w:id="631"/>
    </w:p>
    <w:p w14:paraId="55939D8C" w14:textId="77777777" w:rsidR="00172C7A" w:rsidRPr="00E2052F" w:rsidRDefault="00172C7A" w:rsidP="00851595">
      <w:pPr>
        <w:spacing w:before="0" w:beforeAutospacing="0"/>
        <w:rPr>
          <w:rFonts w:cstheme="majorBidi"/>
          <w:sz w:val="22"/>
        </w:rPr>
      </w:pPr>
      <w:r w:rsidRPr="00E2052F">
        <w:rPr>
          <w:rFonts w:cstheme="majorBidi"/>
          <w:sz w:val="22"/>
        </w:rPr>
        <w:t>La mission principale de ce comité est l’approbation des rémunérations de l’ensemble des dirigeants et des administrateurs de l’entreprise. Pour Ploix« la mise en place d’un comité des rémunérations est désirable dans toutes les sociétés, car il permet au CA de décider avec beaucoup de clarté les rémunérations des dirigeants mandataires sociaux ».</w:t>
      </w:r>
      <w:r w:rsidRPr="00E2052F">
        <w:rPr>
          <w:rStyle w:val="Appelnotedebasdep"/>
          <w:rFonts w:cstheme="majorBidi"/>
          <w:sz w:val="22"/>
        </w:rPr>
        <w:footnoteReference w:id="129"/>
      </w:r>
    </w:p>
    <w:p w14:paraId="1B0FD888" w14:textId="77777777" w:rsidR="00172C7A" w:rsidRPr="00E2052F" w:rsidRDefault="00172C7A" w:rsidP="00851595">
      <w:pPr>
        <w:spacing w:before="0" w:beforeAutospacing="0"/>
        <w:rPr>
          <w:rFonts w:cstheme="majorBidi"/>
          <w:sz w:val="22"/>
        </w:rPr>
      </w:pPr>
      <w:r w:rsidRPr="00E2052F">
        <w:rPr>
          <w:rFonts w:cstheme="majorBidi"/>
          <w:sz w:val="22"/>
        </w:rPr>
        <w:t>Un certain nombre de rôles peuvent être assigné aux comités de rémunération :</w:t>
      </w:r>
    </w:p>
    <w:p w14:paraId="49F2969F" w14:textId="77777777" w:rsidR="00172C7A" w:rsidRPr="00E2052F" w:rsidRDefault="00172C7A" w:rsidP="00D61875">
      <w:pPr>
        <w:pStyle w:val="Paragraphedeliste"/>
        <w:numPr>
          <w:ilvl w:val="0"/>
          <w:numId w:val="90"/>
        </w:numPr>
        <w:spacing w:before="0" w:beforeAutospacing="0"/>
        <w:ind w:left="0" w:firstLine="284"/>
        <w:rPr>
          <w:rFonts w:cstheme="majorBidi"/>
          <w:sz w:val="22"/>
        </w:rPr>
      </w:pPr>
      <w:r w:rsidRPr="00E2052F">
        <w:rPr>
          <w:rFonts w:cstheme="majorBidi"/>
          <w:sz w:val="22"/>
        </w:rPr>
        <w:t>Ils doivent s’assurer que le salaire et son évolution est en adéquat relation avec l’intérêt des actionnaires et la performance de la société, notamment en référence avec celle de ses concurrences. La rémunération des salaires doit permettre de recruter, motiver et surtout de garder les meilleurs dirigeants ;</w:t>
      </w:r>
    </w:p>
    <w:p w14:paraId="7A893AF5" w14:textId="77777777" w:rsidR="00172C7A" w:rsidRPr="00E2052F" w:rsidRDefault="00172C7A" w:rsidP="00D61875">
      <w:pPr>
        <w:pStyle w:val="Paragraphedeliste"/>
        <w:numPr>
          <w:ilvl w:val="0"/>
          <w:numId w:val="90"/>
        </w:numPr>
        <w:spacing w:before="0" w:beforeAutospacing="0"/>
        <w:ind w:left="0" w:firstLine="284"/>
        <w:rPr>
          <w:rFonts w:cstheme="majorBidi"/>
          <w:sz w:val="22"/>
        </w:rPr>
      </w:pPr>
      <w:r w:rsidRPr="00E2052F">
        <w:rPr>
          <w:rFonts w:cstheme="majorBidi"/>
          <w:sz w:val="22"/>
        </w:rPr>
        <w:t>Il peut faire des propositions voir même des recommandations en matière de politique de rémunération globale aux conseils d’administration (plan d’options d’achat ou d’attributions d’actions gratuites, salaire de base, plan de retraite, avantages divers...) ;</w:t>
      </w:r>
    </w:p>
    <w:p w14:paraId="7DA7CA1A" w14:textId="77777777" w:rsidR="00172C7A" w:rsidRPr="00E2052F" w:rsidRDefault="00172C7A" w:rsidP="00D61875">
      <w:pPr>
        <w:pStyle w:val="Paragraphedeliste"/>
        <w:numPr>
          <w:ilvl w:val="0"/>
          <w:numId w:val="90"/>
        </w:numPr>
        <w:spacing w:before="0" w:beforeAutospacing="0"/>
        <w:ind w:left="0" w:firstLine="284"/>
        <w:rPr>
          <w:rFonts w:cstheme="majorBidi"/>
          <w:sz w:val="22"/>
        </w:rPr>
      </w:pPr>
      <w:r w:rsidRPr="00E2052F">
        <w:rPr>
          <w:rFonts w:cstheme="majorBidi"/>
          <w:sz w:val="22"/>
        </w:rPr>
        <w:t>Ils peuvent aussi informés à propos de leur politique de rémunération des dirigeants non mandataires sociaux et leurs rôles peuvent être étendu à la définition de la politique générale de rémunération des cadres dirigeants (y compris les retraites, les indemnités de fin de carrière ou de séparation, les avantages divers et les règles de participation à l’actionnariat dans les éventuelles augmentations de capital).</w:t>
      </w:r>
      <w:r w:rsidRPr="00E2052F">
        <w:rPr>
          <w:rStyle w:val="Appelnotedebasdep"/>
          <w:rFonts w:cstheme="majorBidi"/>
          <w:sz w:val="22"/>
        </w:rPr>
        <w:footnoteReference w:id="130"/>
      </w:r>
    </w:p>
    <w:p w14:paraId="29014673"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632" w:name="_Toc228092433"/>
      <w:bookmarkStart w:id="633" w:name="_Toc231746853"/>
      <w:bookmarkStart w:id="634" w:name="_Toc231752260"/>
      <w:bookmarkStart w:id="635" w:name="_Toc231810563"/>
      <w:bookmarkStart w:id="636" w:name="_Toc231811906"/>
      <w:bookmarkStart w:id="637" w:name="_Toc231812186"/>
      <w:bookmarkStart w:id="638" w:name="_Toc231815070"/>
      <w:r w:rsidRPr="00E2052F">
        <w:rPr>
          <w:rFonts w:asciiTheme="majorBidi" w:hAnsiTheme="majorBidi"/>
          <w:i w:val="0"/>
          <w:iCs w:val="0"/>
          <w:color w:val="auto"/>
          <w:sz w:val="22"/>
        </w:rPr>
        <w:t>Le comité de nomination ou comité de sélection :</w:t>
      </w:r>
      <w:bookmarkEnd w:id="632"/>
      <w:bookmarkEnd w:id="633"/>
      <w:bookmarkEnd w:id="634"/>
      <w:bookmarkEnd w:id="635"/>
      <w:bookmarkEnd w:id="636"/>
      <w:bookmarkEnd w:id="637"/>
      <w:bookmarkEnd w:id="638"/>
    </w:p>
    <w:p w14:paraId="30F87F1F" w14:textId="77777777" w:rsidR="00172C7A" w:rsidRPr="00E2052F" w:rsidRDefault="00172C7A" w:rsidP="00851595">
      <w:pPr>
        <w:spacing w:before="0" w:beforeAutospacing="0"/>
        <w:rPr>
          <w:rFonts w:cstheme="majorBidi"/>
          <w:sz w:val="22"/>
        </w:rPr>
      </w:pPr>
      <w:r w:rsidRPr="00E2052F">
        <w:rPr>
          <w:rFonts w:cstheme="majorBidi"/>
          <w:sz w:val="22"/>
        </w:rPr>
        <w:t xml:space="preserve">Ce comité a pour but de préparer la composition du CA et de sélectionner les nouveaux administrateurs. En particulier, il doit définir une procédure de recrutement des administrateurs </w:t>
      </w:r>
      <w:r w:rsidRPr="00E2052F">
        <w:rPr>
          <w:rFonts w:cstheme="majorBidi"/>
          <w:sz w:val="22"/>
        </w:rPr>
        <w:lastRenderedPageBreak/>
        <w:t>indépendants. La tâche de ce comité ne porte pas uniquement sur la supervision de la nomination et la succession des administrateurs, mais s’entend également à la supervision des compétences.</w:t>
      </w:r>
      <w:r w:rsidRPr="00E2052F">
        <w:rPr>
          <w:rStyle w:val="Appelnotedebasdep"/>
          <w:rFonts w:cstheme="majorBidi"/>
          <w:sz w:val="22"/>
        </w:rPr>
        <w:footnoteReference w:id="131"/>
      </w:r>
    </w:p>
    <w:p w14:paraId="48319DD4"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639" w:name="_Toc228092434"/>
      <w:bookmarkStart w:id="640" w:name="_Toc231746854"/>
      <w:bookmarkStart w:id="641" w:name="_Toc231752261"/>
      <w:bookmarkStart w:id="642" w:name="_Toc231810564"/>
      <w:bookmarkStart w:id="643" w:name="_Toc231811907"/>
      <w:bookmarkStart w:id="644" w:name="_Toc231812187"/>
      <w:bookmarkStart w:id="645" w:name="_Toc231815071"/>
      <w:r w:rsidRPr="00E2052F">
        <w:rPr>
          <w:rFonts w:asciiTheme="majorBidi" w:hAnsiTheme="majorBidi"/>
          <w:i w:val="0"/>
          <w:iCs w:val="0"/>
          <w:color w:val="auto"/>
          <w:sz w:val="22"/>
        </w:rPr>
        <w:t>Le comité de gestion des risques :</w:t>
      </w:r>
      <w:bookmarkEnd w:id="639"/>
      <w:bookmarkEnd w:id="640"/>
      <w:bookmarkEnd w:id="641"/>
      <w:bookmarkEnd w:id="642"/>
      <w:bookmarkEnd w:id="643"/>
      <w:bookmarkEnd w:id="644"/>
      <w:bookmarkEnd w:id="645"/>
    </w:p>
    <w:p w14:paraId="3280B87D" w14:textId="77777777" w:rsidR="00172C7A" w:rsidRPr="00E2052F" w:rsidRDefault="00172C7A" w:rsidP="00851595">
      <w:pPr>
        <w:spacing w:before="0" w:beforeAutospacing="0"/>
        <w:rPr>
          <w:rFonts w:cstheme="majorBidi"/>
          <w:sz w:val="22"/>
        </w:rPr>
      </w:pPr>
      <w:r w:rsidRPr="00E2052F">
        <w:rPr>
          <w:rFonts w:cstheme="majorBidi"/>
          <w:sz w:val="22"/>
        </w:rPr>
        <w:t>L’organisation des membres du conseil dans chacun de ces comités permet aux administrateurs de se concentrer sur des questions particulières, et à la société de profiter des caractéristiques spécifiques des administrateurs. Selon Klein (1998), l’efficacité du conseil et la capacité de contrôle ne dépendent pas uniquement de sa composition mais aussi des comités que les directeurs internes et externes occupent. Les codes de bonnes pratiques de gouvernance recommandent le fait que le conseil d’administration ait différents comités ; chaque comité devrait expliquer ses responsabilités dans une charte écrite et approuvée par le conseil d’administration.</w:t>
      </w:r>
      <w:r w:rsidRPr="00E2052F">
        <w:rPr>
          <w:rStyle w:val="Appelnotedebasdep"/>
          <w:rFonts w:cstheme="majorBidi"/>
          <w:sz w:val="22"/>
        </w:rPr>
        <w:footnoteReference w:id="132"/>
      </w:r>
    </w:p>
    <w:p w14:paraId="0F327186" w14:textId="77777777" w:rsidR="00172C7A" w:rsidRPr="00E2052F" w:rsidRDefault="00172C7A" w:rsidP="00851595">
      <w:pPr>
        <w:spacing w:before="0" w:beforeAutospacing="0"/>
        <w:rPr>
          <w:rFonts w:cstheme="majorBidi"/>
          <w:sz w:val="22"/>
          <w:rtl/>
        </w:rPr>
      </w:pPr>
      <w:r w:rsidRPr="00E2052F">
        <w:rPr>
          <w:rFonts w:cstheme="majorBidi"/>
          <w:sz w:val="22"/>
        </w:rPr>
        <w:t>Mongiardino et Plath (2010) montrent que la gouvernance des risques dans les grandes banques ne semble être améliorée que dans une mesure limitée malgré l’augmentation de la pression réglementaire induite par la dernière crise du crédit. Ils décrivent les meilleures pratiques dans le secteur bancaire de la gouvernance des risques et soulignent la nécessité d’avoir un comité des risques indépendant. En outre le PDG devrait faire partie du conseil d’administration de la banque. En sondant 20 grandes banques, ils apprennent que seulement un petit nombre de banques suivent les meilleures pratiques de gouvernance en 2007.Même si la plupart des grandes banques avaient à l’époque un comité dédié aux risques, la majorité de ces comités organisaient rarement des réunions car elles n’avaient pas de nombre suffisant d’administrateurs indépendants ; ce même résultat a été également confirmé par (Hau et Thum, 2009).</w:t>
      </w:r>
      <w:r w:rsidRPr="00E2052F">
        <w:rPr>
          <w:rStyle w:val="Appelnotedebasdep"/>
          <w:rFonts w:cstheme="majorBidi"/>
          <w:sz w:val="22"/>
        </w:rPr>
        <w:footnoteReference w:id="133"/>
      </w:r>
    </w:p>
    <w:p w14:paraId="1D39DA8D" w14:textId="77777777" w:rsidR="00172C7A" w:rsidRPr="00E2052F" w:rsidRDefault="00172C7A" w:rsidP="00D61875">
      <w:pPr>
        <w:pStyle w:val="Titre4"/>
        <w:numPr>
          <w:ilvl w:val="0"/>
          <w:numId w:val="86"/>
        </w:numPr>
        <w:spacing w:before="0" w:beforeAutospacing="0" w:after="160"/>
        <w:ind w:left="1134" w:hanging="567"/>
        <w:rPr>
          <w:rFonts w:asciiTheme="majorBidi" w:hAnsiTheme="majorBidi"/>
          <w:b w:val="0"/>
          <w:bCs w:val="0"/>
          <w:i w:val="0"/>
          <w:iCs w:val="0"/>
          <w:color w:val="auto"/>
          <w:sz w:val="22"/>
        </w:rPr>
      </w:pPr>
      <w:bookmarkStart w:id="646" w:name="_Toc228092435"/>
      <w:bookmarkStart w:id="647" w:name="_Toc231746855"/>
      <w:bookmarkStart w:id="648" w:name="_Toc231752262"/>
      <w:bookmarkStart w:id="649" w:name="_Toc231810565"/>
      <w:bookmarkStart w:id="650" w:name="_Toc231811908"/>
      <w:bookmarkStart w:id="651" w:name="_Toc231812188"/>
      <w:bookmarkStart w:id="652" w:name="_Toc231815072"/>
      <w:r w:rsidRPr="00E2052F">
        <w:rPr>
          <w:rFonts w:asciiTheme="majorBidi" w:hAnsiTheme="majorBidi"/>
          <w:i w:val="0"/>
          <w:iCs w:val="0"/>
          <w:color w:val="auto"/>
          <w:sz w:val="22"/>
        </w:rPr>
        <w:t>L’audit interne :</w:t>
      </w:r>
      <w:bookmarkEnd w:id="646"/>
      <w:bookmarkEnd w:id="647"/>
      <w:bookmarkEnd w:id="648"/>
      <w:bookmarkEnd w:id="649"/>
      <w:bookmarkEnd w:id="650"/>
      <w:bookmarkEnd w:id="651"/>
      <w:bookmarkEnd w:id="652"/>
    </w:p>
    <w:p w14:paraId="4F8227E4" w14:textId="77777777" w:rsidR="00172C7A" w:rsidRPr="00E2052F" w:rsidRDefault="00172C7A" w:rsidP="00851595">
      <w:pPr>
        <w:spacing w:before="0" w:beforeAutospacing="0"/>
        <w:rPr>
          <w:rFonts w:cstheme="majorBidi"/>
          <w:sz w:val="22"/>
        </w:rPr>
      </w:pPr>
      <w:r w:rsidRPr="00E2052F">
        <w:rPr>
          <w:rFonts w:cstheme="majorBidi"/>
          <w:sz w:val="22"/>
        </w:rPr>
        <w:t>L’audit interne est une activité indépendante et objective qui donne à une organisation une assurance sur le degré de maîtrise de ses opérations, lui apporte ses conseils pour les améliorer, et contribue à créer de la valeur ajoutée. Il aide cette organisation à atteindre ses objectifs en évaluant, par une approche systématique et méthodique, ses processus de management des risques, de contrôle, et de gouvernance, et en faisant des propositions pour renforcer leur efficacité.</w:t>
      </w:r>
      <w:r w:rsidRPr="00E2052F">
        <w:rPr>
          <w:rStyle w:val="Appelnotedebasdep"/>
          <w:rFonts w:cstheme="majorBidi"/>
          <w:sz w:val="22"/>
        </w:rPr>
        <w:footnoteReference w:id="134"/>
      </w:r>
    </w:p>
    <w:p w14:paraId="4F413968" w14:textId="77777777" w:rsidR="00172C7A" w:rsidRPr="00E2052F" w:rsidRDefault="00172C7A" w:rsidP="00851595">
      <w:pPr>
        <w:spacing w:before="0" w:beforeAutospacing="0"/>
        <w:rPr>
          <w:rFonts w:cstheme="majorBidi"/>
          <w:sz w:val="22"/>
        </w:rPr>
      </w:pPr>
      <w:r w:rsidRPr="00E2052F">
        <w:rPr>
          <w:rFonts w:cstheme="majorBidi"/>
          <w:sz w:val="22"/>
        </w:rPr>
        <w:lastRenderedPageBreak/>
        <w:t>L’IIA définit la fonction d’audit interne comme : « une activité indépendante et objective qui donne à une organisation une assurance sur le degré de maîtrise de ses opérations, lui apporte ses conseils pour les améliorer, et contribue à créer de la valeur ajoutée. Elle aide cette organisation à atteindre ses objectifs en évaluant, par une approche systématique et méthodique, ses processus de management des risques, de contrôle, et de gouvernance, et en faisant des propositions pour renforcer leur efficacité ».Selon l’IIA, une mission d’audit interne est « un mandat, une tâche ou une activité de révision spécifique réalisés par l’audit interne : mission d’assurance, revue d’auto-évaluation, investigation de fraude ou mission de conseil… Une mission peut englober de multiples tâches ou activités menées pour atteindre un ensemble déterminé d’objectifs qui s’y rapportent ».</w:t>
      </w:r>
      <w:r w:rsidRPr="00E2052F">
        <w:rPr>
          <w:rStyle w:val="Appelnotedebasdep"/>
          <w:rFonts w:cstheme="majorBidi"/>
          <w:sz w:val="22"/>
        </w:rPr>
        <w:footnoteReference w:id="135"/>
      </w:r>
    </w:p>
    <w:p w14:paraId="144433FC" w14:textId="77777777" w:rsidR="00172C7A" w:rsidRPr="00E2052F" w:rsidRDefault="00172C7A" w:rsidP="00851595">
      <w:pPr>
        <w:spacing w:before="0" w:beforeAutospacing="0"/>
        <w:rPr>
          <w:rFonts w:cstheme="majorBidi"/>
          <w:sz w:val="22"/>
        </w:rPr>
      </w:pPr>
      <w:r w:rsidRPr="00E2052F">
        <w:rPr>
          <w:rFonts w:cstheme="majorBidi"/>
          <w:sz w:val="22"/>
        </w:rPr>
        <w:t>L'Audit interne apporte sa contribution à l'ensemble des activités. Il a donc vocation à intervenir, dans le cadre des missions qui lui sont régulièrement confiées, dans toutes les unités et dans toutes les installations, pour tout type de problèmes touchant au fonctionnement interne de l'organisation, ainsi qu'aux relations entre les opérations et l'environnement (notamment aux interfaces d'ordre administratif, d'ordre contractuel et commercial avec les fournisseurs, les clients, les usagers de services publics, etc...).</w:t>
      </w:r>
    </w:p>
    <w:p w14:paraId="178AFEED" w14:textId="77777777" w:rsidR="00172C7A" w:rsidRPr="00E2052F" w:rsidRDefault="00172C7A" w:rsidP="00851595">
      <w:pPr>
        <w:spacing w:before="0" w:beforeAutospacing="0"/>
        <w:rPr>
          <w:rFonts w:cstheme="majorBidi"/>
          <w:sz w:val="22"/>
        </w:rPr>
      </w:pPr>
      <w:r w:rsidRPr="00E2052F">
        <w:rPr>
          <w:rFonts w:cstheme="majorBidi"/>
          <w:sz w:val="22"/>
        </w:rPr>
        <w:t>Les facteurs-clés de l'analyse des situations soumise à audit sont :</w:t>
      </w:r>
    </w:p>
    <w:p w14:paraId="4A627C4D" w14:textId="77777777" w:rsidR="00172C7A" w:rsidRPr="00E2052F" w:rsidRDefault="00172C7A" w:rsidP="00D61875">
      <w:pPr>
        <w:pStyle w:val="Paragraphedeliste"/>
        <w:numPr>
          <w:ilvl w:val="0"/>
          <w:numId w:val="91"/>
        </w:numPr>
        <w:spacing w:before="0" w:beforeAutospacing="0"/>
        <w:ind w:left="0" w:firstLine="284"/>
        <w:rPr>
          <w:rFonts w:cstheme="majorBidi"/>
          <w:sz w:val="22"/>
        </w:rPr>
      </w:pPr>
      <w:r w:rsidRPr="00E2052F">
        <w:rPr>
          <w:rFonts w:cstheme="majorBidi"/>
          <w:sz w:val="22"/>
        </w:rPr>
        <w:t>L'économie et l'efficience dans l'utilisation des ressources Le terme de &lt;&lt;&lt; ressources » est utilisé ici dans le sens de « moyens &gt;&gt; humains, matériels (investissements, approvisionnements), financiers, intellectuels (méthodes,...) mises à la disposition de l'unité, de l'activité ou de la fonction,</w:t>
      </w:r>
    </w:p>
    <w:p w14:paraId="3F476446" w14:textId="77777777" w:rsidR="00172C7A" w:rsidRPr="00E2052F" w:rsidRDefault="00172C7A" w:rsidP="00D61875">
      <w:pPr>
        <w:pStyle w:val="Paragraphedeliste"/>
        <w:numPr>
          <w:ilvl w:val="0"/>
          <w:numId w:val="91"/>
        </w:numPr>
        <w:spacing w:before="0" w:beforeAutospacing="0"/>
        <w:ind w:left="0" w:firstLine="284"/>
        <w:rPr>
          <w:rFonts w:cstheme="majorBidi"/>
          <w:sz w:val="22"/>
        </w:rPr>
      </w:pPr>
      <w:r w:rsidRPr="00E2052F">
        <w:rPr>
          <w:rFonts w:cstheme="majorBidi"/>
          <w:sz w:val="22"/>
        </w:rPr>
        <w:t>La qualité et la sûreté du fonctionnement et sa sécurité vis-à-vis des risques pouvant naître de l'environnement spécifique de l'activité ou de l'unité,</w:t>
      </w:r>
    </w:p>
    <w:p w14:paraId="30DEA427" w14:textId="77777777" w:rsidR="00172C7A" w:rsidRPr="00E2052F" w:rsidRDefault="00172C7A" w:rsidP="00D61875">
      <w:pPr>
        <w:pStyle w:val="Paragraphedeliste"/>
        <w:numPr>
          <w:ilvl w:val="0"/>
          <w:numId w:val="91"/>
        </w:numPr>
        <w:spacing w:before="0" w:beforeAutospacing="0"/>
        <w:ind w:left="0" w:firstLine="284"/>
        <w:rPr>
          <w:rFonts w:cstheme="majorBidi"/>
          <w:sz w:val="22"/>
        </w:rPr>
      </w:pPr>
      <w:r w:rsidRPr="00E2052F">
        <w:rPr>
          <w:rFonts w:cstheme="majorBidi"/>
          <w:sz w:val="22"/>
        </w:rPr>
        <w:t>L'efficacité des résultats obtenus, c'est à dire leur conformité aux objectifs préalablement fixés.</w:t>
      </w:r>
      <w:r w:rsidRPr="00E2052F">
        <w:rPr>
          <w:rStyle w:val="Appelnotedebasdep"/>
          <w:rFonts w:cstheme="majorBidi"/>
          <w:sz w:val="22"/>
        </w:rPr>
        <w:footnoteReference w:id="136"/>
      </w:r>
    </w:p>
    <w:p w14:paraId="684C3406" w14:textId="77777777" w:rsidR="00172C7A" w:rsidRPr="00E2052F" w:rsidRDefault="00172C7A" w:rsidP="00D61875">
      <w:pPr>
        <w:pStyle w:val="Titre3"/>
        <w:numPr>
          <w:ilvl w:val="0"/>
          <w:numId w:val="83"/>
        </w:numPr>
        <w:spacing w:before="0" w:beforeAutospacing="0" w:after="160"/>
        <w:ind w:left="568" w:hanging="284"/>
        <w:rPr>
          <w:rFonts w:asciiTheme="majorBidi" w:hAnsiTheme="majorBidi"/>
          <w:b w:val="0"/>
          <w:bCs w:val="0"/>
          <w:color w:val="auto"/>
          <w:sz w:val="22"/>
        </w:rPr>
      </w:pPr>
      <w:bookmarkStart w:id="653" w:name="_Toc228092436"/>
      <w:bookmarkStart w:id="654" w:name="_Toc231746856"/>
      <w:bookmarkStart w:id="655" w:name="_Toc231752263"/>
      <w:bookmarkStart w:id="656" w:name="_Toc231810566"/>
      <w:bookmarkStart w:id="657" w:name="_Toc231811909"/>
      <w:bookmarkStart w:id="658" w:name="_Toc231812189"/>
      <w:bookmarkStart w:id="659" w:name="_Toc231815073"/>
      <w:r w:rsidRPr="00E2052F">
        <w:rPr>
          <w:rFonts w:asciiTheme="majorBidi" w:hAnsiTheme="majorBidi"/>
          <w:color w:val="auto"/>
          <w:sz w:val="22"/>
        </w:rPr>
        <w:t>Les mécanismes externes de la gouvernance d’entreprise :</w:t>
      </w:r>
      <w:bookmarkEnd w:id="653"/>
      <w:bookmarkEnd w:id="654"/>
      <w:bookmarkEnd w:id="655"/>
      <w:bookmarkEnd w:id="656"/>
      <w:bookmarkEnd w:id="657"/>
      <w:bookmarkEnd w:id="658"/>
      <w:bookmarkEnd w:id="659"/>
    </w:p>
    <w:p w14:paraId="4E74AB70" w14:textId="77777777" w:rsidR="00172C7A" w:rsidRPr="00E2052F" w:rsidRDefault="00172C7A" w:rsidP="00D61875">
      <w:pPr>
        <w:pStyle w:val="Titre4"/>
        <w:numPr>
          <w:ilvl w:val="0"/>
          <w:numId w:val="92"/>
        </w:numPr>
        <w:spacing w:before="0" w:beforeAutospacing="0" w:after="160"/>
        <w:ind w:left="1134" w:hanging="567"/>
        <w:rPr>
          <w:rFonts w:asciiTheme="majorBidi" w:hAnsiTheme="majorBidi"/>
          <w:b w:val="0"/>
          <w:bCs w:val="0"/>
          <w:i w:val="0"/>
          <w:iCs w:val="0"/>
          <w:color w:val="auto"/>
          <w:sz w:val="22"/>
        </w:rPr>
      </w:pPr>
      <w:bookmarkStart w:id="660" w:name="_Toc228092437"/>
      <w:bookmarkStart w:id="661" w:name="_Toc231746857"/>
      <w:bookmarkStart w:id="662" w:name="_Toc231752264"/>
      <w:bookmarkStart w:id="663" w:name="_Toc231810567"/>
      <w:bookmarkStart w:id="664" w:name="_Toc231811910"/>
      <w:bookmarkStart w:id="665" w:name="_Toc231812190"/>
      <w:bookmarkStart w:id="666" w:name="_Toc231815074"/>
      <w:r w:rsidRPr="00E2052F">
        <w:rPr>
          <w:rFonts w:asciiTheme="majorBidi" w:hAnsiTheme="majorBidi"/>
          <w:i w:val="0"/>
          <w:iCs w:val="0"/>
          <w:color w:val="auto"/>
          <w:sz w:val="22"/>
        </w:rPr>
        <w:t>Le marché des biens et services ou la discipline par la concurrence :</w:t>
      </w:r>
      <w:bookmarkEnd w:id="660"/>
      <w:bookmarkEnd w:id="661"/>
      <w:bookmarkEnd w:id="662"/>
      <w:bookmarkEnd w:id="663"/>
      <w:bookmarkEnd w:id="664"/>
      <w:bookmarkEnd w:id="665"/>
      <w:bookmarkEnd w:id="666"/>
    </w:p>
    <w:p w14:paraId="6CE1B8AF" w14:textId="77777777" w:rsidR="00172C7A" w:rsidRPr="00E2052F" w:rsidRDefault="00172C7A" w:rsidP="00851595">
      <w:pPr>
        <w:spacing w:before="0" w:beforeAutospacing="0"/>
        <w:rPr>
          <w:rFonts w:cstheme="majorBidi"/>
          <w:sz w:val="22"/>
        </w:rPr>
      </w:pPr>
      <w:r w:rsidRPr="00E2052F">
        <w:rPr>
          <w:rFonts w:cstheme="majorBidi"/>
          <w:sz w:val="22"/>
        </w:rPr>
        <w:t xml:space="preserve">Il oriente les dirigeants à poursuivre des objectifs allant dans le sens des actionnaires/propriétaires, parce que s’il est compétitif il est susceptible de contraindre la firme à rationaliser les coûts de production. Si les dirigeants opèrent des prélèvements trop importants, il en résulterait une hausse des prix et, de façon concomitante, une perte de compétitivité qui conduirait à des ajustements en sens </w:t>
      </w:r>
      <w:r w:rsidRPr="00E2052F">
        <w:rPr>
          <w:rFonts w:cstheme="majorBidi"/>
          <w:sz w:val="22"/>
        </w:rPr>
        <w:lastRenderedPageBreak/>
        <w:t>inverse.</w:t>
      </w:r>
      <w:r w:rsidRPr="00E2052F">
        <w:rPr>
          <w:rStyle w:val="Appelnotedebasdep"/>
          <w:rFonts w:cstheme="majorBidi"/>
          <w:sz w:val="22"/>
        </w:rPr>
        <w:footnoteReference w:id="137"/>
      </w:r>
      <w:r w:rsidRPr="00E2052F">
        <w:rPr>
          <w:rFonts w:cstheme="majorBidi"/>
          <w:sz w:val="22"/>
        </w:rPr>
        <w:t>Néanmoins, pour qu’il soit efficace ce mécanisme doit être parfaitement compétitif. En effet, le marché concurrentiel dans lequel le risque de faillite est omniprésent, les dirigeants sont contraints de fournir un effort afin de ne pas mettre en péril leur entreprise, y compris dans les entreprises publiques.Labaronne (2002) souligne que durant la période de transition des pays de l’Est, les dirigeants des entreprises publiques ont engagé un ensemble de réformes par crainte de la menace que pourraient présenter les entreprises privatisées, mais également de l’éventualité de voir privatiser leur propre entreprise. Par contre, les dirigeants des entreprises non exposées à la compétition des autres firmes et donc à la faillite, tendent à abuser de la protection que leur offre le contexte d’un marché non concurrentiel.</w:t>
      </w:r>
    </w:p>
    <w:p w14:paraId="2A76F8FA" w14:textId="77777777" w:rsidR="00172C7A" w:rsidRPr="00E2052F" w:rsidRDefault="00172C7A" w:rsidP="00D61875">
      <w:pPr>
        <w:pStyle w:val="Titre4"/>
        <w:numPr>
          <w:ilvl w:val="0"/>
          <w:numId w:val="92"/>
        </w:numPr>
        <w:spacing w:before="0" w:beforeAutospacing="0" w:after="160"/>
        <w:ind w:left="1134" w:hanging="567"/>
        <w:rPr>
          <w:rFonts w:asciiTheme="majorBidi" w:hAnsiTheme="majorBidi"/>
          <w:b w:val="0"/>
          <w:bCs w:val="0"/>
          <w:i w:val="0"/>
          <w:iCs w:val="0"/>
          <w:color w:val="auto"/>
          <w:sz w:val="22"/>
        </w:rPr>
      </w:pPr>
      <w:bookmarkStart w:id="667" w:name="_Toc228092438"/>
      <w:bookmarkStart w:id="668" w:name="_Toc231746858"/>
      <w:bookmarkStart w:id="669" w:name="_Toc231752265"/>
      <w:bookmarkStart w:id="670" w:name="_Toc231810568"/>
      <w:bookmarkStart w:id="671" w:name="_Toc231811911"/>
      <w:bookmarkStart w:id="672" w:name="_Toc231812191"/>
      <w:bookmarkStart w:id="673" w:name="_Toc231815075"/>
      <w:r w:rsidRPr="00E2052F">
        <w:rPr>
          <w:rFonts w:asciiTheme="majorBidi" w:hAnsiTheme="majorBidi"/>
          <w:i w:val="0"/>
          <w:iCs w:val="0"/>
          <w:color w:val="auto"/>
          <w:sz w:val="22"/>
        </w:rPr>
        <w:t>Marché de travail (des managers) :</w:t>
      </w:r>
      <w:bookmarkEnd w:id="667"/>
      <w:bookmarkEnd w:id="668"/>
      <w:bookmarkEnd w:id="669"/>
      <w:bookmarkEnd w:id="670"/>
      <w:bookmarkEnd w:id="671"/>
      <w:bookmarkEnd w:id="672"/>
      <w:bookmarkEnd w:id="673"/>
    </w:p>
    <w:p w14:paraId="313A5BC6" w14:textId="77777777" w:rsidR="00172C7A" w:rsidRPr="00E2052F" w:rsidRDefault="00172C7A" w:rsidP="00851595">
      <w:pPr>
        <w:spacing w:before="0" w:beforeAutospacing="0"/>
        <w:rPr>
          <w:rFonts w:cstheme="majorBidi"/>
          <w:sz w:val="22"/>
        </w:rPr>
      </w:pPr>
      <w:r w:rsidRPr="00E2052F">
        <w:rPr>
          <w:rFonts w:cstheme="majorBidi"/>
          <w:sz w:val="22"/>
        </w:rPr>
        <w:t>Le marché de travail constitue à la fois un mécanisme disciplinaire et incitatif. Un marché concurrentiel des dirigeants devrait permettre d’orienter les dirigeants les plus efficaces vers les entreprises les plus performantes. Ainsi, les dirigeants les plus compétents, i.e. les plus aptes à créer de la valeur pour les actionnaires, ont intérêt à être recrutés par les firmes les plus performantes.</w:t>
      </w:r>
      <w:r w:rsidRPr="00E2052F">
        <w:rPr>
          <w:rStyle w:val="Appelnotedebasdep"/>
          <w:rFonts w:cstheme="majorBidi"/>
          <w:sz w:val="22"/>
        </w:rPr>
        <w:footnoteReference w:id="138"/>
      </w:r>
      <w:r w:rsidRPr="00E2052F">
        <w:rPr>
          <w:rFonts w:cstheme="majorBidi"/>
          <w:sz w:val="22"/>
        </w:rPr>
        <w:t xml:space="preserve"> A contrario, les dirigeants réalisant de mauvaises performances sont pénalisés, soit en perdant leur position dans l’entreprise, soit en entachant leur réputation. Ce mécanisme permet par ailleurs de fournir une base de référence par la détermination de la rémunération des dirigeants.</w:t>
      </w:r>
      <w:r w:rsidRPr="00E2052F">
        <w:rPr>
          <w:rStyle w:val="Appelnotedebasdep"/>
          <w:rFonts w:cstheme="majorBidi"/>
          <w:sz w:val="22"/>
        </w:rPr>
        <w:footnoteReference w:id="139"/>
      </w:r>
    </w:p>
    <w:p w14:paraId="26DF8350" w14:textId="77777777" w:rsidR="00172C7A" w:rsidRPr="00E2052F" w:rsidRDefault="00172C7A" w:rsidP="00D61875">
      <w:pPr>
        <w:pStyle w:val="Titre4"/>
        <w:numPr>
          <w:ilvl w:val="0"/>
          <w:numId w:val="92"/>
        </w:numPr>
        <w:spacing w:before="0" w:beforeAutospacing="0" w:after="160"/>
        <w:ind w:left="1134" w:hanging="567"/>
        <w:rPr>
          <w:rFonts w:asciiTheme="majorBidi" w:hAnsiTheme="majorBidi"/>
          <w:b w:val="0"/>
          <w:bCs w:val="0"/>
          <w:i w:val="0"/>
          <w:iCs w:val="0"/>
          <w:color w:val="auto"/>
          <w:sz w:val="22"/>
        </w:rPr>
      </w:pPr>
      <w:bookmarkStart w:id="674" w:name="_Toc228092439"/>
      <w:bookmarkStart w:id="675" w:name="_Toc231746859"/>
      <w:bookmarkStart w:id="676" w:name="_Toc231752266"/>
      <w:bookmarkStart w:id="677" w:name="_Toc231810569"/>
      <w:bookmarkStart w:id="678" w:name="_Toc231811912"/>
      <w:bookmarkStart w:id="679" w:name="_Toc231812192"/>
      <w:bookmarkStart w:id="680" w:name="_Toc231815076"/>
      <w:r w:rsidRPr="00E2052F">
        <w:rPr>
          <w:rFonts w:asciiTheme="majorBidi" w:hAnsiTheme="majorBidi"/>
          <w:i w:val="0"/>
          <w:iCs w:val="0"/>
          <w:color w:val="auto"/>
          <w:sz w:val="22"/>
        </w:rPr>
        <w:t>Marché des prises de contrôle (Offres Publiques d’Achat et Offre Publique d’Echange) :</w:t>
      </w:r>
      <w:bookmarkEnd w:id="674"/>
      <w:bookmarkEnd w:id="675"/>
      <w:bookmarkEnd w:id="676"/>
      <w:bookmarkEnd w:id="677"/>
      <w:bookmarkEnd w:id="678"/>
      <w:bookmarkEnd w:id="679"/>
      <w:bookmarkEnd w:id="680"/>
    </w:p>
    <w:p w14:paraId="67BD595E" w14:textId="77777777" w:rsidR="00172C7A" w:rsidRPr="00E2052F" w:rsidRDefault="00172C7A" w:rsidP="00851595">
      <w:pPr>
        <w:spacing w:before="0" w:beforeAutospacing="0"/>
        <w:rPr>
          <w:rFonts w:cstheme="majorBidi"/>
          <w:sz w:val="22"/>
        </w:rPr>
      </w:pPr>
      <w:r w:rsidRPr="00E2052F">
        <w:rPr>
          <w:rFonts w:cstheme="majorBidi"/>
          <w:sz w:val="22"/>
        </w:rPr>
        <w:t>Il constitue une menace permanente pour les dirigeants incompétents et un mécanisme efficace d’incitation à la performance pour les dirigeants.</w:t>
      </w:r>
      <w:r w:rsidRPr="00E2052F">
        <w:rPr>
          <w:rStyle w:val="Appelnotedebasdep"/>
          <w:rFonts w:cstheme="majorBidi"/>
          <w:sz w:val="22"/>
        </w:rPr>
        <w:footnoteReference w:id="140"/>
      </w:r>
      <w:r w:rsidRPr="00E2052F">
        <w:rPr>
          <w:rFonts w:cstheme="majorBidi"/>
          <w:sz w:val="22"/>
        </w:rPr>
        <w:t xml:space="preserve">Cependant, la prise de contrôle constitue un mécanisme particulièrement coûteux, dont l’intervention est généralement envisagée en dernier recours. Bien qu’elle puisse, dans certains cas, générer des gains pour les actionnaires, elle ne saurait être assimilée à un véritable levier de création de valeur. Par ailleurs, son efficacité en tant qu’outil disciplinaire des dirigeants demeure limitée. En effet, les opérations de prise de contrôle conduisent plus fréquemment à une révision des systèmes de rémunération qu’à un remplacement effectif des dirigeants, ce dernier ne représentant qu’une solution extrême. De plus, même en cas de substitution des dirigeants </w:t>
      </w:r>
      <w:r w:rsidRPr="00E2052F">
        <w:rPr>
          <w:rFonts w:cstheme="majorBidi"/>
          <w:sz w:val="22"/>
        </w:rPr>
        <w:lastRenderedPageBreak/>
        <w:t>jugés non performants, rien ne garantit que leurs successeurs adoptent des comportements pleinement alignés avec les intérêts des actionnaires, ceux-ci pouvant également poursuivre des objectifs propres.</w:t>
      </w:r>
    </w:p>
    <w:p w14:paraId="661A6C06" w14:textId="77777777" w:rsidR="00172C7A" w:rsidRPr="00E2052F" w:rsidRDefault="00172C7A" w:rsidP="00D61875">
      <w:pPr>
        <w:pStyle w:val="Titre4"/>
        <w:numPr>
          <w:ilvl w:val="0"/>
          <w:numId w:val="92"/>
        </w:numPr>
        <w:spacing w:before="0" w:beforeAutospacing="0" w:after="160"/>
        <w:ind w:left="1134" w:hanging="567"/>
        <w:rPr>
          <w:rFonts w:asciiTheme="majorBidi" w:hAnsiTheme="majorBidi"/>
          <w:b w:val="0"/>
          <w:bCs w:val="0"/>
          <w:i w:val="0"/>
          <w:iCs w:val="0"/>
          <w:color w:val="auto"/>
          <w:sz w:val="22"/>
        </w:rPr>
      </w:pPr>
      <w:bookmarkStart w:id="681" w:name="_Toc228092440"/>
      <w:bookmarkStart w:id="682" w:name="_Toc231746860"/>
      <w:bookmarkStart w:id="683" w:name="_Toc231752267"/>
      <w:bookmarkStart w:id="684" w:name="_Toc231810570"/>
      <w:bookmarkStart w:id="685" w:name="_Toc231811913"/>
      <w:bookmarkStart w:id="686" w:name="_Toc231812193"/>
      <w:bookmarkStart w:id="687" w:name="_Toc231815077"/>
      <w:r w:rsidRPr="00E2052F">
        <w:rPr>
          <w:rFonts w:asciiTheme="majorBidi" w:hAnsiTheme="majorBidi"/>
          <w:i w:val="0"/>
          <w:iCs w:val="0"/>
          <w:color w:val="auto"/>
          <w:sz w:val="22"/>
        </w:rPr>
        <w:t>Le marché financier :</w:t>
      </w:r>
      <w:bookmarkEnd w:id="681"/>
      <w:bookmarkEnd w:id="682"/>
      <w:bookmarkEnd w:id="683"/>
      <w:bookmarkEnd w:id="684"/>
      <w:bookmarkEnd w:id="685"/>
      <w:bookmarkEnd w:id="686"/>
      <w:bookmarkEnd w:id="687"/>
    </w:p>
    <w:p w14:paraId="1EAF0C35" w14:textId="77777777" w:rsidR="00172C7A" w:rsidRPr="00E2052F" w:rsidRDefault="00172C7A" w:rsidP="00851595">
      <w:pPr>
        <w:spacing w:before="0" w:beforeAutospacing="0"/>
        <w:rPr>
          <w:rFonts w:cstheme="majorBidi"/>
          <w:sz w:val="22"/>
        </w:rPr>
      </w:pPr>
      <w:r w:rsidRPr="00E2052F">
        <w:rPr>
          <w:rFonts w:cstheme="majorBidi"/>
          <w:sz w:val="22"/>
        </w:rPr>
        <w:t>Le marché financier constitue un moyen efficace pour contrôler le comportement potentiellement opportuniste et préjudiciable des dirigeants. En effet, lorsque les apporteurs de fonds ne sont pas satisfaits de la gestion des dirigeants, ils peuvent vendre leurs actions. Le principe de fonctionnement des marchés financiers est que les fluctuations du cours de l’action sont associées directement à la gestion de la firme. Ainsi, une baisse du cours boursier de l’action s’explique systématiquement par une gestion non conforme aux objectifs des actionnaires. Par conséquents, pour éviter une éventuelle révocation, par faute d’une mauvaise performance, le dirigeant se trouve dans l’obligation de bien gérer la firme et d’être en conformité avec les objectifs assignés par les actionnaires.</w:t>
      </w:r>
      <w:r w:rsidRPr="00E2052F">
        <w:rPr>
          <w:rStyle w:val="Appelnotedebasdep"/>
          <w:rFonts w:cstheme="majorBidi"/>
          <w:sz w:val="22"/>
        </w:rPr>
        <w:footnoteReference w:id="141"/>
      </w:r>
    </w:p>
    <w:p w14:paraId="3C74018E" w14:textId="77777777" w:rsidR="00172C7A" w:rsidRPr="00E2052F" w:rsidRDefault="00172C7A" w:rsidP="00D61875">
      <w:pPr>
        <w:pStyle w:val="Titre4"/>
        <w:numPr>
          <w:ilvl w:val="0"/>
          <w:numId w:val="92"/>
        </w:numPr>
        <w:spacing w:before="0" w:beforeAutospacing="0" w:after="160"/>
        <w:ind w:left="1134" w:hanging="567"/>
        <w:rPr>
          <w:rFonts w:asciiTheme="majorBidi" w:hAnsiTheme="majorBidi"/>
          <w:b w:val="0"/>
          <w:bCs w:val="0"/>
          <w:i w:val="0"/>
          <w:iCs w:val="0"/>
          <w:color w:val="auto"/>
          <w:sz w:val="22"/>
        </w:rPr>
      </w:pPr>
      <w:bookmarkStart w:id="688" w:name="_Toc228092441"/>
      <w:bookmarkStart w:id="689" w:name="_Toc231746861"/>
      <w:bookmarkStart w:id="690" w:name="_Toc231752268"/>
      <w:bookmarkStart w:id="691" w:name="_Toc231810571"/>
      <w:bookmarkStart w:id="692" w:name="_Toc231811914"/>
      <w:bookmarkStart w:id="693" w:name="_Toc231812194"/>
      <w:bookmarkStart w:id="694" w:name="_Toc231815078"/>
      <w:r w:rsidRPr="00E2052F">
        <w:rPr>
          <w:rFonts w:asciiTheme="majorBidi" w:hAnsiTheme="majorBidi"/>
          <w:i w:val="0"/>
          <w:iCs w:val="0"/>
          <w:color w:val="auto"/>
          <w:sz w:val="22"/>
        </w:rPr>
        <w:t>Les agences de réglementation, système légal et environnement politique :</w:t>
      </w:r>
      <w:bookmarkEnd w:id="688"/>
      <w:bookmarkEnd w:id="689"/>
      <w:bookmarkEnd w:id="690"/>
      <w:bookmarkEnd w:id="691"/>
      <w:bookmarkEnd w:id="692"/>
      <w:bookmarkEnd w:id="693"/>
      <w:bookmarkEnd w:id="694"/>
    </w:p>
    <w:p w14:paraId="496C762F" w14:textId="77777777" w:rsidR="00172C7A" w:rsidRPr="00E2052F" w:rsidRDefault="00172C7A" w:rsidP="00851595">
      <w:pPr>
        <w:spacing w:before="0" w:beforeAutospacing="0"/>
        <w:rPr>
          <w:rFonts w:cstheme="majorBidi"/>
          <w:sz w:val="22"/>
        </w:rPr>
      </w:pPr>
      <w:r w:rsidRPr="00E2052F">
        <w:rPr>
          <w:rFonts w:cstheme="majorBidi"/>
          <w:sz w:val="22"/>
        </w:rPr>
        <w:t>Le système légal agit en faveur des investisseurs et des actionnaires/propriétaires à travers la formalisation et la divulgation de l’information liée à la firme, les restrictions sur les transactions et les sanctions. Néanmoins, son efficacité est relative, car le pouvoir discrétionnaire des dirigeants est considérable. L’environnement politique est représenté par les pouvoirs publics (internationaux, nationaux, locaux…) et les partis politiques. Sa contribution aux entreprises revêt des formes diverses (contrôle réglementaire et législatif, formation du capital humain, sécurité, subventions et aides multiples, etc.).</w:t>
      </w:r>
      <w:r w:rsidRPr="00E2052F">
        <w:rPr>
          <w:rStyle w:val="Appelnotedebasdep"/>
          <w:rFonts w:cstheme="majorBidi"/>
          <w:sz w:val="22"/>
        </w:rPr>
        <w:footnoteReference w:id="142"/>
      </w:r>
      <w:r w:rsidRPr="00E2052F">
        <w:rPr>
          <w:rFonts w:cstheme="majorBidi"/>
          <w:sz w:val="22"/>
        </w:rPr>
        <w:t>Il peut contraindre par exemple les entreprises à utiliser plus de main d’œuvre ou même s’immiscer dans la composition de cette main d’œuvre (exiger d’inclure des catégories d’âge ou de sexe déterminées). Les salariés et les actionnaires peuvent utiliser la voie politique pour faire pression sur les dirigeants et, inversement, ces derniers peuvent s’enraciner davantage en utilisant cette même voie (promesse de création d’emploi, lobbying…).</w:t>
      </w:r>
    </w:p>
    <w:p w14:paraId="60FEBB7E" w14:textId="77777777" w:rsidR="00172C7A" w:rsidRPr="00E2052F" w:rsidRDefault="00172C7A" w:rsidP="00C8480E">
      <w:pPr>
        <w:pStyle w:val="Titre4"/>
        <w:numPr>
          <w:ilvl w:val="0"/>
          <w:numId w:val="92"/>
        </w:numPr>
        <w:spacing w:before="0" w:beforeAutospacing="0" w:after="160"/>
        <w:ind w:left="1702" w:hanging="851"/>
        <w:rPr>
          <w:rFonts w:asciiTheme="majorBidi" w:hAnsiTheme="majorBidi"/>
          <w:b w:val="0"/>
          <w:bCs w:val="0"/>
          <w:i w:val="0"/>
          <w:iCs w:val="0"/>
          <w:color w:val="auto"/>
          <w:sz w:val="22"/>
        </w:rPr>
      </w:pPr>
      <w:bookmarkStart w:id="695" w:name="_Toc228092442"/>
      <w:bookmarkStart w:id="696" w:name="_Toc231746862"/>
      <w:bookmarkStart w:id="697" w:name="_Toc231752269"/>
      <w:bookmarkStart w:id="698" w:name="_Toc231810572"/>
      <w:bookmarkStart w:id="699" w:name="_Toc231811915"/>
      <w:bookmarkStart w:id="700" w:name="_Toc231812195"/>
      <w:bookmarkStart w:id="701" w:name="_Toc231815079"/>
      <w:r w:rsidRPr="00E2052F">
        <w:rPr>
          <w:rFonts w:asciiTheme="majorBidi" w:hAnsiTheme="majorBidi"/>
          <w:i w:val="0"/>
          <w:iCs w:val="0"/>
          <w:color w:val="auto"/>
          <w:sz w:val="22"/>
        </w:rPr>
        <w:t>L’audit externe :</w:t>
      </w:r>
      <w:bookmarkEnd w:id="695"/>
      <w:bookmarkEnd w:id="696"/>
      <w:bookmarkEnd w:id="697"/>
      <w:bookmarkEnd w:id="698"/>
      <w:bookmarkEnd w:id="699"/>
      <w:bookmarkEnd w:id="700"/>
      <w:bookmarkEnd w:id="701"/>
    </w:p>
    <w:p w14:paraId="276BC97C" w14:textId="77777777" w:rsidR="00172C7A" w:rsidRPr="00E2052F" w:rsidRDefault="00172C7A" w:rsidP="00851595">
      <w:pPr>
        <w:spacing w:before="0" w:beforeAutospacing="0"/>
        <w:rPr>
          <w:rFonts w:cstheme="majorBidi"/>
          <w:sz w:val="22"/>
        </w:rPr>
      </w:pPr>
      <w:r w:rsidRPr="00E2052F">
        <w:rPr>
          <w:rFonts w:cstheme="majorBidi"/>
          <w:sz w:val="22"/>
        </w:rPr>
        <w:t xml:space="preserve">L’audit externe est mis en œuvre par un organisme indépendant chargé de vérifier la validité des informations communiquées aux parties par les institutions. Ainsi, l’audit externe se définit comme étant un examen indépendant et formel de la situation financière d’un organisme ainsi que de la nature et des résultats de ses activités. Cette étude est mise en œuvre par des commissaires aux comptes professionnels. Ils ont pour but de s’assurer de la pertinence des rapports de la direction et de la </w:t>
      </w:r>
      <w:r w:rsidRPr="00E2052F">
        <w:rPr>
          <w:rFonts w:cstheme="majorBidi"/>
          <w:sz w:val="22"/>
        </w:rPr>
        <w:lastRenderedPageBreak/>
        <w:t>crédibilité des états financiers. Elle permet également de dresser la responsabilité des institutions dans la gestion des capitaux des bailleurs et d’objectiver les points faibles des suivis internes.</w:t>
      </w:r>
    </w:p>
    <w:p w14:paraId="6D1D656C" w14:textId="77777777" w:rsidR="00172C7A" w:rsidRPr="00E2052F" w:rsidRDefault="00172C7A" w:rsidP="00851595">
      <w:pPr>
        <w:spacing w:before="0" w:beforeAutospacing="0"/>
        <w:rPr>
          <w:rFonts w:cstheme="majorBidi"/>
          <w:sz w:val="22"/>
        </w:rPr>
      </w:pPr>
      <w:r w:rsidRPr="00E2052F">
        <w:rPr>
          <w:rFonts w:cstheme="majorBidi"/>
          <w:sz w:val="22"/>
        </w:rPr>
        <w:t>Les travaux d’audit externes peuvent varier énormément en fonction des objectifs. En effet, un auditeur externe est en mesure d’effectuer différents types d’audit :</w:t>
      </w:r>
    </w:p>
    <w:p w14:paraId="1BC8D619" w14:textId="77777777" w:rsidR="00172C7A" w:rsidRPr="00E2052F" w:rsidRDefault="00172C7A" w:rsidP="00D61875">
      <w:pPr>
        <w:pStyle w:val="Paragraphedeliste"/>
        <w:numPr>
          <w:ilvl w:val="0"/>
          <w:numId w:val="93"/>
        </w:numPr>
        <w:spacing w:before="0" w:beforeAutospacing="0"/>
        <w:ind w:left="0" w:firstLine="284"/>
        <w:rPr>
          <w:rFonts w:cstheme="majorBidi"/>
          <w:sz w:val="22"/>
        </w:rPr>
      </w:pPr>
      <w:r w:rsidRPr="00E2052F">
        <w:rPr>
          <w:rFonts w:cstheme="majorBidi"/>
          <w:sz w:val="22"/>
        </w:rPr>
        <w:t>Les audits des états financiers.</w:t>
      </w:r>
    </w:p>
    <w:p w14:paraId="02CA4C49" w14:textId="77777777" w:rsidR="00172C7A" w:rsidRPr="00E2052F" w:rsidRDefault="00172C7A" w:rsidP="00D61875">
      <w:pPr>
        <w:pStyle w:val="Paragraphedeliste"/>
        <w:numPr>
          <w:ilvl w:val="0"/>
          <w:numId w:val="93"/>
        </w:numPr>
        <w:spacing w:before="0" w:beforeAutospacing="0"/>
        <w:ind w:left="0" w:firstLine="284"/>
        <w:rPr>
          <w:rFonts w:cstheme="majorBidi"/>
          <w:sz w:val="22"/>
        </w:rPr>
      </w:pPr>
      <w:r w:rsidRPr="00E2052F">
        <w:rPr>
          <w:rFonts w:cstheme="majorBidi"/>
          <w:sz w:val="22"/>
        </w:rPr>
        <w:t>Les missions d’audit spéciales.</w:t>
      </w:r>
    </w:p>
    <w:p w14:paraId="25DD3FC6" w14:textId="77777777" w:rsidR="00172C7A" w:rsidRPr="00E2052F" w:rsidRDefault="00172C7A" w:rsidP="00D61875">
      <w:pPr>
        <w:pStyle w:val="Paragraphedeliste"/>
        <w:numPr>
          <w:ilvl w:val="0"/>
          <w:numId w:val="93"/>
        </w:numPr>
        <w:spacing w:before="0" w:beforeAutospacing="0"/>
        <w:ind w:left="0" w:firstLine="284"/>
        <w:rPr>
          <w:rFonts w:cstheme="majorBidi"/>
          <w:sz w:val="22"/>
        </w:rPr>
      </w:pPr>
      <w:r w:rsidRPr="00E2052F">
        <w:rPr>
          <w:rFonts w:cstheme="majorBidi"/>
          <w:sz w:val="22"/>
        </w:rPr>
        <w:t>Les missions d’examen (procédures étant convenues à l’avance).</w:t>
      </w:r>
    </w:p>
    <w:p w14:paraId="33E44BB3" w14:textId="77777777" w:rsidR="00172C7A" w:rsidRPr="00E2052F" w:rsidRDefault="00172C7A" w:rsidP="00D61875">
      <w:pPr>
        <w:pStyle w:val="Paragraphedeliste"/>
        <w:numPr>
          <w:ilvl w:val="0"/>
          <w:numId w:val="93"/>
        </w:numPr>
        <w:spacing w:before="0" w:beforeAutospacing="0"/>
        <w:ind w:left="0" w:firstLine="284"/>
        <w:rPr>
          <w:rFonts w:cstheme="majorBidi"/>
          <w:sz w:val="22"/>
        </w:rPr>
      </w:pPr>
      <w:r w:rsidRPr="00E2052F">
        <w:rPr>
          <w:rFonts w:cstheme="majorBidi"/>
          <w:sz w:val="22"/>
        </w:rPr>
        <w:t>Les missions d’examen limité et de compilation.</w:t>
      </w:r>
      <w:r w:rsidRPr="00E2052F">
        <w:rPr>
          <w:rStyle w:val="Appelnotedebasdep"/>
          <w:rFonts w:cstheme="majorBidi"/>
          <w:sz w:val="22"/>
        </w:rPr>
        <w:footnoteReference w:id="143"/>
      </w:r>
    </w:p>
    <w:p w14:paraId="5838E86B" w14:textId="77777777" w:rsidR="00172C7A" w:rsidRPr="00E2052F" w:rsidRDefault="00172C7A" w:rsidP="00C8480E">
      <w:pPr>
        <w:pStyle w:val="Titre2"/>
      </w:pPr>
      <w:bookmarkStart w:id="702" w:name="_Toc228092443"/>
      <w:bookmarkStart w:id="703" w:name="_Toc231746863"/>
      <w:bookmarkStart w:id="704" w:name="_Toc231752270"/>
      <w:bookmarkStart w:id="705" w:name="_Toc231810573"/>
      <w:bookmarkStart w:id="706" w:name="_Toc231811916"/>
      <w:bookmarkStart w:id="707" w:name="_Toc231812196"/>
      <w:bookmarkStart w:id="708" w:name="_Toc231815080"/>
      <w:r w:rsidRPr="00E2052F">
        <w:t>Les objectifs et l’importance de la gouvernance d’entreprise :</w:t>
      </w:r>
      <w:bookmarkEnd w:id="702"/>
      <w:bookmarkEnd w:id="703"/>
      <w:bookmarkEnd w:id="704"/>
      <w:bookmarkEnd w:id="705"/>
      <w:bookmarkEnd w:id="706"/>
      <w:bookmarkEnd w:id="707"/>
      <w:bookmarkEnd w:id="708"/>
    </w:p>
    <w:p w14:paraId="1A393B46" w14:textId="77777777" w:rsidR="00172C7A" w:rsidRPr="00E2052F" w:rsidRDefault="00172C7A" w:rsidP="00D61875">
      <w:pPr>
        <w:pStyle w:val="Titre3"/>
        <w:numPr>
          <w:ilvl w:val="0"/>
          <w:numId w:val="94"/>
        </w:numPr>
        <w:spacing w:before="0" w:beforeAutospacing="0" w:after="160"/>
        <w:ind w:left="568" w:hanging="284"/>
        <w:rPr>
          <w:rFonts w:asciiTheme="majorBidi" w:hAnsiTheme="majorBidi"/>
          <w:b w:val="0"/>
          <w:bCs w:val="0"/>
          <w:color w:val="auto"/>
          <w:sz w:val="22"/>
        </w:rPr>
      </w:pPr>
      <w:bookmarkStart w:id="709" w:name="_Toc228092444"/>
      <w:bookmarkStart w:id="710" w:name="_Toc231746864"/>
      <w:bookmarkStart w:id="711" w:name="_Toc231752271"/>
      <w:bookmarkStart w:id="712" w:name="_Toc231810574"/>
      <w:bookmarkStart w:id="713" w:name="_Toc231811917"/>
      <w:bookmarkStart w:id="714" w:name="_Toc231812197"/>
      <w:bookmarkStart w:id="715" w:name="_Toc231815081"/>
      <w:r w:rsidRPr="00E2052F">
        <w:rPr>
          <w:rFonts w:asciiTheme="majorBidi" w:hAnsiTheme="majorBidi"/>
          <w:color w:val="auto"/>
          <w:sz w:val="22"/>
        </w:rPr>
        <w:t>Les objectifs de la gouvernance d’entreprise :</w:t>
      </w:r>
      <w:bookmarkEnd w:id="709"/>
      <w:bookmarkEnd w:id="710"/>
      <w:bookmarkEnd w:id="711"/>
      <w:bookmarkEnd w:id="712"/>
      <w:bookmarkEnd w:id="713"/>
      <w:bookmarkEnd w:id="714"/>
      <w:bookmarkEnd w:id="715"/>
    </w:p>
    <w:p w14:paraId="20A39D36" w14:textId="77777777" w:rsidR="00172C7A" w:rsidRPr="00E2052F" w:rsidRDefault="00172C7A" w:rsidP="00851595">
      <w:pPr>
        <w:spacing w:before="0" w:beforeAutospacing="0"/>
        <w:rPr>
          <w:rFonts w:cstheme="majorBidi"/>
          <w:sz w:val="22"/>
        </w:rPr>
      </w:pPr>
      <w:r w:rsidRPr="00E2052F">
        <w:rPr>
          <w:rFonts w:cstheme="majorBidi"/>
          <w:sz w:val="22"/>
        </w:rPr>
        <w:t>Les objectifs de la gouvernance d’entreprise, incluent notamment :</w:t>
      </w:r>
    </w:p>
    <w:p w14:paraId="3FD2DD9C"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Mettre l’accent sur le principe de séparation entre la propriété, la gestion et la supervision de la gestion ;</w:t>
      </w:r>
    </w:p>
    <w:p w14:paraId="178C7DF8"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Établir la structure par laquelle les objectifs sont définis, les moyens d’atteindre ces objectifs et le suivi des performances ;</w:t>
      </w:r>
    </w:p>
    <w:p w14:paraId="03C953D6"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Évitez de confondre les tâches propres aux cadres dirigeants avec les tâches du conseil d'administration et les responsabilités de ses membres ;</w:t>
      </w:r>
      <w:r w:rsidRPr="00E2052F">
        <w:rPr>
          <w:rStyle w:val="Appelnotedebasdep"/>
          <w:rFonts w:cstheme="majorBidi"/>
          <w:sz w:val="22"/>
        </w:rPr>
        <w:footnoteReference w:id="144"/>
      </w:r>
    </w:p>
    <w:p w14:paraId="5DA1E9D2"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Réviser et modifier les lois régissant le fonctionnement des sociétés afin que la responsabilité de la surveillance soit transférée aux deux parties, à savoir le conseil d'administration de la société et les actionnaires représentés à l'assemblée générale de la société ;</w:t>
      </w:r>
    </w:p>
    <w:p w14:paraId="2793F628"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Évaluer les performances de la haute direction, renforcer la responsabilisation et accroître la confiance ;</w:t>
      </w:r>
    </w:p>
    <w:p w14:paraId="72572057"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Permettre aux entreprises d'obtenir des financements auprès d'investisseurs locaux et étrangers ;</w:t>
      </w:r>
    </w:p>
    <w:p w14:paraId="13809235" w14:textId="77777777" w:rsidR="00172C7A" w:rsidRPr="00E2052F" w:rsidRDefault="00172C7A" w:rsidP="00D61875">
      <w:pPr>
        <w:pStyle w:val="Paragraphedeliste"/>
        <w:numPr>
          <w:ilvl w:val="0"/>
          <w:numId w:val="96"/>
        </w:numPr>
        <w:spacing w:before="0" w:beforeAutospacing="0"/>
        <w:ind w:left="284" w:hanging="284"/>
        <w:rPr>
          <w:rFonts w:cstheme="majorBidi"/>
          <w:sz w:val="22"/>
        </w:rPr>
      </w:pPr>
      <w:r w:rsidRPr="00E2052F">
        <w:rPr>
          <w:rFonts w:cstheme="majorBidi"/>
          <w:sz w:val="22"/>
        </w:rPr>
        <w:t>La possibilité pour les actionnaires, les employés, les créanciers et les prêteurs de participer en tant qu'observateurs des performances de l'entreprise.</w:t>
      </w:r>
      <w:r w:rsidRPr="00E2052F">
        <w:rPr>
          <w:rStyle w:val="Appelnotedebasdep"/>
          <w:rFonts w:cstheme="majorBidi"/>
          <w:sz w:val="22"/>
        </w:rPr>
        <w:footnoteReference w:id="145"/>
      </w:r>
    </w:p>
    <w:p w14:paraId="4675C49C" w14:textId="77777777" w:rsidR="00172C7A" w:rsidRPr="00E2052F" w:rsidRDefault="00172C7A" w:rsidP="00D61875">
      <w:pPr>
        <w:pStyle w:val="Titre3"/>
        <w:numPr>
          <w:ilvl w:val="0"/>
          <w:numId w:val="94"/>
        </w:numPr>
        <w:spacing w:before="0" w:beforeAutospacing="0" w:after="160"/>
        <w:ind w:left="568" w:hanging="284"/>
        <w:rPr>
          <w:rFonts w:asciiTheme="majorBidi" w:hAnsiTheme="majorBidi"/>
          <w:b w:val="0"/>
          <w:bCs w:val="0"/>
          <w:color w:val="auto"/>
          <w:sz w:val="22"/>
        </w:rPr>
      </w:pPr>
      <w:bookmarkStart w:id="716" w:name="_Toc228092445"/>
      <w:bookmarkStart w:id="717" w:name="_Toc231746865"/>
      <w:bookmarkStart w:id="718" w:name="_Toc231752272"/>
      <w:bookmarkStart w:id="719" w:name="_Toc231810575"/>
      <w:bookmarkStart w:id="720" w:name="_Toc231811918"/>
      <w:bookmarkStart w:id="721" w:name="_Toc231812198"/>
      <w:bookmarkStart w:id="722" w:name="_Toc231815082"/>
      <w:r w:rsidRPr="00E2052F">
        <w:rPr>
          <w:rFonts w:asciiTheme="majorBidi" w:hAnsiTheme="majorBidi"/>
          <w:color w:val="auto"/>
          <w:sz w:val="22"/>
        </w:rPr>
        <w:lastRenderedPageBreak/>
        <w:t>L’importance de la gouvernance d’entreprise :</w:t>
      </w:r>
      <w:bookmarkEnd w:id="716"/>
      <w:bookmarkEnd w:id="717"/>
      <w:bookmarkEnd w:id="718"/>
      <w:bookmarkEnd w:id="719"/>
      <w:bookmarkEnd w:id="720"/>
      <w:bookmarkEnd w:id="721"/>
      <w:bookmarkEnd w:id="722"/>
    </w:p>
    <w:p w14:paraId="2F0467D8" w14:textId="77777777" w:rsidR="00172C7A" w:rsidRPr="00E2052F" w:rsidRDefault="00172C7A" w:rsidP="00851595">
      <w:pPr>
        <w:spacing w:before="0" w:beforeAutospacing="0"/>
        <w:rPr>
          <w:rFonts w:cstheme="majorBidi"/>
          <w:sz w:val="22"/>
        </w:rPr>
      </w:pPr>
      <w:r w:rsidRPr="00E2052F">
        <w:rPr>
          <w:rFonts w:cstheme="majorBidi"/>
          <w:sz w:val="22"/>
        </w:rPr>
        <w:t>La gouvernance vise à instaurer la transparence et l'équité, tout en garantissant le droit de demander des comptes à la direction de l'institution. Elle assure ainsi la protection des actionnaires et de l'ensemble des parties prenantes, tout en veillant aux intérêts de l'entreprise et des employés.</w:t>
      </w:r>
    </w:p>
    <w:p w14:paraId="571094C5" w14:textId="77777777" w:rsidR="00172C7A" w:rsidRPr="00E2052F" w:rsidRDefault="00172C7A" w:rsidP="00851595">
      <w:pPr>
        <w:spacing w:before="0" w:beforeAutospacing="0"/>
        <w:rPr>
          <w:rFonts w:cstheme="majorBidi"/>
          <w:sz w:val="22"/>
        </w:rPr>
      </w:pPr>
      <w:r w:rsidRPr="00E2052F">
        <w:rPr>
          <w:rFonts w:cstheme="majorBidi"/>
          <w:sz w:val="22"/>
        </w:rPr>
        <w:t>L’importance de la gouvernance d’entreprise peut être explicitée à travers les points suivants :</w:t>
      </w:r>
    </w:p>
    <w:p w14:paraId="32283876"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L'application rigoureuse des règles de gouvernance améliore la performance de l'action, maximise la rentabilité et instaure un climat de confiance chez l'investisseur et les actionnaires. Elle renforce également la capacité de l'entreprise à être compétitive sur le long terme.</w:t>
      </w:r>
    </w:p>
    <w:p w14:paraId="4C0ADA1D"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La maximisation de la richesse des propriétaires et le renforcement de la compétitivité des entreprises sur les marchés financiers mondiaux.</w:t>
      </w:r>
    </w:p>
    <w:p w14:paraId="575E5CCE"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L'application des règles de gouvernance permet aux entreprises d'accéder plus facilement aux financements nécessaires, réduit le coût du capital, optimise les performances et garantit un traitement satisfaisant pour les différentes catégories de parties prenantes (stakeholders).</w:t>
      </w:r>
    </w:p>
    <w:p w14:paraId="5A1B359C"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La mise en œuvre efficace des mécanismes de gouvernance est considérée comme l'une des solutions majeures pour résoudre les problèmes d'agence et en réduire les coûts associés.</w:t>
      </w:r>
    </w:p>
    <w:p w14:paraId="60E4754A"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Assurer la protection des parties prenantes et préserver les droits des actionnaires, en particulier les actionnaires minoritaires.</w:t>
      </w:r>
    </w:p>
    <w:p w14:paraId="37748CFF" w14:textId="77777777" w:rsidR="00172C7A" w:rsidRPr="00E2052F" w:rsidRDefault="00172C7A" w:rsidP="00D61875">
      <w:pPr>
        <w:pStyle w:val="Paragraphedeliste"/>
        <w:numPr>
          <w:ilvl w:val="0"/>
          <w:numId w:val="95"/>
        </w:numPr>
        <w:spacing w:before="0" w:beforeAutospacing="0"/>
        <w:ind w:left="0" w:firstLine="284"/>
        <w:rPr>
          <w:rFonts w:cstheme="majorBidi"/>
          <w:sz w:val="22"/>
        </w:rPr>
      </w:pPr>
      <w:r w:rsidRPr="00E2052F">
        <w:rPr>
          <w:rFonts w:cstheme="majorBidi"/>
          <w:sz w:val="22"/>
        </w:rPr>
        <w:t>Favoriser le développement et la stabilité économique tout en évitant de sombrer dans des problèmes comptables et financiers, ce qui contribue à soutenir et à stabiliser les activités des entreprises opérant au sein de l'économie.</w:t>
      </w:r>
      <w:r w:rsidRPr="00E2052F">
        <w:rPr>
          <w:rStyle w:val="Appelnotedebasdep"/>
          <w:rFonts w:cstheme="majorBidi"/>
          <w:sz w:val="22"/>
        </w:rPr>
        <w:footnoteReference w:id="146"/>
      </w:r>
    </w:p>
    <w:p w14:paraId="0D51E8CF" w14:textId="77777777" w:rsidR="00172C7A" w:rsidRPr="00E2052F" w:rsidRDefault="00172C7A" w:rsidP="00851595">
      <w:pPr>
        <w:spacing w:before="0" w:beforeAutospacing="0"/>
        <w:ind w:left="1069"/>
        <w:rPr>
          <w:rFonts w:cstheme="majorBidi"/>
          <w:sz w:val="22"/>
        </w:rPr>
      </w:pPr>
    </w:p>
    <w:p w14:paraId="1A5CFC55" w14:textId="77777777" w:rsidR="00172C7A" w:rsidRPr="00E2052F" w:rsidRDefault="00172C7A" w:rsidP="00851595">
      <w:pPr>
        <w:spacing w:before="0" w:beforeAutospacing="0"/>
        <w:ind w:left="1069"/>
        <w:rPr>
          <w:rFonts w:cstheme="majorBidi"/>
          <w:sz w:val="22"/>
        </w:rPr>
      </w:pPr>
    </w:p>
    <w:p w14:paraId="7C490604" w14:textId="77777777" w:rsidR="00172C7A" w:rsidRPr="00E2052F" w:rsidRDefault="00172C7A" w:rsidP="00851595">
      <w:pPr>
        <w:spacing w:before="0" w:beforeAutospacing="0"/>
        <w:ind w:left="1069"/>
        <w:rPr>
          <w:rFonts w:cstheme="majorBidi"/>
          <w:sz w:val="22"/>
        </w:rPr>
      </w:pPr>
    </w:p>
    <w:p w14:paraId="1878D00D" w14:textId="77777777" w:rsidR="00172C7A" w:rsidRPr="00E2052F" w:rsidRDefault="00172C7A" w:rsidP="00851595">
      <w:pPr>
        <w:spacing w:before="0" w:beforeAutospacing="0"/>
        <w:ind w:left="1069"/>
        <w:rPr>
          <w:rFonts w:cstheme="majorBidi"/>
          <w:sz w:val="22"/>
        </w:rPr>
      </w:pPr>
    </w:p>
    <w:p w14:paraId="6DD23B4B" w14:textId="77777777" w:rsidR="00172C7A" w:rsidRPr="00E2052F" w:rsidRDefault="00172C7A" w:rsidP="00851595">
      <w:pPr>
        <w:spacing w:before="0" w:beforeAutospacing="0"/>
        <w:ind w:left="1069"/>
        <w:rPr>
          <w:rFonts w:cstheme="majorBidi"/>
          <w:sz w:val="22"/>
        </w:rPr>
      </w:pPr>
    </w:p>
    <w:p w14:paraId="35398B68" w14:textId="77777777" w:rsidR="00172C7A" w:rsidRDefault="00172C7A" w:rsidP="003343E7">
      <w:pPr>
        <w:spacing w:before="0" w:beforeAutospacing="0"/>
        <w:ind w:firstLine="0"/>
        <w:rPr>
          <w:rFonts w:cstheme="majorBidi"/>
          <w:sz w:val="22"/>
        </w:rPr>
      </w:pPr>
    </w:p>
    <w:p w14:paraId="7BA5E2A1" w14:textId="77777777" w:rsidR="00CA4AF5" w:rsidRDefault="00CA4AF5" w:rsidP="003343E7">
      <w:pPr>
        <w:spacing w:before="0" w:beforeAutospacing="0"/>
        <w:ind w:firstLine="0"/>
        <w:rPr>
          <w:rFonts w:cstheme="majorBidi"/>
          <w:sz w:val="22"/>
        </w:rPr>
      </w:pPr>
    </w:p>
    <w:p w14:paraId="25F43021" w14:textId="77777777" w:rsidR="00CA4AF5" w:rsidRDefault="00CA4AF5" w:rsidP="003343E7">
      <w:pPr>
        <w:spacing w:before="0" w:beforeAutospacing="0"/>
        <w:ind w:firstLine="0"/>
        <w:rPr>
          <w:rFonts w:cstheme="majorBidi"/>
          <w:sz w:val="22"/>
        </w:rPr>
      </w:pPr>
    </w:p>
    <w:p w14:paraId="23E71C5C" w14:textId="77777777" w:rsidR="00CA4AF5" w:rsidRPr="00CA4AF5" w:rsidRDefault="00CA4AF5" w:rsidP="0065358E">
      <w:pPr>
        <w:ind w:firstLine="0"/>
      </w:pPr>
      <w:bookmarkStart w:id="723" w:name="_Toc228092446"/>
    </w:p>
    <w:p w14:paraId="7437BC00" w14:textId="77777777" w:rsidR="00172C7A" w:rsidRPr="00E2052F" w:rsidRDefault="00172C7A" w:rsidP="00BC1AEC">
      <w:pPr>
        <w:pStyle w:val="Titre1"/>
      </w:pPr>
      <w:bookmarkStart w:id="724" w:name="_Toc231742166"/>
      <w:bookmarkStart w:id="725" w:name="_Toc231746866"/>
      <w:bookmarkStart w:id="726" w:name="_Toc231752273"/>
      <w:bookmarkStart w:id="727" w:name="_Toc231810576"/>
      <w:bookmarkStart w:id="728" w:name="_Toc231811424"/>
      <w:bookmarkStart w:id="729" w:name="_Toc231811919"/>
      <w:bookmarkStart w:id="730" w:name="_Toc231812199"/>
      <w:bookmarkStart w:id="731" w:name="_Toc231815083"/>
      <w:r w:rsidRPr="00E2052F">
        <w:lastRenderedPageBreak/>
        <w:t>Conclusion du chapitre :</w:t>
      </w:r>
      <w:bookmarkEnd w:id="723"/>
      <w:bookmarkEnd w:id="724"/>
      <w:bookmarkEnd w:id="725"/>
      <w:bookmarkEnd w:id="726"/>
      <w:bookmarkEnd w:id="727"/>
      <w:bookmarkEnd w:id="728"/>
      <w:bookmarkEnd w:id="729"/>
      <w:bookmarkEnd w:id="730"/>
      <w:bookmarkEnd w:id="731"/>
    </w:p>
    <w:p w14:paraId="19345040" w14:textId="77777777" w:rsidR="00172C7A" w:rsidRPr="00E2052F" w:rsidRDefault="00172C7A" w:rsidP="00851595">
      <w:pPr>
        <w:spacing w:before="0" w:beforeAutospacing="0"/>
        <w:rPr>
          <w:rFonts w:cstheme="majorBidi"/>
          <w:sz w:val="22"/>
        </w:rPr>
      </w:pPr>
      <w:r w:rsidRPr="00E2052F">
        <w:rPr>
          <w:rFonts w:cstheme="majorBidi"/>
          <w:sz w:val="22"/>
        </w:rPr>
        <w:t>Il ressort de ce chapitre que La gouvernance d’entreprise est le cadre institutionnel, juridique et réglementaire qui régit la relation entre les dirigeants et les investisseurs au sein d’une entreprise, que celle-ci soit privée, cotée en Bourse ou publique. Elle sous-entend que le conseil d’administration et la direction poursuivent des objectifs représentant les intérêts de l’entreprise et de ses actionnaires, et veillent en outre aux résultats et à l’efficience de l’utilisation des ressources de l’entreprise.</w:t>
      </w:r>
      <w:r w:rsidRPr="00E2052F">
        <w:rPr>
          <w:rStyle w:val="Appelnotedebasdep"/>
          <w:rFonts w:cstheme="majorBidi"/>
          <w:sz w:val="22"/>
        </w:rPr>
        <w:footnoteReference w:id="147"/>
      </w:r>
    </w:p>
    <w:p w14:paraId="06F771A8" w14:textId="77777777" w:rsidR="00172C7A" w:rsidRPr="00E2052F" w:rsidRDefault="00172C7A" w:rsidP="00851595">
      <w:pPr>
        <w:spacing w:before="0" w:beforeAutospacing="0"/>
        <w:rPr>
          <w:rFonts w:cstheme="majorBidi"/>
          <w:sz w:val="22"/>
        </w:rPr>
      </w:pPr>
      <w:r w:rsidRPr="00E2052F">
        <w:rPr>
          <w:rFonts w:cstheme="majorBidi"/>
          <w:sz w:val="22"/>
        </w:rPr>
        <w:t>L’analyse menée a permis de montrer que la gouvernance d’entreprise repose sur des fondements historiques, théoriques et conceptuels diversifiés, traduits par une évolution constante des pratiques et des modèles. Les différentes théories étudiées, qu’elles soient contractuelles, cognitives ou encore basées sur les compétences, mettent en évidence la complexité des relations au sein de l’entreprise ainsi que la nécessité de mécanismes de régulation adaptés pour limiter les conflits d’intérêts et améliorer la performance organisationnelle.</w:t>
      </w:r>
    </w:p>
    <w:p w14:paraId="5DCFFBAB" w14:textId="77777777" w:rsidR="00172C7A" w:rsidRPr="00E2052F" w:rsidRDefault="00172C7A" w:rsidP="00851595">
      <w:pPr>
        <w:spacing w:before="0" w:beforeAutospacing="0"/>
        <w:rPr>
          <w:rFonts w:cstheme="majorBidi"/>
          <w:sz w:val="22"/>
        </w:rPr>
      </w:pPr>
      <w:r w:rsidRPr="00E2052F">
        <w:rPr>
          <w:rFonts w:cstheme="majorBidi"/>
          <w:sz w:val="22"/>
        </w:rPr>
        <w:t>Par ailleurs, il ressort que la gouvernance s’appuie sur un ensemble de mécanismes internes et externes complémentaires, tels que le conseil d’administration, les comités spécialisés, les marchés financiers ou encore les dispositifs réglementaires et d’audit. Ces mécanismes jouent un rôle central dans le contrôle, la supervision et l’orientation stratégique des entreprises.</w:t>
      </w:r>
    </w:p>
    <w:p w14:paraId="0EF6AD76" w14:textId="77777777" w:rsidR="00B56B8F" w:rsidRPr="00E2052F" w:rsidRDefault="00172C7A" w:rsidP="00753698">
      <w:pPr>
        <w:spacing w:before="0" w:beforeAutospacing="0"/>
        <w:rPr>
          <w:rFonts w:cstheme="majorBidi"/>
          <w:sz w:val="22"/>
        </w:rPr>
        <w:sectPr w:rsidR="00B56B8F" w:rsidRPr="00E2052F" w:rsidSect="00B164D2">
          <w:headerReference w:type="default" r:id="rId24"/>
          <w:headerReference w:type="first" r:id="rId25"/>
          <w:pgSz w:w="11906" w:h="16838"/>
          <w:pgMar w:top="851" w:right="1418" w:bottom="1134" w:left="1418" w:header="709" w:footer="709" w:gutter="0"/>
          <w:pgNumType w:start="2"/>
          <w:cols w:space="708"/>
          <w:titlePg/>
          <w:docGrid w:linePitch="360"/>
        </w:sectPr>
      </w:pPr>
      <w:r w:rsidRPr="00E2052F">
        <w:rPr>
          <w:rFonts w:cstheme="majorBidi"/>
          <w:sz w:val="22"/>
        </w:rPr>
        <w:t xml:space="preserve">Enfin, il convient de souligner que l’importance de la gouvernance est d’autant plus renforcée dans les secteurs sensibles et complexes, où les exigences de transparence, de gestion des risques et de conformité réglementaire sont élevées. Elle constitue ainsi un levier fondamental de performance, de stabilité et de confiance au </w:t>
      </w:r>
      <w:r w:rsidR="003D28B1" w:rsidRPr="00E2052F">
        <w:rPr>
          <w:rFonts w:cstheme="majorBidi"/>
          <w:sz w:val="22"/>
        </w:rPr>
        <w:t>sein des organisations moder</w:t>
      </w:r>
      <w:r w:rsidR="00B56B8F" w:rsidRPr="00E2052F">
        <w:rPr>
          <w:rFonts w:cstheme="majorBidi"/>
          <w:sz w:val="22"/>
        </w:rPr>
        <w:t>nes.</w:t>
      </w:r>
    </w:p>
    <w:p w14:paraId="28692F48" w14:textId="77777777" w:rsidR="004E0735" w:rsidRDefault="004E0735" w:rsidP="00753698">
      <w:pPr>
        <w:spacing w:before="0" w:beforeAutospacing="0"/>
        <w:rPr>
          <w:rFonts w:cstheme="majorBidi"/>
          <w:sz w:val="22"/>
        </w:rPr>
      </w:pPr>
    </w:p>
    <w:p w14:paraId="6647A576" w14:textId="77777777" w:rsidR="004E0735" w:rsidRPr="004E0735" w:rsidRDefault="004E0735" w:rsidP="004E0735">
      <w:pPr>
        <w:rPr>
          <w:rFonts w:cstheme="majorBidi"/>
          <w:sz w:val="22"/>
        </w:rPr>
      </w:pPr>
    </w:p>
    <w:p w14:paraId="65A38492" w14:textId="77777777" w:rsidR="004E0735" w:rsidRPr="004E0735" w:rsidRDefault="004E0735" w:rsidP="004E0735">
      <w:pPr>
        <w:rPr>
          <w:rFonts w:cstheme="majorBidi"/>
          <w:sz w:val="22"/>
        </w:rPr>
      </w:pPr>
    </w:p>
    <w:p w14:paraId="4D21B3AC" w14:textId="77777777" w:rsidR="004E0735" w:rsidRPr="004E0735" w:rsidRDefault="004E0735" w:rsidP="004E0735">
      <w:pPr>
        <w:rPr>
          <w:rFonts w:cstheme="majorBidi"/>
          <w:sz w:val="22"/>
        </w:rPr>
      </w:pPr>
    </w:p>
    <w:p w14:paraId="20F6B723" w14:textId="77777777" w:rsidR="004E0735" w:rsidRPr="004E0735" w:rsidRDefault="004E0735" w:rsidP="004E0735">
      <w:pPr>
        <w:rPr>
          <w:rFonts w:cstheme="majorBidi"/>
          <w:sz w:val="22"/>
        </w:rPr>
      </w:pPr>
    </w:p>
    <w:p w14:paraId="33DC718A" w14:textId="77777777" w:rsidR="004E0735" w:rsidRPr="004E0735" w:rsidRDefault="004E0735" w:rsidP="004E0735">
      <w:pPr>
        <w:rPr>
          <w:rFonts w:cstheme="majorBidi"/>
          <w:sz w:val="22"/>
        </w:rPr>
      </w:pPr>
    </w:p>
    <w:p w14:paraId="2AFC7AF9" w14:textId="77777777" w:rsidR="004E0735" w:rsidRPr="004E0735" w:rsidRDefault="004E0735" w:rsidP="004E0735">
      <w:pPr>
        <w:rPr>
          <w:rFonts w:cstheme="majorBidi"/>
          <w:sz w:val="22"/>
        </w:rPr>
      </w:pPr>
      <w:r>
        <w:rPr>
          <w:rFonts w:ascii="Times New Roman" w:hAnsi="Times New Roman" w:cs="Times New Roman"/>
          <w:noProof/>
          <w:szCs w:val="24"/>
          <w:lang w:eastAsia="fr-FR"/>
        </w:rPr>
        <mc:AlternateContent>
          <mc:Choice Requires="wps">
            <w:drawing>
              <wp:anchor distT="0" distB="0" distL="114300" distR="114300" simplePos="0" relativeHeight="252122112" behindDoc="0" locked="0" layoutInCell="1" allowOverlap="1" wp14:anchorId="6FC9BBBA" wp14:editId="2933B347">
                <wp:simplePos x="0" y="0"/>
                <wp:positionH relativeFrom="margin">
                  <wp:align>right</wp:align>
                </wp:positionH>
                <wp:positionV relativeFrom="paragraph">
                  <wp:posOffset>380693</wp:posOffset>
                </wp:positionV>
                <wp:extent cx="5772150" cy="2979682"/>
                <wp:effectExtent l="0" t="0" r="19050" b="11430"/>
                <wp:wrapNone/>
                <wp:docPr id="635" name="Ruban vers le bas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1D3E6486" w14:textId="77777777" w:rsidR="00A36231" w:rsidRDefault="00A36231" w:rsidP="004E0735">
                            <w:pPr>
                              <w:jc w:val="center"/>
                              <w:rPr>
                                <w:b/>
                                <w:bCs/>
                                <w:sz w:val="56"/>
                                <w:szCs w:val="52"/>
                              </w:rPr>
                            </w:pPr>
                          </w:p>
                          <w:p w14:paraId="7DA31E8D" w14:textId="77777777" w:rsidR="00A36231" w:rsidRPr="004E0735" w:rsidRDefault="00A36231" w:rsidP="004E0735">
                            <w:pPr>
                              <w:ind w:firstLine="0"/>
                              <w:jc w:val="center"/>
                              <w:rPr>
                                <w:b/>
                                <w:bCs/>
                                <w:sz w:val="56"/>
                                <w:szCs w:val="52"/>
                              </w:rPr>
                            </w:pPr>
                            <w:r w:rsidRPr="004E0735">
                              <w:rPr>
                                <w:b/>
                                <w:bCs/>
                                <w:sz w:val="56"/>
                                <w:szCs w:val="52"/>
                              </w:rPr>
                              <w:t>CHAPITRE 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9BBBA"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Ruban vers le bas 635" o:spid="_x0000_s1035" type="#_x0000_t53" style="position:absolute;left:0;text-align:left;margin-left:403.3pt;margin-top:30pt;width:454.5pt;height:234.6pt;z-index:252122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" fillcolor="#5b9bd5 [3208]" strokecolor="black [3213]">
                <v:textbox>
                  <w:txbxContent>
                    <w:p w14:paraId="1D3E6486" w14:textId="77777777" w:rsidR="00A36231" w:rsidRDefault="00A36231" w:rsidP="004E0735">
                      <w:pPr>
                        <w:jc w:val="center"/>
                        <w:rPr>
                          <w:b/>
                          <w:bCs/>
                          <w:sz w:val="56"/>
                          <w:szCs w:val="52"/>
                        </w:rPr>
                      </w:pPr>
                    </w:p>
                    <w:p w14:paraId="7DA31E8D" w14:textId="77777777" w:rsidR="00A36231" w:rsidRPr="004E0735" w:rsidRDefault="00A36231" w:rsidP="004E0735">
                      <w:pPr>
                        <w:ind w:firstLine="0"/>
                        <w:jc w:val="center"/>
                        <w:rPr>
                          <w:b/>
                          <w:bCs/>
                          <w:sz w:val="56"/>
                          <w:szCs w:val="52"/>
                        </w:rPr>
                      </w:pPr>
                      <w:r w:rsidRPr="004E0735">
                        <w:rPr>
                          <w:b/>
                          <w:bCs/>
                          <w:sz w:val="56"/>
                          <w:szCs w:val="52"/>
                        </w:rPr>
                        <w:t>CHAPITRE 02</w:t>
                      </w:r>
                    </w:p>
                  </w:txbxContent>
                </v:textbox>
                <w10:wrap anchorx="margin"/>
              </v:shape>
            </w:pict>
          </mc:Fallback>
        </mc:AlternateContent>
      </w:r>
    </w:p>
    <w:p w14:paraId="33067302" w14:textId="77777777" w:rsidR="004E0735" w:rsidRDefault="004E0735" w:rsidP="004E0735">
      <w:pPr>
        <w:tabs>
          <w:tab w:val="left" w:pos="3501"/>
        </w:tabs>
        <w:rPr>
          <w:rFonts w:cstheme="majorBidi"/>
          <w:sz w:val="22"/>
        </w:rPr>
      </w:pPr>
      <w:r>
        <w:rPr>
          <w:rFonts w:cstheme="majorBidi"/>
          <w:sz w:val="22"/>
        </w:rPr>
        <w:tab/>
      </w:r>
    </w:p>
    <w:p w14:paraId="1976D152" w14:textId="77777777" w:rsidR="007C5DB8" w:rsidRPr="004E0735" w:rsidRDefault="004E0735" w:rsidP="004E0735">
      <w:pPr>
        <w:tabs>
          <w:tab w:val="left" w:pos="3501"/>
        </w:tabs>
        <w:rPr>
          <w:rFonts w:cstheme="majorBidi"/>
          <w:sz w:val="22"/>
        </w:rPr>
        <w:sectPr w:rsidR="007C5DB8" w:rsidRPr="004E0735" w:rsidSect="0065358E">
          <w:headerReference w:type="first" r:id="rId26"/>
          <w:footerReference w:type="first" r:id="rId27"/>
          <w:pgSz w:w="11906" w:h="16838"/>
          <w:pgMar w:top="851" w:right="1418" w:bottom="1134" w:left="1418" w:header="709" w:footer="709" w:gutter="0"/>
          <w:pgNumType w:start="66"/>
          <w:cols w:space="708"/>
          <w:titlePg/>
          <w:docGrid w:linePitch="360"/>
        </w:sectPr>
      </w:pPr>
      <w:r>
        <w:rPr>
          <w:rFonts w:cstheme="majorBidi"/>
          <w:sz w:val="22"/>
        </w:rPr>
        <w:tab/>
      </w:r>
    </w:p>
    <w:p w14:paraId="7E48F61A" w14:textId="77777777" w:rsidR="007C5DB8" w:rsidRPr="00E2052F" w:rsidRDefault="007C5DB8" w:rsidP="00BC1AEC">
      <w:pPr>
        <w:pStyle w:val="Titre1"/>
      </w:pPr>
      <w:bookmarkStart w:id="732" w:name="_Toc231742167"/>
      <w:bookmarkStart w:id="733" w:name="_Toc231746867"/>
      <w:bookmarkStart w:id="734" w:name="_Toc231752274"/>
      <w:bookmarkStart w:id="735" w:name="_Toc231810577"/>
      <w:bookmarkStart w:id="736" w:name="_Toc231811425"/>
      <w:bookmarkStart w:id="737" w:name="_Toc231811920"/>
      <w:bookmarkStart w:id="738" w:name="_Toc231812200"/>
      <w:bookmarkStart w:id="739" w:name="_Toc231815084"/>
      <w:r w:rsidRPr="00E2052F">
        <w:lastRenderedPageBreak/>
        <w:t>Chapitre 02 : La responsabilité sociale des entreprises comme levier d’intégrité pour les entreprises</w:t>
      </w:r>
      <w:bookmarkEnd w:id="732"/>
      <w:bookmarkEnd w:id="733"/>
      <w:bookmarkEnd w:id="734"/>
      <w:bookmarkEnd w:id="735"/>
      <w:r w:rsidR="003B6F7B">
        <w:t> :</w:t>
      </w:r>
      <w:bookmarkEnd w:id="736"/>
      <w:bookmarkEnd w:id="737"/>
      <w:bookmarkEnd w:id="738"/>
      <w:bookmarkEnd w:id="739"/>
    </w:p>
    <w:p w14:paraId="50162FF1" w14:textId="77777777" w:rsidR="007C5DB8" w:rsidRPr="00E2052F" w:rsidRDefault="007C5DB8" w:rsidP="00BC1AEC">
      <w:pPr>
        <w:pStyle w:val="Titre1"/>
      </w:pPr>
      <w:bookmarkStart w:id="740" w:name="_Toc231742168"/>
      <w:bookmarkStart w:id="741" w:name="_Toc231746868"/>
      <w:bookmarkStart w:id="742" w:name="_Toc231752275"/>
      <w:bookmarkStart w:id="743" w:name="_Toc231810578"/>
      <w:bookmarkStart w:id="744" w:name="_Toc231811426"/>
      <w:bookmarkStart w:id="745" w:name="_Toc231811921"/>
      <w:bookmarkStart w:id="746" w:name="_Toc231812201"/>
      <w:bookmarkStart w:id="747" w:name="_Toc231815085"/>
      <w:r w:rsidRPr="00E2052F">
        <w:t>Introduction du chapitre :</w:t>
      </w:r>
      <w:bookmarkEnd w:id="740"/>
      <w:bookmarkEnd w:id="741"/>
      <w:bookmarkEnd w:id="742"/>
      <w:bookmarkEnd w:id="743"/>
      <w:bookmarkEnd w:id="744"/>
      <w:bookmarkEnd w:id="745"/>
      <w:bookmarkEnd w:id="746"/>
      <w:bookmarkEnd w:id="747"/>
    </w:p>
    <w:p w14:paraId="7E3A0AFC" w14:textId="77777777" w:rsidR="007C5DB8" w:rsidRPr="00E2052F" w:rsidRDefault="007C5DB8" w:rsidP="003D28B1">
      <w:pPr>
        <w:spacing w:before="0" w:beforeAutospacing="0"/>
        <w:rPr>
          <w:rFonts w:cstheme="majorBidi"/>
          <w:sz w:val="22"/>
        </w:rPr>
      </w:pPr>
      <w:r w:rsidRPr="00E2052F">
        <w:rPr>
          <w:rFonts w:cstheme="majorBidi"/>
          <w:sz w:val="22"/>
        </w:rPr>
        <w:t>« Ce n’est pas en faisant de la philanthropie que l’entreprise aide la société, c’est en intégrant les enjeux sociaux dans sa stratégie de cœur de métier. »</w:t>
      </w:r>
      <w:r w:rsidRPr="00E2052F">
        <w:rPr>
          <w:rStyle w:val="Appelnotedebasdep"/>
          <w:rFonts w:cstheme="majorBidi"/>
          <w:sz w:val="22"/>
        </w:rPr>
        <w:footnoteReference w:id="148"/>
      </w:r>
      <w:r w:rsidRPr="00E2052F">
        <w:rPr>
          <w:rFonts w:cstheme="majorBidi"/>
          <w:sz w:val="22"/>
        </w:rPr>
        <w:t>C’est par ces mots on a redéfini le rôle moderne des entreprises loin d’une conception limitée à la seule recherche du profit ou à des actions caritatives périphériques, l’entreprise est désormais appelée à intégrer les enjeux sociaux et environnementaux au centre même de son modèle économique.</w:t>
      </w:r>
    </w:p>
    <w:p w14:paraId="13C46EF8" w14:textId="77777777" w:rsidR="007C5DB8" w:rsidRPr="00E2052F" w:rsidRDefault="007C5DB8" w:rsidP="003D28B1">
      <w:pPr>
        <w:spacing w:before="0" w:beforeAutospacing="0"/>
        <w:rPr>
          <w:rFonts w:cstheme="majorBidi"/>
          <w:sz w:val="22"/>
        </w:rPr>
      </w:pPr>
      <w:r w:rsidRPr="00E2052F">
        <w:rPr>
          <w:rFonts w:cstheme="majorBidi"/>
          <w:sz w:val="22"/>
        </w:rPr>
        <w:t>Dans un contexte mondial marqué par l’intensification des crises climatiques, l’aggravation des inégalités sociales et la multiplication des tensions économiques, l’entreprise se trouve au centre des débats contemporains. Longtemps moteur de croissance et de prospérité, elle est aujourd’hui également perçue comme l’un des vecteurs majeurs des déséquilibres actuels. Toutefois, si l’entreprise fait partie du problème, elle représente également une partie essentielle de la solution. Par sa capacité d’innovation, d’investissement et de transformation, elle dispose tant qu’acteur structurant des dynamiques économiques mondiales, des leviers nécessaires pour impulser des changements structurels durables.</w:t>
      </w:r>
    </w:p>
    <w:p w14:paraId="71E1D8A9" w14:textId="77777777" w:rsidR="007C5DB8" w:rsidRPr="00E2052F" w:rsidRDefault="007C5DB8" w:rsidP="003D28B1">
      <w:pPr>
        <w:spacing w:before="0" w:beforeAutospacing="0"/>
        <w:rPr>
          <w:rFonts w:cstheme="majorBidi"/>
          <w:sz w:val="22"/>
        </w:rPr>
      </w:pPr>
      <w:r w:rsidRPr="00E2052F">
        <w:rPr>
          <w:rFonts w:cstheme="majorBidi"/>
          <w:sz w:val="22"/>
        </w:rPr>
        <w:t>C’est précisément dans cette perspective que s’inscrit la Responsabilité Sociale des Entreprises (RSE). Loin d’être une démarche périphérique ou purement philanthropique, la RSE constitue Une réponse stratégique aux mutations contemporaines. Elle invite l’entreprise à intégrer de manière volontaire et structurée les préoccupations sociales, environnementales et éthiques dans ses décisions, ses processus et son modèle d’affaires et marque le passage d’une logique de croissance quantitative à une logique de performance durable, où la création de valeur ne se limite plus au profit financier, mais s’étend à l’impact social et environnemental.</w:t>
      </w:r>
    </w:p>
    <w:p w14:paraId="0041D0EC" w14:textId="77777777" w:rsidR="007C5DB8" w:rsidRPr="00E2052F" w:rsidRDefault="007C5DB8" w:rsidP="003D28B1">
      <w:pPr>
        <w:spacing w:before="0" w:beforeAutospacing="0"/>
        <w:rPr>
          <w:rFonts w:cstheme="majorBidi"/>
          <w:sz w:val="22"/>
        </w:rPr>
      </w:pPr>
      <w:r w:rsidRPr="00E2052F">
        <w:rPr>
          <w:rFonts w:cstheme="majorBidi"/>
          <w:sz w:val="22"/>
        </w:rPr>
        <w:t>Le défi stratégique réside aujourd’hui dans la construction d’un modèle de développement conciliant performance économique, préservation des ressources naturelles et respect de l’individu.</w:t>
      </w:r>
    </w:p>
    <w:p w14:paraId="77F89538" w14:textId="77777777" w:rsidR="007C5DB8" w:rsidRPr="00E2052F" w:rsidRDefault="007C5DB8" w:rsidP="003D28B1">
      <w:pPr>
        <w:spacing w:before="0" w:beforeAutospacing="0"/>
        <w:rPr>
          <w:rFonts w:cstheme="majorBidi"/>
          <w:sz w:val="22"/>
        </w:rPr>
      </w:pPr>
      <w:r w:rsidRPr="00E2052F">
        <w:rPr>
          <w:rFonts w:cstheme="majorBidi"/>
          <w:sz w:val="22"/>
        </w:rPr>
        <w:t>Ce chapitre vise à analyser le cadre théorique et stratégique de la Responsabilité Sociale des Entreprises (RSE). Il est structuré autour de trois sections principales.</w:t>
      </w:r>
    </w:p>
    <w:p w14:paraId="16817AFC" w14:textId="77777777" w:rsidR="007C5DB8" w:rsidRPr="00E2052F" w:rsidRDefault="007C5DB8" w:rsidP="003D28B1">
      <w:pPr>
        <w:spacing w:before="0" w:beforeAutospacing="0"/>
        <w:rPr>
          <w:rFonts w:cstheme="majorBidi"/>
          <w:sz w:val="22"/>
        </w:rPr>
      </w:pPr>
      <w:r w:rsidRPr="00E2052F">
        <w:rPr>
          <w:rFonts w:cstheme="majorBidi"/>
          <w:sz w:val="22"/>
        </w:rPr>
        <w:t xml:space="preserve">Dans la première section, nous présenterons les fondements conceptuels de la responsabilité sociale d’entreprises. Nous aborderons son évolution historique, ses principales définitions ainsi que les </w:t>
      </w:r>
      <w:r w:rsidRPr="00E2052F">
        <w:rPr>
          <w:rFonts w:cstheme="majorBidi"/>
          <w:sz w:val="22"/>
        </w:rPr>
        <w:lastRenderedPageBreak/>
        <w:t>approches théoriques qui en structurent l’analyse, notamment la théorie des parties prenantes et le modèle du développement durable.</w:t>
      </w:r>
    </w:p>
    <w:p w14:paraId="0057DE28" w14:textId="77777777" w:rsidR="007C5DB8" w:rsidRPr="00E2052F" w:rsidRDefault="007C5DB8" w:rsidP="003D28B1">
      <w:pPr>
        <w:spacing w:before="0" w:beforeAutospacing="0"/>
        <w:rPr>
          <w:rFonts w:cstheme="majorBidi"/>
          <w:sz w:val="22"/>
        </w:rPr>
      </w:pPr>
      <w:r w:rsidRPr="00E2052F">
        <w:rPr>
          <w:rFonts w:cstheme="majorBidi"/>
          <w:sz w:val="22"/>
        </w:rPr>
        <w:t>La deuxième section sera consacrée aux dimensions et aux instruments de mise en œuvre de la responsabilité sociale d’entreprises au sein de l’entreprise. Nous examinerons les piliers économique, social et environnemental, ainsi que les mécanismes d’intégration de la</w:t>
      </w:r>
      <w:r w:rsidR="0082159F">
        <w:rPr>
          <w:rFonts w:cstheme="majorBidi"/>
          <w:sz w:val="22"/>
        </w:rPr>
        <w:t xml:space="preserve"> </w:t>
      </w:r>
      <w:r w:rsidRPr="00E2052F">
        <w:rPr>
          <w:rFonts w:cstheme="majorBidi"/>
          <w:sz w:val="22"/>
        </w:rPr>
        <w:t>responsabilité sociale d’entreprises dans la stratégie, la gouvernance et le modèle d’affaires des organisations.</w:t>
      </w:r>
    </w:p>
    <w:p w14:paraId="45F25862" w14:textId="77777777" w:rsidR="007C5DB8" w:rsidRPr="00E2052F" w:rsidRDefault="007C5DB8" w:rsidP="003D28B1">
      <w:pPr>
        <w:spacing w:before="0" w:beforeAutospacing="0"/>
        <w:rPr>
          <w:rFonts w:cstheme="majorBidi"/>
          <w:sz w:val="22"/>
        </w:rPr>
      </w:pPr>
      <w:r w:rsidRPr="00E2052F">
        <w:rPr>
          <w:rFonts w:cstheme="majorBidi"/>
          <w:sz w:val="22"/>
        </w:rPr>
        <w:t>Enfin, la troisième section portera sur les enjeux stratégiques et les impacts de la responsabilité sociale d’entreprises</w:t>
      </w:r>
      <w:r w:rsidR="0082159F">
        <w:rPr>
          <w:rFonts w:cstheme="majorBidi"/>
          <w:sz w:val="22"/>
        </w:rPr>
        <w:t xml:space="preserve"> </w:t>
      </w:r>
      <w:r w:rsidRPr="00E2052F">
        <w:rPr>
          <w:rFonts w:cstheme="majorBidi"/>
          <w:sz w:val="22"/>
        </w:rPr>
        <w:t>sur la performance et la compétitivité de l’entreprise. Nous analyserons comment la responsabilité sociale d’entreprises</w:t>
      </w:r>
      <w:r w:rsidR="0082159F">
        <w:rPr>
          <w:rFonts w:cstheme="majorBidi"/>
          <w:sz w:val="22"/>
        </w:rPr>
        <w:t xml:space="preserve"> </w:t>
      </w:r>
      <w:r w:rsidRPr="00E2052F">
        <w:rPr>
          <w:rFonts w:cstheme="majorBidi"/>
          <w:sz w:val="22"/>
        </w:rPr>
        <w:t xml:space="preserve">peut </w:t>
      </w:r>
      <w:r w:rsidR="0082159F" w:rsidRPr="00E2052F">
        <w:rPr>
          <w:rFonts w:cstheme="majorBidi"/>
          <w:sz w:val="22"/>
        </w:rPr>
        <w:t>constituer</w:t>
      </w:r>
      <w:r w:rsidRPr="00E2052F">
        <w:rPr>
          <w:rFonts w:cstheme="majorBidi"/>
          <w:sz w:val="22"/>
        </w:rPr>
        <w:t xml:space="preserve"> un levier de création de valeur durable, de gestion des risques et de renforcement de la légitimité auprès des parties prenantes.</w:t>
      </w:r>
    </w:p>
    <w:p w14:paraId="7D3575C0" w14:textId="77777777" w:rsidR="00754299" w:rsidRPr="00E2052F" w:rsidRDefault="00754299" w:rsidP="003D28B1">
      <w:pPr>
        <w:spacing w:before="0" w:beforeAutospacing="0"/>
        <w:rPr>
          <w:rFonts w:cstheme="majorBidi"/>
          <w:sz w:val="22"/>
        </w:rPr>
      </w:pPr>
    </w:p>
    <w:p w14:paraId="06F3404A" w14:textId="77777777" w:rsidR="00754299" w:rsidRPr="00E2052F" w:rsidRDefault="00754299" w:rsidP="003D28B1">
      <w:pPr>
        <w:spacing w:before="0" w:beforeAutospacing="0"/>
        <w:rPr>
          <w:rFonts w:cstheme="majorBidi"/>
          <w:sz w:val="22"/>
        </w:rPr>
      </w:pPr>
    </w:p>
    <w:p w14:paraId="3CF5FBF9" w14:textId="77777777" w:rsidR="00754299" w:rsidRPr="00E2052F" w:rsidRDefault="00754299" w:rsidP="003D28B1">
      <w:pPr>
        <w:spacing w:before="0" w:beforeAutospacing="0"/>
        <w:rPr>
          <w:rFonts w:cstheme="majorBidi"/>
          <w:sz w:val="22"/>
        </w:rPr>
      </w:pPr>
    </w:p>
    <w:p w14:paraId="43D055ED" w14:textId="77777777" w:rsidR="00754299" w:rsidRPr="00E2052F" w:rsidRDefault="00754299" w:rsidP="003D28B1">
      <w:pPr>
        <w:spacing w:before="0" w:beforeAutospacing="0"/>
        <w:rPr>
          <w:rFonts w:cstheme="majorBidi"/>
          <w:sz w:val="22"/>
        </w:rPr>
      </w:pPr>
    </w:p>
    <w:p w14:paraId="2A7D301A" w14:textId="77777777" w:rsidR="00754299" w:rsidRPr="00E2052F" w:rsidRDefault="00754299" w:rsidP="003D28B1">
      <w:pPr>
        <w:spacing w:before="0" w:beforeAutospacing="0"/>
        <w:rPr>
          <w:rFonts w:cstheme="majorBidi"/>
          <w:sz w:val="22"/>
        </w:rPr>
      </w:pPr>
    </w:p>
    <w:p w14:paraId="1FAB2878" w14:textId="77777777" w:rsidR="00754299" w:rsidRDefault="00754299" w:rsidP="003D28B1">
      <w:pPr>
        <w:spacing w:before="0" w:beforeAutospacing="0"/>
        <w:rPr>
          <w:rFonts w:cstheme="majorBidi"/>
          <w:sz w:val="22"/>
        </w:rPr>
      </w:pPr>
    </w:p>
    <w:p w14:paraId="043C40F7" w14:textId="77777777" w:rsidR="00D77DE1" w:rsidRDefault="00D77DE1" w:rsidP="003D28B1">
      <w:pPr>
        <w:spacing w:before="0" w:beforeAutospacing="0"/>
        <w:rPr>
          <w:rFonts w:cstheme="majorBidi"/>
          <w:sz w:val="22"/>
        </w:rPr>
      </w:pPr>
    </w:p>
    <w:p w14:paraId="1694EE25" w14:textId="77777777" w:rsidR="00D77DE1" w:rsidRDefault="00D77DE1" w:rsidP="003D28B1">
      <w:pPr>
        <w:spacing w:before="0" w:beforeAutospacing="0"/>
        <w:rPr>
          <w:rFonts w:cstheme="majorBidi"/>
          <w:sz w:val="22"/>
        </w:rPr>
      </w:pPr>
    </w:p>
    <w:p w14:paraId="6A80AD92" w14:textId="77777777" w:rsidR="00D77DE1" w:rsidRDefault="00D77DE1" w:rsidP="003D28B1">
      <w:pPr>
        <w:spacing w:before="0" w:beforeAutospacing="0"/>
        <w:rPr>
          <w:rFonts w:cstheme="majorBidi"/>
          <w:sz w:val="22"/>
        </w:rPr>
      </w:pPr>
    </w:p>
    <w:p w14:paraId="658FB9B7" w14:textId="77777777" w:rsidR="00D77DE1" w:rsidRDefault="00D77DE1" w:rsidP="003D28B1">
      <w:pPr>
        <w:spacing w:before="0" w:beforeAutospacing="0"/>
        <w:rPr>
          <w:rFonts w:cstheme="majorBidi"/>
          <w:sz w:val="22"/>
        </w:rPr>
      </w:pPr>
    </w:p>
    <w:p w14:paraId="55D48F19" w14:textId="77777777" w:rsidR="00D77DE1" w:rsidRDefault="00D77DE1" w:rsidP="003D28B1">
      <w:pPr>
        <w:spacing w:before="0" w:beforeAutospacing="0"/>
        <w:rPr>
          <w:rFonts w:cstheme="majorBidi"/>
          <w:sz w:val="22"/>
        </w:rPr>
      </w:pPr>
    </w:p>
    <w:p w14:paraId="5682A851" w14:textId="77777777" w:rsidR="00D77DE1" w:rsidRPr="00E2052F" w:rsidRDefault="00D77DE1" w:rsidP="003D28B1">
      <w:pPr>
        <w:spacing w:before="0" w:beforeAutospacing="0"/>
        <w:rPr>
          <w:rFonts w:cstheme="majorBidi"/>
          <w:sz w:val="22"/>
        </w:rPr>
      </w:pPr>
    </w:p>
    <w:p w14:paraId="6D801D64" w14:textId="77777777" w:rsidR="00754299" w:rsidRPr="00E2052F" w:rsidRDefault="00754299" w:rsidP="003D28B1">
      <w:pPr>
        <w:spacing w:before="0" w:beforeAutospacing="0"/>
        <w:rPr>
          <w:rFonts w:cstheme="majorBidi"/>
          <w:sz w:val="22"/>
        </w:rPr>
      </w:pPr>
    </w:p>
    <w:p w14:paraId="66F469BB" w14:textId="77777777" w:rsidR="00754299" w:rsidRPr="00E2052F" w:rsidRDefault="00754299" w:rsidP="003D28B1">
      <w:pPr>
        <w:spacing w:before="0" w:beforeAutospacing="0"/>
        <w:rPr>
          <w:rFonts w:cstheme="majorBidi"/>
          <w:sz w:val="22"/>
        </w:rPr>
      </w:pPr>
    </w:p>
    <w:p w14:paraId="4989140F" w14:textId="77777777" w:rsidR="007C5DB8" w:rsidRPr="00E2052F" w:rsidRDefault="007C5DB8" w:rsidP="00BC1AEC">
      <w:pPr>
        <w:pStyle w:val="Titre1"/>
      </w:pPr>
      <w:bookmarkStart w:id="748" w:name="_Toc231742169"/>
      <w:bookmarkStart w:id="749" w:name="_Toc231746869"/>
      <w:bookmarkStart w:id="750" w:name="_Toc231752276"/>
      <w:bookmarkStart w:id="751" w:name="_Toc231810579"/>
      <w:bookmarkStart w:id="752" w:name="_Toc231811427"/>
      <w:bookmarkStart w:id="753" w:name="_Toc231811922"/>
      <w:bookmarkStart w:id="754" w:name="_Toc231812202"/>
      <w:bookmarkStart w:id="755" w:name="_Toc231815086"/>
      <w:r w:rsidRPr="00E2052F">
        <w:lastRenderedPageBreak/>
        <w:t>Section 01 : La notion de la responsabilité sociétale des entreprises</w:t>
      </w:r>
      <w:bookmarkEnd w:id="748"/>
      <w:bookmarkEnd w:id="749"/>
      <w:bookmarkEnd w:id="750"/>
      <w:bookmarkEnd w:id="751"/>
      <w:r w:rsidR="003B6F7B">
        <w:t> :</w:t>
      </w:r>
      <w:bookmarkEnd w:id="752"/>
      <w:bookmarkEnd w:id="753"/>
      <w:bookmarkEnd w:id="754"/>
      <w:bookmarkEnd w:id="755"/>
    </w:p>
    <w:p w14:paraId="2AD35738" w14:textId="77777777" w:rsidR="007C5DB8" w:rsidRPr="00E2052F" w:rsidRDefault="007C5DB8" w:rsidP="00D77DE1">
      <w:pPr>
        <w:spacing w:before="0" w:beforeAutospacing="0"/>
        <w:rPr>
          <w:rFonts w:cstheme="majorBidi"/>
          <w:sz w:val="22"/>
        </w:rPr>
      </w:pPr>
      <w:r w:rsidRPr="00E2052F">
        <w:rPr>
          <w:rFonts w:cstheme="majorBidi"/>
          <w:sz w:val="22"/>
        </w:rPr>
        <w:t>La Responsabilité Sociale des Entreprises s’est progressivement imposée comme « un sujet à la mode »</w:t>
      </w:r>
      <w:r w:rsidRPr="00E2052F">
        <w:rPr>
          <w:rStyle w:val="Appelnotedebasdep"/>
          <w:rFonts w:cstheme="majorBidi"/>
          <w:sz w:val="22"/>
        </w:rPr>
        <w:footnoteReference w:id="149"/>
      </w:r>
      <w:r w:rsidRPr="00E2052F">
        <w:rPr>
          <w:rFonts w:cstheme="majorBidi"/>
          <w:sz w:val="22"/>
        </w:rPr>
        <w:t xml:space="preserve"> qui se distingue par son caractère profondément transversal, ce qui explique l’ouverture d’une voie à une diversité de réflexions approfondies autour de problématique fondamentale : Quelle responsabilité ? De qui ? Envers qui ? Comment ? Avec qui ? Jusqu’a quand ? Pourquoi ? Il met également en lumière la question délicate de la répartition des responsabilités, d’une part entre l’entreprise et l’État, et d’autre part entre les entreprises, les consommateurs et les citoyens, soulignant ainsi la dimension collective et partagée de l’engagement sociétal. </w:t>
      </w:r>
    </w:p>
    <w:p w14:paraId="08C5DC09" w14:textId="77777777" w:rsidR="007C5DB8" w:rsidRPr="00E2052F" w:rsidRDefault="007C5DB8" w:rsidP="003D28B1">
      <w:pPr>
        <w:spacing w:before="0" w:beforeAutospacing="0"/>
        <w:rPr>
          <w:rFonts w:cstheme="majorBidi"/>
          <w:sz w:val="22"/>
        </w:rPr>
      </w:pPr>
      <w:r w:rsidRPr="00E2052F">
        <w:rPr>
          <w:rFonts w:cstheme="majorBidi"/>
          <w:sz w:val="22"/>
        </w:rPr>
        <w:t>La responsabilité Sociale des Entreprises ne s’inscrit pas dans une fonction isolée de l’entreprise, mais irrigue l’ensemble de son architecture stratégique et ne modifie pas seulement les pratiques mais mêmela manière dont l’entreprise conçoit sa légitimité, son rôle sociétal et sa trajectoire de croissance.</w:t>
      </w:r>
    </w:p>
    <w:p w14:paraId="2996ECD5" w14:textId="77777777" w:rsidR="007C5DB8" w:rsidRPr="00E2052F" w:rsidRDefault="007C5DB8" w:rsidP="003D28B1">
      <w:pPr>
        <w:spacing w:before="0" w:beforeAutospacing="0"/>
        <w:rPr>
          <w:rFonts w:cstheme="majorBidi"/>
          <w:sz w:val="22"/>
        </w:rPr>
      </w:pPr>
      <w:r w:rsidRPr="00E2052F">
        <w:rPr>
          <w:rFonts w:cstheme="majorBidi"/>
          <w:sz w:val="22"/>
        </w:rPr>
        <w:t>L’importance de la Responsabilité Sociale des Entreprises réside dans sa capacité de renforcer la performance organisationnelle en intégrant de manière stratégique les aspects économique, sociale et environnementale.</w:t>
      </w:r>
    </w:p>
    <w:p w14:paraId="1E087DA0" w14:textId="77777777" w:rsidR="007C5DB8" w:rsidRPr="00E2052F" w:rsidRDefault="007C5DB8" w:rsidP="003D28B1">
      <w:pPr>
        <w:spacing w:before="0" w:beforeAutospacing="0"/>
        <w:rPr>
          <w:rFonts w:cstheme="majorBidi"/>
          <w:sz w:val="22"/>
        </w:rPr>
      </w:pPr>
      <w:r w:rsidRPr="00E2052F">
        <w:rPr>
          <w:rFonts w:cstheme="majorBidi"/>
          <w:sz w:val="22"/>
        </w:rPr>
        <w:t>Une entreprise véritablement performante et responsable est celle qui intègre l’excellence de sa gouvernance et l’efficience de son organisation dans une dynamique d’amélioration continue, tout en orchestrant des relations durables et créatrices de valeur avec l’ensemble de ses parties prenantes, afin d’assurer sa légitimité, sa résilience et sa pérennité dans un environnement complexe et évolutif. Donc c'est le moment pour les chefs d'entreprises de mettre la RSE sur leur agenda.</w:t>
      </w:r>
    </w:p>
    <w:p w14:paraId="46C81939" w14:textId="77777777" w:rsidR="007C5DB8" w:rsidRPr="00E2052F" w:rsidRDefault="00C9312A" w:rsidP="00F36332">
      <w:pPr>
        <w:pStyle w:val="Titre2"/>
        <w:numPr>
          <w:ilvl w:val="0"/>
          <w:numId w:val="236"/>
        </w:numPr>
      </w:pPr>
      <w:bookmarkStart w:id="756" w:name="_Toc231746870"/>
      <w:bookmarkStart w:id="757" w:name="_Toc231752277"/>
      <w:bookmarkStart w:id="758" w:name="_Toc231810580"/>
      <w:bookmarkStart w:id="759" w:name="_Toc231811923"/>
      <w:bookmarkStart w:id="760" w:name="_Toc231812203"/>
      <w:bookmarkStart w:id="761" w:name="_Toc231815087"/>
      <w:r>
        <w:t>De la genèse aux origines</w:t>
      </w:r>
      <w:r w:rsidR="007C5DB8" w:rsidRPr="00E2052F">
        <w:t xml:space="preserve"> conceptuelles de la responsabilité sociale des entreprises :</w:t>
      </w:r>
      <w:bookmarkEnd w:id="756"/>
      <w:bookmarkEnd w:id="757"/>
      <w:bookmarkEnd w:id="758"/>
      <w:bookmarkEnd w:id="759"/>
      <w:bookmarkEnd w:id="760"/>
      <w:bookmarkEnd w:id="761"/>
    </w:p>
    <w:p w14:paraId="057C7F18"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Responsabilité Sociale des Entreprises (RSE) s’est progressivement affirmée comme un élément structurant du discours et des pratiques managériales contemporaines. À la fin des années 1970, moins de la moitié des entreprises figurant dans le classement " </w:t>
      </w:r>
      <w:r w:rsidRPr="00E2052F">
        <w:rPr>
          <w:rFonts w:asciiTheme="majorBidi" w:hAnsiTheme="majorBidi" w:cstheme="majorBidi"/>
          <w:i/>
          <w:iCs/>
          <w:sz w:val="22"/>
          <w:szCs w:val="22"/>
        </w:rPr>
        <w:t>Fortune 500</w:t>
      </w:r>
      <w:r w:rsidRPr="00E2052F">
        <w:rPr>
          <w:rFonts w:asciiTheme="majorBidi" w:hAnsiTheme="majorBidi" w:cstheme="majorBidi"/>
          <w:sz w:val="22"/>
          <w:szCs w:val="22"/>
        </w:rPr>
        <w:t xml:space="preserve"> " faisaient mention de la RSE dans leurs rapports annuels, deux décennies plus tard, cette proportion dépassait 90 %.En 2025, cette intégration est devenue quasi systématique : la totalité des grandes entreprises publient désormais des rapports de durabilité structurés, souvent alignés sur des référentiels des normes environnementales, sociales et de gouvernance(ESG) et soumis à des exigences réglementaires accrues. Cette progression significative ne saurait être interprétée comme un simple phénomène discursif, mais traduit une mutation structurelle de l’environnement institutionnel dans lequel opèrent les entreprises. Cette montré en puissance illustre le passage d’une responsabilité perçue comme facultative à une exigence stratégique structurante, intégrée au cœur même du pilotage organisationnel et de la création de valeur durable.</w:t>
      </w:r>
    </w:p>
    <w:p w14:paraId="142477F7"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Par ailleurs, l’entrée du champ « Responsabilité Sociale des Entreprises » sur le moteur de recherche Google nous offre plusieurs dizaines de millions de résultats en une seconde, ce qui montre son importance et sa présence massive dans le débat public et académique. Selon Steiner et Steiner (2011), elle trouve ses racines dans les initiatives philanthropiques de personnalités comme John Rockefeller et Andrew Carnegie, qui ont investi des millions de dollars dans des actions sociales.</w:t>
      </w:r>
    </w:p>
    <w:p w14:paraId="561AF3B4" w14:textId="77777777" w:rsidR="007C5DB8" w:rsidRPr="00E2052F" w:rsidRDefault="007C5DB8" w:rsidP="00D61875">
      <w:pPr>
        <w:pStyle w:val="NormalWeb"/>
        <w:numPr>
          <w:ilvl w:val="0"/>
          <w:numId w:val="10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 xml:space="preserve">Le </w:t>
      </w:r>
      <w:r w:rsidRPr="00E2052F">
        <w:rPr>
          <w:rFonts w:asciiTheme="majorBidi" w:hAnsiTheme="majorBidi" w:cstheme="majorBidi"/>
          <w:i/>
          <w:iCs/>
          <w:sz w:val="22"/>
          <w:szCs w:val="22"/>
        </w:rPr>
        <w:t>Fortune 500</w:t>
      </w:r>
      <w:r w:rsidRPr="00E2052F">
        <w:rPr>
          <w:rFonts w:asciiTheme="majorBidi" w:hAnsiTheme="majorBidi" w:cstheme="majorBidi"/>
          <w:sz w:val="22"/>
          <w:szCs w:val="22"/>
        </w:rPr>
        <w:t xml:space="preserve"> est un classement annuel publié par le magazine américain Fortune. Il recense les 500 plus grandes entreprises opérant aux États-Unis, classées selon leur chiffre d’affaires total réalisé au cours de leur exercice fiscal. Ce classement inclut comprend à la fois des entreprises publiques et des entreprises privées qui publient occasionnellement leurs revenus cotées en bourse, à condition que leurs données financières soient accessibles au public.</w:t>
      </w:r>
      <w:r w:rsidRPr="00E2052F">
        <w:rPr>
          <w:rFonts w:asciiTheme="majorBidi" w:hAnsiTheme="majorBidi" w:cstheme="majorBidi"/>
          <w:sz w:val="22"/>
          <w:szCs w:val="22"/>
        </w:rPr>
        <w:tab/>
      </w:r>
    </w:p>
    <w:p w14:paraId="63042A56" w14:textId="77777777" w:rsidR="007C5DB8" w:rsidRPr="00E2052F" w:rsidRDefault="007C5DB8" w:rsidP="00D61875">
      <w:pPr>
        <w:pStyle w:val="NormalWeb"/>
        <w:numPr>
          <w:ilvl w:val="0"/>
          <w:numId w:val="103"/>
        </w:numPr>
        <w:spacing w:before="0" w:beforeAutospacing="0" w:line="360" w:lineRule="auto"/>
        <w:ind w:left="0" w:firstLine="284"/>
        <w:rPr>
          <w:rStyle w:val="lev"/>
          <w:rFonts w:asciiTheme="majorBidi" w:hAnsiTheme="majorBidi" w:cstheme="majorBidi"/>
          <w:b w:val="0"/>
          <w:bCs w:val="0"/>
          <w:sz w:val="22"/>
          <w:szCs w:val="22"/>
        </w:rPr>
      </w:pPr>
      <w:r w:rsidRPr="00E2052F">
        <w:rPr>
          <w:rFonts w:asciiTheme="majorBidi" w:hAnsiTheme="majorBidi" w:cstheme="majorBidi"/>
          <w:sz w:val="22"/>
          <w:szCs w:val="22"/>
        </w:rPr>
        <w:t xml:space="preserve">La plupart des notations se fondent sur les revenus annuels des exercices concernés, en utilisant des données financières publiques. Figurer parmi les </w:t>
      </w:r>
      <w:r w:rsidRPr="00E2052F">
        <w:rPr>
          <w:rStyle w:val="lev"/>
          <w:rFonts w:asciiTheme="majorBidi" w:hAnsiTheme="majorBidi" w:cstheme="majorBidi"/>
          <w:b w:val="0"/>
          <w:bCs w:val="0"/>
          <w:i/>
          <w:iCs/>
          <w:sz w:val="22"/>
          <w:szCs w:val="22"/>
        </w:rPr>
        <w:t>Fortune 500</w:t>
      </w:r>
      <w:r w:rsidRPr="00E2052F">
        <w:rPr>
          <w:rFonts w:asciiTheme="majorBidi" w:hAnsiTheme="majorBidi" w:cstheme="majorBidi"/>
          <w:sz w:val="22"/>
          <w:szCs w:val="22"/>
        </w:rPr>
        <w:t xml:space="preserve"> confère souvent un </w:t>
      </w:r>
      <w:r w:rsidRPr="00E2052F">
        <w:rPr>
          <w:rStyle w:val="lev"/>
          <w:rFonts w:asciiTheme="majorBidi" w:hAnsiTheme="majorBidi" w:cstheme="majorBidi"/>
          <w:b w:val="0"/>
          <w:bCs w:val="0"/>
          <w:sz w:val="22"/>
          <w:szCs w:val="22"/>
        </w:rPr>
        <w:t>certain prestige</w:t>
      </w:r>
      <w:r w:rsidRPr="00E2052F">
        <w:rPr>
          <w:rFonts w:asciiTheme="majorBidi" w:hAnsiTheme="majorBidi" w:cstheme="majorBidi"/>
          <w:sz w:val="22"/>
          <w:szCs w:val="22"/>
        </w:rPr>
        <w:t xml:space="preserve"> aux sociétés, agissant comme un véritable </w:t>
      </w:r>
      <w:r w:rsidRPr="00E2052F">
        <w:rPr>
          <w:rStyle w:val="lev"/>
          <w:rFonts w:asciiTheme="majorBidi" w:hAnsiTheme="majorBidi" w:cstheme="majorBidi"/>
          <w:b w:val="0"/>
          <w:bCs w:val="0"/>
          <w:sz w:val="22"/>
          <w:szCs w:val="22"/>
        </w:rPr>
        <w:t>insigne d’honneur.</w:t>
      </w:r>
    </w:p>
    <w:p w14:paraId="31D91F4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notion de responsabilité sociale trouve ses </w:t>
      </w:r>
      <w:r w:rsidRPr="00E2052F">
        <w:rPr>
          <w:rStyle w:val="lev"/>
          <w:rFonts w:asciiTheme="majorBidi" w:hAnsiTheme="majorBidi" w:cstheme="majorBidi"/>
          <w:b w:val="0"/>
          <w:bCs w:val="0"/>
          <w:sz w:val="22"/>
          <w:szCs w:val="22"/>
        </w:rPr>
        <w:t>fondements dans l’histoire de la pensée éthique, philosophique et économique</w:t>
      </w:r>
      <w:r w:rsidRPr="00E2052F">
        <w:rPr>
          <w:rFonts w:asciiTheme="majorBidi" w:hAnsiTheme="majorBidi" w:cstheme="majorBidi"/>
          <w:b/>
          <w:bCs/>
          <w:sz w:val="22"/>
          <w:szCs w:val="22"/>
        </w:rPr>
        <w:t>,</w:t>
      </w:r>
      <w:r w:rsidRPr="00E2052F">
        <w:rPr>
          <w:rFonts w:asciiTheme="majorBidi" w:hAnsiTheme="majorBidi" w:cstheme="majorBidi"/>
          <w:sz w:val="22"/>
          <w:szCs w:val="22"/>
        </w:rPr>
        <w:t xml:space="preserve"> bien avant sa formalisation dans le management contemporain.</w:t>
      </w:r>
      <w:r w:rsidR="00754299" w:rsidRPr="00E2052F">
        <w:rPr>
          <w:rFonts w:asciiTheme="majorBidi" w:hAnsiTheme="majorBidi" w:cstheme="majorBidi"/>
          <w:sz w:val="22"/>
          <w:szCs w:val="22"/>
        </w:rPr>
        <w:t xml:space="preserve"> </w:t>
      </w:r>
      <w:r w:rsidRPr="00E2052F">
        <w:rPr>
          <w:rFonts w:asciiTheme="majorBidi" w:hAnsiTheme="majorBidi" w:cstheme="majorBidi"/>
          <w:sz w:val="22"/>
          <w:szCs w:val="22"/>
        </w:rPr>
        <w:t>En effet, les réflexions relatives au rôle de l’entreprise dans la société s’inscrivent dans une longue tradition intellectuelle qui considère que l’activité économique ne peut être dissociée des valeurs morales, des normes sociales et des exigences de justice.Comprendre ces racines permet donc  de saisir pourquoi la responsabilité des entreprises ne se limite pas à la conformité aux lois et aux réglementations, mais implique également une prise en compte des attentes de la société, du bien-être des individus et du développement durable.</w:t>
      </w:r>
    </w:p>
    <w:p w14:paraId="7192A2B0" w14:textId="77777777" w:rsidR="007C5DB8" w:rsidRPr="00C9312A" w:rsidRDefault="007C5DB8" w:rsidP="00F36332">
      <w:pPr>
        <w:pStyle w:val="Titre3"/>
        <w:numPr>
          <w:ilvl w:val="0"/>
          <w:numId w:val="221"/>
        </w:numPr>
        <w:rPr>
          <w:rFonts w:asciiTheme="majorBidi" w:hAnsiTheme="majorBidi"/>
          <w:color w:val="auto"/>
          <w:sz w:val="22"/>
          <w:szCs w:val="20"/>
        </w:rPr>
      </w:pPr>
      <w:bookmarkStart w:id="762" w:name="_Toc231746871"/>
      <w:bookmarkStart w:id="763" w:name="_Toc231752278"/>
      <w:bookmarkStart w:id="764" w:name="_Toc231810581"/>
      <w:bookmarkStart w:id="765" w:name="_Toc231811924"/>
      <w:bookmarkStart w:id="766" w:name="_Toc231812204"/>
      <w:bookmarkStart w:id="767" w:name="_Toc231815088"/>
      <w:r w:rsidRPr="00C9312A">
        <w:rPr>
          <w:rFonts w:asciiTheme="majorBidi" w:hAnsiTheme="majorBidi"/>
          <w:color w:val="auto"/>
          <w:sz w:val="22"/>
          <w:szCs w:val="20"/>
        </w:rPr>
        <w:t>Les origines philosophiques :</w:t>
      </w:r>
      <w:bookmarkEnd w:id="762"/>
      <w:bookmarkEnd w:id="763"/>
      <w:bookmarkEnd w:id="764"/>
      <w:bookmarkEnd w:id="765"/>
      <w:bookmarkEnd w:id="766"/>
      <w:bookmarkEnd w:id="767"/>
    </w:p>
    <w:p w14:paraId="21783259"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À partir de la fin du XIXᵉ siècle, les controverses générées par les abus du libéralisme économique ont suscité un large débat sur la légitimité du capitalisme américain et ont posé les jalons d’une réflexion relative à la conciliation entre intérêt public et intérêt privé</w:t>
      </w:r>
      <w:r w:rsidRPr="00E2052F">
        <w:rPr>
          <w:rStyle w:val="Appelnotedebasdep"/>
          <w:rFonts w:asciiTheme="majorBidi" w:hAnsiTheme="majorBidi" w:cstheme="majorBidi"/>
          <w:sz w:val="22"/>
          <w:szCs w:val="22"/>
        </w:rPr>
        <w:footnoteReference w:id="150"/>
      </w:r>
      <w:r w:rsidRPr="00E2052F">
        <w:rPr>
          <w:rFonts w:asciiTheme="majorBidi" w:hAnsiTheme="majorBidi" w:cstheme="majorBidi"/>
          <w:sz w:val="22"/>
          <w:szCs w:val="22"/>
        </w:rPr>
        <w:t xml:space="preserve">. Dans cette dynamique, Henry Ford défend l’idée selon laquelle l’industrie doit servir en priorité la société plutôt que les seuls </w:t>
      </w:r>
      <w:r w:rsidR="00754299" w:rsidRPr="00E2052F">
        <w:rPr>
          <w:rFonts w:asciiTheme="majorBidi" w:hAnsiTheme="majorBidi" w:cstheme="majorBidi"/>
          <w:sz w:val="22"/>
          <w:szCs w:val="22"/>
        </w:rPr>
        <w:t>actionnaires. Au</w:t>
      </w:r>
      <w:r w:rsidRPr="00E2052F">
        <w:rPr>
          <w:rFonts w:asciiTheme="majorBidi" w:hAnsiTheme="majorBidi" w:cstheme="majorBidi"/>
          <w:sz w:val="22"/>
          <w:szCs w:val="22"/>
        </w:rPr>
        <w:t xml:space="preserve"> cours des années 1860-1870, les critiques adressées au comportement de la grande entreprise, marquées par l’essor des « trusts » et leurs débordements économiques et sociaux, ont conduit à des réformes sociales et à l’émergence des premiers codes de </w:t>
      </w:r>
      <w:r w:rsidR="00754299" w:rsidRPr="00E2052F">
        <w:rPr>
          <w:rFonts w:asciiTheme="majorBidi" w:hAnsiTheme="majorBidi" w:cstheme="majorBidi"/>
          <w:sz w:val="22"/>
          <w:szCs w:val="22"/>
        </w:rPr>
        <w:t>conduite. La</w:t>
      </w:r>
      <w:r w:rsidRPr="00E2052F">
        <w:rPr>
          <w:rFonts w:asciiTheme="majorBidi" w:hAnsiTheme="majorBidi" w:cstheme="majorBidi"/>
          <w:sz w:val="22"/>
          <w:szCs w:val="22"/>
        </w:rPr>
        <w:t xml:space="preserve"> question sociale devient alors plus prégnante avec l’apparition d’hommes d’affaires responsables et de grands industriels philanthropes tels </w:t>
      </w:r>
      <w:r w:rsidRPr="00E2052F">
        <w:rPr>
          <w:rFonts w:asciiTheme="majorBidi" w:hAnsiTheme="majorBidi" w:cstheme="majorBidi"/>
          <w:sz w:val="22"/>
          <w:szCs w:val="22"/>
        </w:rPr>
        <w:lastRenderedPageBreak/>
        <w:t>que John D. Rockefeller et Andrew Carnegie, qui participent à la diffusion de l’évangile social</w:t>
      </w:r>
      <w:r w:rsidRPr="00E2052F">
        <w:rPr>
          <w:rStyle w:val="Appelnotedebasdep"/>
          <w:rFonts w:asciiTheme="majorBidi" w:hAnsiTheme="majorBidi" w:cstheme="majorBidi"/>
          <w:sz w:val="22"/>
          <w:szCs w:val="22"/>
        </w:rPr>
        <w:footnoteReference w:id="151"/>
      </w:r>
      <w:r w:rsidRPr="00E2052F">
        <w:rPr>
          <w:rFonts w:asciiTheme="majorBidi" w:hAnsiTheme="majorBidi" w:cstheme="majorBidi"/>
          <w:sz w:val="22"/>
          <w:szCs w:val="22"/>
        </w:rPr>
        <w:t>. Dans ce prolongement, Max Weber met en évidence les liens entre éthique protestante et esprit du capitalisme, expliquant l’émergence d’une responsabilité sociale des élites dans les sociétés industrielles.</w:t>
      </w:r>
    </w:p>
    <w:p w14:paraId="1B305647"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le contexte de la seconde révolution industrielle, la gestion de la main-d’œuvre s’inscrit dans une logique de paternalisme industriel. Cette évolution s’accompagne d’un mouvement religieux et intellectuel, dans lequel les classes dirigeantes sont considérées comme responsables des classes sociales inférieures. Ce courant s’inspire notamment des analyses historiques sur la responsabilité sociale de l’entreprise et son évolution doctrinale</w:t>
      </w:r>
      <w:r w:rsidRPr="00E2052F">
        <w:rPr>
          <w:rStyle w:val="Appelnotedebasdep"/>
          <w:rFonts w:asciiTheme="majorBidi" w:hAnsiTheme="majorBidi" w:cstheme="majorBidi"/>
          <w:sz w:val="22"/>
          <w:szCs w:val="22"/>
        </w:rPr>
        <w:footnoteReference w:id="152"/>
      </w:r>
      <w:r w:rsidRPr="00E2052F">
        <w:rPr>
          <w:rFonts w:asciiTheme="majorBidi" w:hAnsiTheme="majorBidi" w:cstheme="majorBidi"/>
          <w:sz w:val="22"/>
          <w:szCs w:val="22"/>
        </w:rPr>
        <w:t>.Par ailleurs, en 1884, l’abrogation de la loi Le Chapelier en France et la légalisation des syndicats marquent un recul du paternalisme religieux. L’État-providence se substitue progressivement à l’État-gendarme pour répondre aux conséquences sociales de l’industrialisation.La crise de 1929 et la Grande Dépression entraînent ensuite une perte de légitimité des dirigeants d’entreprise et un affaiblissement des discours sur la responsabilité sociale.</w:t>
      </w:r>
    </w:p>
    <w:p w14:paraId="286AA262" w14:textId="77777777" w:rsidR="007C5DB8" w:rsidRPr="00E2052F" w:rsidRDefault="007C5DB8" w:rsidP="00754299">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Enfin, la fin du XIXᵉ siècle voit émerger un courant populaire dénonçant les excès des grandes entreprises, à l’origine de mouvements sociaux (syndicats, défense des consommateurs, droits civiques, environnement). Ces dynamiques conduisent à des formes d’intervention publique et à la création d’organismes d’autorégulation, annonçant l’apparition d’une « RSE encadrée »</w:t>
      </w:r>
      <w:r w:rsidRPr="00E2052F">
        <w:rPr>
          <w:rStyle w:val="Appelnotedebasdep"/>
          <w:rFonts w:asciiTheme="majorBidi" w:hAnsiTheme="majorBidi" w:cstheme="majorBidi"/>
          <w:sz w:val="22"/>
          <w:szCs w:val="22"/>
        </w:rPr>
        <w:footnoteReference w:id="153"/>
      </w:r>
      <w:r w:rsidR="00754299" w:rsidRPr="00E2052F">
        <w:rPr>
          <w:rFonts w:asciiTheme="majorBidi" w:hAnsiTheme="majorBidi" w:cstheme="majorBidi"/>
          <w:sz w:val="22"/>
          <w:szCs w:val="22"/>
        </w:rPr>
        <w:t>.</w:t>
      </w:r>
    </w:p>
    <w:p w14:paraId="1DE4531C" w14:textId="77777777" w:rsidR="007C5DB8" w:rsidRPr="00C9312A" w:rsidRDefault="007C5DB8" w:rsidP="00F36332">
      <w:pPr>
        <w:pStyle w:val="Titre3"/>
        <w:numPr>
          <w:ilvl w:val="0"/>
          <w:numId w:val="221"/>
        </w:numPr>
        <w:rPr>
          <w:rFonts w:asciiTheme="majorBidi" w:hAnsiTheme="majorBidi"/>
          <w:color w:val="auto"/>
          <w:sz w:val="22"/>
          <w:szCs w:val="20"/>
        </w:rPr>
      </w:pPr>
      <w:bookmarkStart w:id="768" w:name="_Toc231746872"/>
      <w:bookmarkStart w:id="769" w:name="_Toc231752279"/>
      <w:bookmarkStart w:id="770" w:name="_Toc231810582"/>
      <w:bookmarkStart w:id="771" w:name="_Toc231811925"/>
      <w:bookmarkStart w:id="772" w:name="_Toc231812205"/>
      <w:bookmarkStart w:id="773" w:name="_Toc231815089"/>
      <w:r w:rsidRPr="00C9312A">
        <w:rPr>
          <w:rFonts w:asciiTheme="majorBidi" w:hAnsiTheme="majorBidi"/>
          <w:color w:val="auto"/>
          <w:sz w:val="22"/>
          <w:szCs w:val="20"/>
        </w:rPr>
        <w:t xml:space="preserve">Les origines </w:t>
      </w:r>
      <w:r w:rsidRPr="00C9312A">
        <w:rPr>
          <w:rFonts w:asciiTheme="majorBidi" w:eastAsiaTheme="minorHAnsi" w:hAnsiTheme="majorBidi"/>
          <w:color w:val="auto"/>
          <w:sz w:val="22"/>
          <w:szCs w:val="20"/>
        </w:rPr>
        <w:t>éthiques :</w:t>
      </w:r>
      <w:bookmarkEnd w:id="768"/>
      <w:bookmarkEnd w:id="769"/>
      <w:bookmarkEnd w:id="770"/>
      <w:bookmarkEnd w:id="771"/>
      <w:bookmarkEnd w:id="772"/>
      <w:bookmarkEnd w:id="773"/>
    </w:p>
    <w:p w14:paraId="5B5513E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Depuis l’Antiquité, les philosophes ont souligné que les activités humaines doivent être guidées par des notions de justice, d’équité et de responsabilité envers autrui. Les débats sur le rôle de la grande entreprise trouvent leur origine dans l’éthique de la société américaine et du monde des affaires</w:t>
      </w:r>
      <w:r w:rsidRPr="00E2052F">
        <w:rPr>
          <w:rStyle w:val="Appelnotedebasdep"/>
          <w:rFonts w:asciiTheme="majorBidi" w:hAnsiTheme="majorBidi" w:cstheme="majorBidi"/>
          <w:sz w:val="22"/>
          <w:szCs w:val="22"/>
        </w:rPr>
        <w:footnoteReference w:id="154"/>
      </w:r>
      <w:r w:rsidRPr="00E2052F">
        <w:rPr>
          <w:rFonts w:asciiTheme="majorBidi" w:hAnsiTheme="majorBidi" w:cstheme="majorBidi"/>
          <w:sz w:val="22"/>
          <w:szCs w:val="22"/>
        </w:rPr>
        <w:t>. Dans ce cadre, la société américaine considère qu’une entreprise est loyale et honnête tant qu’elle respecte ses engagements sociaux envers les acteurs qui ont contribué à sa réussiteLes réflexions d'</w:t>
      </w:r>
      <w:r w:rsidRPr="00E2052F">
        <w:rPr>
          <w:rFonts w:asciiTheme="majorBidi" w:hAnsiTheme="majorBidi" w:cstheme="majorBidi"/>
          <w:i/>
          <w:iCs/>
          <w:sz w:val="22"/>
          <w:szCs w:val="22"/>
        </w:rPr>
        <w:t>Aristote</w:t>
      </w:r>
      <w:r w:rsidRPr="00E2052F">
        <w:rPr>
          <w:rFonts w:asciiTheme="majorBidi" w:hAnsiTheme="majorBidi" w:cstheme="majorBidi"/>
          <w:sz w:val="22"/>
          <w:szCs w:val="22"/>
        </w:rPr>
        <w:t xml:space="preserve"> sur la justice et le bien commun, en particulier, ont souligné l'importance d'un équilibre entre intérêts individuels et collectifs, où « le bien de l'homme réside dans l'activité de l'âme conforme à la vertu »</w:t>
      </w:r>
      <w:r w:rsidRPr="00E2052F">
        <w:rPr>
          <w:rStyle w:val="Appelnotedebasdep"/>
          <w:rFonts w:asciiTheme="majorBidi" w:hAnsiTheme="majorBidi" w:cstheme="majorBidi"/>
          <w:sz w:val="22"/>
          <w:szCs w:val="22"/>
        </w:rPr>
        <w:footnoteReference w:id="155"/>
      </w:r>
      <w:r w:rsidRPr="00E2052F">
        <w:rPr>
          <w:rFonts w:asciiTheme="majorBidi" w:hAnsiTheme="majorBidi" w:cstheme="majorBidi"/>
          <w:sz w:val="22"/>
          <w:szCs w:val="22"/>
        </w:rPr>
        <w:t xml:space="preserve">. Selon cette approche, toute organisation active dans la vie économique a le devoir de contribuer au bien-être de la société et d'agir vertueusement.Par ailleurs, Epstein souligne que cette éthique repose sur deux </w:t>
      </w:r>
      <w:r w:rsidRPr="00E2052F">
        <w:rPr>
          <w:rFonts w:asciiTheme="majorBidi" w:hAnsiTheme="majorBidi" w:cstheme="majorBidi"/>
          <w:sz w:val="22"/>
          <w:szCs w:val="22"/>
        </w:rPr>
        <w:lastRenderedPageBreak/>
        <w:t>fondements essentiels : la dimension religieuse et l’idéalisme</w:t>
      </w:r>
      <w:r w:rsidRPr="00E2052F">
        <w:rPr>
          <w:rStyle w:val="Appelnotedebasdep"/>
          <w:rFonts w:asciiTheme="majorBidi" w:hAnsiTheme="majorBidi" w:cstheme="majorBidi"/>
          <w:sz w:val="22"/>
          <w:szCs w:val="22"/>
        </w:rPr>
        <w:footnoteReference w:id="156"/>
      </w:r>
      <w:r w:rsidRPr="00E2052F">
        <w:rPr>
          <w:rFonts w:asciiTheme="majorBidi" w:hAnsiTheme="majorBidi" w:cstheme="majorBidi"/>
          <w:sz w:val="22"/>
          <w:szCs w:val="22"/>
        </w:rPr>
        <w:t>, qui influencent fortement les comportements organisationnels et la vision de la responsabilité de l’entreprise.Dans le même prolongement, Henry Ford incarne un exemple concret de cette morale protestante appliquée à l’économie. Il est considéré comme l’un des pionniers du développement des pratiques socialement responsables au sein du capitalisme américain.</w:t>
      </w:r>
    </w:p>
    <w:p w14:paraId="69E9E16E"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i/>
          <w:iCs/>
          <w:sz w:val="22"/>
          <w:szCs w:val="22"/>
        </w:rPr>
        <w:t>Emmanuel Kant</w:t>
      </w:r>
      <w:r w:rsidRPr="00E2052F">
        <w:rPr>
          <w:rFonts w:asciiTheme="majorBidi" w:hAnsiTheme="majorBidi" w:cstheme="majorBidi"/>
          <w:sz w:val="22"/>
          <w:szCs w:val="22"/>
        </w:rPr>
        <w:t xml:space="preserve"> compte parmi les penseurs qui ont profondément influencé cette pensée. Fidèle aux principes qu'il a posés, il a insisté sur le respect de la dignité humaine et l'obligation morale d'agir selon les maximes universaux.Il affirme : « Agis de telle sorte que tu traites l'humanité, que ce soit dans ta propre personne ou dans celle d'autrui, non comme un moyen, mais comme une fin en soi.»</w:t>
      </w:r>
      <w:r w:rsidRPr="00E2052F">
        <w:rPr>
          <w:rStyle w:val="Appelnotedebasdep"/>
          <w:rFonts w:asciiTheme="majorBidi" w:hAnsiTheme="majorBidi" w:cstheme="majorBidi"/>
          <w:sz w:val="22"/>
          <w:szCs w:val="22"/>
        </w:rPr>
        <w:footnoteReference w:id="157"/>
      </w:r>
      <w:r w:rsidRPr="00E2052F">
        <w:rPr>
          <w:rFonts w:asciiTheme="majorBidi" w:hAnsiTheme="majorBidi" w:cstheme="majorBidi"/>
          <w:sz w:val="22"/>
          <w:szCs w:val="22"/>
          <w:rtl/>
        </w:rPr>
        <w:t xml:space="preserve">. </w:t>
      </w:r>
      <w:r w:rsidRPr="00E2052F">
        <w:rPr>
          <w:rFonts w:asciiTheme="majorBidi" w:hAnsiTheme="majorBidi" w:cstheme="majorBidi"/>
          <w:sz w:val="22"/>
          <w:szCs w:val="22"/>
        </w:rPr>
        <w:t>Cela indique que chaque être humain possède une valeur absolue qui empêche de le réduire à un simple outil au service d'un intérêt particulier.En fin, sous l’influence des groupes de pression défendant des causes sociales, plusieurs réglementations publiques ont été mises en place afin de remodeler le comportement des entreprises et de renforcer la prise en compte des intérêts des différentes parties prenantes</w:t>
      </w:r>
      <w:r w:rsidRPr="00E2052F">
        <w:rPr>
          <w:rStyle w:val="Appelnotedebasdep"/>
          <w:rFonts w:asciiTheme="majorBidi" w:hAnsiTheme="majorBidi" w:cstheme="majorBidi"/>
          <w:sz w:val="22"/>
          <w:szCs w:val="22"/>
        </w:rPr>
        <w:footnoteReference w:id="158"/>
      </w:r>
      <w:r w:rsidRPr="00E2052F">
        <w:rPr>
          <w:rFonts w:asciiTheme="majorBidi" w:hAnsiTheme="majorBidi" w:cstheme="majorBidi"/>
          <w:sz w:val="22"/>
          <w:szCs w:val="22"/>
        </w:rPr>
        <w:t>.</w:t>
      </w:r>
    </w:p>
    <w:p w14:paraId="4C7A289B" w14:textId="77777777" w:rsidR="007C5DB8" w:rsidRPr="00C9312A" w:rsidRDefault="007C5DB8" w:rsidP="00F36332">
      <w:pPr>
        <w:pStyle w:val="Titre3"/>
        <w:numPr>
          <w:ilvl w:val="0"/>
          <w:numId w:val="221"/>
        </w:numPr>
        <w:rPr>
          <w:rFonts w:asciiTheme="majorBidi" w:hAnsiTheme="majorBidi"/>
          <w:color w:val="auto"/>
          <w:sz w:val="22"/>
          <w:szCs w:val="20"/>
        </w:rPr>
      </w:pPr>
      <w:bookmarkStart w:id="774" w:name="_Toc231746873"/>
      <w:bookmarkStart w:id="775" w:name="_Toc231752280"/>
      <w:bookmarkStart w:id="776" w:name="_Toc231810583"/>
      <w:bookmarkStart w:id="777" w:name="_Toc231811926"/>
      <w:bookmarkStart w:id="778" w:name="_Toc231812206"/>
      <w:bookmarkStart w:id="779" w:name="_Toc231815090"/>
      <w:r w:rsidRPr="00C9312A">
        <w:rPr>
          <w:rFonts w:asciiTheme="majorBidi" w:hAnsiTheme="majorBidi"/>
          <w:color w:val="auto"/>
          <w:sz w:val="22"/>
          <w:szCs w:val="20"/>
        </w:rPr>
        <w:t>Les origines socioculturelles :</w:t>
      </w:r>
      <w:bookmarkEnd w:id="774"/>
      <w:bookmarkEnd w:id="775"/>
      <w:bookmarkEnd w:id="776"/>
      <w:bookmarkEnd w:id="777"/>
      <w:bookmarkEnd w:id="778"/>
      <w:bookmarkEnd w:id="779"/>
    </w:p>
    <w:p w14:paraId="05748E84"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société américaine a constitué un terrain propice et a connu des conditions favorables au développement des questionnements en matière de RSE, notamment à travers quatre facteurs socioculturels majeurs qui expliquent cet engagement</w:t>
      </w:r>
      <w:r w:rsidRPr="00E2052F">
        <w:rPr>
          <w:rStyle w:val="Appelnotedebasdep"/>
          <w:rFonts w:asciiTheme="majorBidi" w:hAnsiTheme="majorBidi" w:cstheme="majorBidi"/>
          <w:sz w:val="22"/>
          <w:szCs w:val="22"/>
        </w:rPr>
        <w:footnoteReference w:id="159"/>
      </w:r>
      <w:r w:rsidRPr="00E2052F">
        <w:rPr>
          <w:rFonts w:asciiTheme="majorBidi" w:hAnsiTheme="majorBidi" w:cstheme="majorBidi"/>
          <w:sz w:val="22"/>
          <w:szCs w:val="22"/>
        </w:rPr>
        <w:t xml:space="preserve">. </w:t>
      </w:r>
    </w:p>
    <w:p w14:paraId="638C0703"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premier facteur est l’individualisme, selon lequel la RSE cherche à concilier les intérêts des actionnaires et ceux de la société civile dans son ensemble</w:t>
      </w:r>
      <w:r w:rsidRPr="00E2052F">
        <w:rPr>
          <w:rStyle w:val="Appelnotedebasdep"/>
          <w:rFonts w:asciiTheme="majorBidi" w:hAnsiTheme="majorBidi" w:cstheme="majorBidi"/>
          <w:sz w:val="22"/>
          <w:szCs w:val="22"/>
        </w:rPr>
        <w:footnoteReference w:id="160"/>
      </w:r>
      <w:r w:rsidRPr="00E2052F">
        <w:rPr>
          <w:rFonts w:asciiTheme="majorBidi" w:hAnsiTheme="majorBidi" w:cstheme="majorBidi"/>
          <w:sz w:val="22"/>
          <w:szCs w:val="22"/>
        </w:rPr>
        <w:t>. Le deuxième facteur reprend le précepte du pluralisme démocratique selon lequel la RSE, en tant que concept porteur de changement social, est nourrie par d’importants groupes de pression</w:t>
      </w:r>
      <w:r w:rsidRPr="00E2052F">
        <w:rPr>
          <w:rStyle w:val="Appelnotedebasdep"/>
          <w:rFonts w:asciiTheme="majorBidi" w:hAnsiTheme="majorBidi" w:cstheme="majorBidi"/>
          <w:sz w:val="22"/>
          <w:szCs w:val="22"/>
        </w:rPr>
        <w:t>.</w:t>
      </w:r>
      <w:r w:rsidRPr="00E2052F">
        <w:rPr>
          <w:rFonts w:asciiTheme="majorBidi" w:hAnsiTheme="majorBidi" w:cstheme="majorBidi"/>
          <w:sz w:val="22"/>
          <w:szCs w:val="22"/>
        </w:rPr>
        <w:t xml:space="preserve"> Le troisième facteur est le moralisme, profondément ancré dans la société américaine, qui favorise le développement de la RSE en tant qu’expression pratique des valeurs religieuses et éthiques dans le domaine socio-économique. Enfin, le quatrième facteur repose sur l’utilitarisme et le pragmatisme de la RSE. Cette approche permet à la fois de répondre à des enjeux sociétaux majeurs et de favoriser des transformations organisationnelles concrètes. Dans ce contexte, </w:t>
      </w:r>
      <w:r w:rsidRPr="00E2052F">
        <w:rPr>
          <w:rFonts w:asciiTheme="majorBidi" w:hAnsiTheme="majorBidi" w:cstheme="majorBidi"/>
          <w:sz w:val="22"/>
          <w:szCs w:val="22"/>
        </w:rPr>
        <w:lastRenderedPageBreak/>
        <w:t>les entreprises américaines privilégient la preuve empirique, démontrant ainsi la cohérence entre leurs actions et les valeurs qu’elles revendiquent</w:t>
      </w:r>
      <w:r w:rsidRPr="00E2052F">
        <w:rPr>
          <w:rStyle w:val="Appelnotedebasdep"/>
          <w:rFonts w:asciiTheme="majorBidi" w:hAnsiTheme="majorBidi" w:cstheme="majorBidi"/>
          <w:sz w:val="22"/>
          <w:szCs w:val="22"/>
        </w:rPr>
        <w:footnoteReference w:id="161"/>
      </w:r>
      <w:r w:rsidRPr="00E2052F">
        <w:rPr>
          <w:rFonts w:asciiTheme="majorBidi" w:hAnsiTheme="majorBidi" w:cstheme="majorBidi"/>
          <w:sz w:val="22"/>
          <w:szCs w:val="22"/>
        </w:rPr>
        <w:t>.</w:t>
      </w:r>
    </w:p>
    <w:p w14:paraId="0DF5EC9D" w14:textId="77777777" w:rsidR="007C5DB8" w:rsidRPr="00E2052F" w:rsidRDefault="007C5DB8" w:rsidP="00F36332">
      <w:pPr>
        <w:pStyle w:val="Titre2"/>
        <w:numPr>
          <w:ilvl w:val="0"/>
          <w:numId w:val="235"/>
        </w:numPr>
      </w:pPr>
      <w:bookmarkStart w:id="780" w:name="_Toc231746874"/>
      <w:bookmarkStart w:id="781" w:name="_Toc231752281"/>
      <w:bookmarkStart w:id="782" w:name="_Toc231810584"/>
      <w:bookmarkStart w:id="783" w:name="_Toc231811927"/>
      <w:bookmarkStart w:id="784" w:name="_Toc231812207"/>
      <w:bookmarkStart w:id="785" w:name="_Toc231815091"/>
      <w:r w:rsidRPr="00E2052F">
        <w:t>La progression de la responsabilité sociale des entreprises : Revue historique en stratégie management</w:t>
      </w:r>
      <w:bookmarkEnd w:id="780"/>
      <w:bookmarkEnd w:id="781"/>
      <w:bookmarkEnd w:id="782"/>
      <w:bookmarkEnd w:id="783"/>
      <w:bookmarkEnd w:id="784"/>
      <w:bookmarkEnd w:id="785"/>
    </w:p>
    <w:p w14:paraId="2E82F371" w14:textId="77777777" w:rsidR="007C5DB8" w:rsidRPr="00E2052F" w:rsidRDefault="007C5DB8" w:rsidP="003D28B1">
      <w:pPr>
        <w:spacing w:before="0" w:beforeAutospacing="0"/>
        <w:rPr>
          <w:rFonts w:cstheme="majorBidi"/>
          <w:sz w:val="22"/>
        </w:rPr>
      </w:pPr>
      <w:r w:rsidRPr="00E2052F">
        <w:rPr>
          <w:rFonts w:cstheme="majorBidi"/>
          <w:sz w:val="22"/>
        </w:rPr>
        <w:t>Comme le soulignent Aurélien Acquier et Jean-Pascal Gond (2007), le concept de responsabilité sociale des entreprises (RSE) s'inscrit dans une longue tradition de réflexion et de pratique concernant les relations entre entreprises et société.</w:t>
      </w:r>
      <w:r w:rsidR="00DD6629" w:rsidRPr="00E2052F">
        <w:rPr>
          <w:rFonts w:cstheme="majorBidi"/>
          <w:sz w:val="22"/>
        </w:rPr>
        <w:t xml:space="preserve"> </w:t>
      </w:r>
      <w:r w:rsidRPr="00E2052F">
        <w:rPr>
          <w:rFonts w:cstheme="majorBidi"/>
          <w:sz w:val="22"/>
        </w:rPr>
        <w:t>Cette continuité historique s'explique notamment par le rôle central que jouent les entreprises en tant qu'acteurs socio-économiques.Cette position stratégique des entreprises, à l’intersection des sphères économique et sociale, a contribué à l’évolution de la RSE vers une responsabilité sociétale plus large, intégrant les enjeux contemporains du développement durable et de l’engagement des parties prenantes.</w:t>
      </w:r>
    </w:p>
    <w:p w14:paraId="70C1F690" w14:textId="77777777" w:rsidR="007C5DB8" w:rsidRPr="00E2052F" w:rsidRDefault="007C5DB8" w:rsidP="00F36332">
      <w:pPr>
        <w:pStyle w:val="Titre3"/>
        <w:numPr>
          <w:ilvl w:val="1"/>
          <w:numId w:val="171"/>
        </w:numPr>
        <w:spacing w:before="0" w:beforeAutospacing="0" w:after="160"/>
        <w:jc w:val="left"/>
        <w:rPr>
          <w:rFonts w:asciiTheme="majorBidi" w:hAnsiTheme="majorBidi"/>
          <w:color w:val="auto"/>
          <w:sz w:val="22"/>
        </w:rPr>
      </w:pPr>
      <w:bookmarkStart w:id="786" w:name="_Toc231746875"/>
      <w:bookmarkStart w:id="787" w:name="_Toc231752282"/>
      <w:bookmarkStart w:id="788" w:name="_Toc231810585"/>
      <w:bookmarkStart w:id="789" w:name="_Toc231811928"/>
      <w:bookmarkStart w:id="790" w:name="_Toc231812208"/>
      <w:bookmarkStart w:id="791" w:name="_Toc231815092"/>
      <w:r w:rsidRPr="00E2052F">
        <w:rPr>
          <w:rFonts w:asciiTheme="majorBidi" w:hAnsiTheme="majorBidi"/>
          <w:color w:val="auto"/>
          <w:sz w:val="22"/>
        </w:rPr>
        <w:t>L’entreprise comme acteur socio-économique :</w:t>
      </w:r>
      <w:bookmarkEnd w:id="786"/>
      <w:bookmarkEnd w:id="787"/>
      <w:bookmarkEnd w:id="788"/>
      <w:bookmarkEnd w:id="789"/>
      <w:bookmarkEnd w:id="790"/>
      <w:bookmarkEnd w:id="791"/>
    </w:p>
    <w:p w14:paraId="5C1CDB3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Sur le plan économique, l’entreprise joue un rôle structurant dans la création de valeur. Par ses décisions d’investissement, ses choix et ses modes stratégiques, elle contribue à orienter les dynamiques de croissance et à influencer la répartition des richesses. Toutefois, cette influence économique s’accompagne de responsabilités accrues. Parallèlement, sur le plan social, l'entreprise joue un rôle central dansla structuration des interactions sociales. Elle influence les normes comportementales et organisationnelles. Au-delà de sa sphère interne, elle entretient des relations étroites avec un large éventail de parties prenantes, contribuant à la cohésion sociale ou, à l'inverse, la fragilisant. Ce double impact a progressivement engendré une prise de conscience croissante du rôle évolutif de l'entreprise. Face aux attentes grandissantes des parties prenantes et aux défis contemporains, l'entreprise se doit désormais d'intégrer des objectifs de responsabilité à sa stratégie.</w:t>
      </w:r>
    </w:p>
    <w:p w14:paraId="5A128BD8" w14:textId="77777777" w:rsidR="007C5DB8" w:rsidRPr="00E2052F" w:rsidRDefault="007C5DB8" w:rsidP="003D28B1">
      <w:pPr>
        <w:spacing w:before="0" w:beforeAutospacing="0"/>
        <w:rPr>
          <w:rFonts w:cstheme="majorBidi"/>
          <w:sz w:val="22"/>
        </w:rPr>
      </w:pPr>
      <w:r w:rsidRPr="00E2052F">
        <w:rPr>
          <w:rFonts w:cstheme="majorBidi"/>
          <w:sz w:val="22"/>
        </w:rPr>
        <w:t>Dans ce contexte, la responsabilité sociale des entreprises (RSE) s’est progressivement imposée comme un cadre structurel permettant de réguler cette évolution. En effet,« l’entreprise n’étant pas séparée de la société»</w:t>
      </w:r>
      <w:r w:rsidRPr="00E2052F">
        <w:rPr>
          <w:rStyle w:val="Appelnotedebasdep"/>
          <w:rFonts w:cstheme="majorBidi"/>
          <w:sz w:val="22"/>
        </w:rPr>
        <w:footnoteReference w:id="162"/>
      </w:r>
      <w:r w:rsidRPr="00E2052F">
        <w:rPr>
          <w:rFonts w:cstheme="majorBidi"/>
          <w:sz w:val="22"/>
        </w:rPr>
        <w:t>, mais pleinement intégrée à celle-ci, son rôle ne se limite plus à celui d’un simple catalyseur ; il s’affirme désormais comme celui d’un moteur essentiel du développement de la RSE. Son influence croissante sur les dynamiques socio-économiques renforce ainsi la nécessité d’une gestion responsable et équilibrée de ses activités.</w:t>
      </w:r>
    </w:p>
    <w:p w14:paraId="148BC685" w14:textId="77777777" w:rsidR="007C5DB8" w:rsidRPr="00E2052F" w:rsidRDefault="007C5DB8" w:rsidP="00F36332">
      <w:pPr>
        <w:pStyle w:val="Titre3"/>
        <w:numPr>
          <w:ilvl w:val="1"/>
          <w:numId w:val="171"/>
        </w:numPr>
        <w:spacing w:before="0" w:beforeAutospacing="0" w:after="160"/>
        <w:ind w:left="568" w:hanging="284"/>
        <w:jc w:val="left"/>
        <w:rPr>
          <w:rFonts w:asciiTheme="majorBidi" w:hAnsiTheme="majorBidi"/>
          <w:color w:val="auto"/>
          <w:sz w:val="22"/>
        </w:rPr>
      </w:pPr>
      <w:bookmarkStart w:id="792" w:name="_Toc231746876"/>
      <w:bookmarkStart w:id="793" w:name="_Toc231752283"/>
      <w:bookmarkStart w:id="794" w:name="_Toc231810586"/>
      <w:bookmarkStart w:id="795" w:name="_Toc231811929"/>
      <w:bookmarkStart w:id="796" w:name="_Toc231812209"/>
      <w:bookmarkStart w:id="797" w:name="_Toc231815093"/>
      <w:r w:rsidRPr="00E2052F">
        <w:rPr>
          <w:rFonts w:asciiTheme="majorBidi" w:hAnsiTheme="majorBidi"/>
          <w:color w:val="auto"/>
          <w:sz w:val="22"/>
        </w:rPr>
        <w:lastRenderedPageBreak/>
        <w:t>L’enchainement évolutif du concept de la responsabilité sociale des entreprises :</w:t>
      </w:r>
      <w:bookmarkEnd w:id="792"/>
      <w:bookmarkEnd w:id="793"/>
      <w:bookmarkEnd w:id="794"/>
      <w:bookmarkEnd w:id="795"/>
      <w:bookmarkEnd w:id="796"/>
      <w:bookmarkEnd w:id="797"/>
    </w:p>
    <w:p w14:paraId="514BA91E" w14:textId="77777777" w:rsidR="007C5DB8" w:rsidRPr="00E2052F" w:rsidRDefault="007C5DB8" w:rsidP="00F36332">
      <w:pPr>
        <w:pStyle w:val="Titre4"/>
        <w:numPr>
          <w:ilvl w:val="2"/>
          <w:numId w:val="164"/>
        </w:numPr>
        <w:spacing w:before="0" w:beforeAutospacing="0" w:after="160"/>
        <w:ind w:left="1134" w:hanging="567"/>
        <w:jc w:val="left"/>
        <w:rPr>
          <w:rFonts w:asciiTheme="majorBidi" w:eastAsia="Times New Roman" w:hAnsiTheme="majorBidi"/>
          <w:i w:val="0"/>
          <w:iCs w:val="0"/>
          <w:color w:val="auto"/>
          <w:sz w:val="22"/>
          <w:lang w:eastAsia="fr-FR"/>
        </w:rPr>
      </w:pPr>
      <w:bookmarkStart w:id="798" w:name="_Toc231746877"/>
      <w:bookmarkStart w:id="799" w:name="_Toc231752284"/>
      <w:bookmarkStart w:id="800" w:name="_Toc231810587"/>
      <w:bookmarkStart w:id="801" w:name="_Toc231811930"/>
      <w:bookmarkStart w:id="802" w:name="_Toc231812210"/>
      <w:bookmarkStart w:id="803" w:name="_Toc231815094"/>
      <w:r w:rsidRPr="00E2052F">
        <w:rPr>
          <w:rFonts w:asciiTheme="majorBidi" w:eastAsia="Times New Roman" w:hAnsiTheme="majorBidi"/>
          <w:i w:val="0"/>
          <w:iCs w:val="0"/>
          <w:color w:val="auto"/>
          <w:sz w:val="22"/>
          <w:lang w:eastAsia="fr-FR"/>
        </w:rPr>
        <w:t>Les principales évolutions théoriques de la responsabilité sociale des entreprises :</w:t>
      </w:r>
      <w:bookmarkEnd w:id="798"/>
      <w:bookmarkEnd w:id="799"/>
      <w:bookmarkEnd w:id="800"/>
      <w:bookmarkEnd w:id="801"/>
      <w:bookmarkEnd w:id="802"/>
      <w:bookmarkEnd w:id="803"/>
    </w:p>
    <w:p w14:paraId="5EA3C4B4" w14:textId="77777777" w:rsidR="007C5DB8" w:rsidRPr="00E2052F" w:rsidRDefault="007C5DB8" w:rsidP="003D28B1">
      <w:pPr>
        <w:spacing w:before="0" w:beforeAutospacing="0"/>
        <w:rPr>
          <w:rFonts w:eastAsia="Times New Roman" w:cstheme="majorBidi"/>
          <w:sz w:val="22"/>
          <w:lang w:eastAsia="fr-FR"/>
        </w:rPr>
      </w:pPr>
      <w:r w:rsidRPr="00E2052F">
        <w:rPr>
          <w:rFonts w:cstheme="majorBidi"/>
          <w:sz w:val="22"/>
        </w:rPr>
        <w:t>Il ressort de ce qui précède que la responsabilité sociale a traversé une période historique marquée par l’influence de nombreuses évolutions intellectuelles, ce qui a conduit à une transformation progressive de son concept depuis son émergence jusqu’à nos jours. Ces conceptions peuvent être résumées en plusieurs courants, parmi lesquels</w:t>
      </w:r>
      <w:r w:rsidRPr="00E2052F">
        <w:rPr>
          <w:rStyle w:val="Appelnotedebasdep"/>
          <w:rFonts w:cstheme="majorBidi"/>
          <w:sz w:val="22"/>
        </w:rPr>
        <w:footnoteReference w:id="163"/>
      </w:r>
      <w:r w:rsidRPr="00E2052F">
        <w:rPr>
          <w:rFonts w:cstheme="majorBidi"/>
          <w:sz w:val="22"/>
        </w:rPr>
        <w:t> :</w:t>
      </w:r>
    </w:p>
    <w:p w14:paraId="4BBE214E" w14:textId="77777777" w:rsidR="007C5DB8" w:rsidRPr="00E2052F" w:rsidRDefault="007C5DB8" w:rsidP="00D61875">
      <w:pPr>
        <w:pStyle w:val="Paragraphedeliste"/>
        <w:numPr>
          <w:ilvl w:val="0"/>
          <w:numId w:val="105"/>
        </w:numPr>
        <w:spacing w:before="0" w:beforeAutospacing="0"/>
        <w:ind w:left="0" w:firstLine="284"/>
        <w:rPr>
          <w:rFonts w:cstheme="majorBidi"/>
          <w:b/>
          <w:bCs/>
          <w:sz w:val="22"/>
        </w:rPr>
      </w:pPr>
      <w:r w:rsidRPr="00E2052F">
        <w:rPr>
          <w:rFonts w:cstheme="majorBidi"/>
          <w:b/>
          <w:bCs/>
          <w:sz w:val="22"/>
        </w:rPr>
        <w:t>La théorie classique (Ecole de Chicago):</w:t>
      </w:r>
    </w:p>
    <w:p w14:paraId="58108719" w14:textId="77777777" w:rsidR="007C5DB8" w:rsidRPr="00E2052F" w:rsidRDefault="007C5DB8" w:rsidP="003D28B1">
      <w:pPr>
        <w:spacing w:before="0" w:beforeAutospacing="0"/>
        <w:rPr>
          <w:rFonts w:cstheme="majorBidi"/>
          <w:sz w:val="22"/>
        </w:rPr>
      </w:pPr>
      <w:r w:rsidRPr="00E2052F">
        <w:rPr>
          <w:rFonts w:cstheme="majorBidi"/>
          <w:sz w:val="22"/>
        </w:rPr>
        <w:t xml:space="preserve">Le développement de ce concept qui découle des idées de l’économiste </w:t>
      </w:r>
      <w:r w:rsidRPr="00E2052F">
        <w:rPr>
          <w:rFonts w:cstheme="majorBidi"/>
          <w:i/>
          <w:iCs/>
          <w:sz w:val="22"/>
        </w:rPr>
        <w:t>Adam Smith</w:t>
      </w:r>
      <w:r w:rsidRPr="00E2052F">
        <w:rPr>
          <w:rFonts w:cstheme="majorBidi"/>
          <w:sz w:val="22"/>
        </w:rPr>
        <w:t xml:space="preserve"> dans </w:t>
      </w:r>
      <w:r w:rsidR="00754299" w:rsidRPr="00E2052F">
        <w:rPr>
          <w:rFonts w:cstheme="majorBidi"/>
          <w:sz w:val="22"/>
        </w:rPr>
        <w:t>les années</w:t>
      </w:r>
      <w:r w:rsidRPr="00E2052F">
        <w:rPr>
          <w:rFonts w:cstheme="majorBidi"/>
          <w:sz w:val="22"/>
        </w:rPr>
        <w:t> »es 50 et 60 et jusqu’</w:t>
      </w:r>
      <w:r w:rsidR="00754299" w:rsidRPr="00E2052F">
        <w:rPr>
          <w:rFonts w:cstheme="majorBidi"/>
          <w:sz w:val="22"/>
        </w:rPr>
        <w:t>aux</w:t>
      </w:r>
      <w:r w:rsidRPr="00E2052F">
        <w:rPr>
          <w:rFonts w:cstheme="majorBidi"/>
          <w:sz w:val="22"/>
        </w:rPr>
        <w:t xml:space="preserve"> années 80 a été marqué dans un contexte de guerre froide par des débats et idéologiques concernant le devoir de l'institution envers son environnement et son devoir de maximiser ses profits. L’économiste</w:t>
      </w:r>
      <w:r w:rsidRPr="00E2052F">
        <w:rPr>
          <w:rFonts w:cstheme="majorBidi"/>
          <w:i/>
          <w:iCs/>
          <w:sz w:val="22"/>
        </w:rPr>
        <w:t xml:space="preserve"> Milton Friedman</w:t>
      </w:r>
      <w:r w:rsidRPr="00E2052F">
        <w:rPr>
          <w:rFonts w:cstheme="majorBidi"/>
          <w:sz w:val="22"/>
        </w:rPr>
        <w:t xml:space="preserve"> a indiqué, durant la période allant de 1962 à 1971, qu’il n’existe qu’un seul objectif pour les entreprises, à savoir l’utilisation de leurs ressources et la conception d’activités visant à accroître leurs profits à long terme, faisant de cela une règle fondamentale dans la réalisation de leurs activités</w:t>
      </w:r>
      <w:r w:rsidRPr="00E2052F">
        <w:rPr>
          <w:rFonts w:cstheme="majorBidi"/>
          <w:sz w:val="22"/>
          <w:rtl/>
        </w:rPr>
        <w:t xml:space="preserve">. </w:t>
      </w:r>
      <w:r w:rsidRPr="00E2052F">
        <w:rPr>
          <w:rStyle w:val="Appelnotedebasdep"/>
          <w:rFonts w:cstheme="majorBidi"/>
          <w:sz w:val="22"/>
          <w:rtl/>
        </w:rPr>
        <w:footnoteReference w:id="164"/>
      </w:r>
      <w:r w:rsidR="00754299" w:rsidRPr="00E2052F">
        <w:rPr>
          <w:rFonts w:cstheme="majorBidi"/>
          <w:sz w:val="22"/>
        </w:rPr>
        <w:t>Cependant, Les</w:t>
      </w:r>
      <w:r w:rsidRPr="00E2052F">
        <w:rPr>
          <w:rFonts w:cstheme="majorBidi"/>
          <w:sz w:val="22"/>
        </w:rPr>
        <w:t xml:space="preserve"> tenants de cette vision qui correspond à l'école néoclassique de Chicago considèrent que toutes la seule et unique responsabilité sociale d'une firme et de faire des profits pour les actionnaires les dépenses dans les projets à caractère social vont à l'encontre des intérêts des actionnaires dans la mesure où ses dépenses ou auront un impact négatif sur la richesse créée par l'entreprise pour les actionnaires</w:t>
      </w:r>
      <w:r w:rsidRPr="00E2052F">
        <w:rPr>
          <w:rStyle w:val="Appelnotedebasdep"/>
          <w:rFonts w:cstheme="majorBidi"/>
          <w:sz w:val="22"/>
        </w:rPr>
        <w:footnoteReference w:id="165"/>
      </w:r>
      <w:r w:rsidRPr="00E2052F">
        <w:rPr>
          <w:rFonts w:cstheme="majorBidi"/>
          <w:sz w:val="22"/>
        </w:rPr>
        <w:t xml:space="preserve">. La question centrale est de savoir dans quelle mesure un dirigeant possède la capacité et la légitimité nécessaires pour identifier et gérer les problèmes sociaux </w:t>
      </w:r>
      <w:r w:rsidR="00754299" w:rsidRPr="00E2052F">
        <w:rPr>
          <w:rFonts w:cstheme="majorBidi"/>
          <w:sz w:val="22"/>
        </w:rPr>
        <w:t>prioritaires. La</w:t>
      </w:r>
      <w:r w:rsidRPr="00E2052F">
        <w:rPr>
          <w:rFonts w:cstheme="majorBidi"/>
          <w:sz w:val="22"/>
        </w:rPr>
        <w:t xml:space="preserve"> RSE, lorsqu’elle dépasse la recherche du profit, est perçue comme une approche risquée, pouvant menacer la cohésion et la stabilité de la société.</w:t>
      </w:r>
    </w:p>
    <w:p w14:paraId="0D1BBB27" w14:textId="77777777" w:rsidR="007C5DB8" w:rsidRPr="00E2052F" w:rsidRDefault="007C5DB8" w:rsidP="00D61875">
      <w:pPr>
        <w:pStyle w:val="Paragraphedeliste"/>
        <w:numPr>
          <w:ilvl w:val="0"/>
          <w:numId w:val="105"/>
        </w:numPr>
        <w:spacing w:before="0" w:beforeAutospacing="0"/>
        <w:ind w:left="0" w:firstLine="284"/>
        <w:rPr>
          <w:rFonts w:cstheme="majorBidi"/>
          <w:b/>
          <w:bCs/>
          <w:sz w:val="22"/>
        </w:rPr>
      </w:pPr>
      <w:r w:rsidRPr="00E2052F">
        <w:rPr>
          <w:rFonts w:cstheme="majorBidi"/>
          <w:b/>
          <w:bCs/>
          <w:sz w:val="22"/>
        </w:rPr>
        <w:t>la théorie des parties prenantes (PP) :</w:t>
      </w:r>
    </w:p>
    <w:p w14:paraId="7BE77E5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théorie des parties prenantes de Friedman est initialement présentée comme offrant une perspective différente</w:t>
      </w:r>
      <w:r w:rsidR="00754299" w:rsidRPr="00E2052F">
        <w:rPr>
          <w:rFonts w:asciiTheme="majorBidi" w:hAnsiTheme="majorBidi" w:cstheme="majorBidi"/>
          <w:sz w:val="22"/>
          <w:szCs w:val="22"/>
        </w:rPr>
        <w:t xml:space="preserve"> </w:t>
      </w:r>
      <w:r w:rsidRPr="00E2052F">
        <w:rPr>
          <w:rFonts w:asciiTheme="majorBidi" w:hAnsiTheme="majorBidi" w:cstheme="majorBidi"/>
          <w:sz w:val="22"/>
          <w:szCs w:val="22"/>
        </w:rPr>
        <w:t>à celle dominante, notamment défendue par Milton Friedman sur la raison d'être d'une entreprise.</w:t>
      </w:r>
      <w:r w:rsidR="00754299" w:rsidRPr="00E2052F">
        <w:rPr>
          <w:rFonts w:asciiTheme="majorBidi" w:hAnsiTheme="majorBidi" w:cstheme="majorBidi"/>
          <w:sz w:val="22"/>
          <w:szCs w:val="22"/>
        </w:rPr>
        <w:t xml:space="preserve"> </w:t>
      </w:r>
      <w:r w:rsidRPr="00E2052F">
        <w:rPr>
          <w:rFonts w:asciiTheme="majorBidi" w:hAnsiTheme="majorBidi" w:cstheme="majorBidi"/>
          <w:sz w:val="22"/>
          <w:szCs w:val="22"/>
        </w:rPr>
        <w:t>Freeman conteste cette approche en affirmant que le profit n’est pas une fin en soi, mais plutôt une conséquence de l’activité de l’entreprise.</w:t>
      </w:r>
      <w:r w:rsidR="00754299" w:rsidRPr="00E2052F">
        <w:rPr>
          <w:rFonts w:asciiTheme="majorBidi" w:hAnsiTheme="majorBidi" w:cstheme="majorBidi"/>
          <w:sz w:val="22"/>
          <w:szCs w:val="22"/>
        </w:rPr>
        <w:t xml:space="preserve"> </w:t>
      </w:r>
      <w:r w:rsidRPr="00E2052F">
        <w:rPr>
          <w:rFonts w:asciiTheme="majorBidi" w:hAnsiTheme="majorBidi" w:cstheme="majorBidi"/>
          <w:sz w:val="22"/>
          <w:szCs w:val="22"/>
        </w:rPr>
        <w:t xml:space="preserve">Selon lui, la logique de Friedman est réductrice, car elle conduit l’entreprise à se concentrer uniquement sur les actionnaires, en négligeant les autres acteurs essentiels tels que les clients, les employés, les fournisseurs ou encore la société dans </w:t>
      </w:r>
      <w:r w:rsidRPr="00E2052F">
        <w:rPr>
          <w:rFonts w:asciiTheme="majorBidi" w:hAnsiTheme="majorBidi" w:cstheme="majorBidi"/>
          <w:sz w:val="22"/>
          <w:szCs w:val="22"/>
        </w:rPr>
        <w:lastRenderedPageBreak/>
        <w:t>son ensemble, dont la contribution est pourtant indispensable à la survie de l’organisation. Une entreprise ne peut en effet fonctionner durablement sans tenir compte de ces parties prenantes. Freeman considère donc que la raison d’être de l’entreprise est de répondre aux attentes et aux besoins de l’ensemble des parties prenantes, c’est-à-dire toute personne ou groupe pouvant être affecté par ses décisions. C’est à travers cet équilibre que l’entreprise peut ensuite générer un profit durable.</w:t>
      </w:r>
      <w:r w:rsidRPr="00E2052F">
        <w:rPr>
          <w:rStyle w:val="Appelnotedebasdep"/>
          <w:rFonts w:asciiTheme="majorBidi" w:hAnsiTheme="majorBidi" w:cstheme="majorBidi"/>
          <w:sz w:val="22"/>
          <w:szCs w:val="22"/>
        </w:rPr>
        <w:footnoteReference w:id="166"/>
      </w:r>
    </w:p>
    <w:p w14:paraId="7AE5B74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Cette vision est considérée comme innovante et « révolutionnaire », car elle propose une lecture plus large et plus responsable de l’entreprise. Elle repose sur trois idées fondamentales qui assurent la cohérence de l’approche des parties prenantes :</w:t>
      </w:r>
    </w:p>
    <w:p w14:paraId="59B4EE24" w14:textId="77777777" w:rsidR="007C5DB8" w:rsidRPr="00E2052F" w:rsidRDefault="007C5DB8" w:rsidP="00F36332">
      <w:pPr>
        <w:pStyle w:val="NormalWeb"/>
        <w:numPr>
          <w:ilvl w:val="0"/>
          <w:numId w:val="11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Reconnaître que les parties prenantes sont des acteurs concrets (clients, employés, fournisseurs) avec des intérêts précis. L’entreprise doit les identifier et intégrer leurs attentes dans ses décisions.</w:t>
      </w:r>
    </w:p>
    <w:p w14:paraId="0D20C2B5" w14:textId="77777777" w:rsidR="007C5DB8" w:rsidRPr="00E2052F" w:rsidRDefault="007C5DB8" w:rsidP="00F36332">
      <w:pPr>
        <w:pStyle w:val="NormalWeb"/>
        <w:numPr>
          <w:ilvl w:val="0"/>
          <w:numId w:val="11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L’entreprise doit adopter une approche pragmatique sans principe de décision absolu.</w:t>
      </w:r>
      <w:r w:rsidRPr="00E2052F">
        <w:rPr>
          <w:rFonts w:asciiTheme="majorBidi" w:hAnsiTheme="majorBidi" w:cstheme="majorBidi"/>
          <w:sz w:val="22"/>
          <w:szCs w:val="22"/>
        </w:rPr>
        <w:br/>
        <w:t>Elle est amenée à questionner les différents points de vue pour comprendre les besoins.</w:t>
      </w:r>
    </w:p>
    <w:p w14:paraId="3CDA553F" w14:textId="77777777" w:rsidR="007C5DB8" w:rsidRPr="00E2052F" w:rsidRDefault="007C5DB8" w:rsidP="00F36332">
      <w:pPr>
        <w:pStyle w:val="NormalWeb"/>
        <w:numPr>
          <w:ilvl w:val="0"/>
          <w:numId w:val="11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En cas de conflits d’intérêts, il faut rechercher un compromis entre les parties prenantes.</w:t>
      </w:r>
      <w:r w:rsidRPr="00E2052F">
        <w:rPr>
          <w:rFonts w:asciiTheme="majorBidi" w:hAnsiTheme="majorBidi" w:cstheme="majorBidi"/>
          <w:sz w:val="22"/>
          <w:szCs w:val="22"/>
        </w:rPr>
        <w:br/>
        <w:t>Cette logique favorise une responsabilité sociale et une meilleure innovation.</w:t>
      </w:r>
    </w:p>
    <w:p w14:paraId="1F053445" w14:textId="77777777" w:rsidR="007C5DB8" w:rsidRPr="00E2052F" w:rsidRDefault="007C5DB8" w:rsidP="00D61875">
      <w:pPr>
        <w:pStyle w:val="Paragraphedeliste"/>
        <w:numPr>
          <w:ilvl w:val="0"/>
          <w:numId w:val="105"/>
        </w:numPr>
        <w:spacing w:before="0" w:beforeAutospacing="0"/>
        <w:ind w:left="0" w:firstLine="284"/>
        <w:rPr>
          <w:rFonts w:cstheme="majorBidi"/>
          <w:b/>
          <w:bCs/>
          <w:sz w:val="22"/>
        </w:rPr>
      </w:pPr>
      <w:r w:rsidRPr="00E2052F">
        <w:rPr>
          <w:rFonts w:cstheme="majorBidi"/>
          <w:b/>
          <w:bCs/>
          <w:sz w:val="22"/>
        </w:rPr>
        <w:t>La théorie des ressources financières (Slack ressources theory):</w:t>
      </w:r>
    </w:p>
    <w:p w14:paraId="25B3018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Cette théorie stipule qu'une bonne performance financière de l’entreprise (PFE)  résulte nécessairement en l'existence de ressources financières en quantité suffisante ce qui donnera à la firme la capacité et l'opportunité pour s'engager dans des domaines de performance sociale de l’entreprise (PSE), tels que les relations avec la communauté les relations avec les employés et l'environnement. L’idée sous-jacente à cette approche est que, lorsque les ressources financières sont abondantes, l’entreprise peut en allouer une partie aux domaines sociaux. Ainsi, une bonne performance financière de l’entreprise (PFE) peut conduire à une meilleure performance sociale de l’entreprise (PSE), ce qui signifie que la performance financière influence directement la performance sociale.</w:t>
      </w:r>
      <w:r w:rsidRPr="00E2052F">
        <w:rPr>
          <w:rStyle w:val="Appelnotedebasdep"/>
          <w:rFonts w:asciiTheme="majorBidi" w:hAnsiTheme="majorBidi" w:cstheme="majorBidi"/>
          <w:sz w:val="22"/>
          <w:szCs w:val="22"/>
        </w:rPr>
        <w:footnoteReference w:id="167"/>
      </w:r>
    </w:p>
    <w:p w14:paraId="5F4D5B72" w14:textId="77777777" w:rsidR="007C5DB8" w:rsidRPr="00E2052F" w:rsidRDefault="007C5DB8" w:rsidP="00D61875">
      <w:pPr>
        <w:pStyle w:val="NormalWeb"/>
        <w:numPr>
          <w:ilvl w:val="0"/>
          <w:numId w:val="105"/>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La théorie néo-institutionnelle :</w:t>
      </w:r>
    </w:p>
    <w:p w14:paraId="35BA1D59"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théorie néo-institutionnelle (TNI), apparue dans les années 1970, se distingue de l’ancien institutionnalisme par ses unités d’analyse et sa vision de l’environnement. Elle regroupe plusieurs approches issues de disciplines variées comme l’économie, la sociologie et les sciences </w:t>
      </w:r>
      <w:r w:rsidR="00754299" w:rsidRPr="00E2052F">
        <w:rPr>
          <w:rFonts w:asciiTheme="majorBidi" w:hAnsiTheme="majorBidi" w:cstheme="majorBidi"/>
          <w:sz w:val="22"/>
          <w:szCs w:val="22"/>
        </w:rPr>
        <w:t xml:space="preserve">politiques. Elles </w:t>
      </w:r>
      <w:r w:rsidR="00754299" w:rsidRPr="00E2052F">
        <w:rPr>
          <w:rFonts w:asciiTheme="majorBidi" w:hAnsiTheme="majorBidi" w:cstheme="majorBidi"/>
          <w:sz w:val="22"/>
          <w:szCs w:val="22"/>
        </w:rPr>
        <w:lastRenderedPageBreak/>
        <w:t>s’intéressent</w:t>
      </w:r>
      <w:r w:rsidRPr="00E2052F">
        <w:rPr>
          <w:rFonts w:asciiTheme="majorBidi" w:hAnsiTheme="majorBidi" w:cstheme="majorBidi"/>
          <w:sz w:val="22"/>
          <w:szCs w:val="22"/>
        </w:rPr>
        <w:t xml:space="preserve"> aux contraintes culturelles et sociales exercées par l'environnement sur les organisations. Elle rejette le modèle de l'acteur rationnel et l'« indépendance » des institutions. </w:t>
      </w:r>
    </w:p>
    <w:p w14:paraId="4004BF9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Dans cette perspective, les organisations ne sont pas considérées comme des entités totalement autonomes ou guidées uniquement par la rationalité économique. Elles évoluent dans un environnement institutionnel structuré par des règles, des valeurs et des modèles organisationnels qui influencent leurs structures, leurs décisions et leurs modes de gestion. Ainsi, les organisations sont « encastrées » dans leur contexte social et économique, ce qui signifie qu’elles sont profondément influencées par les relations sociales et les institutions qui les entourent. Elles sont également interconnectées entre elles </w:t>
      </w:r>
      <w:r w:rsidR="005229B5" w:rsidRPr="00E2052F">
        <w:rPr>
          <w:rFonts w:asciiTheme="majorBidi" w:hAnsiTheme="majorBidi" w:cstheme="majorBidi"/>
          <w:sz w:val="22"/>
          <w:szCs w:val="22"/>
        </w:rPr>
        <w:t>et ne façonnées</w:t>
      </w:r>
      <w:r w:rsidRPr="00E2052F">
        <w:rPr>
          <w:rFonts w:asciiTheme="majorBidi" w:hAnsiTheme="majorBidi" w:cstheme="majorBidi"/>
          <w:sz w:val="22"/>
          <w:szCs w:val="22"/>
        </w:rPr>
        <w:t xml:space="preserve"> par des processus de construction sociale.De plus, cette théorie met en évidence que les organisations cherchent souvent à obtenir une légitimité institutionnelle. Cette logique de légitimité explique l’adoption de pratiques similaires entre entreprises sous l’effet de pressions institutionnelles</w:t>
      </w:r>
    </w:p>
    <w:p w14:paraId="1137D38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Selon Davis et Johnson, cités, la responsabilité sociale des entreprises s’inscrit dans une logique de rentabilité à long terme. Dans certains cas, les entreprises adoptent un comportement socialement responsable afin de renforcer leur image, attirer l’attention des organisations internationales, gagner leur confiance et accroître leur part de marché.Toutefois, la mise en œuvre effective de ces engagements dépend des rapports de force existant entre les différents acteurs, tant internes qu’externes à l’entreprise.</w:t>
      </w:r>
      <w:r w:rsidRPr="00E2052F">
        <w:rPr>
          <w:rStyle w:val="Appelnotedebasdep"/>
          <w:rFonts w:asciiTheme="majorBidi" w:hAnsiTheme="majorBidi" w:cstheme="majorBidi"/>
          <w:sz w:val="22"/>
          <w:szCs w:val="22"/>
        </w:rPr>
        <w:footnoteReference w:id="168"/>
      </w:r>
    </w:p>
    <w:p w14:paraId="25BAFF05" w14:textId="77777777" w:rsidR="007C5DB8" w:rsidRPr="00E2052F" w:rsidRDefault="007C5DB8" w:rsidP="00F36332">
      <w:pPr>
        <w:pStyle w:val="Titre4"/>
        <w:numPr>
          <w:ilvl w:val="2"/>
          <w:numId w:val="164"/>
        </w:numPr>
        <w:spacing w:before="0" w:beforeAutospacing="0" w:after="160"/>
        <w:ind w:left="1134" w:hanging="567"/>
        <w:jc w:val="left"/>
        <w:rPr>
          <w:rFonts w:asciiTheme="majorBidi" w:hAnsiTheme="majorBidi"/>
          <w:i w:val="0"/>
          <w:iCs w:val="0"/>
          <w:color w:val="auto"/>
          <w:sz w:val="22"/>
        </w:rPr>
      </w:pPr>
      <w:bookmarkStart w:id="804" w:name="_Toc231746878"/>
      <w:bookmarkStart w:id="805" w:name="_Toc231752285"/>
      <w:bookmarkStart w:id="806" w:name="_Toc231810588"/>
      <w:bookmarkStart w:id="807" w:name="_Toc231811931"/>
      <w:bookmarkStart w:id="808" w:name="_Toc231812211"/>
      <w:bookmarkStart w:id="809" w:name="_Toc231815095"/>
      <w:r w:rsidRPr="00E2052F">
        <w:rPr>
          <w:rFonts w:asciiTheme="majorBidi" w:hAnsiTheme="majorBidi"/>
          <w:i w:val="0"/>
          <w:iCs w:val="0"/>
          <w:color w:val="auto"/>
          <w:sz w:val="22"/>
        </w:rPr>
        <w:t>Le développement historique de la responsabilité sociale des entreprises :</w:t>
      </w:r>
      <w:bookmarkEnd w:id="804"/>
      <w:bookmarkEnd w:id="805"/>
      <w:bookmarkEnd w:id="806"/>
      <w:bookmarkEnd w:id="807"/>
      <w:bookmarkEnd w:id="808"/>
      <w:bookmarkEnd w:id="809"/>
    </w:p>
    <w:p w14:paraId="11D62AE7" w14:textId="77777777" w:rsidR="007C5DB8" w:rsidRPr="00E2052F" w:rsidRDefault="007C5DB8" w:rsidP="003D28B1">
      <w:pPr>
        <w:spacing w:before="0" w:beforeAutospacing="0"/>
        <w:rPr>
          <w:rFonts w:cstheme="majorBidi"/>
          <w:sz w:val="22"/>
        </w:rPr>
      </w:pPr>
      <w:r w:rsidRPr="00E2052F">
        <w:rPr>
          <w:rFonts w:cstheme="majorBidi"/>
          <w:sz w:val="22"/>
        </w:rPr>
        <w:t>En effet, la notion de responsabilité sociale des entreprises (RSE) s’est diffusée progressivement en passant par de nombreuses phases successives, chacune retrace une approche spécifique et distincte de ce concept.</w:t>
      </w:r>
    </w:p>
    <w:p w14:paraId="6038895A" w14:textId="77777777" w:rsidR="007C5DB8" w:rsidRPr="00E2052F" w:rsidRDefault="007C5DB8" w:rsidP="00F36332">
      <w:pPr>
        <w:pStyle w:val="Titre5"/>
        <w:numPr>
          <w:ilvl w:val="3"/>
          <w:numId w:val="170"/>
        </w:numPr>
        <w:spacing w:before="0" w:after="160" w:line="360" w:lineRule="auto"/>
        <w:ind w:left="1571"/>
        <w:rPr>
          <w:rFonts w:asciiTheme="majorBidi" w:hAnsiTheme="majorBidi"/>
          <w:b/>
          <w:bCs/>
          <w:color w:val="auto"/>
        </w:rPr>
      </w:pPr>
      <w:bookmarkStart w:id="810" w:name="_Toc231746879"/>
      <w:bookmarkStart w:id="811" w:name="_Toc231752286"/>
      <w:bookmarkStart w:id="812" w:name="_Toc231810589"/>
      <w:bookmarkStart w:id="813" w:name="_Toc231811932"/>
      <w:bookmarkStart w:id="814" w:name="_Toc231812212"/>
      <w:bookmarkStart w:id="815" w:name="_Toc231815096"/>
      <w:r w:rsidRPr="00E2052F">
        <w:rPr>
          <w:rFonts w:asciiTheme="majorBidi" w:hAnsiTheme="majorBidi"/>
          <w:b/>
          <w:bCs/>
          <w:color w:val="auto"/>
        </w:rPr>
        <w:t>Les années 1950 : Avènement et début de la théorisation de la RSE contemporaine</w:t>
      </w:r>
      <w:bookmarkEnd w:id="810"/>
      <w:bookmarkEnd w:id="811"/>
      <w:bookmarkEnd w:id="812"/>
      <w:bookmarkEnd w:id="813"/>
      <w:bookmarkEnd w:id="814"/>
      <w:bookmarkEnd w:id="815"/>
    </w:p>
    <w:p w14:paraId="73FA2CB1"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De nombreux auteurs attribuent à </w:t>
      </w:r>
      <w:r w:rsidRPr="00E2052F">
        <w:rPr>
          <w:rStyle w:val="whitespace-normal"/>
          <w:rFonts w:asciiTheme="majorBidi" w:hAnsiTheme="majorBidi" w:cstheme="majorBidi"/>
          <w:i/>
          <w:iCs/>
          <w:sz w:val="22"/>
          <w:szCs w:val="22"/>
        </w:rPr>
        <w:t>Howard R. Bowen</w:t>
      </w:r>
      <w:r w:rsidRPr="00E2052F">
        <w:rPr>
          <w:rFonts w:asciiTheme="majorBidi" w:hAnsiTheme="majorBidi" w:cstheme="majorBidi"/>
          <w:sz w:val="22"/>
          <w:szCs w:val="22"/>
        </w:rPr>
        <w:t xml:space="preserve"> la paternité du concept moderne de la responsabilité sociale des entreprises, notamment à la suite de la publication, en 1953, de son ouvrage fondateur </w:t>
      </w:r>
      <w:r w:rsidRPr="00E2052F">
        <w:rPr>
          <w:rStyle w:val="whitespace-normal"/>
          <w:rFonts w:asciiTheme="majorBidi" w:hAnsiTheme="majorBidi" w:cstheme="majorBidi"/>
          <w:sz w:val="22"/>
          <w:szCs w:val="22"/>
        </w:rPr>
        <w:t>Social Responsibilities of the Businessman</w:t>
      </w:r>
      <w:r w:rsidRPr="00E2052F">
        <w:rPr>
          <w:rFonts w:asciiTheme="majorBidi" w:hAnsiTheme="majorBidi" w:cstheme="majorBidi"/>
          <w:sz w:val="22"/>
          <w:szCs w:val="22"/>
        </w:rPr>
        <w:t>. Cet ouvrage constitue une référence majeure dans la littérature, dans la mesure où il a permis de poser les premiers jalons théoriques de cette doctrine</w:t>
      </w:r>
      <w:r w:rsidRPr="00E2052F">
        <w:rPr>
          <w:rStyle w:val="Appelnotedebasdep"/>
          <w:rFonts w:asciiTheme="majorBidi" w:hAnsiTheme="majorBidi" w:cstheme="majorBidi"/>
          <w:sz w:val="22"/>
          <w:szCs w:val="22"/>
        </w:rPr>
        <w:footnoteReference w:id="169"/>
      </w:r>
      <w:r w:rsidRPr="00E2052F">
        <w:rPr>
          <w:rFonts w:asciiTheme="majorBidi" w:hAnsiTheme="majorBidi" w:cstheme="majorBidi"/>
          <w:sz w:val="22"/>
          <w:szCs w:val="22"/>
        </w:rPr>
        <w:t xml:space="preserve">. Par ailleurs, cette période se distingue également par l’émergence de contributions complémentaires ayant enrichi la réflexion autour de la RSE. À cet égard, les travaux de </w:t>
      </w:r>
      <w:r w:rsidRPr="00E2052F">
        <w:rPr>
          <w:rStyle w:val="whitespace-normal"/>
          <w:rFonts w:asciiTheme="majorBidi" w:hAnsiTheme="majorBidi" w:cstheme="majorBidi"/>
          <w:i/>
          <w:iCs/>
          <w:sz w:val="22"/>
          <w:szCs w:val="22"/>
        </w:rPr>
        <w:t>Peter F. Drucker</w:t>
      </w:r>
      <w:r w:rsidRPr="00E2052F">
        <w:rPr>
          <w:rFonts w:asciiTheme="majorBidi" w:hAnsiTheme="majorBidi" w:cstheme="majorBidi"/>
          <w:sz w:val="22"/>
          <w:szCs w:val="22"/>
        </w:rPr>
        <w:t xml:space="preserve">, notamment à travers son ouvrage </w:t>
      </w:r>
      <w:r w:rsidRPr="00E2052F">
        <w:rPr>
          <w:rStyle w:val="whitespace-normal"/>
          <w:rFonts w:asciiTheme="majorBidi" w:hAnsiTheme="majorBidi" w:cstheme="majorBidi"/>
          <w:sz w:val="22"/>
          <w:szCs w:val="22"/>
        </w:rPr>
        <w:t>The Practice of Management</w:t>
      </w:r>
      <w:r w:rsidRPr="00E2052F">
        <w:rPr>
          <w:rFonts w:asciiTheme="majorBidi" w:hAnsiTheme="majorBidi" w:cstheme="majorBidi"/>
          <w:sz w:val="22"/>
          <w:szCs w:val="22"/>
        </w:rPr>
        <w:t xml:space="preserve">, mettent en évidence l’idée d’une convergence entre </w:t>
      </w:r>
      <w:r w:rsidRPr="00E2052F">
        <w:rPr>
          <w:rFonts w:asciiTheme="majorBidi" w:hAnsiTheme="majorBidi" w:cstheme="majorBidi"/>
          <w:sz w:val="22"/>
          <w:szCs w:val="22"/>
        </w:rPr>
        <w:lastRenderedPageBreak/>
        <w:t xml:space="preserve">les objectifs économiques de l’entreprise et les exigences sociales. Dans cette perspective, </w:t>
      </w:r>
      <w:r w:rsidRPr="00E2052F">
        <w:rPr>
          <w:rFonts w:asciiTheme="majorBidi" w:hAnsiTheme="majorBidi" w:cstheme="majorBidi"/>
          <w:i/>
          <w:iCs/>
          <w:sz w:val="22"/>
          <w:szCs w:val="22"/>
        </w:rPr>
        <w:t>Drucker</w:t>
      </w:r>
      <w:r w:rsidRPr="00E2052F">
        <w:rPr>
          <w:rFonts w:asciiTheme="majorBidi" w:hAnsiTheme="majorBidi" w:cstheme="majorBidi"/>
          <w:sz w:val="22"/>
          <w:szCs w:val="22"/>
        </w:rPr>
        <w:t xml:space="preserve"> développe une approche visant à sensibiliser les dirigeants à l’importance de prendre en considération les répercussions sociales de leurs décisions et de leurs pratiques. Il s’inscrit ainsi dans une logique qui dépasse la vision strictement économique de l’entreprise, en mettant en avant la nécessité d’intégrer une responsabilité plus large à l’égard de la société</w:t>
      </w:r>
      <w:r w:rsidRPr="00E2052F">
        <w:rPr>
          <w:rStyle w:val="Appelnotedebasdep"/>
          <w:rFonts w:asciiTheme="majorBidi" w:hAnsiTheme="majorBidi" w:cstheme="majorBidi"/>
          <w:sz w:val="22"/>
          <w:szCs w:val="22"/>
        </w:rPr>
        <w:footnoteReference w:id="170"/>
      </w:r>
      <w:r w:rsidRPr="00E2052F">
        <w:rPr>
          <w:rFonts w:asciiTheme="majorBidi" w:hAnsiTheme="majorBidi" w:cstheme="majorBidi"/>
          <w:sz w:val="22"/>
          <w:szCs w:val="22"/>
        </w:rPr>
        <w:t>.</w:t>
      </w:r>
    </w:p>
    <w:p w14:paraId="5F916AD3" w14:textId="77777777" w:rsidR="007C5DB8" w:rsidRPr="00E2052F" w:rsidRDefault="007C5DB8" w:rsidP="00F36332">
      <w:pPr>
        <w:pStyle w:val="Titre5"/>
        <w:numPr>
          <w:ilvl w:val="3"/>
          <w:numId w:val="170"/>
        </w:numPr>
        <w:spacing w:before="0" w:after="160" w:line="360" w:lineRule="auto"/>
        <w:ind w:left="1702" w:hanging="851"/>
        <w:rPr>
          <w:rFonts w:asciiTheme="majorBidi" w:eastAsiaTheme="minorHAnsi" w:hAnsiTheme="majorBidi"/>
          <w:b/>
          <w:bCs/>
          <w:color w:val="auto"/>
        </w:rPr>
      </w:pPr>
      <w:bookmarkStart w:id="816" w:name="_Toc231746880"/>
      <w:bookmarkStart w:id="817" w:name="_Toc231752287"/>
      <w:bookmarkStart w:id="818" w:name="_Toc231810590"/>
      <w:bookmarkStart w:id="819" w:name="_Toc231811933"/>
      <w:bookmarkStart w:id="820" w:name="_Toc231812213"/>
      <w:bookmarkStart w:id="821" w:name="_Toc231815097"/>
      <w:r w:rsidRPr="00E2052F">
        <w:rPr>
          <w:rFonts w:asciiTheme="majorBidi" w:eastAsiaTheme="minorHAnsi" w:hAnsiTheme="majorBidi"/>
          <w:b/>
          <w:bCs/>
          <w:color w:val="auto"/>
        </w:rPr>
        <w:t>Les années 1960 : Vers une vision structurée et formalisée de la RSE</w:t>
      </w:r>
      <w:bookmarkEnd w:id="816"/>
      <w:bookmarkEnd w:id="817"/>
      <w:bookmarkEnd w:id="818"/>
      <w:bookmarkEnd w:id="819"/>
      <w:bookmarkEnd w:id="820"/>
      <w:bookmarkEnd w:id="821"/>
    </w:p>
    <w:p w14:paraId="68BC097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Les années 1960 ont été marquées par un enrichissement significatif de la littérature sur le concept de la responsabilité sociale des entreprises (RSE). De nombreux chercheurs ont entrepris des travaux visant à préciser la portée exacte de cette notion. Ainsi, </w:t>
      </w:r>
      <w:r w:rsidRPr="00E2052F">
        <w:rPr>
          <w:rFonts w:asciiTheme="majorBidi" w:hAnsiTheme="majorBidi" w:cstheme="majorBidi"/>
          <w:i/>
          <w:iCs/>
          <w:sz w:val="22"/>
          <w:szCs w:val="22"/>
        </w:rPr>
        <w:t>Davis</w:t>
      </w:r>
      <w:r w:rsidRPr="00E2052F">
        <w:rPr>
          <w:rFonts w:asciiTheme="majorBidi" w:hAnsiTheme="majorBidi" w:cstheme="majorBidi"/>
          <w:sz w:val="22"/>
          <w:szCs w:val="22"/>
        </w:rPr>
        <w:t xml:space="preserve"> considérait que « la RSE renvoie aux décisions et actions qui sont partiellement basées sur plus que des intérêts économiques ou techniques directs de l’entreprise »</w:t>
      </w:r>
      <w:r w:rsidRPr="00E2052F">
        <w:rPr>
          <w:rStyle w:val="Appelnotedebasdep"/>
          <w:rFonts w:asciiTheme="majorBidi" w:hAnsiTheme="majorBidi" w:cstheme="majorBidi"/>
          <w:sz w:val="22"/>
          <w:szCs w:val="22"/>
        </w:rPr>
        <w:footnoteReference w:id="171"/>
      </w:r>
      <w:r w:rsidRPr="00E2052F">
        <w:rPr>
          <w:rFonts w:asciiTheme="majorBidi" w:hAnsiTheme="majorBidi" w:cstheme="majorBidi"/>
          <w:sz w:val="22"/>
          <w:szCs w:val="22"/>
        </w:rPr>
        <w:t>. Selon lui, les entreprises doivent aligner leurs objectifs économiques avec les attentes de la société, contribuant ainsi à l’amélioration de l’intérêt général</w:t>
      </w:r>
      <w:r w:rsidRPr="00E2052F">
        <w:rPr>
          <w:rStyle w:val="Appelnotedebasdep"/>
          <w:rFonts w:asciiTheme="majorBidi" w:hAnsiTheme="majorBidi" w:cstheme="majorBidi"/>
          <w:sz w:val="22"/>
          <w:szCs w:val="22"/>
        </w:rPr>
        <w:footnoteReference w:id="172"/>
      </w:r>
      <w:r w:rsidRPr="00E2052F">
        <w:rPr>
          <w:rFonts w:asciiTheme="majorBidi" w:hAnsiTheme="majorBidi" w:cstheme="majorBidi"/>
          <w:sz w:val="22"/>
          <w:szCs w:val="22"/>
        </w:rPr>
        <w:t xml:space="preserve">. </w:t>
      </w:r>
    </w:p>
    <w:p w14:paraId="10C46B95"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En 1963, </w:t>
      </w:r>
      <w:r w:rsidRPr="00E2052F">
        <w:rPr>
          <w:rFonts w:asciiTheme="majorBidi" w:hAnsiTheme="majorBidi" w:cstheme="majorBidi"/>
          <w:i/>
          <w:iCs/>
          <w:sz w:val="22"/>
          <w:szCs w:val="22"/>
        </w:rPr>
        <w:t xml:space="preserve">McGuire </w:t>
      </w:r>
      <w:r w:rsidRPr="00E2052F">
        <w:rPr>
          <w:rFonts w:asciiTheme="majorBidi" w:hAnsiTheme="majorBidi" w:cstheme="majorBidi"/>
          <w:sz w:val="22"/>
          <w:szCs w:val="22"/>
        </w:rPr>
        <w:t>proposa une définition complémentaire, affirmant que « l’entreprise, au-delà de ses obligations légales et économiques, a des responsabilités envers la société qui dépassent ces obligations »</w:t>
      </w:r>
      <w:r w:rsidRPr="00E2052F">
        <w:rPr>
          <w:rStyle w:val="Appelnotedebasdep"/>
          <w:rFonts w:asciiTheme="majorBidi" w:hAnsiTheme="majorBidi" w:cstheme="majorBidi"/>
          <w:sz w:val="22"/>
          <w:szCs w:val="22"/>
        </w:rPr>
        <w:footnoteReference w:id="173"/>
      </w:r>
      <w:r w:rsidRPr="00E2052F">
        <w:rPr>
          <w:rFonts w:asciiTheme="majorBidi" w:hAnsiTheme="majorBidi" w:cstheme="majorBidi"/>
          <w:sz w:val="22"/>
          <w:szCs w:val="22"/>
        </w:rPr>
        <w:t xml:space="preserve">. De leur côté, </w:t>
      </w:r>
      <w:r w:rsidRPr="00E2052F">
        <w:rPr>
          <w:rFonts w:asciiTheme="majorBidi" w:hAnsiTheme="majorBidi" w:cstheme="majorBidi"/>
          <w:i/>
          <w:iCs/>
          <w:sz w:val="22"/>
          <w:szCs w:val="22"/>
        </w:rPr>
        <w:t>Davis</w:t>
      </w:r>
      <w:r w:rsidRPr="00E2052F">
        <w:rPr>
          <w:rFonts w:asciiTheme="majorBidi" w:hAnsiTheme="majorBidi" w:cstheme="majorBidi"/>
          <w:sz w:val="22"/>
          <w:szCs w:val="22"/>
        </w:rPr>
        <w:t xml:space="preserve"> et </w:t>
      </w:r>
      <w:r w:rsidRPr="00E2052F">
        <w:rPr>
          <w:rFonts w:asciiTheme="majorBidi" w:hAnsiTheme="majorBidi" w:cstheme="majorBidi"/>
          <w:i/>
          <w:iCs/>
          <w:sz w:val="22"/>
          <w:szCs w:val="22"/>
        </w:rPr>
        <w:t>Blomstrom</w:t>
      </w:r>
      <w:r w:rsidRPr="00E2052F">
        <w:rPr>
          <w:rFonts w:asciiTheme="majorBidi" w:hAnsiTheme="majorBidi" w:cstheme="majorBidi"/>
          <w:sz w:val="22"/>
          <w:szCs w:val="22"/>
        </w:rPr>
        <w:t xml:space="preserve"> précisaient que la RSE consiste en « l’obligation des dirigeants de considérer les effets de leurs actions sur l’ensemble du système sociétal.Ces derniers appliquent la RSE lorsqu’ils estiment que les actions de l’entreprise peuvent affecter les intérêts d’autrui, et « doivent donc regarder au-delà des seuls intérêts économiques et techniques de leur firme » </w:t>
      </w:r>
      <w:r w:rsidRPr="00E2052F">
        <w:rPr>
          <w:rStyle w:val="Appelnotedebasdep"/>
          <w:rFonts w:asciiTheme="majorBidi" w:hAnsiTheme="majorBidi" w:cstheme="majorBidi"/>
          <w:sz w:val="22"/>
          <w:szCs w:val="22"/>
        </w:rPr>
        <w:footnoteReference w:id="174"/>
      </w:r>
      <w:r w:rsidRPr="00E2052F">
        <w:rPr>
          <w:rFonts w:asciiTheme="majorBidi" w:hAnsiTheme="majorBidi" w:cstheme="majorBidi"/>
          <w:sz w:val="22"/>
          <w:szCs w:val="22"/>
        </w:rPr>
        <w:t xml:space="preserve">. </w:t>
      </w:r>
      <w:r w:rsidRPr="00E2052F">
        <w:rPr>
          <w:rFonts w:asciiTheme="majorBidi" w:hAnsiTheme="majorBidi" w:cstheme="majorBidi"/>
          <w:i/>
          <w:iCs/>
          <w:sz w:val="22"/>
          <w:szCs w:val="22"/>
        </w:rPr>
        <w:t>Clarenc C. Walton</w:t>
      </w:r>
      <w:r w:rsidRPr="00E2052F">
        <w:rPr>
          <w:rFonts w:asciiTheme="majorBidi" w:hAnsiTheme="majorBidi" w:cstheme="majorBidi"/>
          <w:sz w:val="22"/>
          <w:szCs w:val="22"/>
        </w:rPr>
        <w:t xml:space="preserve"> dans son ouvrage </w:t>
      </w:r>
      <w:r w:rsidRPr="00E2052F">
        <w:rPr>
          <w:rStyle w:val="Accentuation"/>
          <w:rFonts w:asciiTheme="majorBidi" w:hAnsiTheme="majorBidi" w:cstheme="majorBidi"/>
          <w:sz w:val="22"/>
          <w:szCs w:val="22"/>
        </w:rPr>
        <w:t>Corporate Social Responsibilities</w:t>
      </w:r>
      <w:r w:rsidRPr="00E2052F">
        <w:rPr>
          <w:rFonts w:asciiTheme="majorBidi" w:hAnsiTheme="majorBidi" w:cstheme="majorBidi"/>
          <w:sz w:val="22"/>
          <w:szCs w:val="22"/>
        </w:rPr>
        <w:t>, proposa une approche volontaire de la RSE, soulignant que les entreprises s’engagent consciemment dans des actions socialement responsables, tout en prenant en compte les coûts et les répercussions de leur engagement sociétal</w:t>
      </w:r>
      <w:r w:rsidRPr="00E2052F">
        <w:rPr>
          <w:rStyle w:val="Appelnotedebasdep"/>
          <w:rFonts w:asciiTheme="majorBidi" w:hAnsiTheme="majorBidi" w:cstheme="majorBidi"/>
          <w:sz w:val="22"/>
          <w:szCs w:val="22"/>
        </w:rPr>
        <w:footnoteReference w:id="175"/>
      </w:r>
      <w:r w:rsidRPr="00E2052F">
        <w:rPr>
          <w:rFonts w:asciiTheme="majorBidi" w:hAnsiTheme="majorBidi" w:cstheme="majorBidi"/>
          <w:sz w:val="22"/>
          <w:szCs w:val="22"/>
        </w:rPr>
        <w:t>.</w:t>
      </w:r>
    </w:p>
    <w:p w14:paraId="5A5FF9EF" w14:textId="77777777" w:rsidR="007C5DB8" w:rsidRPr="00E2052F" w:rsidRDefault="007C5DB8" w:rsidP="00EB3186">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Parallèlement, cette période a été marquée par d’importants mouvements sociaux dénonçant les pratiques abusives des grandes entreprises, ce qui a favorisé l’émergence de réglementations protectrices. Ainsi, Carson alertait sur les dommages liés à l’usage des pesticides</w:t>
      </w:r>
      <w:r w:rsidRPr="00E2052F">
        <w:rPr>
          <w:rStyle w:val="Appelnotedebasdep"/>
          <w:rFonts w:asciiTheme="majorBidi" w:hAnsiTheme="majorBidi" w:cstheme="majorBidi"/>
          <w:sz w:val="22"/>
          <w:szCs w:val="22"/>
        </w:rPr>
        <w:footnoteReference w:id="176"/>
      </w:r>
      <w:r w:rsidRPr="00E2052F">
        <w:rPr>
          <w:rFonts w:asciiTheme="majorBidi" w:hAnsiTheme="majorBidi" w:cstheme="majorBidi"/>
          <w:sz w:val="22"/>
          <w:szCs w:val="22"/>
        </w:rPr>
        <w:t>, tandis que Nader critiquait les constructeurs automobiles pour l’absence de normes de sécurité dans la conception de leurs produits Cette montée du militantisme s’est également traduite par la création d’agences de protection des consommateurs telles qu’« Amnesty International » et « Greenpeace », incitant les entreprises à remettre en question leurs pratiques d’affaires.</w:t>
      </w:r>
    </w:p>
    <w:p w14:paraId="2F04389E" w14:textId="77777777" w:rsidR="007C5DB8" w:rsidRPr="00E2052F" w:rsidRDefault="007C5DB8" w:rsidP="00F36332">
      <w:pPr>
        <w:pStyle w:val="Titre5"/>
        <w:numPr>
          <w:ilvl w:val="3"/>
          <w:numId w:val="170"/>
        </w:numPr>
        <w:spacing w:before="0" w:after="160" w:line="360" w:lineRule="auto"/>
        <w:ind w:left="1702" w:hanging="851"/>
        <w:rPr>
          <w:rFonts w:asciiTheme="majorBidi" w:eastAsiaTheme="minorHAnsi" w:hAnsiTheme="majorBidi"/>
          <w:b/>
          <w:bCs/>
          <w:color w:val="auto"/>
        </w:rPr>
      </w:pPr>
      <w:bookmarkStart w:id="822" w:name="_Toc231746881"/>
      <w:bookmarkStart w:id="823" w:name="_Toc231752288"/>
      <w:bookmarkStart w:id="824" w:name="_Toc231810591"/>
      <w:bookmarkStart w:id="825" w:name="_Toc231811934"/>
      <w:bookmarkStart w:id="826" w:name="_Toc231812214"/>
      <w:bookmarkStart w:id="827" w:name="_Toc231815098"/>
      <w:r w:rsidRPr="00E2052F">
        <w:rPr>
          <w:rFonts w:asciiTheme="majorBidi" w:eastAsiaTheme="minorHAnsi" w:hAnsiTheme="majorBidi"/>
          <w:b/>
          <w:bCs/>
          <w:color w:val="auto"/>
        </w:rPr>
        <w:t>Les années 1970 : Construction de la RSE dans une logique managériale</w:t>
      </w:r>
      <w:bookmarkEnd w:id="822"/>
      <w:bookmarkEnd w:id="823"/>
      <w:bookmarkEnd w:id="824"/>
      <w:bookmarkEnd w:id="825"/>
      <w:bookmarkEnd w:id="826"/>
      <w:bookmarkEnd w:id="827"/>
    </w:p>
    <w:p w14:paraId="4FFCC35D" w14:textId="77777777" w:rsidR="007C5DB8" w:rsidRPr="00E2052F" w:rsidRDefault="007C5DB8" w:rsidP="003D28B1">
      <w:pPr>
        <w:pStyle w:val="NormalWeb"/>
        <w:spacing w:before="0" w:beforeAutospacing="0" w:line="360" w:lineRule="auto"/>
        <w:rPr>
          <w:rFonts w:asciiTheme="majorBidi" w:eastAsiaTheme="minorHAnsi" w:hAnsiTheme="majorBidi" w:cstheme="majorBidi"/>
          <w:color w:val="000000"/>
          <w:sz w:val="22"/>
          <w:szCs w:val="22"/>
          <w:lang w:eastAsia="en-US"/>
        </w:rPr>
      </w:pPr>
      <w:r w:rsidRPr="00E2052F">
        <w:rPr>
          <w:rFonts w:asciiTheme="majorBidi" w:hAnsiTheme="majorBidi" w:cstheme="majorBidi"/>
          <w:sz w:val="22"/>
          <w:szCs w:val="22"/>
        </w:rPr>
        <w:t xml:space="preserve">Au cours de ces années, la responsabilité sociale des entreprises (RSE) a suscité un intérêt croissant, donnant lieu à une production académique abondante. En 1970, MorrellHeald publia </w:t>
      </w:r>
      <w:r w:rsidRPr="00E2052F">
        <w:rPr>
          <w:rStyle w:val="Accentuation"/>
          <w:rFonts w:asciiTheme="majorBidi" w:hAnsiTheme="majorBidi" w:cstheme="majorBidi"/>
          <w:sz w:val="22"/>
          <w:szCs w:val="22"/>
        </w:rPr>
        <w:t>The Social Responsibilities of Business:Company and Community</w:t>
      </w:r>
      <w:r w:rsidRPr="00E2052F">
        <w:rPr>
          <w:rFonts w:asciiTheme="majorBidi" w:hAnsiTheme="majorBidi" w:cstheme="majorBidi"/>
          <w:sz w:val="22"/>
          <w:szCs w:val="22"/>
        </w:rPr>
        <w:t>, ouvrage qui constitue une synthèse des réflexions théoriques et pratiques relatives à la RSE durant la première moitié du XXᵉ siècle</w:t>
      </w:r>
      <w:r w:rsidRPr="00E2052F">
        <w:rPr>
          <w:rStyle w:val="Appelnotedebasdep"/>
          <w:rFonts w:asciiTheme="majorBidi" w:hAnsiTheme="majorBidi" w:cstheme="majorBidi"/>
          <w:sz w:val="22"/>
          <w:szCs w:val="22"/>
        </w:rPr>
        <w:footnoteReference w:id="177"/>
      </w:r>
      <w:r w:rsidRPr="00E2052F">
        <w:rPr>
          <w:rFonts w:asciiTheme="majorBidi" w:hAnsiTheme="majorBidi" w:cstheme="majorBidi"/>
          <w:sz w:val="22"/>
          <w:szCs w:val="22"/>
        </w:rPr>
        <w:t xml:space="preserve">. En 1971, la plus grande société savante en management, l’Academy of Management, crée une section spéciale intitulée </w:t>
      </w:r>
      <w:r w:rsidRPr="00E2052F">
        <w:rPr>
          <w:rStyle w:val="Accentuation"/>
          <w:rFonts w:asciiTheme="majorBidi" w:hAnsiTheme="majorBidi" w:cstheme="majorBidi"/>
          <w:sz w:val="22"/>
          <w:szCs w:val="22"/>
        </w:rPr>
        <w:t>Social Issues in Management</w:t>
      </w:r>
      <w:r w:rsidRPr="00E2052F">
        <w:rPr>
          <w:rFonts w:asciiTheme="majorBidi" w:hAnsiTheme="majorBidi" w:cstheme="majorBidi"/>
          <w:sz w:val="22"/>
          <w:szCs w:val="22"/>
        </w:rPr>
        <w:t xml:space="preserve">. Cette même année est également marquée par la publication de l’ouvrage </w:t>
      </w:r>
      <w:r w:rsidRPr="00E2052F">
        <w:rPr>
          <w:rStyle w:val="Accentuation"/>
          <w:rFonts w:asciiTheme="majorBidi" w:hAnsiTheme="majorBidi" w:cstheme="majorBidi"/>
          <w:sz w:val="22"/>
          <w:szCs w:val="22"/>
        </w:rPr>
        <w:t>Business in ContemporarySociety: Framework and Issues</w:t>
      </w:r>
      <w:r w:rsidRPr="00E2052F">
        <w:rPr>
          <w:rFonts w:asciiTheme="majorBidi" w:hAnsiTheme="majorBidi" w:cstheme="majorBidi"/>
          <w:sz w:val="22"/>
          <w:szCs w:val="22"/>
        </w:rPr>
        <w:t xml:space="preserve"> de Harold Johnson, qui introduit le concept de « compromis conventionnel », désignant les entreprises cherchant à concilier les intérêts des différentes parties prenantes</w:t>
      </w:r>
      <w:r w:rsidRPr="00E2052F">
        <w:rPr>
          <w:rStyle w:val="Appelnotedebasdep"/>
          <w:rFonts w:asciiTheme="majorBidi" w:hAnsiTheme="majorBidi" w:cstheme="majorBidi"/>
          <w:sz w:val="22"/>
          <w:szCs w:val="22"/>
        </w:rPr>
        <w:footnoteReference w:id="178"/>
      </w:r>
      <w:r w:rsidRPr="00E2052F">
        <w:rPr>
          <w:rFonts w:asciiTheme="majorBidi" w:hAnsiTheme="majorBidi" w:cstheme="majorBidi"/>
          <w:sz w:val="22"/>
          <w:szCs w:val="22"/>
        </w:rPr>
        <w:t xml:space="preserve">.Par ailleurs, le Committee for Economic Development (CED) publia en 1971 un rapport majeur intitulé </w:t>
      </w:r>
      <w:r w:rsidRPr="00E2052F">
        <w:rPr>
          <w:rStyle w:val="Accentuation"/>
          <w:rFonts w:asciiTheme="majorBidi" w:hAnsiTheme="majorBidi" w:cstheme="majorBidi"/>
          <w:sz w:val="22"/>
          <w:szCs w:val="22"/>
        </w:rPr>
        <w:t>Social Responsibilities of Business Corporations</w:t>
      </w:r>
      <w:r w:rsidRPr="00E2052F">
        <w:rPr>
          <w:rFonts w:asciiTheme="majorBidi" w:hAnsiTheme="majorBidi" w:cstheme="majorBidi"/>
          <w:sz w:val="22"/>
          <w:szCs w:val="22"/>
        </w:rPr>
        <w:t>, mettant en évidence l’évolution du contrat social entre l’entreprise et la société, et soulignant la nécessité pour les entreprises d’assumer des responsabilités élargies, il</w:t>
      </w:r>
      <w:r w:rsidRPr="00E2052F">
        <w:rPr>
          <w:rFonts w:asciiTheme="majorBidi" w:eastAsiaTheme="minorHAnsi" w:hAnsiTheme="majorBidi" w:cstheme="majorBidi"/>
          <w:color w:val="000000"/>
          <w:sz w:val="22"/>
          <w:szCs w:val="22"/>
          <w:lang w:eastAsia="en-US"/>
        </w:rPr>
        <w:t xml:space="preserve"> a développé ainsi un modèle triple concentrique pour une définition de la RSE (figure n°2):</w:t>
      </w:r>
    </w:p>
    <w:p w14:paraId="2EDFA8F1" w14:textId="77777777" w:rsidR="007C5DB8" w:rsidRPr="00E2052F" w:rsidRDefault="00D57746" w:rsidP="003D28B1">
      <w:pPr>
        <w:pStyle w:val="NormalWeb"/>
        <w:spacing w:before="0" w:beforeAutospacing="0" w:line="360" w:lineRule="auto"/>
        <w:rPr>
          <w:rFonts w:asciiTheme="majorBidi" w:eastAsiaTheme="minorHAnsi" w:hAnsiTheme="majorBidi" w:cstheme="majorBidi"/>
          <w:b/>
          <w:bCs/>
          <w:color w:val="000000"/>
          <w:sz w:val="22"/>
          <w:szCs w:val="22"/>
          <w:lang w:eastAsia="en-US"/>
        </w:rPr>
      </w:pPr>
      <w:r>
        <w:rPr>
          <w:rFonts w:asciiTheme="majorBidi" w:eastAsiaTheme="minorHAnsi" w:hAnsiTheme="majorBidi" w:cstheme="majorBidi"/>
          <w:b/>
          <w:bCs/>
          <w:color w:val="000000"/>
          <w:sz w:val="22"/>
          <w:szCs w:val="22"/>
          <w:u w:val="single"/>
          <w:lang w:eastAsia="en-US"/>
        </w:rPr>
        <w:t>Figure 02</w:t>
      </w:r>
      <w:r w:rsidR="007C5DB8" w:rsidRPr="00E2052F">
        <w:rPr>
          <w:rFonts w:asciiTheme="majorBidi" w:eastAsiaTheme="minorHAnsi" w:hAnsiTheme="majorBidi" w:cstheme="majorBidi"/>
          <w:b/>
          <w:bCs/>
          <w:color w:val="000000"/>
          <w:sz w:val="22"/>
          <w:szCs w:val="22"/>
          <w:u w:val="single"/>
          <w:lang w:eastAsia="en-US"/>
        </w:rPr>
        <w:t xml:space="preserve"> :</w:t>
      </w:r>
      <w:r w:rsidR="007C5DB8" w:rsidRPr="00E2052F">
        <w:rPr>
          <w:rFonts w:asciiTheme="majorBidi" w:eastAsiaTheme="minorHAnsi" w:hAnsiTheme="majorBidi" w:cstheme="majorBidi"/>
          <w:color w:val="000000"/>
          <w:sz w:val="22"/>
          <w:szCs w:val="22"/>
          <w:lang w:eastAsia="en-US"/>
        </w:rPr>
        <w:t xml:space="preserve"> </w:t>
      </w:r>
      <w:r w:rsidR="007C5DB8" w:rsidRPr="00E2052F">
        <w:rPr>
          <w:rFonts w:asciiTheme="majorBidi" w:eastAsiaTheme="minorHAnsi" w:hAnsiTheme="majorBidi" w:cstheme="majorBidi"/>
          <w:b/>
          <w:bCs/>
          <w:color w:val="000000"/>
          <w:sz w:val="22"/>
          <w:szCs w:val="22"/>
          <w:lang w:eastAsia="en-US"/>
        </w:rPr>
        <w:t>Le modèle triple concentrique de la responsabilité sociale des entreprises</w:t>
      </w:r>
      <w:r w:rsidR="007C5DB8" w:rsidRPr="00E2052F">
        <w:rPr>
          <w:rStyle w:val="Appelnotedebasdep"/>
          <w:rFonts w:asciiTheme="majorBidi" w:eastAsiaTheme="minorHAnsi" w:hAnsiTheme="majorBidi" w:cstheme="majorBidi"/>
          <w:b/>
          <w:bCs/>
          <w:color w:val="000000"/>
          <w:sz w:val="22"/>
          <w:szCs w:val="22"/>
          <w:lang w:eastAsia="en-US"/>
        </w:rPr>
        <w:footnoteReference w:id="179"/>
      </w:r>
    </w:p>
    <w:p w14:paraId="5560FD71" w14:textId="77777777" w:rsidR="007C5DB8" w:rsidRPr="00E2052F" w:rsidRDefault="007C5DB8" w:rsidP="005229B5">
      <w:pPr>
        <w:pStyle w:val="NormalWeb"/>
        <w:spacing w:before="0" w:beforeAutospacing="0" w:line="360" w:lineRule="auto"/>
        <w:jc w:val="center"/>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noProof/>
          <w:color w:val="000000"/>
          <w:sz w:val="22"/>
          <w:szCs w:val="22"/>
        </w:rPr>
        <w:lastRenderedPageBreak/>
        <w:drawing>
          <wp:inline distT="0" distB="0" distL="0" distR="0" wp14:anchorId="3F716311" wp14:editId="7BF24675">
            <wp:extent cx="3082168" cy="1935804"/>
            <wp:effectExtent l="19050" t="0" r="3932" b="0"/>
            <wp:docPr id="449" name="Image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8" cstate="print"/>
                    <a:stretch>
                      <a:fillRect/>
                    </a:stretch>
                  </pic:blipFill>
                  <pic:spPr>
                    <a:xfrm>
                      <a:off x="0" y="0"/>
                      <a:ext cx="3083614" cy="1936712"/>
                    </a:xfrm>
                    <a:prstGeom prst="rect">
                      <a:avLst/>
                    </a:prstGeom>
                  </pic:spPr>
                </pic:pic>
              </a:graphicData>
            </a:graphic>
          </wp:inline>
        </w:drawing>
      </w:r>
    </w:p>
    <w:p w14:paraId="04E7B45E" w14:textId="77777777" w:rsidR="007C5DB8" w:rsidRPr="00605782" w:rsidRDefault="007C5DB8" w:rsidP="005229B5">
      <w:pPr>
        <w:pStyle w:val="NormalWeb"/>
        <w:spacing w:before="0" w:beforeAutospacing="0" w:line="360" w:lineRule="auto"/>
        <w:jc w:val="center"/>
        <w:rPr>
          <w:rFonts w:asciiTheme="majorBidi" w:eastAsiaTheme="minorHAnsi" w:hAnsiTheme="majorBidi" w:cstheme="majorBidi"/>
          <w:b/>
          <w:bCs/>
          <w:color w:val="000000"/>
          <w:sz w:val="20"/>
          <w:szCs w:val="20"/>
          <w:lang w:val="en-AE" w:eastAsia="en-US"/>
        </w:rPr>
      </w:pPr>
      <w:r w:rsidRPr="00605782">
        <w:rPr>
          <w:rFonts w:asciiTheme="majorBidi" w:eastAsiaTheme="minorHAnsi" w:hAnsiTheme="majorBidi" w:cstheme="majorBidi"/>
          <w:b/>
          <w:bCs/>
          <w:color w:val="000000"/>
          <w:sz w:val="20"/>
          <w:szCs w:val="20"/>
          <w:lang w:val="en-AE" w:eastAsia="en-US"/>
        </w:rPr>
        <w:t xml:space="preserve">Source : </w:t>
      </w:r>
      <w:r w:rsidR="00605782">
        <w:rPr>
          <w:rFonts w:asciiTheme="majorBidi" w:hAnsiTheme="majorBidi" w:cstheme="majorBidi"/>
          <w:sz w:val="20"/>
          <w:szCs w:val="20"/>
          <w:lang w:val="en-AE"/>
        </w:rPr>
        <w:t>Commit</w:t>
      </w:r>
      <w:r w:rsidR="00605782" w:rsidRPr="00605782">
        <w:rPr>
          <w:rFonts w:asciiTheme="majorBidi" w:hAnsiTheme="majorBidi" w:cstheme="majorBidi"/>
          <w:sz w:val="20"/>
          <w:szCs w:val="20"/>
          <w:lang w:val="en-AE"/>
        </w:rPr>
        <w:t>te</w:t>
      </w:r>
      <w:r w:rsidRPr="00605782">
        <w:rPr>
          <w:rFonts w:asciiTheme="majorBidi" w:hAnsiTheme="majorBidi" w:cstheme="majorBidi"/>
          <w:sz w:val="20"/>
          <w:szCs w:val="20"/>
          <w:lang w:val="en-AE"/>
        </w:rPr>
        <w:t xml:space="preserve">e for Economic Development (CED), </w:t>
      </w:r>
      <w:r w:rsidRPr="00605782">
        <w:rPr>
          <w:rFonts w:asciiTheme="majorBidi" w:hAnsiTheme="majorBidi" w:cstheme="majorBidi"/>
          <w:i/>
          <w:iCs/>
          <w:sz w:val="20"/>
          <w:szCs w:val="20"/>
          <w:lang w:val="en-AE"/>
        </w:rPr>
        <w:t>Social Responsibilities of Business Corporations</w:t>
      </w:r>
      <w:r w:rsidRPr="00605782">
        <w:rPr>
          <w:rFonts w:asciiTheme="majorBidi" w:hAnsiTheme="majorBidi" w:cstheme="majorBidi"/>
          <w:sz w:val="20"/>
          <w:szCs w:val="20"/>
          <w:lang w:val="en-AE"/>
        </w:rPr>
        <w:t>, New York, CED, 1971, p. 31.</w:t>
      </w:r>
    </w:p>
    <w:p w14:paraId="47FF253B" w14:textId="77777777" w:rsidR="007C5DB8" w:rsidRPr="00E2052F" w:rsidRDefault="007C5DB8" w:rsidP="00D61875">
      <w:pPr>
        <w:pStyle w:val="NormalWeb"/>
        <w:numPr>
          <w:ilvl w:val="0"/>
          <w:numId w:val="106"/>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 xml:space="preserve">Ce schéma illustre que la </w:t>
      </w:r>
      <w:r w:rsidRPr="00E2052F">
        <w:rPr>
          <w:rStyle w:val="lev"/>
          <w:rFonts w:asciiTheme="majorBidi" w:hAnsiTheme="majorBidi" w:cstheme="majorBidi"/>
          <w:b w:val="0"/>
          <w:bCs w:val="0"/>
          <w:sz w:val="22"/>
          <w:szCs w:val="22"/>
        </w:rPr>
        <w:t>responsabilité est hiérarchisée</w:t>
      </w:r>
      <w:r w:rsidRPr="00E2052F">
        <w:rPr>
          <w:rFonts w:asciiTheme="majorBidi" w:hAnsiTheme="majorBidi" w:cstheme="majorBidi"/>
          <w:sz w:val="22"/>
          <w:szCs w:val="22"/>
        </w:rPr>
        <w:t xml:space="preserve"> et montre comment les différentes responsabilités de l’entreprise s’organisent en couches concentriques, allant des obligations fondamentales aux engagements volontaires.La responsabilité économique, au cœur de la mission de l’entreprise, consiste à assurer sa rentabilité et sa viabilité, sur laquelle s’ajoutent les normes sociales et écologiques impliquant le respect des lois, règlements et standards éthiques, tandis que les responsabilités et actions discrétionnaires englobent les initiatives volontaires telles que la philanthropie, les projets sociaux et le développement durable, illustrant ainsi que la RSE est hiérarchisée, chaque cercle englobant le précédent.</w:t>
      </w:r>
    </w:p>
    <w:p w14:paraId="22443349"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cette dynamique, en 1973</w:t>
      </w:r>
      <w:r w:rsidRPr="00E2052F">
        <w:rPr>
          <w:rFonts w:asciiTheme="majorBidi" w:hAnsiTheme="majorBidi" w:cstheme="majorBidi"/>
          <w:i/>
          <w:iCs/>
          <w:sz w:val="22"/>
          <w:szCs w:val="22"/>
        </w:rPr>
        <w:t>Keith Davis</w:t>
      </w:r>
      <w:r w:rsidRPr="00E2052F">
        <w:rPr>
          <w:rFonts w:asciiTheme="majorBidi" w:hAnsiTheme="majorBidi" w:cstheme="majorBidi"/>
          <w:sz w:val="22"/>
          <w:szCs w:val="22"/>
        </w:rPr>
        <w:t>définit la RSE comme la prise en compte, par l’entreprise, d’enjeux dépassant les seules exigences économiques, juridiques et politiques, en insistant sur le fait que la responsabilité sociale commence là où s’arrête la loi</w:t>
      </w:r>
      <w:r w:rsidRPr="00E2052F">
        <w:rPr>
          <w:rStyle w:val="Appelnotedebasdep"/>
          <w:rFonts w:asciiTheme="majorBidi" w:hAnsiTheme="majorBidi" w:cstheme="majorBidi"/>
          <w:sz w:val="22"/>
          <w:szCs w:val="22"/>
        </w:rPr>
        <w:footnoteReference w:id="180"/>
      </w:r>
      <w:r w:rsidRPr="00E2052F">
        <w:rPr>
          <w:rFonts w:asciiTheme="majorBidi" w:hAnsiTheme="majorBidi" w:cstheme="majorBidi"/>
          <w:sz w:val="22"/>
          <w:szCs w:val="22"/>
        </w:rPr>
        <w:t>.Et en 1975</w:t>
      </w:r>
      <w:r w:rsidRPr="00E2052F">
        <w:rPr>
          <w:rFonts w:asciiTheme="majorBidi" w:hAnsiTheme="majorBidi" w:cstheme="majorBidi"/>
          <w:i/>
          <w:iCs/>
          <w:sz w:val="22"/>
          <w:szCs w:val="22"/>
        </w:rPr>
        <w:t>, S. Prakash Sethi</w:t>
      </w:r>
      <w:r w:rsidRPr="00E2052F">
        <w:rPr>
          <w:rFonts w:asciiTheme="majorBidi" w:hAnsiTheme="majorBidi" w:cstheme="majorBidi"/>
          <w:sz w:val="22"/>
          <w:szCs w:val="22"/>
        </w:rPr>
        <w:t xml:space="preserve"> proposa une distinction entre l’obligation sociale, la responsabilité sociale et la proactivité sociale, contribuant ainsi à une meilleure conceptualisation de la performance sociale de l’entreprise</w:t>
      </w:r>
      <w:r w:rsidRPr="00E2052F">
        <w:rPr>
          <w:rStyle w:val="Appelnotedebasdep"/>
          <w:rFonts w:asciiTheme="majorBidi" w:hAnsiTheme="majorBidi" w:cstheme="majorBidi"/>
          <w:sz w:val="22"/>
          <w:szCs w:val="22"/>
        </w:rPr>
        <w:footnoteReference w:id="181"/>
      </w:r>
      <w:r w:rsidRPr="00E2052F">
        <w:rPr>
          <w:rFonts w:asciiTheme="majorBidi" w:hAnsiTheme="majorBidi" w:cstheme="majorBidi"/>
          <w:sz w:val="22"/>
          <w:szCs w:val="22"/>
        </w:rPr>
        <w:t xml:space="preserve">.La même période a également vu émerger le concept de réceptivité sociale des entreprises, notamment à travers les travaux de </w:t>
      </w:r>
      <w:r w:rsidRPr="00E2052F">
        <w:rPr>
          <w:rFonts w:asciiTheme="majorBidi" w:hAnsiTheme="majorBidi" w:cstheme="majorBidi"/>
          <w:i/>
          <w:iCs/>
          <w:sz w:val="22"/>
          <w:szCs w:val="22"/>
        </w:rPr>
        <w:t>Ackerman</w:t>
      </w:r>
      <w:r w:rsidRPr="00E2052F">
        <w:rPr>
          <w:rFonts w:asciiTheme="majorBidi" w:hAnsiTheme="majorBidi" w:cstheme="majorBidi"/>
          <w:sz w:val="22"/>
          <w:szCs w:val="22"/>
        </w:rPr>
        <w:t xml:space="preserve"> qui mettent l’accent sur la capacité des organisations à répondre aux attentes sociétales</w:t>
      </w:r>
      <w:r w:rsidRPr="00E2052F">
        <w:rPr>
          <w:rStyle w:val="Appelnotedebasdep"/>
          <w:rFonts w:asciiTheme="majorBidi" w:hAnsiTheme="majorBidi" w:cstheme="majorBidi"/>
          <w:sz w:val="22"/>
          <w:szCs w:val="22"/>
        </w:rPr>
        <w:footnoteReference w:id="182"/>
      </w:r>
      <w:r w:rsidRPr="00E2052F">
        <w:rPr>
          <w:rFonts w:asciiTheme="majorBidi" w:hAnsiTheme="majorBidi" w:cstheme="majorBidi"/>
          <w:sz w:val="22"/>
          <w:szCs w:val="22"/>
        </w:rPr>
        <w:t>.</w:t>
      </w:r>
    </w:p>
    <w:p w14:paraId="2D702BBF" w14:textId="77777777" w:rsidR="007C5DB8" w:rsidRPr="00E2052F" w:rsidRDefault="007C5DB8" w:rsidP="00F36332">
      <w:pPr>
        <w:pStyle w:val="Titre5"/>
        <w:numPr>
          <w:ilvl w:val="3"/>
          <w:numId w:val="170"/>
        </w:numPr>
        <w:spacing w:before="0" w:after="160" w:line="360" w:lineRule="auto"/>
        <w:ind w:left="1702" w:hanging="851"/>
        <w:rPr>
          <w:rFonts w:asciiTheme="majorBidi" w:hAnsiTheme="majorBidi"/>
          <w:b/>
          <w:bCs/>
          <w:color w:val="auto"/>
        </w:rPr>
      </w:pPr>
      <w:bookmarkStart w:id="828" w:name="_Toc231746882"/>
      <w:bookmarkStart w:id="829" w:name="_Toc231752289"/>
      <w:bookmarkStart w:id="830" w:name="_Toc231810592"/>
      <w:bookmarkStart w:id="831" w:name="_Toc231811935"/>
      <w:bookmarkStart w:id="832" w:name="_Toc231812215"/>
      <w:bookmarkStart w:id="833" w:name="_Toc231815099"/>
      <w:r w:rsidRPr="00E2052F">
        <w:rPr>
          <w:rFonts w:asciiTheme="majorBidi" w:eastAsiaTheme="minorHAnsi" w:hAnsiTheme="majorBidi"/>
          <w:b/>
          <w:bCs/>
          <w:color w:val="auto"/>
        </w:rPr>
        <w:t>Les années 1980 : Développement des concepts intégrateurs de la RSE</w:t>
      </w:r>
      <w:bookmarkEnd w:id="828"/>
      <w:bookmarkEnd w:id="829"/>
      <w:bookmarkEnd w:id="830"/>
      <w:bookmarkEnd w:id="831"/>
      <w:bookmarkEnd w:id="832"/>
      <w:bookmarkEnd w:id="833"/>
    </w:p>
    <w:p w14:paraId="434B0904" w14:textId="77777777" w:rsidR="007C5DB8" w:rsidRPr="00E2052F" w:rsidRDefault="007C5DB8" w:rsidP="003D28B1">
      <w:pPr>
        <w:spacing w:before="0" w:beforeAutospacing="0"/>
        <w:rPr>
          <w:rFonts w:cstheme="majorBidi"/>
          <w:sz w:val="22"/>
        </w:rPr>
      </w:pPr>
      <w:r w:rsidRPr="00E2052F">
        <w:rPr>
          <w:rFonts w:cstheme="majorBidi"/>
          <w:sz w:val="22"/>
        </w:rPr>
        <w:t xml:space="preserve">Cette étape représente un tournant dans l'évolution de la responsabilité sociale des entreprises (RSE), caractérisée par un passage des tentatives de définition au développement de thématiques alternatives et complémentaires. Parmi ces thématiques figurent des concepts tels que la performance sociale des </w:t>
      </w:r>
      <w:r w:rsidRPr="00E2052F">
        <w:rPr>
          <w:rFonts w:cstheme="majorBidi"/>
          <w:sz w:val="22"/>
        </w:rPr>
        <w:lastRenderedPageBreak/>
        <w:t xml:space="preserve">entreprises, la réponse sociale, la citoyenneté d'entreprise, l'éthique des affaires et la théorie des parties prenantes. Cette période, qui s’étend sur les années 1980 et 1990, correspond à une phase de développement de ces approches alternatives. Dans ce contexte, </w:t>
      </w:r>
      <w:r w:rsidRPr="00E2052F">
        <w:rPr>
          <w:rFonts w:cstheme="majorBidi"/>
          <w:i/>
          <w:iCs/>
          <w:sz w:val="22"/>
        </w:rPr>
        <w:t>Jones</w:t>
      </w:r>
      <w:r w:rsidRPr="00E2052F">
        <w:rPr>
          <w:rFonts w:cstheme="majorBidi"/>
          <w:sz w:val="22"/>
        </w:rPr>
        <w:t>définit la RSE comme l’obligation pour l’entreprise de répondre aux attentes des parties prenantes autres que les actionnaires, au-delà des prescriptions légales. Cette approche met en évidence, d’une part, le caractère volontaire de cet engagement, excluant toute contrainte imposée par la loi ou les accords contractuels, et, d’autre part, l’élargissement du champ des responsabilités aux clients, employés, fournisseurs et autres parties prenantes</w:t>
      </w:r>
      <w:r w:rsidRPr="00E2052F">
        <w:rPr>
          <w:rStyle w:val="Appelnotedebasdep"/>
          <w:rFonts w:cstheme="majorBidi"/>
          <w:sz w:val="22"/>
        </w:rPr>
        <w:footnoteReference w:id="183"/>
      </w:r>
      <w:r w:rsidRPr="00E2052F">
        <w:rPr>
          <w:rFonts w:cstheme="majorBidi"/>
          <w:sz w:val="22"/>
        </w:rPr>
        <w:t>.</w:t>
      </w:r>
    </w:p>
    <w:p w14:paraId="30A5B4FF" w14:textId="77777777" w:rsidR="00EB3186" w:rsidRDefault="007C5DB8" w:rsidP="00EB3186">
      <w:pPr>
        <w:spacing w:before="0" w:beforeAutospacing="0"/>
        <w:rPr>
          <w:rFonts w:cstheme="majorBidi"/>
          <w:sz w:val="22"/>
        </w:rPr>
      </w:pPr>
      <w:r w:rsidRPr="00E2052F">
        <w:rPr>
          <w:rFonts w:cstheme="majorBidi"/>
          <w:sz w:val="22"/>
        </w:rPr>
        <w:t xml:space="preserve">La même période est marquée par la structuration du champ de l’éthique des affaires, notamment avec la création de la Society for Business Ethics, qui rassemble des chercheurs spécialisés dans ce domaine. Et en 1981, </w:t>
      </w:r>
      <w:r w:rsidRPr="00E2052F">
        <w:rPr>
          <w:rFonts w:cstheme="majorBidi"/>
          <w:i/>
          <w:iCs/>
          <w:sz w:val="22"/>
        </w:rPr>
        <w:t>Tuzzolino</w:t>
      </w:r>
      <w:r w:rsidRPr="00E2052F">
        <w:rPr>
          <w:rFonts w:cstheme="majorBidi"/>
          <w:sz w:val="22"/>
        </w:rPr>
        <w:t xml:space="preserve"> et </w:t>
      </w:r>
      <w:r w:rsidRPr="00E2052F">
        <w:rPr>
          <w:rFonts w:cstheme="majorBidi"/>
          <w:i/>
          <w:iCs/>
          <w:sz w:val="22"/>
        </w:rPr>
        <w:t>Armandi</w:t>
      </w:r>
      <w:r w:rsidRPr="00E2052F">
        <w:rPr>
          <w:rFonts w:cstheme="majorBidi"/>
          <w:sz w:val="22"/>
        </w:rPr>
        <w:t xml:space="preserve"> en s’appuyant sur la hiérarchie des besoins de </w:t>
      </w:r>
      <w:r w:rsidRPr="00E2052F">
        <w:rPr>
          <w:rFonts w:cstheme="majorBidi"/>
          <w:i/>
          <w:iCs/>
          <w:sz w:val="22"/>
        </w:rPr>
        <w:t>Maslow</w:t>
      </w:r>
      <w:r w:rsidRPr="00E2052F">
        <w:rPr>
          <w:rFonts w:cstheme="majorBidi"/>
          <w:sz w:val="22"/>
        </w:rPr>
        <w:t xml:space="preserve"> et sur les travaux de </w:t>
      </w:r>
      <w:r w:rsidRPr="00E2052F">
        <w:rPr>
          <w:rFonts w:cstheme="majorBidi"/>
          <w:i/>
          <w:iCs/>
          <w:sz w:val="22"/>
        </w:rPr>
        <w:t>Carroll</w:t>
      </w:r>
      <w:r w:rsidRPr="00E2052F">
        <w:rPr>
          <w:rFonts w:cstheme="majorBidi"/>
          <w:sz w:val="22"/>
        </w:rPr>
        <w:t>, proposent un modèle organisationnel fondé sur les besoins hiérarchiques, suggérant que les entreprises, à l’instar des individus, cherchent à satisfaire différents niveaux de besoins</w:t>
      </w:r>
      <w:r w:rsidR="00EB3186">
        <w:rPr>
          <w:rFonts w:cstheme="majorBidi"/>
          <w:sz w:val="22"/>
        </w:rPr>
        <w:t>.</w:t>
      </w:r>
    </w:p>
    <w:p w14:paraId="601D6C9B" w14:textId="77777777" w:rsidR="007C5DB8" w:rsidRPr="00E2052F" w:rsidRDefault="007C5DB8" w:rsidP="00EB3186">
      <w:pPr>
        <w:spacing w:before="0" w:beforeAutospacing="0"/>
        <w:rPr>
          <w:rFonts w:cstheme="majorBidi"/>
          <w:i/>
          <w:iCs/>
          <w:sz w:val="22"/>
        </w:rPr>
      </w:pPr>
      <w:r w:rsidRPr="00E2052F">
        <w:rPr>
          <w:rFonts w:cstheme="majorBidi"/>
          <w:sz w:val="22"/>
        </w:rPr>
        <w:t xml:space="preserve">Par ailleurs, en 1982, Dalton et Cosier élaborent une </w:t>
      </w:r>
      <w:r w:rsidR="00D31055" w:rsidRPr="00E2052F">
        <w:rPr>
          <w:rFonts w:cstheme="majorBidi"/>
          <w:sz w:val="22"/>
        </w:rPr>
        <w:t>matrice permettant</w:t>
      </w:r>
      <w:r w:rsidRPr="00E2052F">
        <w:rPr>
          <w:rFonts w:cstheme="majorBidi"/>
          <w:sz w:val="22"/>
        </w:rPr>
        <w:t xml:space="preserve"> de représenter la RSE selon quatre dimensions : légale, illégale, responsable et irresponsable. Cette période voit également l’émergence de revues académiques spécialisées, telles que le </w:t>
      </w:r>
      <w:r w:rsidRPr="00E2052F">
        <w:rPr>
          <w:rFonts w:cstheme="majorBidi"/>
          <w:i/>
          <w:iCs/>
          <w:sz w:val="22"/>
        </w:rPr>
        <w:t>Journal of Business Ethics</w:t>
      </w:r>
      <w:r w:rsidRPr="00E2052F">
        <w:rPr>
          <w:rStyle w:val="Appelnotedebasdep"/>
          <w:rFonts w:cstheme="majorBidi"/>
          <w:i/>
          <w:iCs/>
          <w:sz w:val="22"/>
        </w:rPr>
        <w:footnoteReference w:id="184"/>
      </w:r>
      <w:r w:rsidRPr="00E2052F">
        <w:rPr>
          <w:rFonts w:cstheme="majorBidi"/>
          <w:i/>
          <w:iCs/>
          <w:sz w:val="22"/>
        </w:rPr>
        <w:t xml:space="preserve">. </w:t>
      </w:r>
    </w:p>
    <w:p w14:paraId="63DC6B92" w14:textId="77777777" w:rsidR="007C5DB8" w:rsidRPr="00E2052F" w:rsidRDefault="00D57746" w:rsidP="00EB3186">
      <w:pPr>
        <w:pStyle w:val="NormalWeb"/>
        <w:spacing w:before="0" w:beforeAutospacing="0" w:line="360" w:lineRule="auto"/>
        <w:rPr>
          <w:rFonts w:asciiTheme="majorBidi" w:hAnsiTheme="majorBidi" w:cstheme="majorBidi"/>
          <w:b/>
          <w:bCs/>
          <w:sz w:val="22"/>
          <w:szCs w:val="22"/>
        </w:rPr>
      </w:pPr>
      <w:r>
        <w:rPr>
          <w:rFonts w:asciiTheme="majorBidi" w:eastAsiaTheme="minorHAnsi" w:hAnsiTheme="majorBidi" w:cstheme="majorBidi"/>
          <w:b/>
          <w:bCs/>
          <w:color w:val="000000"/>
          <w:sz w:val="22"/>
          <w:szCs w:val="22"/>
          <w:u w:val="single"/>
          <w:lang w:eastAsia="en-US"/>
        </w:rPr>
        <w:t>Figure 03</w:t>
      </w:r>
      <w:r w:rsidR="007C5DB8" w:rsidRPr="00E2052F">
        <w:rPr>
          <w:rFonts w:asciiTheme="majorBidi" w:eastAsiaTheme="minorHAnsi" w:hAnsiTheme="majorBidi" w:cstheme="majorBidi"/>
          <w:b/>
          <w:bCs/>
          <w:color w:val="000000"/>
          <w:sz w:val="22"/>
          <w:szCs w:val="22"/>
          <w:u w:val="single"/>
          <w:lang w:eastAsia="en-US"/>
        </w:rPr>
        <w:t xml:space="preserve"> :</w:t>
      </w:r>
      <w:r w:rsidR="005229B5" w:rsidRPr="00E2052F">
        <w:rPr>
          <w:rFonts w:asciiTheme="majorBidi" w:eastAsiaTheme="minorHAnsi" w:hAnsiTheme="majorBidi" w:cstheme="majorBidi"/>
          <w:b/>
          <w:bCs/>
          <w:color w:val="000000"/>
          <w:sz w:val="22"/>
          <w:szCs w:val="22"/>
          <w:u w:val="single"/>
          <w:lang w:eastAsia="en-US"/>
        </w:rPr>
        <w:t xml:space="preserve"> </w:t>
      </w:r>
      <w:r w:rsidR="007C5DB8" w:rsidRPr="00E2052F">
        <w:rPr>
          <w:rFonts w:asciiTheme="majorBidi" w:hAnsiTheme="majorBidi" w:cstheme="majorBidi"/>
          <w:b/>
          <w:bCs/>
          <w:sz w:val="22"/>
          <w:szCs w:val="22"/>
        </w:rPr>
        <w:t>La matrice Légalité-Responsabilité de Dalton et Cosier (1982)</w:t>
      </w:r>
    </w:p>
    <w:p w14:paraId="1A17A425" w14:textId="77777777" w:rsidR="007C5DB8" w:rsidRPr="00E2052F" w:rsidRDefault="007C5DB8" w:rsidP="005229B5">
      <w:pPr>
        <w:pStyle w:val="NormalWeb"/>
        <w:spacing w:before="0" w:beforeAutospacing="0" w:line="360" w:lineRule="auto"/>
        <w:jc w:val="center"/>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noProof/>
          <w:color w:val="000000"/>
          <w:sz w:val="22"/>
          <w:szCs w:val="22"/>
        </w:rPr>
        <w:drawing>
          <wp:inline distT="0" distB="0" distL="0" distR="0" wp14:anchorId="1885FB0E" wp14:editId="66FD07FF">
            <wp:extent cx="2809875" cy="2107406"/>
            <wp:effectExtent l="19050" t="0" r="9525" b="0"/>
            <wp:docPr id="450" name="Image 2" descr="Lég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égal.png"/>
                    <pic:cNvPicPr/>
                  </pic:nvPicPr>
                  <pic:blipFill>
                    <a:blip r:embed="rId29"/>
                    <a:stretch>
                      <a:fillRect/>
                    </a:stretch>
                  </pic:blipFill>
                  <pic:spPr>
                    <a:xfrm>
                      <a:off x="0" y="0"/>
                      <a:ext cx="2817887" cy="2113415"/>
                    </a:xfrm>
                    <a:prstGeom prst="rect">
                      <a:avLst/>
                    </a:prstGeom>
                  </pic:spPr>
                </pic:pic>
              </a:graphicData>
            </a:graphic>
          </wp:inline>
        </w:drawing>
      </w:r>
    </w:p>
    <w:p w14:paraId="1800ECB2" w14:textId="77777777" w:rsidR="007C5DB8" w:rsidRPr="00E2052F" w:rsidRDefault="007C5DB8" w:rsidP="003D28B1">
      <w:pPr>
        <w:pStyle w:val="NormalWeb"/>
        <w:spacing w:before="0" w:beforeAutospacing="0" w:line="360" w:lineRule="auto"/>
        <w:jc w:val="center"/>
        <w:rPr>
          <w:rFonts w:asciiTheme="majorBidi" w:hAnsiTheme="majorBidi" w:cstheme="majorBidi"/>
          <w:sz w:val="22"/>
          <w:szCs w:val="22"/>
        </w:rPr>
      </w:pPr>
      <w:r w:rsidRPr="00E2052F">
        <w:rPr>
          <w:rFonts w:asciiTheme="majorBidi" w:hAnsiTheme="majorBidi" w:cstheme="majorBidi"/>
          <w:b/>
          <w:bCs/>
          <w:sz w:val="22"/>
          <w:szCs w:val="22"/>
        </w:rPr>
        <w:t>Source :</w:t>
      </w:r>
      <w:r w:rsidRPr="00E2052F">
        <w:rPr>
          <w:rFonts w:asciiTheme="majorBidi" w:hAnsiTheme="majorBidi" w:cstheme="majorBidi"/>
          <w:sz w:val="22"/>
          <w:szCs w:val="22"/>
        </w:rPr>
        <w:t xml:space="preserve"> Établir par nous-mêmes.</w:t>
      </w:r>
    </w:p>
    <w:p w14:paraId="7685268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Strand propose une approche systémique visant à intégrer la responsabilité et la réceptivité dans un système global⁵. Freeman introduit dans leur ouvrage </w:t>
      </w:r>
      <w:r w:rsidRPr="00E2052F">
        <w:rPr>
          <w:rStyle w:val="Accentuation"/>
          <w:rFonts w:asciiTheme="majorBidi" w:hAnsiTheme="majorBidi" w:cstheme="majorBidi"/>
          <w:sz w:val="22"/>
          <w:szCs w:val="22"/>
        </w:rPr>
        <w:t>Strategic Management : L</w:t>
      </w:r>
      <w:r w:rsidRPr="00E2052F">
        <w:rPr>
          <w:rFonts w:asciiTheme="majorBidi" w:hAnsiTheme="majorBidi" w:cstheme="majorBidi"/>
          <w:sz w:val="22"/>
          <w:szCs w:val="22"/>
        </w:rPr>
        <w:t xml:space="preserve">a théorie des parties </w:t>
      </w:r>
      <w:r w:rsidRPr="00E2052F">
        <w:rPr>
          <w:rFonts w:asciiTheme="majorBidi" w:hAnsiTheme="majorBidi" w:cstheme="majorBidi"/>
          <w:sz w:val="22"/>
          <w:szCs w:val="22"/>
        </w:rPr>
        <w:lastRenderedPageBreak/>
        <w:t>prenantes, une représentation en « roue de vélo » intégrant l’ensemble des acteurs influençant ou étant influencés par l’entreprise.Wartick et Cochran reprennent les travaux de Carroll et Strand pour proposer une articulation entre principes, processus et politiques de gestion de la RSE. Enfin, Epstein considère la RSE comme le résultat des décisions organisationnelles ayant des impacts positifs ou négatifs sur les différentes parties prenantes.</w:t>
      </w:r>
    </w:p>
    <w:p w14:paraId="6D24F0C5" w14:textId="77777777" w:rsidR="007C5DB8" w:rsidRPr="00E2052F" w:rsidRDefault="007C5DB8" w:rsidP="00F36332">
      <w:pPr>
        <w:pStyle w:val="Titre5"/>
        <w:numPr>
          <w:ilvl w:val="3"/>
          <w:numId w:val="170"/>
        </w:numPr>
        <w:spacing w:before="0" w:after="160" w:line="360" w:lineRule="auto"/>
        <w:ind w:left="0" w:firstLine="284"/>
        <w:rPr>
          <w:rFonts w:asciiTheme="majorBidi" w:eastAsia="Times New Roman" w:hAnsiTheme="majorBidi"/>
          <w:b/>
          <w:bCs/>
          <w:color w:val="auto"/>
          <w:lang w:eastAsia="fr-FR"/>
        </w:rPr>
      </w:pPr>
      <w:bookmarkStart w:id="834" w:name="_Toc231746883"/>
      <w:bookmarkStart w:id="835" w:name="_Toc231752290"/>
      <w:bookmarkStart w:id="836" w:name="_Toc231810593"/>
      <w:bookmarkStart w:id="837" w:name="_Toc231811936"/>
      <w:bookmarkStart w:id="838" w:name="_Toc231812216"/>
      <w:bookmarkStart w:id="839" w:name="_Toc231815100"/>
      <w:r w:rsidRPr="00E2052F">
        <w:rPr>
          <w:rFonts w:asciiTheme="majorBidi" w:hAnsiTheme="majorBidi"/>
          <w:b/>
          <w:bCs/>
          <w:color w:val="auto"/>
        </w:rPr>
        <w:t>Les années 1990 : Vers la modélisation de la RSE :</w:t>
      </w:r>
      <w:bookmarkEnd w:id="834"/>
      <w:bookmarkEnd w:id="835"/>
      <w:bookmarkEnd w:id="836"/>
      <w:bookmarkEnd w:id="837"/>
      <w:bookmarkEnd w:id="838"/>
      <w:bookmarkEnd w:id="839"/>
    </w:p>
    <w:p w14:paraId="3D35B804"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En 1991, une nouvelle société savante autonome, l’International Association for Business and Society (IABS), est créée. Ses travaux sont consacrés aux relations entre entreprise et société.</w:t>
      </w:r>
    </w:p>
    <w:p w14:paraId="50E1546F"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Cette période se caractérise également par une abondance de travaux portant sur le développement des modèles théoriques. Wood reprend la conception de la performance sociétale de l’entreprise (PSE) formulée par Carroll pour construire un modèle structuré autour de trois dimensions : les principes de responsabilité sociale, les processus de réactivité sociale et les résultats du comportement des entreprises</w:t>
      </w:r>
      <w:r w:rsidRPr="00E2052F">
        <w:rPr>
          <w:rStyle w:val="Appelnotedebasdep"/>
          <w:rFonts w:eastAsia="Times New Roman" w:cstheme="majorBidi"/>
          <w:sz w:val="22"/>
          <w:lang w:eastAsia="fr-FR"/>
        </w:rPr>
        <w:footnoteReference w:id="185"/>
      </w:r>
      <w:r w:rsidRPr="00E2052F">
        <w:rPr>
          <w:rFonts w:eastAsia="Times New Roman" w:cstheme="majorBidi"/>
          <w:sz w:val="22"/>
          <w:lang w:eastAsia="fr-FR"/>
        </w:rPr>
        <w:t>.Swanson propose de rapprocher le modèle de PSE de la prise de décision organisationnelle. Selon elle, la PSE peut être assimilée à un processus de décision social et éthique</w:t>
      </w:r>
      <w:r w:rsidRPr="00E2052F">
        <w:rPr>
          <w:rStyle w:val="Appelnotedebasdep"/>
          <w:rFonts w:eastAsia="Times New Roman" w:cstheme="majorBidi"/>
          <w:sz w:val="22"/>
          <w:lang w:eastAsia="fr-FR"/>
        </w:rPr>
        <w:footnoteReference w:id="186"/>
      </w:r>
      <w:r w:rsidRPr="00E2052F">
        <w:rPr>
          <w:rFonts w:eastAsia="Times New Roman" w:cstheme="majorBidi"/>
          <w:sz w:val="22"/>
          <w:lang w:eastAsia="fr-FR"/>
        </w:rPr>
        <w:t>. Sa relecture du modèle de Wood accorde une importance particulière à la culture organisationnelle, qui influence les valeurs intégrées dans les décisions des employés et des managers ainsi que dans les processus de sensibilité sociétale. Clarkson (1995), quant à lui, mobilise la théorie des parties prenantes pour concevoir un modèle de PSE basé sur la capacité de l’entreprise à gérer et satisfaire les stakeholders.</w:t>
      </w:r>
    </w:p>
    <w:p w14:paraId="6F70FE23" w14:textId="77777777" w:rsidR="007C5DB8" w:rsidRPr="00E2052F" w:rsidRDefault="007C5DB8" w:rsidP="00EB3186">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D’autres auteurs se sont intéressés à l’impact de la PSE sur d’autres construits. Johnson et Greening étudient la relation entre la PSE et les investisseurs institutionnels. Parallèlement, Roman et al analysent la relation entre la PSE et la performance financière de l’entreprise, mettant en évidence une corrélation majoritairement positive</w:t>
      </w:r>
      <w:r w:rsidRPr="00E2052F">
        <w:rPr>
          <w:rStyle w:val="Appelnotedebasdep"/>
          <w:rFonts w:asciiTheme="majorBidi" w:hAnsiTheme="majorBidi" w:cstheme="majorBidi"/>
          <w:sz w:val="22"/>
          <w:szCs w:val="22"/>
        </w:rPr>
        <w:footnoteReference w:id="187"/>
      </w:r>
      <w:r w:rsidRPr="00E2052F">
        <w:rPr>
          <w:rFonts w:asciiTheme="majorBidi" w:hAnsiTheme="majorBidi" w:cstheme="majorBidi"/>
          <w:sz w:val="22"/>
          <w:szCs w:val="22"/>
        </w:rPr>
        <w:t>. Toutefois, Acquier et Aggeri soulignent que le développement des modèles de PSE relève davantage d’un effort de structuration et de mise en cohérence d’approches hétérogènes. La PSE, censée constituer le fondement de ces modèles, apparaît ainsi partiellement dilué dans l’analyse</w:t>
      </w:r>
      <w:r w:rsidR="00EB3186">
        <w:rPr>
          <w:rFonts w:asciiTheme="majorBidi" w:hAnsiTheme="majorBidi" w:cstheme="majorBidi"/>
          <w:sz w:val="22"/>
          <w:szCs w:val="22"/>
        </w:rPr>
        <w:t>.</w:t>
      </w:r>
    </w:p>
    <w:p w14:paraId="5CD2806C"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Par ailleurs, cette phase est marquée par une prolifération des recherches et une diversification des définitions du concept. Boussoura cite notamment les travaux de Donaldson et Preston et de Jones et </w:t>
      </w:r>
      <w:r w:rsidRPr="00E2052F">
        <w:rPr>
          <w:rFonts w:asciiTheme="majorBidi" w:hAnsiTheme="majorBidi" w:cstheme="majorBidi"/>
          <w:sz w:val="22"/>
          <w:szCs w:val="22"/>
        </w:rPr>
        <w:lastRenderedPageBreak/>
        <w:t>Wicks sur les approches normative, descriptive et instrumentale de la théorie des parties prenantes, ainsi que ceux de Mitchell et al et Agle et al sur l’identification des stakeholders</w:t>
      </w:r>
      <w:r w:rsidRPr="00E2052F">
        <w:rPr>
          <w:rStyle w:val="Appelnotedebasdep"/>
          <w:rFonts w:asciiTheme="majorBidi" w:hAnsiTheme="majorBidi" w:cstheme="majorBidi"/>
          <w:sz w:val="22"/>
          <w:szCs w:val="22"/>
        </w:rPr>
        <w:footnoteReference w:id="188"/>
      </w:r>
      <w:r w:rsidRPr="00E2052F">
        <w:rPr>
          <w:rFonts w:asciiTheme="majorBidi" w:hAnsiTheme="majorBidi" w:cstheme="majorBidi"/>
          <w:sz w:val="22"/>
          <w:szCs w:val="22"/>
        </w:rPr>
        <w:t>.</w:t>
      </w:r>
    </w:p>
    <w:p w14:paraId="129584E1" w14:textId="77777777" w:rsidR="007C5DB8" w:rsidRPr="00E2052F" w:rsidRDefault="007C5DB8" w:rsidP="00F36332">
      <w:pPr>
        <w:pStyle w:val="Titre5"/>
        <w:numPr>
          <w:ilvl w:val="3"/>
          <w:numId w:val="170"/>
        </w:numPr>
        <w:spacing w:before="0" w:after="160" w:line="360" w:lineRule="auto"/>
        <w:ind w:left="1702" w:hanging="851"/>
        <w:rPr>
          <w:rFonts w:asciiTheme="majorBidi" w:hAnsiTheme="majorBidi"/>
          <w:b/>
          <w:bCs/>
          <w:color w:val="auto"/>
        </w:rPr>
      </w:pPr>
      <w:bookmarkStart w:id="840" w:name="_Toc231746884"/>
      <w:bookmarkStart w:id="841" w:name="_Toc231752291"/>
      <w:bookmarkStart w:id="842" w:name="_Toc231810594"/>
      <w:bookmarkStart w:id="843" w:name="_Toc231811937"/>
      <w:bookmarkStart w:id="844" w:name="_Toc231812217"/>
      <w:bookmarkStart w:id="845" w:name="_Toc231815101"/>
      <w:r w:rsidRPr="00E2052F">
        <w:rPr>
          <w:rFonts w:asciiTheme="majorBidi" w:eastAsiaTheme="minorHAnsi" w:hAnsiTheme="majorBidi"/>
          <w:b/>
          <w:bCs/>
          <w:color w:val="auto"/>
        </w:rPr>
        <w:t>Les années 2000 : Vers une approche plus démocratique et internationale :</w:t>
      </w:r>
      <w:bookmarkEnd w:id="840"/>
      <w:bookmarkEnd w:id="841"/>
      <w:bookmarkEnd w:id="842"/>
      <w:bookmarkEnd w:id="843"/>
      <w:bookmarkEnd w:id="844"/>
      <w:bookmarkEnd w:id="845"/>
    </w:p>
    <w:p w14:paraId="0D1776D2"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Longtemps considérée comme une curiosité américaine, la RSE est progressivement devenue une politique officielle touchant de nombreux pays et populations à travers le monde.La diffusion du concept en dehors des États-Unis s’explique notamment par la propagation du capitalisme de marché à l’échelle internationale. En s’internationalisant, la RSE s’est progressivement orientée vers des enjeux globaux tels que les droits humains, le travail des enfants ou encore la qualité des relations de travail, fortement influencés par des organisations internationales comme l’ONU ou l’OIT.</w:t>
      </w:r>
    </w:p>
    <w:p w14:paraId="583609E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 ailleurs, de nouvelles pratiques hybrides telles que le commerce équitable, l’investissement responsable ou le financement collaboratif ont émergé, combinant logiques de marché et valeurs éthiques.Dans ce contexte, la mondialisation de la RSE repose sur trois facteurs amplificateurs majeurs. Le premier est une dynamique de libéralisation caractérisée par le retrait partiel de l’État et le renforcement de l’autorégulation du marché, ainsi que par la montée de l’individualisme et du libre arbitre. Le deuxième facteur est la poussée technologique, qui, tout en générant des bénéfices importants, engendre de nouveaux défis sociaux, environnementaux et éthiques</w:t>
      </w:r>
      <w:r w:rsidRPr="00E2052F">
        <w:rPr>
          <w:rStyle w:val="Appelnotedebasdep"/>
          <w:rFonts w:asciiTheme="majorBidi" w:hAnsiTheme="majorBidi" w:cstheme="majorBidi"/>
          <w:sz w:val="22"/>
          <w:szCs w:val="22"/>
        </w:rPr>
        <w:footnoteReference w:id="189"/>
      </w:r>
      <w:r w:rsidRPr="00E2052F">
        <w:rPr>
          <w:rFonts w:asciiTheme="majorBidi" w:hAnsiTheme="majorBidi" w:cstheme="majorBidi"/>
          <w:sz w:val="22"/>
          <w:szCs w:val="22"/>
        </w:rPr>
        <w:t>. Enfin, le troisième facteur est la mondialisation elle-même, qui crée des problématiques transnationales nécessitant l’implication des entreprises dans la gestion des conséquences de leurs activités.</w:t>
      </w:r>
    </w:p>
    <w:p w14:paraId="2C27359E"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Sous un autre angle, certains auteurs considèrent les années 2000 comme une phase de marchandisation et de dilution du sens initial de la RSE. Dans cette perspective, la RSE devient un marché structuré autour d’acteurs spécialisés tels que les agences de notation, les cabinets de conseil et les investisseurs. De nombreuses activités lucratives émergent, notamment la notation sociétale et environnementale</w:t>
      </w:r>
      <w:r w:rsidRPr="00E2052F">
        <w:rPr>
          <w:rStyle w:val="Appelnotedebasdep"/>
          <w:rFonts w:asciiTheme="majorBidi" w:hAnsiTheme="majorBidi" w:cstheme="majorBidi"/>
          <w:sz w:val="22"/>
          <w:szCs w:val="22"/>
        </w:rPr>
        <w:footnoteReference w:id="190"/>
      </w:r>
      <w:r w:rsidRPr="00E2052F">
        <w:rPr>
          <w:rFonts w:asciiTheme="majorBidi" w:hAnsiTheme="majorBidi" w:cstheme="majorBidi"/>
          <w:sz w:val="22"/>
          <w:szCs w:val="22"/>
        </w:rPr>
        <w:t>. Certains auteurs parlent ainsi d’un véritable « marché de la vertu », ou d’un secteur d’activité à part entière.</w:t>
      </w:r>
    </w:p>
    <w:p w14:paraId="7740BF8B" w14:textId="77777777" w:rsidR="007C5DB8" w:rsidRPr="00C8480E" w:rsidRDefault="007C5DB8" w:rsidP="00F36332">
      <w:pPr>
        <w:pStyle w:val="Titre2"/>
        <w:numPr>
          <w:ilvl w:val="0"/>
          <w:numId w:val="234"/>
        </w:numPr>
        <w:rPr>
          <w:rFonts w:eastAsiaTheme="minorHAnsi"/>
        </w:rPr>
      </w:pPr>
      <w:bookmarkStart w:id="846" w:name="_Toc231746885"/>
      <w:bookmarkStart w:id="847" w:name="_Toc231752292"/>
      <w:bookmarkStart w:id="848" w:name="_Toc231810595"/>
      <w:bookmarkStart w:id="849" w:name="_Toc231811938"/>
      <w:bookmarkStart w:id="850" w:name="_Toc231812218"/>
      <w:bookmarkStart w:id="851" w:name="_Toc231815102"/>
      <w:r w:rsidRPr="00C8480E">
        <w:rPr>
          <w:rFonts w:eastAsiaTheme="minorHAnsi"/>
        </w:rPr>
        <w:t>Les définitions de la responsabilité sociale :</w:t>
      </w:r>
      <w:bookmarkEnd w:id="846"/>
      <w:bookmarkEnd w:id="847"/>
      <w:bookmarkEnd w:id="848"/>
      <w:bookmarkEnd w:id="849"/>
      <w:bookmarkEnd w:id="850"/>
      <w:bookmarkEnd w:id="851"/>
    </w:p>
    <w:p w14:paraId="0A012CD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notion de responsabilité s’impose comme un pilier central de la réflexion. Elle dépasse le cadre d’une simple obligation individuelle pour s’inscrire dans une logique d’extension graduelle, englobant des dimensions à la fois collectives et organisationnelles. Dès lors, la compréhension de la responsabilité </w:t>
      </w:r>
      <w:r w:rsidRPr="00E2052F">
        <w:rPr>
          <w:rFonts w:asciiTheme="majorBidi" w:hAnsiTheme="majorBidi" w:cstheme="majorBidi"/>
          <w:sz w:val="22"/>
          <w:szCs w:val="22"/>
        </w:rPr>
        <w:lastRenderedPageBreak/>
        <w:t>sociétale des entreprises repose sur une articulation logique allant de la responsabilité au sens général, à la responsabilité sociale, puis à son application spécifique dans le cadre de l’entreprise.</w:t>
      </w:r>
    </w:p>
    <w:p w14:paraId="6A21D299" w14:textId="77777777" w:rsidR="007C5DB8" w:rsidRPr="00E2052F" w:rsidRDefault="007C5DB8" w:rsidP="00F36332">
      <w:pPr>
        <w:pStyle w:val="Titre3"/>
        <w:numPr>
          <w:ilvl w:val="1"/>
          <w:numId w:val="165"/>
        </w:numPr>
        <w:spacing w:before="0" w:beforeAutospacing="0" w:after="160"/>
        <w:ind w:left="0" w:firstLine="284"/>
        <w:jc w:val="left"/>
        <w:rPr>
          <w:rFonts w:asciiTheme="majorBidi" w:eastAsiaTheme="minorHAnsi" w:hAnsiTheme="majorBidi"/>
          <w:color w:val="auto"/>
          <w:sz w:val="22"/>
        </w:rPr>
      </w:pPr>
      <w:bookmarkStart w:id="852" w:name="_Toc231746886"/>
      <w:bookmarkStart w:id="853" w:name="_Toc231752293"/>
      <w:bookmarkStart w:id="854" w:name="_Toc231810596"/>
      <w:bookmarkStart w:id="855" w:name="_Toc231811939"/>
      <w:bookmarkStart w:id="856" w:name="_Toc231812219"/>
      <w:bookmarkStart w:id="857" w:name="_Toc231815103"/>
      <w:r w:rsidRPr="00E2052F">
        <w:rPr>
          <w:rFonts w:asciiTheme="majorBidi" w:hAnsiTheme="majorBidi"/>
          <w:color w:val="auto"/>
          <w:sz w:val="22"/>
        </w:rPr>
        <w:t>La responsabilité : une obligation individuelle fondamentale</w:t>
      </w:r>
      <w:bookmarkEnd w:id="852"/>
      <w:bookmarkEnd w:id="853"/>
      <w:bookmarkEnd w:id="854"/>
      <w:bookmarkEnd w:id="855"/>
      <w:bookmarkEnd w:id="856"/>
      <w:bookmarkEnd w:id="857"/>
    </w:p>
    <w:p w14:paraId="2E993503"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responsabilité désigne dans son acception première, l’obligation pour l’individu de répondre de ses actes et d’en assumer les conséquences. Le philosophe </w:t>
      </w:r>
      <w:r w:rsidRPr="00E2052F">
        <w:rPr>
          <w:rFonts w:asciiTheme="majorBidi" w:hAnsiTheme="majorBidi" w:cstheme="majorBidi"/>
          <w:i/>
          <w:iCs/>
          <w:sz w:val="22"/>
          <w:szCs w:val="22"/>
        </w:rPr>
        <w:t>Alain Laurent</w:t>
      </w:r>
      <w:r w:rsidRPr="00E2052F">
        <w:rPr>
          <w:rFonts w:asciiTheme="majorBidi" w:hAnsiTheme="majorBidi" w:cstheme="majorBidi"/>
          <w:sz w:val="22"/>
          <w:szCs w:val="22"/>
        </w:rPr>
        <w:t>, membre du comité de rédaction du journal des libertés, dit que pour être responsable il faut être libre</w:t>
      </w:r>
      <w:r w:rsidRPr="00E2052F">
        <w:rPr>
          <w:rStyle w:val="Appelnotedebasdep"/>
          <w:rFonts w:asciiTheme="majorBidi" w:hAnsiTheme="majorBidi" w:cstheme="majorBidi"/>
          <w:sz w:val="22"/>
          <w:szCs w:val="22"/>
        </w:rPr>
        <w:footnoteReference w:id="191"/>
      </w:r>
      <w:r w:rsidRPr="00E2052F">
        <w:rPr>
          <w:rFonts w:asciiTheme="majorBidi" w:hAnsiTheme="majorBidi" w:cstheme="majorBidi"/>
          <w:sz w:val="22"/>
          <w:szCs w:val="22"/>
        </w:rPr>
        <w:t xml:space="preserve">, cette idée s’inscrit dans la pensée de </w:t>
      </w:r>
      <w:r w:rsidRPr="00E2052F">
        <w:rPr>
          <w:rFonts w:asciiTheme="majorBidi" w:hAnsiTheme="majorBidi" w:cstheme="majorBidi"/>
          <w:i/>
          <w:iCs/>
          <w:sz w:val="22"/>
          <w:szCs w:val="22"/>
        </w:rPr>
        <w:t>Richard Dworkin</w:t>
      </w:r>
      <w:r w:rsidRPr="00E2052F">
        <w:rPr>
          <w:rFonts w:asciiTheme="majorBidi" w:hAnsiTheme="majorBidi" w:cstheme="majorBidi"/>
          <w:sz w:val="22"/>
          <w:szCs w:val="22"/>
        </w:rPr>
        <w:t>. Ce dernier, défenseur de l’autonomie et la responsabilité individuelle caractérisait la responsabilité comme « un idéal éthique qui affirme que les individus doivent supporter les conséquences de leurs propres choix et conduire leur existence en choisissant eux mêmes, sans en laisser le choix à d’autres, la manière dont ils veulent vivre ». Le dictionnaire des termes juridiques ne définit pas expressément cette notion puisqu’il ne fait que distinguer responsabilité délictuelle et responsabilité contractuelle. Pourtant, elle est présente dans diverses matières du droit, notamment administratif, civil, européen, fiscal ou pénal</w:t>
      </w:r>
      <w:r w:rsidRPr="00E2052F">
        <w:rPr>
          <w:rStyle w:val="Appelnotedebasdep"/>
          <w:rFonts w:asciiTheme="majorBidi" w:hAnsiTheme="majorBidi" w:cstheme="majorBidi"/>
          <w:sz w:val="22"/>
          <w:szCs w:val="22"/>
        </w:rPr>
        <w:footnoteReference w:id="192"/>
      </w:r>
      <w:r w:rsidRPr="00E2052F">
        <w:rPr>
          <w:rFonts w:asciiTheme="majorBidi" w:hAnsiTheme="majorBidi" w:cstheme="majorBidi"/>
          <w:sz w:val="22"/>
          <w:szCs w:val="22"/>
        </w:rPr>
        <w:t xml:space="preserve">. Donc elle peut être définie, communément, comme l’« obligation ou nécessité morale de répondre, de se porter garant de ses actions ou de celles des autres </w:t>
      </w:r>
      <w:r w:rsidRPr="00E2052F">
        <w:rPr>
          <w:rStyle w:val="Appelnotedebasdep"/>
          <w:rFonts w:asciiTheme="majorBidi" w:hAnsiTheme="majorBidi" w:cstheme="majorBidi"/>
          <w:sz w:val="22"/>
          <w:szCs w:val="22"/>
        </w:rPr>
        <w:footnoteReference w:id="193"/>
      </w:r>
      <w:r w:rsidRPr="00E2052F">
        <w:rPr>
          <w:rFonts w:asciiTheme="majorBidi" w:hAnsiTheme="majorBidi" w:cstheme="majorBidi"/>
          <w:sz w:val="22"/>
          <w:szCs w:val="22"/>
        </w:rPr>
        <w:t>». Dans cette perspective, la responsabilité n'est pas un fardeau imposé par la société, mais une manifestation de la maturité humaine, et être responsable, c'est revendiquer la propriété de sa propre vie, avec tout ce que cela comporte d'aléas et de triomphes personnels. La responsabilité engage l’individu dans un devoir éthique orienté vers les autres et vers l’avenir.</w:t>
      </w:r>
    </w:p>
    <w:p w14:paraId="4693907A" w14:textId="77777777" w:rsidR="007C5DB8" w:rsidRPr="00E2052F" w:rsidRDefault="007C5DB8" w:rsidP="00F36332">
      <w:pPr>
        <w:pStyle w:val="Titre3"/>
        <w:numPr>
          <w:ilvl w:val="1"/>
          <w:numId w:val="165"/>
        </w:numPr>
        <w:spacing w:before="0" w:beforeAutospacing="0" w:after="160"/>
        <w:ind w:left="0" w:firstLine="284"/>
        <w:jc w:val="left"/>
        <w:rPr>
          <w:rFonts w:asciiTheme="majorBidi" w:eastAsiaTheme="minorHAnsi" w:hAnsiTheme="majorBidi"/>
          <w:color w:val="auto"/>
          <w:sz w:val="22"/>
        </w:rPr>
      </w:pPr>
      <w:bookmarkStart w:id="858" w:name="_Toc231746887"/>
      <w:bookmarkStart w:id="859" w:name="_Toc231752294"/>
      <w:bookmarkStart w:id="860" w:name="_Toc231810597"/>
      <w:bookmarkStart w:id="861" w:name="_Toc231811940"/>
      <w:bookmarkStart w:id="862" w:name="_Toc231812220"/>
      <w:bookmarkStart w:id="863" w:name="_Toc231815104"/>
      <w:r w:rsidRPr="00E2052F">
        <w:rPr>
          <w:rFonts w:asciiTheme="majorBidi" w:eastAsiaTheme="minorHAnsi" w:hAnsiTheme="majorBidi"/>
          <w:color w:val="auto"/>
          <w:sz w:val="22"/>
        </w:rPr>
        <w:t>La responsabilité sociale</w:t>
      </w:r>
      <w:r w:rsidR="00091F6F">
        <w:rPr>
          <w:rFonts w:asciiTheme="majorBidi" w:eastAsiaTheme="minorHAnsi" w:hAnsiTheme="majorBidi"/>
          <w:color w:val="auto"/>
          <w:sz w:val="22"/>
        </w:rPr>
        <w:t xml:space="preserve"> </w:t>
      </w:r>
      <w:r w:rsidRPr="00E2052F">
        <w:rPr>
          <w:rFonts w:asciiTheme="majorBidi" w:eastAsiaTheme="minorHAnsi" w:hAnsiTheme="majorBidi"/>
          <w:color w:val="auto"/>
          <w:sz w:val="22"/>
        </w:rPr>
        <w:t>: une dimension collective</w:t>
      </w:r>
      <w:bookmarkEnd w:id="858"/>
      <w:bookmarkEnd w:id="859"/>
      <w:bookmarkEnd w:id="860"/>
      <w:bookmarkEnd w:id="861"/>
      <w:bookmarkEnd w:id="862"/>
      <w:bookmarkEnd w:id="863"/>
    </w:p>
    <w:p w14:paraId="261A70B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responsabilité de chaque individu ne peut être dissociée de celle des autres, dans ce sens la responsabilité s’élargit pour intégrer une dimension sociale, car les actions individuelles produisent des effets qui dépassent souvent la personne elle-même pour impacter la société dans son ensemble. Ainsi, la responsabilité devient une réalité partagée, fondée sur l’interdépendance des acteurs sociaux et sur la nécessité de préserver le bien-être collectif. Dans cette perspective, chaque individu est appelé à adopter des comportements conformes aux normes sociales et aux valeurs communes, contribuant ainsi à la construction d’une responsabilité collective. Comme le souligne Émile Durkheim, « la société ne peut exister que si les individus se sentent liés par des obligations morales communes »</w:t>
      </w:r>
      <w:r w:rsidRPr="00E2052F">
        <w:rPr>
          <w:rStyle w:val="Appelnotedebasdep"/>
          <w:rFonts w:asciiTheme="majorBidi" w:hAnsiTheme="majorBidi" w:cstheme="majorBidi"/>
          <w:sz w:val="22"/>
          <w:szCs w:val="22"/>
        </w:rPr>
        <w:footnoteReference w:id="194"/>
      </w:r>
      <w:r w:rsidRPr="00E2052F">
        <w:rPr>
          <w:rFonts w:asciiTheme="majorBidi" w:hAnsiTheme="majorBidi" w:cstheme="majorBidi"/>
          <w:sz w:val="22"/>
          <w:szCs w:val="22"/>
        </w:rPr>
        <w:t xml:space="preserve">, ce qui met en évidence le caractère social de la responsabilité.S’agissant du terme « social », il convient d’en préciser le sens. Bien que le dictionnaire juridique n’en propose pas de définition explicite, cette clarification </w:t>
      </w:r>
      <w:r w:rsidRPr="00E2052F">
        <w:rPr>
          <w:rFonts w:asciiTheme="majorBidi" w:hAnsiTheme="majorBidi" w:cstheme="majorBidi"/>
          <w:sz w:val="22"/>
          <w:szCs w:val="22"/>
        </w:rPr>
        <w:lastRenderedPageBreak/>
        <w:t xml:space="preserve">apparaît nécessaire dans la mesure où il peut prêter à confusion, notamment entre les notions de responsabilité sociale des entreprises et de responsabilité sociétale des entreprises, souvent utilisées de manière interchangeable. D’un point de vue étymologique, le terme « social » dérive du latin </w:t>
      </w:r>
      <w:r w:rsidRPr="00E2052F">
        <w:rPr>
          <w:rStyle w:val="Accentuation"/>
          <w:rFonts w:asciiTheme="majorBidi" w:hAnsiTheme="majorBidi" w:cstheme="majorBidi"/>
          <w:sz w:val="22"/>
          <w:szCs w:val="22"/>
        </w:rPr>
        <w:t>socius</w:t>
      </w:r>
      <w:r w:rsidRPr="00E2052F">
        <w:rPr>
          <w:rFonts w:asciiTheme="majorBidi" w:hAnsiTheme="majorBidi" w:cstheme="majorBidi"/>
          <w:sz w:val="22"/>
          <w:szCs w:val="22"/>
        </w:rPr>
        <w:t>, signifiant compagnon ou associé, et renvoie, dans son acception première, à ce qui est relatif à la société et aux relations entre les individus. Par extension, il s’applique également aux relations économiques et organisationnelles, notamment dans le cadre des entreprises, ce qui met en évidence le lien étroit entre la responsabilité juridique des organisations et leur responsabilité sociale.</w:t>
      </w:r>
    </w:p>
    <w:p w14:paraId="5F63C306" w14:textId="77777777" w:rsidR="007C5DB8" w:rsidRPr="00E2052F" w:rsidRDefault="007C5DB8" w:rsidP="00F36332">
      <w:pPr>
        <w:pStyle w:val="Titre3"/>
        <w:numPr>
          <w:ilvl w:val="1"/>
          <w:numId w:val="165"/>
        </w:numPr>
        <w:spacing w:before="0" w:beforeAutospacing="0" w:after="160"/>
        <w:ind w:left="0" w:firstLine="284"/>
        <w:jc w:val="left"/>
        <w:rPr>
          <w:rFonts w:asciiTheme="majorBidi" w:eastAsiaTheme="minorHAnsi" w:hAnsiTheme="majorBidi"/>
          <w:color w:val="auto"/>
          <w:sz w:val="22"/>
        </w:rPr>
      </w:pPr>
      <w:bookmarkStart w:id="864" w:name="_Toc231746888"/>
      <w:bookmarkStart w:id="865" w:name="_Toc231752295"/>
      <w:bookmarkStart w:id="866" w:name="_Toc231810598"/>
      <w:bookmarkStart w:id="867" w:name="_Toc231811941"/>
      <w:bookmarkStart w:id="868" w:name="_Toc231812221"/>
      <w:bookmarkStart w:id="869" w:name="_Toc231815105"/>
      <w:r w:rsidRPr="00E2052F">
        <w:rPr>
          <w:rFonts w:asciiTheme="majorBidi" w:eastAsiaTheme="minorHAnsi" w:hAnsiTheme="majorBidi"/>
          <w:color w:val="auto"/>
          <w:sz w:val="22"/>
        </w:rPr>
        <w:t>La responsabilité sociale des entreprises (RSE) : une application organisationnelle</w:t>
      </w:r>
      <w:bookmarkEnd w:id="864"/>
      <w:bookmarkEnd w:id="865"/>
      <w:bookmarkEnd w:id="866"/>
      <w:bookmarkEnd w:id="867"/>
      <w:bookmarkEnd w:id="868"/>
      <w:bookmarkEnd w:id="869"/>
    </w:p>
    <w:p w14:paraId="113D9825"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cette continuité, la responsabilité sociale des entreprises constitue la transposition de la responsabilité sociale au cadre organisationnel. Avant d’aborder les différentes définitions de la responsabilité sociale des entreprises, il convient de préciser que cette notion ne fait pas l’objet d’un consensus unanime. En effet, il s’agit d’un concept aux contours variables, dont l’interprétation diffère selon les approches, les contextes et les objectifs poursuivis. Cette diversité de conceptions traduit la richesse, mais aussi la complexité de la notion, rendant nécessaire l’examen de ses principales définitions afin d’en mieux cerner le contenu et les enjeux. Le terme « RSE » englobe les responsabilités que les entreprises assument envers les communautés au sein desquelles elles opèrent. Certes, le concept de RSE n'a pas toujours la même signification pour tous. Pour certains, la RSE est liée à la responsabilité légale ; pour d'autres, à l'éthique ou à un comportement socialement responsable ; tandis que d'autres encore l'associent à la philanthropie ; et certains la perçoivent comme un acte relevant de la conscience sociale. En examinant le sens littéral du terme RSE, il apparaît clairement que la « responsabilité » n'est pas ici comprise comme une « obligation », car l'action est considérée comme « volontaire ». De plus, cette responsabilité implique une obligation pour l'entreprise, avec des conséquences tant pour elle que pour les autres.</w:t>
      </w:r>
    </w:p>
    <w:p w14:paraId="03028A8D" w14:textId="77777777" w:rsidR="007C5DB8" w:rsidRPr="00E2052F" w:rsidRDefault="007C5DB8" w:rsidP="00F36332">
      <w:pPr>
        <w:pStyle w:val="Titre4"/>
        <w:numPr>
          <w:ilvl w:val="2"/>
          <w:numId w:val="165"/>
        </w:numPr>
        <w:spacing w:before="0" w:beforeAutospacing="0" w:after="160"/>
        <w:ind w:left="1134" w:hanging="567"/>
        <w:jc w:val="left"/>
        <w:rPr>
          <w:rFonts w:asciiTheme="majorBidi" w:hAnsiTheme="majorBidi"/>
          <w:i w:val="0"/>
          <w:iCs w:val="0"/>
          <w:color w:val="auto"/>
          <w:sz w:val="22"/>
        </w:rPr>
      </w:pPr>
      <w:bookmarkStart w:id="870" w:name="_Toc231746889"/>
      <w:bookmarkStart w:id="871" w:name="_Toc231752296"/>
      <w:bookmarkStart w:id="872" w:name="_Toc231810599"/>
      <w:bookmarkStart w:id="873" w:name="_Toc231811942"/>
      <w:bookmarkStart w:id="874" w:name="_Toc231812222"/>
      <w:bookmarkStart w:id="875" w:name="_Toc231815106"/>
      <w:r w:rsidRPr="00E2052F">
        <w:rPr>
          <w:rFonts w:asciiTheme="majorBidi" w:eastAsiaTheme="minorHAnsi" w:hAnsiTheme="majorBidi"/>
          <w:i w:val="0"/>
          <w:iCs w:val="0"/>
          <w:color w:val="auto"/>
          <w:sz w:val="22"/>
        </w:rPr>
        <w:t>La définition de la RSE selon certains auteurs :</w:t>
      </w:r>
      <w:bookmarkEnd w:id="870"/>
      <w:bookmarkEnd w:id="871"/>
      <w:bookmarkEnd w:id="872"/>
      <w:bookmarkEnd w:id="873"/>
      <w:bookmarkEnd w:id="874"/>
      <w:bookmarkEnd w:id="875"/>
    </w:p>
    <w:p w14:paraId="138A052A" w14:textId="77777777" w:rsidR="007C5DB8" w:rsidRPr="00E2052F" w:rsidRDefault="007C5DB8" w:rsidP="00091F6F">
      <w:pPr>
        <w:pStyle w:val="NormalWeb"/>
        <w:spacing w:before="0" w:beforeAutospacing="0" w:line="360" w:lineRule="auto"/>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color w:val="000000"/>
          <w:sz w:val="22"/>
          <w:szCs w:val="22"/>
          <w:u w:val="single"/>
          <w:lang w:eastAsia="en-US"/>
        </w:rPr>
        <w:t>Selon Howard R. Bowen (1953) :</w:t>
      </w:r>
      <w:r w:rsidRPr="00E2052F">
        <w:rPr>
          <w:rFonts w:asciiTheme="majorBidi" w:eastAsiaTheme="minorHAnsi" w:hAnsiTheme="majorBidi" w:cstheme="majorBidi"/>
          <w:color w:val="000000"/>
          <w:sz w:val="22"/>
          <w:szCs w:val="22"/>
          <w:lang w:eastAsia="en-US"/>
        </w:rPr>
        <w:t xml:space="preserve"> La responsabilité sociale des entreprises est </w:t>
      </w:r>
      <w:r w:rsidRPr="00E2052F">
        <w:rPr>
          <w:rFonts w:asciiTheme="majorBidi" w:hAnsiTheme="majorBidi" w:cstheme="majorBidi"/>
          <w:sz w:val="22"/>
          <w:szCs w:val="22"/>
        </w:rPr>
        <w:t>« L’obligation pour les hommes d’affaires de poursuivre des politiques, de prendre des décisions et de suivre des lignes de conduite compatibles avec les objectifs et les valeurs de la société</w:t>
      </w:r>
      <w:r w:rsidRPr="00E2052F">
        <w:rPr>
          <w:rStyle w:val="Appelnotedebasdep"/>
          <w:rFonts w:asciiTheme="majorBidi" w:hAnsiTheme="majorBidi" w:cstheme="majorBidi"/>
          <w:sz w:val="22"/>
          <w:szCs w:val="22"/>
        </w:rPr>
        <w:footnoteReference w:id="195"/>
      </w:r>
      <w:r w:rsidRPr="00E2052F">
        <w:rPr>
          <w:rFonts w:asciiTheme="majorBidi" w:hAnsiTheme="majorBidi" w:cstheme="majorBidi"/>
          <w:sz w:val="22"/>
          <w:szCs w:val="22"/>
        </w:rPr>
        <w:t>. »</w:t>
      </w:r>
    </w:p>
    <w:p w14:paraId="30F4C9BE" w14:textId="77777777" w:rsidR="007C5DB8" w:rsidRPr="00E2052F" w:rsidRDefault="007C5DB8" w:rsidP="00091F6F">
      <w:pPr>
        <w:pStyle w:val="NormalWeb"/>
        <w:spacing w:before="0" w:beforeAutospacing="0" w:line="360" w:lineRule="auto"/>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color w:val="000000"/>
          <w:sz w:val="22"/>
          <w:szCs w:val="22"/>
          <w:u w:val="single"/>
          <w:lang w:eastAsia="en-US"/>
        </w:rPr>
        <w:t>Selon Keith Davis (1960) :</w:t>
      </w:r>
      <w:r w:rsidRPr="00E2052F">
        <w:rPr>
          <w:rFonts w:asciiTheme="majorBidi" w:hAnsiTheme="majorBidi" w:cstheme="majorBidi"/>
          <w:sz w:val="22"/>
          <w:szCs w:val="22"/>
        </w:rPr>
        <w:t>La responsabilité sociale des entreprises correspond aux : « décisions et actions des entreprises prises pour des raisons qui dépassent leurs intérêts économiques et techniques directs.»</w:t>
      </w:r>
    </w:p>
    <w:p w14:paraId="39EC5252" w14:textId="77777777" w:rsidR="007C5DB8" w:rsidRPr="00E2052F" w:rsidRDefault="007C5DB8" w:rsidP="00091F6F">
      <w:pPr>
        <w:pStyle w:val="NormalWeb"/>
        <w:spacing w:before="0" w:beforeAutospacing="0" w:line="360" w:lineRule="auto"/>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color w:val="000000"/>
          <w:sz w:val="22"/>
          <w:szCs w:val="22"/>
          <w:u w:val="single"/>
          <w:lang w:eastAsia="en-US"/>
        </w:rPr>
        <w:lastRenderedPageBreak/>
        <w:t>Selon Joseph W. McGuire (1963) :</w:t>
      </w:r>
      <w:r w:rsidRPr="00E2052F">
        <w:rPr>
          <w:rFonts w:asciiTheme="majorBidi" w:eastAsiaTheme="minorHAnsi" w:hAnsiTheme="majorBidi" w:cstheme="majorBidi"/>
          <w:color w:val="000000"/>
          <w:sz w:val="22"/>
          <w:szCs w:val="22"/>
          <w:lang w:eastAsia="en-US"/>
        </w:rPr>
        <w:t xml:space="preserve">Il </w:t>
      </w:r>
      <w:r w:rsidRPr="00E2052F">
        <w:rPr>
          <w:rFonts w:asciiTheme="majorBidi" w:hAnsiTheme="majorBidi" w:cstheme="majorBidi"/>
          <w:sz w:val="22"/>
          <w:szCs w:val="22"/>
        </w:rPr>
        <w:t>affirme que : L’entreprise ne se limite pas à des obligations économiques et juridiques, mais possède aussi des responsabilités envers la société</w:t>
      </w:r>
      <w:r w:rsidRPr="00E2052F">
        <w:rPr>
          <w:rStyle w:val="Appelnotedebasdep"/>
          <w:rFonts w:asciiTheme="majorBidi" w:hAnsiTheme="majorBidi" w:cstheme="majorBidi"/>
          <w:sz w:val="22"/>
          <w:szCs w:val="22"/>
        </w:rPr>
        <w:footnoteReference w:id="196"/>
      </w:r>
      <w:r w:rsidRPr="00E2052F">
        <w:rPr>
          <w:rFonts w:asciiTheme="majorBidi" w:hAnsiTheme="majorBidi" w:cstheme="majorBidi"/>
          <w:sz w:val="22"/>
          <w:szCs w:val="22"/>
        </w:rPr>
        <w:t>.</w:t>
      </w:r>
    </w:p>
    <w:p w14:paraId="3A1ED487" w14:textId="77777777" w:rsidR="007C5DB8" w:rsidRPr="00E2052F" w:rsidRDefault="007C5DB8" w:rsidP="00091F6F">
      <w:pPr>
        <w:pStyle w:val="NormalWeb"/>
        <w:spacing w:before="0" w:beforeAutospacing="0" w:line="360" w:lineRule="auto"/>
        <w:rPr>
          <w:rStyle w:val="whitespace-normal"/>
          <w:rFonts w:asciiTheme="majorBidi" w:hAnsiTheme="majorBidi" w:cstheme="majorBidi"/>
          <w:sz w:val="22"/>
          <w:szCs w:val="22"/>
        </w:rPr>
      </w:pPr>
      <w:r w:rsidRPr="00E2052F">
        <w:rPr>
          <w:rFonts w:asciiTheme="majorBidi" w:eastAsiaTheme="minorHAnsi" w:hAnsiTheme="majorBidi" w:cstheme="majorBidi"/>
          <w:b/>
          <w:bCs/>
          <w:color w:val="000000"/>
          <w:sz w:val="22"/>
          <w:szCs w:val="22"/>
          <w:u w:val="single"/>
          <w:lang w:eastAsia="en-US"/>
        </w:rPr>
        <w:t>SelonDavid (1973) :</w:t>
      </w:r>
      <w:r w:rsidRPr="00E2052F">
        <w:rPr>
          <w:rFonts w:asciiTheme="majorBidi" w:eastAsiaTheme="minorHAnsi" w:hAnsiTheme="majorBidi" w:cstheme="majorBidi"/>
          <w:color w:val="000000"/>
          <w:sz w:val="22"/>
          <w:szCs w:val="22"/>
          <w:lang w:eastAsia="en-US"/>
        </w:rPr>
        <w:t>La responsabilité sociale des entreprisesrenvoie à la prise en considération par l’entreprise de problèmes qui vont au- delà de ses obligations économiques, techniques et légales étroites ainsi qu’aux réponses que l’entreprise donne à ces problèmes. Cela signifie que la responsabilité sociale débute là où s’arrête la loi. Une entreprise n’est pas socialement responsable si elle se conforme au minimum requis par la loi, car c’est ce que n’importe quel bon citoyen est tenu de faire</w:t>
      </w:r>
      <w:r w:rsidRPr="00E2052F">
        <w:rPr>
          <w:rStyle w:val="Appelnotedebasdep"/>
          <w:rFonts w:asciiTheme="majorBidi" w:eastAsiaTheme="minorHAnsi" w:hAnsiTheme="majorBidi" w:cstheme="majorBidi"/>
          <w:color w:val="000000"/>
          <w:sz w:val="22"/>
          <w:szCs w:val="22"/>
          <w:lang w:eastAsia="en-US"/>
        </w:rPr>
        <w:footnoteReference w:id="197"/>
      </w:r>
      <w:r w:rsidRPr="00E2052F">
        <w:rPr>
          <w:rFonts w:asciiTheme="majorBidi" w:eastAsiaTheme="minorHAnsi" w:hAnsiTheme="majorBidi" w:cstheme="majorBidi"/>
          <w:color w:val="000000"/>
          <w:sz w:val="22"/>
          <w:szCs w:val="22"/>
          <w:lang w:eastAsia="en-US"/>
        </w:rPr>
        <w:t>.</w:t>
      </w:r>
    </w:p>
    <w:p w14:paraId="4BCC167C" w14:textId="77777777" w:rsidR="007C5DB8" w:rsidRPr="00E2052F" w:rsidRDefault="007C5DB8" w:rsidP="00091F6F">
      <w:pPr>
        <w:pStyle w:val="NormalWeb"/>
        <w:spacing w:before="0" w:beforeAutospacing="0" w:line="360" w:lineRule="auto"/>
        <w:rPr>
          <w:rFonts w:asciiTheme="majorBidi" w:hAnsiTheme="majorBidi" w:cstheme="majorBidi"/>
          <w:sz w:val="22"/>
          <w:szCs w:val="22"/>
        </w:rPr>
      </w:pPr>
      <w:r w:rsidRPr="00E2052F">
        <w:rPr>
          <w:rStyle w:val="whitespace-normal"/>
          <w:rFonts w:asciiTheme="majorBidi" w:hAnsiTheme="majorBidi" w:cstheme="majorBidi"/>
          <w:b/>
          <w:bCs/>
          <w:sz w:val="22"/>
          <w:szCs w:val="22"/>
          <w:u w:val="single"/>
        </w:rPr>
        <w:t>Selon Archie B. Carroll</w:t>
      </w:r>
      <w:r w:rsidRPr="00E2052F">
        <w:rPr>
          <w:rFonts w:asciiTheme="majorBidi" w:hAnsiTheme="majorBidi" w:cstheme="majorBidi"/>
          <w:b/>
          <w:bCs/>
          <w:sz w:val="22"/>
          <w:szCs w:val="22"/>
          <w:u w:val="single"/>
        </w:rPr>
        <w:t xml:space="preserve"> (1979) :</w:t>
      </w:r>
      <w:r w:rsidRPr="00E2052F">
        <w:rPr>
          <w:rFonts w:asciiTheme="majorBidi" w:hAnsiTheme="majorBidi" w:cstheme="majorBidi"/>
          <w:sz w:val="22"/>
          <w:szCs w:val="22"/>
        </w:rPr>
        <w:t xml:space="preserve"> Il définit la RSE comme : </w:t>
      </w:r>
      <w:r w:rsidRPr="00E2052F">
        <w:rPr>
          <w:rFonts w:asciiTheme="majorBidi" w:eastAsiaTheme="minorHAnsi" w:hAnsiTheme="majorBidi" w:cstheme="majorBidi"/>
          <w:color w:val="000000"/>
          <w:sz w:val="22"/>
          <w:szCs w:val="22"/>
          <w:lang w:eastAsia="en-US"/>
        </w:rPr>
        <w:t>« la responsabilité sociale du business englobe tout aussi bien des attentes économiques, légales, étiques, que d'autres attentes discrétionnaires de la société par rapport à une compagnie dans un temps donné</w:t>
      </w:r>
      <w:r w:rsidRPr="00E2052F">
        <w:rPr>
          <w:rFonts w:asciiTheme="majorBidi" w:hAnsiTheme="majorBidi" w:cstheme="majorBidi"/>
          <w:sz w:val="22"/>
          <w:szCs w:val="22"/>
        </w:rPr>
        <w:t>».</w:t>
      </w:r>
    </w:p>
    <w:p w14:paraId="6F876BE9" w14:textId="77777777" w:rsidR="007C5DB8" w:rsidRPr="00E2052F" w:rsidRDefault="00D57746" w:rsidP="003D28B1">
      <w:pPr>
        <w:pStyle w:val="NormalWeb"/>
        <w:spacing w:before="0" w:beforeAutospacing="0" w:line="360" w:lineRule="auto"/>
        <w:rPr>
          <w:rFonts w:asciiTheme="majorBidi" w:hAnsiTheme="majorBidi" w:cstheme="majorBidi"/>
          <w:sz w:val="22"/>
          <w:szCs w:val="22"/>
        </w:rPr>
      </w:pPr>
      <w:r>
        <w:rPr>
          <w:rFonts w:asciiTheme="majorBidi" w:hAnsiTheme="majorBidi" w:cstheme="majorBidi"/>
          <w:b/>
          <w:bCs/>
          <w:sz w:val="22"/>
          <w:szCs w:val="22"/>
          <w:u w:val="single"/>
        </w:rPr>
        <w:t>Figure 04</w:t>
      </w:r>
      <w:r w:rsidR="007C5DB8" w:rsidRPr="00E2052F">
        <w:rPr>
          <w:rFonts w:asciiTheme="majorBidi" w:hAnsiTheme="majorBidi" w:cstheme="majorBidi"/>
          <w:b/>
          <w:bCs/>
          <w:sz w:val="22"/>
          <w:szCs w:val="22"/>
          <w:u w:val="single"/>
        </w:rPr>
        <w:t> :</w:t>
      </w:r>
      <w:r>
        <w:rPr>
          <w:rFonts w:asciiTheme="majorBidi" w:hAnsiTheme="majorBidi" w:cstheme="majorBidi"/>
          <w:b/>
          <w:bCs/>
          <w:sz w:val="22"/>
          <w:szCs w:val="22"/>
          <w:u w:val="single"/>
        </w:rPr>
        <w:t xml:space="preserve"> </w:t>
      </w:r>
      <w:r w:rsidR="007C5DB8" w:rsidRPr="00D57746">
        <w:rPr>
          <w:rFonts w:asciiTheme="majorBidi" w:hAnsiTheme="majorBidi" w:cstheme="majorBidi"/>
          <w:b/>
          <w:bCs/>
          <w:sz w:val="22"/>
          <w:szCs w:val="22"/>
        </w:rPr>
        <w:t>Les différents niveaux de RSE</w:t>
      </w:r>
    </w:p>
    <w:p w14:paraId="3943B3D2"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noProof/>
          <w:sz w:val="22"/>
          <w:szCs w:val="22"/>
        </w:rPr>
        <w:drawing>
          <wp:inline distT="0" distB="0" distL="0" distR="0" wp14:anchorId="1428BF85" wp14:editId="7A480AC8">
            <wp:extent cx="5034213" cy="2404621"/>
            <wp:effectExtent l="19050" t="0" r="0" b="0"/>
            <wp:docPr id="451" name="Image 5" descr="Gemini_Generated_Image_ft1js0ft1js0ft1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ft1js0ft1js0ft1j.png"/>
                    <pic:cNvPicPr/>
                  </pic:nvPicPr>
                  <pic:blipFill>
                    <a:blip r:embed="rId30" cstate="print"/>
                    <a:stretch>
                      <a:fillRect/>
                    </a:stretch>
                  </pic:blipFill>
                  <pic:spPr>
                    <a:xfrm>
                      <a:off x="0" y="0"/>
                      <a:ext cx="5035408" cy="2405192"/>
                    </a:xfrm>
                    <a:prstGeom prst="rect">
                      <a:avLst/>
                    </a:prstGeom>
                  </pic:spPr>
                </pic:pic>
              </a:graphicData>
            </a:graphic>
          </wp:inline>
        </w:drawing>
      </w:r>
    </w:p>
    <w:p w14:paraId="75564199" w14:textId="77777777" w:rsidR="007C5DB8" w:rsidRPr="00605782" w:rsidRDefault="007C5DB8" w:rsidP="00605782">
      <w:pPr>
        <w:pStyle w:val="NormalWeb"/>
        <w:spacing w:before="0" w:beforeAutospacing="0" w:line="360" w:lineRule="auto"/>
        <w:jc w:val="center"/>
        <w:rPr>
          <w:rFonts w:asciiTheme="majorBidi" w:eastAsiaTheme="minorHAnsi" w:hAnsiTheme="majorBidi" w:cstheme="majorBidi"/>
          <w:i/>
          <w:iCs/>
          <w:color w:val="000000"/>
          <w:sz w:val="20"/>
          <w:szCs w:val="20"/>
          <w:lang w:val="en-AE" w:eastAsia="en-US"/>
        </w:rPr>
      </w:pPr>
      <w:r w:rsidRPr="00605782">
        <w:rPr>
          <w:rFonts w:asciiTheme="majorBidi" w:eastAsiaTheme="minorHAnsi" w:hAnsiTheme="majorBidi" w:cstheme="majorBidi"/>
          <w:b/>
          <w:bCs/>
          <w:color w:val="000000"/>
          <w:sz w:val="20"/>
          <w:szCs w:val="20"/>
          <w:lang w:val="en-AE" w:eastAsia="en-US"/>
        </w:rPr>
        <w:t xml:space="preserve">Source : </w:t>
      </w:r>
      <w:r w:rsidRPr="00605782">
        <w:rPr>
          <w:rFonts w:asciiTheme="majorBidi" w:hAnsiTheme="majorBidi" w:cstheme="majorBidi"/>
          <w:sz w:val="20"/>
          <w:szCs w:val="20"/>
          <w:lang w:val="en-AE"/>
        </w:rPr>
        <w:t xml:space="preserve">A. B. Carroll, « The Pyramid of Corporate Social Responsibility », </w:t>
      </w:r>
      <w:r w:rsidRPr="00605782">
        <w:rPr>
          <w:rStyle w:val="Accentuation"/>
          <w:rFonts w:asciiTheme="majorBidi" w:hAnsiTheme="majorBidi" w:cstheme="majorBidi"/>
          <w:sz w:val="20"/>
          <w:szCs w:val="20"/>
          <w:lang w:val="en-AE"/>
        </w:rPr>
        <w:t>Business Horizons</w:t>
      </w:r>
      <w:r w:rsidRPr="00605782">
        <w:rPr>
          <w:rFonts w:asciiTheme="majorBidi" w:hAnsiTheme="majorBidi" w:cstheme="majorBidi"/>
          <w:sz w:val="20"/>
          <w:szCs w:val="20"/>
          <w:lang w:val="en-AE"/>
        </w:rPr>
        <w:t>, vol. 34, n°4, 1991, p. 4</w:t>
      </w:r>
    </w:p>
    <w:p w14:paraId="091F8146" w14:textId="77777777" w:rsidR="007C5DB8" w:rsidRPr="00E2052F" w:rsidRDefault="007C5DB8" w:rsidP="00F36332">
      <w:pPr>
        <w:pStyle w:val="NormalWeb"/>
        <w:numPr>
          <w:ilvl w:val="0"/>
          <w:numId w:val="107"/>
        </w:numPr>
        <w:spacing w:before="0" w:beforeAutospacing="0" w:line="360" w:lineRule="auto"/>
        <w:ind w:left="0" w:firstLine="284"/>
        <w:rPr>
          <w:rFonts w:asciiTheme="majorBidi" w:hAnsiTheme="majorBidi" w:cstheme="majorBidi"/>
          <w:sz w:val="22"/>
          <w:szCs w:val="22"/>
        </w:rPr>
      </w:pPr>
      <w:r w:rsidRPr="00E2052F">
        <w:rPr>
          <w:rFonts w:asciiTheme="majorBidi" w:eastAsiaTheme="minorHAnsi" w:hAnsiTheme="majorBidi" w:cstheme="majorBidi"/>
          <w:b/>
          <w:bCs/>
          <w:color w:val="000000"/>
          <w:sz w:val="22"/>
          <w:szCs w:val="22"/>
          <w:u w:val="single"/>
          <w:lang w:eastAsia="en-US"/>
        </w:rPr>
        <w:t>Selon Wartick et Cochran (1985) :</w:t>
      </w:r>
      <w:r w:rsidRPr="00E2052F">
        <w:rPr>
          <w:rFonts w:asciiTheme="majorBidi" w:eastAsiaTheme="minorHAnsi" w:hAnsiTheme="majorBidi" w:cstheme="majorBidi"/>
          <w:color w:val="000000"/>
          <w:sz w:val="22"/>
          <w:szCs w:val="22"/>
          <w:lang w:eastAsia="en-US"/>
        </w:rPr>
        <w:t xml:space="preserve"> la Responsabilité Sociale des entreprises est une résultante de l’interaction de trois dimensions : principes/processus/politiques. Ils soulignent par ailleurs que la </w:t>
      </w:r>
      <w:r w:rsidRPr="00E2052F">
        <w:rPr>
          <w:rFonts w:asciiTheme="majorBidi" w:eastAsiaTheme="minorHAnsi" w:hAnsiTheme="majorBidi" w:cstheme="majorBidi"/>
          <w:b/>
          <w:bCs/>
          <w:color w:val="000000"/>
          <w:sz w:val="22"/>
          <w:szCs w:val="22"/>
          <w:lang w:eastAsia="en-US"/>
        </w:rPr>
        <w:t>RSE</w:t>
      </w:r>
      <w:r w:rsidRPr="00E2052F">
        <w:rPr>
          <w:rFonts w:asciiTheme="majorBidi" w:eastAsiaTheme="minorHAnsi" w:hAnsiTheme="majorBidi" w:cstheme="majorBidi"/>
          <w:color w:val="000000"/>
          <w:sz w:val="22"/>
          <w:szCs w:val="22"/>
          <w:lang w:eastAsia="en-US"/>
        </w:rPr>
        <w:t>est une approche microéconomique de relation entre l’entreprise et son environnement.</w:t>
      </w:r>
      <w:r w:rsidRPr="00E2052F">
        <w:rPr>
          <w:rStyle w:val="Appelnotedebasdep"/>
          <w:rFonts w:asciiTheme="majorBidi" w:eastAsiaTheme="minorHAnsi" w:hAnsiTheme="majorBidi" w:cstheme="majorBidi"/>
          <w:color w:val="000000"/>
          <w:sz w:val="22"/>
          <w:szCs w:val="22"/>
          <w:lang w:eastAsia="en-US"/>
        </w:rPr>
        <w:footnoteReference w:id="198"/>
      </w:r>
    </w:p>
    <w:p w14:paraId="18AF031E" w14:textId="77777777" w:rsidR="007C5DB8" w:rsidRPr="00E2052F" w:rsidRDefault="007C5DB8" w:rsidP="00F36332">
      <w:pPr>
        <w:pStyle w:val="NormalWeb"/>
        <w:numPr>
          <w:ilvl w:val="0"/>
          <w:numId w:val="107"/>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b/>
          <w:bCs/>
          <w:sz w:val="22"/>
          <w:szCs w:val="22"/>
          <w:u w:val="single"/>
        </w:rPr>
        <w:lastRenderedPageBreak/>
        <w:t>Selon Donna J. Wood (1991)</w:t>
      </w:r>
      <w:r w:rsidRPr="00E2052F">
        <w:rPr>
          <w:rFonts w:asciiTheme="majorBidi" w:hAnsiTheme="majorBidi" w:cstheme="majorBidi"/>
          <w:b/>
          <w:bCs/>
          <w:sz w:val="22"/>
          <w:szCs w:val="22"/>
        </w:rPr>
        <w:t xml:space="preserve"> : </w:t>
      </w:r>
      <w:r w:rsidRPr="00E2052F">
        <w:rPr>
          <w:rFonts w:asciiTheme="majorBidi" w:hAnsiTheme="majorBidi" w:cstheme="majorBidi"/>
          <w:sz w:val="22"/>
          <w:szCs w:val="22"/>
        </w:rPr>
        <w:t>Il définit la RSE comme : une configuration de principes de responsabilité sociale, de processus et de politiques qui reflètent la sensibilité de l’entreprise aux attentes sociétales.</w:t>
      </w:r>
      <w:r w:rsidRPr="00E2052F">
        <w:rPr>
          <w:rStyle w:val="Appelnotedebasdep"/>
          <w:rFonts w:asciiTheme="majorBidi" w:hAnsiTheme="majorBidi" w:cstheme="majorBidi"/>
          <w:sz w:val="22"/>
          <w:szCs w:val="22"/>
        </w:rPr>
        <w:footnoteReference w:id="199"/>
      </w:r>
    </w:p>
    <w:p w14:paraId="0D176194" w14:textId="77777777" w:rsidR="007C5DB8" w:rsidRPr="00E2052F" w:rsidRDefault="007C5DB8" w:rsidP="00EB3186">
      <w:pPr>
        <w:pStyle w:val="NormalWeb"/>
        <w:numPr>
          <w:ilvl w:val="0"/>
          <w:numId w:val="107"/>
        </w:numPr>
        <w:spacing w:before="0" w:beforeAutospacing="0" w:line="360" w:lineRule="auto"/>
        <w:ind w:left="0" w:firstLine="284"/>
        <w:rPr>
          <w:rFonts w:asciiTheme="majorBidi" w:eastAsiaTheme="minorHAnsi" w:hAnsiTheme="majorBidi" w:cstheme="majorBidi"/>
          <w:b/>
          <w:bCs/>
          <w:color w:val="000000"/>
          <w:sz w:val="22"/>
          <w:szCs w:val="22"/>
          <w:lang w:eastAsia="en-US"/>
        </w:rPr>
      </w:pPr>
      <w:r w:rsidRPr="00E2052F">
        <w:rPr>
          <w:rFonts w:asciiTheme="majorBidi" w:hAnsiTheme="majorBidi" w:cstheme="majorBidi"/>
          <w:b/>
          <w:bCs/>
          <w:sz w:val="22"/>
          <w:szCs w:val="22"/>
          <w:u w:val="single"/>
        </w:rPr>
        <w:t xml:space="preserve">Selon </w:t>
      </w:r>
      <w:r w:rsidRPr="00E2052F">
        <w:rPr>
          <w:rFonts w:asciiTheme="majorBidi" w:eastAsiaTheme="minorHAnsi" w:hAnsiTheme="majorBidi" w:cstheme="majorBidi"/>
          <w:b/>
          <w:bCs/>
          <w:color w:val="000000"/>
          <w:sz w:val="22"/>
          <w:szCs w:val="22"/>
          <w:u w:val="single"/>
          <w:lang w:eastAsia="en-US"/>
        </w:rPr>
        <w:t>Vogel(2006) :</w:t>
      </w:r>
      <w:r w:rsidRPr="00E2052F">
        <w:rPr>
          <w:rFonts w:asciiTheme="majorBidi" w:eastAsiaTheme="minorHAnsi" w:hAnsiTheme="majorBidi" w:cstheme="majorBidi"/>
          <w:color w:val="000000"/>
          <w:sz w:val="22"/>
          <w:szCs w:val="22"/>
          <w:lang w:eastAsia="en-US"/>
        </w:rPr>
        <w:t xml:space="preserve">définit la </w:t>
      </w:r>
      <w:r w:rsidRPr="00E2052F">
        <w:rPr>
          <w:rFonts w:asciiTheme="majorBidi" w:eastAsiaTheme="minorHAnsi" w:hAnsiTheme="majorBidi" w:cstheme="majorBidi"/>
          <w:b/>
          <w:bCs/>
          <w:color w:val="000000"/>
          <w:sz w:val="22"/>
          <w:szCs w:val="22"/>
          <w:lang w:eastAsia="en-US"/>
        </w:rPr>
        <w:t xml:space="preserve">RSE </w:t>
      </w:r>
      <w:r w:rsidRPr="00E2052F">
        <w:rPr>
          <w:rFonts w:asciiTheme="majorBidi" w:eastAsiaTheme="minorHAnsi" w:hAnsiTheme="majorBidi" w:cstheme="majorBidi"/>
          <w:color w:val="000000"/>
          <w:sz w:val="22"/>
          <w:szCs w:val="22"/>
          <w:lang w:eastAsia="en-US"/>
        </w:rPr>
        <w:t>comme « des pratiques qui sont bénéfiques à la société d’une façon qui dépasse ce que les entreprises sont légalement tenues de faire »</w:t>
      </w:r>
    </w:p>
    <w:p w14:paraId="55072FC6" w14:textId="77777777" w:rsidR="007C5DB8" w:rsidRPr="00E2052F" w:rsidRDefault="007C5DB8" w:rsidP="00F36332">
      <w:pPr>
        <w:pStyle w:val="NormalWeb"/>
        <w:numPr>
          <w:ilvl w:val="0"/>
          <w:numId w:val="107"/>
        </w:numPr>
        <w:spacing w:before="0" w:beforeAutospacing="0" w:line="360" w:lineRule="auto"/>
        <w:ind w:left="0" w:firstLine="284"/>
        <w:rPr>
          <w:rFonts w:asciiTheme="majorBidi" w:eastAsiaTheme="minorHAnsi" w:hAnsiTheme="majorBidi" w:cstheme="majorBidi"/>
          <w:b/>
          <w:bCs/>
          <w:color w:val="000000"/>
          <w:sz w:val="22"/>
          <w:szCs w:val="22"/>
          <w:lang w:eastAsia="en-US"/>
        </w:rPr>
      </w:pPr>
      <w:r w:rsidRPr="00E2052F">
        <w:rPr>
          <w:rFonts w:asciiTheme="majorBidi" w:hAnsiTheme="majorBidi" w:cstheme="majorBidi"/>
          <w:b/>
          <w:bCs/>
          <w:sz w:val="22"/>
          <w:szCs w:val="22"/>
          <w:u w:val="single"/>
        </w:rPr>
        <w:t xml:space="preserve">Selon </w:t>
      </w:r>
      <w:r w:rsidRPr="00E2052F">
        <w:rPr>
          <w:rFonts w:asciiTheme="majorBidi" w:eastAsiaTheme="minorHAnsi" w:hAnsiTheme="majorBidi" w:cstheme="majorBidi"/>
          <w:b/>
          <w:bCs/>
          <w:color w:val="000000"/>
          <w:sz w:val="22"/>
          <w:szCs w:val="22"/>
          <w:u w:val="single"/>
          <w:lang w:eastAsia="en-US"/>
        </w:rPr>
        <w:t>Vogel(2006) :</w:t>
      </w:r>
      <w:r w:rsidRPr="00E2052F">
        <w:rPr>
          <w:rFonts w:asciiTheme="majorBidi" w:eastAsiaTheme="minorHAnsi" w:hAnsiTheme="majorBidi" w:cstheme="majorBidi"/>
          <w:color w:val="000000"/>
          <w:sz w:val="22"/>
          <w:szCs w:val="22"/>
          <w:lang w:eastAsia="en-US"/>
        </w:rPr>
        <w:t xml:space="preserve">définit la </w:t>
      </w:r>
      <w:r w:rsidRPr="00E2052F">
        <w:rPr>
          <w:rFonts w:asciiTheme="majorBidi" w:eastAsiaTheme="minorHAnsi" w:hAnsiTheme="majorBidi" w:cstheme="majorBidi"/>
          <w:b/>
          <w:bCs/>
          <w:color w:val="000000"/>
          <w:sz w:val="22"/>
          <w:szCs w:val="22"/>
          <w:lang w:eastAsia="en-US"/>
        </w:rPr>
        <w:t xml:space="preserve">RSE </w:t>
      </w:r>
      <w:r w:rsidRPr="00E2052F">
        <w:rPr>
          <w:rFonts w:asciiTheme="majorBidi" w:eastAsiaTheme="minorHAnsi" w:hAnsiTheme="majorBidi" w:cstheme="majorBidi"/>
          <w:color w:val="000000"/>
          <w:sz w:val="22"/>
          <w:szCs w:val="22"/>
          <w:lang w:eastAsia="en-US"/>
        </w:rPr>
        <w:t>comme « des pratiques qui sont bénéfiques à la société d’une façon qui dépasse ce que les entreprises sont légalement tenues de faire »</w:t>
      </w:r>
      <w:r w:rsidRPr="00E2052F">
        <w:rPr>
          <w:rStyle w:val="Appelnotedebasdep"/>
          <w:rFonts w:asciiTheme="majorBidi" w:eastAsiaTheme="minorHAnsi" w:hAnsiTheme="majorBidi" w:cstheme="majorBidi"/>
          <w:color w:val="000000"/>
          <w:sz w:val="22"/>
          <w:szCs w:val="22"/>
          <w:lang w:eastAsia="en-US"/>
        </w:rPr>
        <w:footnoteReference w:id="200"/>
      </w:r>
    </w:p>
    <w:p w14:paraId="0FC0A3F0" w14:textId="77777777" w:rsidR="007C5DB8" w:rsidRPr="00E2052F" w:rsidRDefault="007C5DB8" w:rsidP="00F36332">
      <w:pPr>
        <w:pStyle w:val="NormalWeb"/>
        <w:numPr>
          <w:ilvl w:val="0"/>
          <w:numId w:val="107"/>
        </w:numPr>
        <w:spacing w:before="0" w:beforeAutospacing="0" w:line="360" w:lineRule="auto"/>
        <w:ind w:left="0" w:firstLine="284"/>
        <w:rPr>
          <w:rFonts w:asciiTheme="majorBidi" w:hAnsiTheme="majorBidi" w:cstheme="majorBidi"/>
          <w:sz w:val="22"/>
          <w:szCs w:val="22"/>
        </w:rPr>
      </w:pPr>
      <w:r w:rsidRPr="00E2052F">
        <w:rPr>
          <w:rFonts w:asciiTheme="majorBidi" w:eastAsiaTheme="minorHAnsi" w:hAnsiTheme="majorBidi" w:cstheme="majorBidi"/>
          <w:b/>
          <w:bCs/>
          <w:color w:val="000000"/>
          <w:sz w:val="22"/>
          <w:szCs w:val="22"/>
          <w:lang w:eastAsia="en-US"/>
        </w:rPr>
        <w:t xml:space="preserve">Selon Abdelmohsen El-Gohary : </w:t>
      </w:r>
      <w:r w:rsidRPr="00E2052F">
        <w:rPr>
          <w:rFonts w:asciiTheme="majorBidi" w:hAnsiTheme="majorBidi" w:cstheme="majorBidi"/>
          <w:sz w:val="22"/>
          <w:szCs w:val="22"/>
        </w:rPr>
        <w:t>La responsabilité sociale des entreprises se définie comme :     « L’engagement continu des entreprises à contribuer au développement économique tout en améliorant la qualité de vie des employés, de leurs familles et de la société dans son ensemble, en intégrant des considérations sociales et environnementales dans leurs décisions. »</w:t>
      </w:r>
    </w:p>
    <w:p w14:paraId="6C5DDBF7" w14:textId="77777777" w:rsidR="007C5DB8" w:rsidRPr="00E2052F" w:rsidRDefault="007C5DB8" w:rsidP="00F36332">
      <w:pPr>
        <w:pStyle w:val="NormalWeb"/>
        <w:numPr>
          <w:ilvl w:val="0"/>
          <w:numId w:val="107"/>
        </w:numPr>
        <w:spacing w:before="0" w:beforeAutospacing="0" w:line="360" w:lineRule="auto"/>
        <w:ind w:left="0" w:firstLine="284"/>
        <w:rPr>
          <w:rFonts w:asciiTheme="majorBidi" w:hAnsiTheme="majorBidi" w:cstheme="majorBidi"/>
          <w:sz w:val="22"/>
          <w:szCs w:val="22"/>
        </w:rPr>
      </w:pPr>
      <w:r w:rsidRPr="00E2052F">
        <w:rPr>
          <w:rFonts w:asciiTheme="majorBidi" w:eastAsiaTheme="minorHAnsi" w:hAnsiTheme="majorBidi" w:cstheme="majorBidi"/>
          <w:b/>
          <w:bCs/>
          <w:color w:val="000000"/>
          <w:sz w:val="22"/>
          <w:szCs w:val="22"/>
          <w:lang w:eastAsia="en-US"/>
        </w:rPr>
        <w:t xml:space="preserve">Selon Mona H. Al-Malki : </w:t>
      </w:r>
      <w:r w:rsidRPr="00E2052F">
        <w:rPr>
          <w:rFonts w:asciiTheme="majorBidi" w:eastAsiaTheme="minorHAnsi" w:hAnsiTheme="majorBidi" w:cstheme="majorBidi"/>
          <w:color w:val="000000"/>
          <w:sz w:val="22"/>
          <w:szCs w:val="22"/>
          <w:lang w:eastAsia="en-US"/>
        </w:rPr>
        <w:t xml:space="preserve">Elle </w:t>
      </w:r>
      <w:r w:rsidRPr="00E2052F">
        <w:rPr>
          <w:rFonts w:asciiTheme="majorBidi" w:hAnsiTheme="majorBidi" w:cstheme="majorBidi"/>
          <w:sz w:val="22"/>
          <w:szCs w:val="22"/>
        </w:rPr>
        <w:t>considère la RSE comme : « un ensemble d’obligations volontaires des entreprises envers la société visant à améliorer les conditions sociales, économiques et environnementales dans lesquelles elles opèrent</w:t>
      </w:r>
      <w:r w:rsidRPr="00E2052F">
        <w:rPr>
          <w:rStyle w:val="Appelnotedebasdep"/>
          <w:rFonts w:asciiTheme="majorBidi" w:hAnsiTheme="majorBidi" w:cstheme="majorBidi"/>
          <w:sz w:val="22"/>
          <w:szCs w:val="22"/>
        </w:rPr>
        <w:footnoteReference w:id="201"/>
      </w:r>
      <w:r w:rsidRPr="00E2052F">
        <w:rPr>
          <w:rFonts w:asciiTheme="majorBidi" w:hAnsiTheme="majorBidi" w:cstheme="majorBidi"/>
          <w:sz w:val="22"/>
          <w:szCs w:val="22"/>
        </w:rPr>
        <w:t>. »</w:t>
      </w:r>
    </w:p>
    <w:p w14:paraId="67CC9242" w14:textId="77777777" w:rsidR="007C5DB8" w:rsidRPr="00E2052F" w:rsidRDefault="007C5DB8" w:rsidP="00F36332">
      <w:pPr>
        <w:pStyle w:val="Titre4"/>
        <w:numPr>
          <w:ilvl w:val="2"/>
          <w:numId w:val="165"/>
        </w:numPr>
        <w:spacing w:before="0" w:beforeAutospacing="0" w:after="160"/>
        <w:ind w:left="1134" w:hanging="567"/>
        <w:jc w:val="left"/>
        <w:rPr>
          <w:rFonts w:asciiTheme="majorBidi" w:hAnsiTheme="majorBidi"/>
          <w:i w:val="0"/>
          <w:iCs w:val="0"/>
          <w:color w:val="auto"/>
          <w:sz w:val="22"/>
        </w:rPr>
      </w:pPr>
      <w:bookmarkStart w:id="876" w:name="_Toc231746890"/>
      <w:bookmarkStart w:id="877" w:name="_Toc231752297"/>
      <w:bookmarkStart w:id="878" w:name="_Toc231810600"/>
      <w:bookmarkStart w:id="879" w:name="_Toc231811943"/>
      <w:bookmarkStart w:id="880" w:name="_Toc231812223"/>
      <w:bookmarkStart w:id="881" w:name="_Toc231815107"/>
      <w:r w:rsidRPr="00E2052F">
        <w:rPr>
          <w:rFonts w:asciiTheme="majorBidi" w:eastAsiaTheme="minorHAnsi" w:hAnsiTheme="majorBidi"/>
          <w:i w:val="0"/>
          <w:iCs w:val="0"/>
          <w:color w:val="auto"/>
          <w:sz w:val="22"/>
        </w:rPr>
        <w:t>La définition de la RSE suivant les normes et les standards :</w:t>
      </w:r>
      <w:bookmarkEnd w:id="876"/>
      <w:bookmarkEnd w:id="877"/>
      <w:bookmarkEnd w:id="878"/>
      <w:bookmarkEnd w:id="879"/>
      <w:bookmarkEnd w:id="880"/>
      <w:bookmarkEnd w:id="881"/>
    </w:p>
    <w:p w14:paraId="2E13CDD0" w14:textId="77777777" w:rsidR="007C5DB8" w:rsidRPr="00E2052F" w:rsidRDefault="007C5DB8" w:rsidP="00F36332">
      <w:pPr>
        <w:pStyle w:val="NormalWeb"/>
        <w:numPr>
          <w:ilvl w:val="0"/>
          <w:numId w:val="107"/>
        </w:numPr>
        <w:spacing w:before="0" w:beforeAutospacing="0" w:line="360" w:lineRule="auto"/>
        <w:ind w:left="0" w:firstLine="284"/>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color w:val="000000"/>
          <w:sz w:val="22"/>
          <w:szCs w:val="22"/>
          <w:u w:val="single"/>
          <w:lang w:eastAsia="en-US"/>
        </w:rPr>
        <w:t xml:space="preserve">Selon le Conseil mondial des entreprises pour le développement (World Business Council for Sustainable Development (WBCSD)) (1999) </w:t>
      </w:r>
      <w:r w:rsidR="00605782" w:rsidRPr="00E2052F">
        <w:rPr>
          <w:rFonts w:asciiTheme="majorBidi" w:eastAsiaTheme="minorHAnsi" w:hAnsiTheme="majorBidi" w:cstheme="majorBidi"/>
          <w:b/>
          <w:bCs/>
          <w:color w:val="000000"/>
          <w:sz w:val="22"/>
          <w:szCs w:val="22"/>
          <w:u w:val="single"/>
          <w:lang w:eastAsia="en-US"/>
        </w:rPr>
        <w:t>:</w:t>
      </w:r>
      <w:r w:rsidR="00605782" w:rsidRPr="00E2052F">
        <w:rPr>
          <w:rFonts w:asciiTheme="majorBidi" w:hAnsiTheme="majorBidi" w:cstheme="majorBidi"/>
          <w:sz w:val="22"/>
          <w:szCs w:val="22"/>
        </w:rPr>
        <w:t xml:space="preserve"> La</w:t>
      </w:r>
      <w:r w:rsidRPr="00E2052F">
        <w:rPr>
          <w:rFonts w:asciiTheme="majorBidi" w:hAnsiTheme="majorBidi" w:cstheme="majorBidi"/>
          <w:sz w:val="22"/>
          <w:szCs w:val="22"/>
        </w:rPr>
        <w:t xml:space="preserve"> Responsabilité Sociale de l’Entreprise (RSE) se définie comme étant : « L’engagement des entreprises à adopter des comportements éthiques et à contribuer au développement économique tout en améliorant la qualité de la vie des employés, de leurs familles ainsi que de la communauté locale et de la société dans son ensemble. »</w:t>
      </w:r>
    </w:p>
    <w:p w14:paraId="48CB6440" w14:textId="77777777" w:rsidR="007C5DB8" w:rsidRPr="00E2052F" w:rsidRDefault="007C5DB8" w:rsidP="00F36332">
      <w:pPr>
        <w:pStyle w:val="NormalWeb"/>
        <w:numPr>
          <w:ilvl w:val="0"/>
          <w:numId w:val="107"/>
        </w:numPr>
        <w:spacing w:before="0" w:beforeAutospacing="0" w:line="360" w:lineRule="auto"/>
        <w:ind w:left="0" w:firstLine="284"/>
        <w:rPr>
          <w:rFonts w:asciiTheme="majorBidi" w:eastAsiaTheme="minorHAnsi" w:hAnsiTheme="majorBidi" w:cstheme="majorBidi"/>
          <w:b/>
          <w:bCs/>
          <w:color w:val="000000"/>
          <w:sz w:val="22"/>
          <w:szCs w:val="22"/>
          <w:lang w:eastAsia="en-US"/>
        </w:rPr>
      </w:pPr>
      <w:r w:rsidRPr="00E2052F">
        <w:rPr>
          <w:rFonts w:asciiTheme="majorBidi" w:eastAsiaTheme="minorHAnsi" w:hAnsiTheme="majorBidi" w:cstheme="majorBidi"/>
          <w:b/>
          <w:bCs/>
          <w:color w:val="000000"/>
          <w:sz w:val="22"/>
          <w:szCs w:val="22"/>
          <w:u w:val="single"/>
          <w:lang w:eastAsia="en-US"/>
        </w:rPr>
        <w:t xml:space="preserve">Selon </w:t>
      </w:r>
      <w:r w:rsidRPr="00E2052F">
        <w:rPr>
          <w:rFonts w:asciiTheme="majorBidi" w:hAnsiTheme="majorBidi" w:cstheme="majorBidi"/>
          <w:b/>
          <w:bCs/>
          <w:sz w:val="22"/>
          <w:szCs w:val="22"/>
          <w:u w:val="single"/>
        </w:rPr>
        <w:t>l’Union Européenne (2001) :</w:t>
      </w:r>
      <w:r w:rsidRPr="00E2052F">
        <w:rPr>
          <w:rFonts w:asciiTheme="majorBidi" w:hAnsiTheme="majorBidi" w:cstheme="majorBidi"/>
          <w:sz w:val="22"/>
          <w:szCs w:val="22"/>
        </w:rPr>
        <w:t xml:space="preserve"> La Responsabilité Sociale de l’Entreprise (RSE) se définie comme « l’intégration volontaire des préoccupations sociales et écologiques des entreprises à leurs activités commerciales et leurs relations avec leurs parties prenantes. Être socialement responsable signifie non seulement satisfaire pleinement aux obligations juridiques applicables, mais aussi aller au-delà et investir davantage dans le capital humain, l’environnement et les relations avec les parties prenantes</w:t>
      </w:r>
      <w:r w:rsidRPr="00E2052F">
        <w:rPr>
          <w:rStyle w:val="Appelnotedebasdep"/>
          <w:rFonts w:asciiTheme="majorBidi" w:hAnsiTheme="majorBidi" w:cstheme="majorBidi"/>
          <w:sz w:val="22"/>
          <w:szCs w:val="22"/>
        </w:rPr>
        <w:footnoteReference w:id="202"/>
      </w:r>
      <w:r w:rsidRPr="00E2052F">
        <w:rPr>
          <w:rFonts w:asciiTheme="majorBidi" w:hAnsiTheme="majorBidi" w:cstheme="majorBidi"/>
          <w:sz w:val="22"/>
          <w:szCs w:val="22"/>
        </w:rPr>
        <w:t>.»</w:t>
      </w:r>
    </w:p>
    <w:p w14:paraId="3DD1D43A" w14:textId="77777777" w:rsidR="007C5DB8" w:rsidRPr="00E2052F" w:rsidRDefault="007C5DB8" w:rsidP="00F36332">
      <w:pPr>
        <w:pStyle w:val="NormalWeb"/>
        <w:numPr>
          <w:ilvl w:val="0"/>
          <w:numId w:val="107"/>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b/>
          <w:bCs/>
          <w:sz w:val="22"/>
          <w:szCs w:val="22"/>
          <w:u w:val="single"/>
        </w:rPr>
        <w:lastRenderedPageBreak/>
        <w:t>Selon Organisation de coopération et de développement économiques (OCDE) (2011) :</w:t>
      </w:r>
      <w:r w:rsidRPr="00E2052F">
        <w:rPr>
          <w:rFonts w:asciiTheme="majorBidi" w:hAnsiTheme="majorBidi" w:cstheme="majorBidi"/>
          <w:sz w:val="22"/>
          <w:szCs w:val="22"/>
        </w:rPr>
        <w:t>Les Principes directeurs de l’OCDE définissent la responsabilité des entreprises comme un ensemble de recommandations adressées aux entreprises multinationales visant à garantir une conduite responsable. Ils précisent que les entreprises doivent : « contribuer au progrès économique, environnemental et social en vue de réaliser un développement durable, tout en respectant les droits humains et les normes internationales de conduite responsable. »</w:t>
      </w:r>
    </w:p>
    <w:p w14:paraId="35C77AE8"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Afin de s’accorder sur une définition, on peut définir la responsabilité sociale des entreprises comme : Une démarche stratégique et volontaire par laquelle les organisations intègrent, de façon cohérente et durable, les dimensions économiques, sociales et environnementales dans leurs décisions et leurs activités, tout en tenant compte des attentes des parties prenantes, dans une logique de performance globale et de développement durable.</w:t>
      </w:r>
    </w:p>
    <w:p w14:paraId="40C2D4D9" w14:textId="77777777" w:rsidR="007C5DB8" w:rsidRPr="00E2052F" w:rsidRDefault="007C5DB8" w:rsidP="00F36332">
      <w:pPr>
        <w:pStyle w:val="Titre2"/>
        <w:numPr>
          <w:ilvl w:val="0"/>
          <w:numId w:val="165"/>
        </w:numPr>
      </w:pPr>
      <w:bookmarkStart w:id="882" w:name="_Toc231746891"/>
      <w:bookmarkStart w:id="883" w:name="_Toc231752298"/>
      <w:bookmarkStart w:id="884" w:name="_Toc231810601"/>
      <w:bookmarkStart w:id="885" w:name="_Toc231811944"/>
      <w:bookmarkStart w:id="886" w:name="_Toc231812224"/>
      <w:bookmarkStart w:id="887" w:name="_Toc231815108"/>
      <w:r w:rsidRPr="00E2052F">
        <w:rPr>
          <w:rFonts w:eastAsiaTheme="minorHAnsi"/>
          <w:lang w:bidi="ar-DZ"/>
        </w:rPr>
        <w:t>Encadrement institutionnelle de la responsabilité sociale des entreprises :</w:t>
      </w:r>
      <w:bookmarkEnd w:id="882"/>
      <w:bookmarkEnd w:id="883"/>
      <w:bookmarkEnd w:id="884"/>
      <w:bookmarkEnd w:id="885"/>
      <w:bookmarkEnd w:id="886"/>
      <w:bookmarkEnd w:id="887"/>
    </w:p>
    <w:p w14:paraId="0D6C5603"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processus d’institutionnalisation de la RSE repose sur l’interaction entre, d’une part, les règles juridiques existantes (droit social, droit du travail, normes environnementales), qui évoluent sans être totalement ni rapidement remplacées, et d’autre part les dispositifs institutionnels mis en place au sein des entreprises ou des secteurs. Ces derniers sont liés aux nouvelles formes d’engagement volontaire des grandes entreprises. Ainsi, la RSE s’inscrit dans une dynamique de production de normes spécifique, résultant de la confrontation entre les réglementations étatiques, les engagements privés des entreprises se traduisant eux-mêmes en règles internes, et les actions de la société civile (syndicats, ONG, citoyens).</w:t>
      </w:r>
    </w:p>
    <w:p w14:paraId="102C6804" w14:textId="77777777" w:rsidR="007C5DB8" w:rsidRPr="00E2052F" w:rsidRDefault="007C5DB8" w:rsidP="00F36332">
      <w:pPr>
        <w:pStyle w:val="Titre3"/>
        <w:numPr>
          <w:ilvl w:val="1"/>
          <w:numId w:val="165"/>
        </w:numPr>
        <w:spacing w:before="0" w:beforeAutospacing="0" w:after="160"/>
        <w:ind w:left="0" w:firstLine="284"/>
        <w:jc w:val="left"/>
        <w:rPr>
          <w:rFonts w:asciiTheme="majorBidi" w:eastAsiaTheme="minorHAnsi" w:hAnsiTheme="majorBidi"/>
          <w:color w:val="auto"/>
          <w:sz w:val="22"/>
          <w:lang w:bidi="ar-DZ"/>
        </w:rPr>
      </w:pPr>
      <w:bookmarkStart w:id="888" w:name="_Toc231746892"/>
      <w:bookmarkStart w:id="889" w:name="_Toc231752299"/>
      <w:bookmarkStart w:id="890" w:name="_Toc231810602"/>
      <w:bookmarkStart w:id="891" w:name="_Toc231811945"/>
      <w:bookmarkStart w:id="892" w:name="_Toc231812225"/>
      <w:bookmarkStart w:id="893" w:name="_Toc231815109"/>
      <w:r w:rsidRPr="00E2052F">
        <w:rPr>
          <w:rFonts w:asciiTheme="majorBidi" w:eastAsiaTheme="minorHAnsi" w:hAnsiTheme="majorBidi"/>
          <w:color w:val="auto"/>
          <w:sz w:val="22"/>
          <w:lang w:bidi="ar-DZ"/>
        </w:rPr>
        <w:t>Les principes de l’OCDE :</w:t>
      </w:r>
      <w:bookmarkEnd w:id="888"/>
      <w:bookmarkEnd w:id="889"/>
      <w:bookmarkEnd w:id="890"/>
      <w:bookmarkEnd w:id="891"/>
      <w:bookmarkEnd w:id="892"/>
      <w:bookmarkEnd w:id="893"/>
    </w:p>
    <w:p w14:paraId="129F1A67"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27 juin 2000 marque l’adhésion de l’OCDE à la Déclaration relative à l’investissement international et aux entreprises multinationales, invitant celles-ci à se conformer aux principes directeurs qui y sont définis. Ces principes ont acquis une reconnaissance étendue, comme en témoigne l’adhésion, en avril 2010, de 42 pays, dont 31 membres de l’OCDE et 11 non membres. Toutefois, ces directives n’ont aucun caractère obligatoire ou contraignant : elles constituent des recommandations émises par les gouvernements à l’intention des entreprises multinationales opérant sur leur territoire ou depuis celui-ci. Elles s’apparentent ainsi à des normes volontaires de conduite responsable, sans se substituer aux législations en vigueur. Leur diffusion et leur mise en œuvre sont assurées par des points de contact nationaux, qui contribuent également à en préciser l’interprétation à travers des mécanismes de consultation.</w:t>
      </w:r>
    </w:p>
    <w:p w14:paraId="7CC496B0"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Les principes directeurs comprennent</w:t>
      </w:r>
      <w:r w:rsidRPr="00E2052F">
        <w:rPr>
          <w:rStyle w:val="Appelnotedebasdep"/>
          <w:rFonts w:asciiTheme="majorBidi" w:hAnsiTheme="majorBidi" w:cstheme="majorBidi"/>
          <w:sz w:val="22"/>
          <w:szCs w:val="22"/>
        </w:rPr>
        <w:footnoteReference w:id="203"/>
      </w:r>
      <w:r w:rsidRPr="00E2052F">
        <w:rPr>
          <w:rFonts w:asciiTheme="majorBidi" w:hAnsiTheme="majorBidi" w:cstheme="majorBidi"/>
          <w:sz w:val="22"/>
          <w:szCs w:val="22"/>
        </w:rPr>
        <w:t> :</w:t>
      </w:r>
    </w:p>
    <w:p w14:paraId="1CD5E3C3"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lastRenderedPageBreak/>
        <w:t>Les principes généraux (développement durable, respect des droits de l’homme, formation, systèmes de gestion.</w:t>
      </w:r>
    </w:p>
    <w:p w14:paraId="548F7333"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La publication d’informations (qualité des données et quoi divulguer).</w:t>
      </w:r>
    </w:p>
    <w:p w14:paraId="1E4350AF"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L’emploi et les relations professionnelles (travail des enfants, discrimination, négociations et conventions collectives, etc.).</w:t>
      </w:r>
    </w:p>
    <w:p w14:paraId="177B054B"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L’environnement (système de gestion environnementale, évaluation des risques, plan d’urgence, formation, politique).</w:t>
      </w:r>
    </w:p>
    <w:p w14:paraId="6586DF2B"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La lutte contre la corruption (rémunération et services illégitimes, transparence, sensibilisation).</w:t>
      </w:r>
    </w:p>
    <w:p w14:paraId="022C550F"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Les intérêts des consommateurs (normes de santé et de sécurité, étiquetage, droits).</w:t>
      </w:r>
    </w:p>
    <w:p w14:paraId="79C7CB28"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La science et la technologie (capacité d’innovation des pays d’accueil, transfert et diffusion, licences, coopération et projets de recherche).</w:t>
      </w:r>
    </w:p>
    <w:p w14:paraId="00C9ABE8"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La concurrence (conformité avec la réglementation de la concurrence, coopération avec les autorités et informations des salariés).</w:t>
      </w:r>
    </w:p>
    <w:p w14:paraId="53D49CC0" w14:textId="77777777" w:rsidR="007C5DB8" w:rsidRPr="00E2052F" w:rsidRDefault="007C5DB8" w:rsidP="00F36332">
      <w:pPr>
        <w:pStyle w:val="NormalWeb"/>
        <w:numPr>
          <w:ilvl w:val="0"/>
          <w:numId w:val="172"/>
        </w:numPr>
        <w:tabs>
          <w:tab w:val="left" w:pos="8043"/>
        </w:tabs>
        <w:spacing w:before="0" w:beforeAutospacing="0" w:line="360" w:lineRule="auto"/>
        <w:ind w:left="568" w:hanging="284"/>
        <w:rPr>
          <w:rFonts w:asciiTheme="majorBidi" w:eastAsiaTheme="minorHAnsi" w:hAnsiTheme="majorBidi" w:cstheme="majorBidi"/>
          <w:b/>
          <w:bCs/>
          <w:color w:val="000000"/>
          <w:sz w:val="22"/>
          <w:szCs w:val="22"/>
          <w:lang w:eastAsia="en-US" w:bidi="ar-DZ"/>
        </w:rPr>
      </w:pPr>
      <w:r w:rsidRPr="00E2052F">
        <w:rPr>
          <w:rFonts w:asciiTheme="majorBidi" w:hAnsiTheme="majorBidi" w:cstheme="majorBidi"/>
          <w:sz w:val="22"/>
          <w:szCs w:val="22"/>
        </w:rPr>
        <w:t>La fiscalité (impôts, conformité aux lois et règlements fiscaux).</w:t>
      </w:r>
    </w:p>
    <w:p w14:paraId="1E8E57CE" w14:textId="77777777" w:rsidR="007C5DB8" w:rsidRPr="00E2052F" w:rsidRDefault="007C5DB8" w:rsidP="00F36332">
      <w:pPr>
        <w:pStyle w:val="Titre3"/>
        <w:numPr>
          <w:ilvl w:val="1"/>
          <w:numId w:val="165"/>
        </w:numPr>
        <w:spacing w:before="0" w:beforeAutospacing="0" w:after="160"/>
        <w:ind w:left="0" w:firstLine="284"/>
        <w:jc w:val="left"/>
        <w:rPr>
          <w:rFonts w:asciiTheme="majorBidi" w:hAnsiTheme="majorBidi"/>
          <w:color w:val="auto"/>
          <w:sz w:val="22"/>
        </w:rPr>
      </w:pPr>
      <w:bookmarkStart w:id="894" w:name="_Toc231746893"/>
      <w:bookmarkStart w:id="895" w:name="_Toc231752300"/>
      <w:bookmarkStart w:id="896" w:name="_Toc231810603"/>
      <w:bookmarkStart w:id="897" w:name="_Toc231811946"/>
      <w:bookmarkStart w:id="898" w:name="_Toc231812226"/>
      <w:bookmarkStart w:id="899" w:name="_Toc231815110"/>
      <w:r w:rsidRPr="00E2052F">
        <w:rPr>
          <w:rFonts w:asciiTheme="majorBidi" w:hAnsiTheme="majorBidi"/>
          <w:color w:val="auto"/>
          <w:sz w:val="22"/>
        </w:rPr>
        <w:t>L’organisation Internationale du Travail (OIT) :</w:t>
      </w:r>
      <w:bookmarkEnd w:id="894"/>
      <w:bookmarkEnd w:id="895"/>
      <w:bookmarkEnd w:id="896"/>
      <w:bookmarkEnd w:id="897"/>
      <w:bookmarkEnd w:id="898"/>
      <w:bookmarkEnd w:id="899"/>
    </w:p>
    <w:p w14:paraId="55CB47E9" w14:textId="77777777" w:rsidR="007C5DB8" w:rsidRPr="00E2052F" w:rsidRDefault="007C5DB8" w:rsidP="002868F2">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L’Organisation Internationale du Travail (OIT) est l’organisation principale pour le développement de pratiques sociales et la première à s’être intéressée à la RSE. Elle souhaitait jouer aussi un rôle important en matière d’encadrement des sociétés multinationales. Grâce à sa structure tripartite unique (gouvernements, entreprises et travailleurs), elle a adopté en 1977 à Genève la Déclaration de principes tripartite sur les entreprises multinationales et la politique sociale. Cette déclaration est le seul texte de caractère universel traitant des aspects relatifs au travail et à la protection sociale dans les sociétés multinationales. La Déclaration concerne trois domaines, à savoir l’emploi, les conditions de travail et la formation</w:t>
      </w:r>
      <w:r w:rsidR="002868F2">
        <w:rPr>
          <w:rFonts w:asciiTheme="majorBidi" w:hAnsiTheme="majorBidi" w:cstheme="majorBidi"/>
          <w:sz w:val="22"/>
          <w:szCs w:val="22"/>
        </w:rPr>
        <w:t>.</w:t>
      </w:r>
    </w:p>
    <w:p w14:paraId="729299D2"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son article 5, l’OIT indique les responsabilités que doivent assumer les multinationales : « La déclaration de principes tripartite a pour objet d’encourager les entreprises multinationales à contribuer positivement au progrès économique, social ainsi qu’à minimiser et à résoudre les difficultés que leurs opérations peuvent soulever, compte tenu des résolutions des Nations Unies préconisant l’instauration d’un nouvel ordre économique international.</w:t>
      </w:r>
    </w:p>
    <w:p w14:paraId="7D2407DE" w14:textId="77777777" w:rsidR="007C5DB8" w:rsidRPr="00E2052F" w:rsidRDefault="007C5DB8" w:rsidP="00F36332">
      <w:pPr>
        <w:pStyle w:val="NormalWeb"/>
        <w:numPr>
          <w:ilvl w:val="0"/>
          <w:numId w:val="173"/>
        </w:numPr>
        <w:tabs>
          <w:tab w:val="left" w:pos="8043"/>
        </w:tabs>
        <w:spacing w:before="0" w:beforeAutospacing="0" w:line="360" w:lineRule="auto"/>
        <w:ind w:left="568" w:hanging="284"/>
        <w:rPr>
          <w:rFonts w:asciiTheme="majorBidi" w:hAnsiTheme="majorBidi" w:cstheme="majorBidi"/>
          <w:sz w:val="22"/>
          <w:szCs w:val="22"/>
        </w:rPr>
      </w:pPr>
      <w:r w:rsidRPr="00E2052F">
        <w:rPr>
          <w:rFonts w:asciiTheme="majorBidi" w:hAnsiTheme="majorBidi" w:cstheme="majorBidi"/>
          <w:sz w:val="22"/>
          <w:szCs w:val="22"/>
        </w:rPr>
        <w:t>Objectifs de l’organisation internationale du travail</w:t>
      </w:r>
      <w:r w:rsidRPr="00E2052F">
        <w:rPr>
          <w:rStyle w:val="Appelnotedebasdep"/>
          <w:rFonts w:asciiTheme="majorBidi" w:hAnsiTheme="majorBidi" w:cstheme="majorBidi"/>
          <w:sz w:val="22"/>
          <w:szCs w:val="22"/>
        </w:rPr>
        <w:footnoteReference w:id="204"/>
      </w:r>
      <w:r w:rsidRPr="00E2052F">
        <w:rPr>
          <w:rFonts w:asciiTheme="majorBidi" w:hAnsiTheme="majorBidi" w:cstheme="majorBidi"/>
          <w:sz w:val="22"/>
          <w:szCs w:val="22"/>
        </w:rPr>
        <w:t> :</w:t>
      </w:r>
    </w:p>
    <w:p w14:paraId="6A4ED624" w14:textId="77777777" w:rsidR="007C5DB8" w:rsidRPr="00E2052F" w:rsidRDefault="007C5DB8" w:rsidP="00F36332">
      <w:pPr>
        <w:pStyle w:val="NormalWeb"/>
        <w:numPr>
          <w:ilvl w:val="0"/>
          <w:numId w:val="173"/>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sz w:val="22"/>
          <w:szCs w:val="22"/>
        </w:rPr>
        <w:lastRenderedPageBreak/>
        <w:t>Promotion et mise en œuvre des normes, des principes et droits fondamentaux au travail.</w:t>
      </w:r>
    </w:p>
    <w:p w14:paraId="6D7A2514" w14:textId="77777777" w:rsidR="007C5DB8" w:rsidRPr="00E2052F" w:rsidRDefault="007C5DB8" w:rsidP="00F36332">
      <w:pPr>
        <w:pStyle w:val="NormalWeb"/>
        <w:numPr>
          <w:ilvl w:val="0"/>
          <w:numId w:val="173"/>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sz w:val="22"/>
          <w:szCs w:val="22"/>
        </w:rPr>
        <w:t>Accroissement des possibilités pour les femmes et pour les hommes d’obtenir un emploi et un revenu convenable.</w:t>
      </w:r>
    </w:p>
    <w:p w14:paraId="01ED4FBA" w14:textId="77777777" w:rsidR="007C5DB8" w:rsidRPr="00E2052F" w:rsidRDefault="007C5DB8" w:rsidP="00F36332">
      <w:pPr>
        <w:pStyle w:val="NormalWeb"/>
        <w:numPr>
          <w:ilvl w:val="0"/>
          <w:numId w:val="173"/>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sz w:val="22"/>
          <w:szCs w:val="22"/>
        </w:rPr>
        <w:t>Accroissement de l’étendue et de l’efficacité de la protection sociale pour tous.</w:t>
      </w:r>
    </w:p>
    <w:p w14:paraId="081855EF" w14:textId="77777777" w:rsidR="007C5DB8" w:rsidRPr="00E2052F" w:rsidRDefault="007C5DB8" w:rsidP="00F36332">
      <w:pPr>
        <w:pStyle w:val="NormalWeb"/>
        <w:numPr>
          <w:ilvl w:val="0"/>
          <w:numId w:val="173"/>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sz w:val="22"/>
          <w:szCs w:val="22"/>
        </w:rPr>
        <w:t>Renforcement du tripartisme et du dialogue social.</w:t>
      </w:r>
    </w:p>
    <w:p w14:paraId="28A5709E" w14:textId="77777777" w:rsidR="007C5DB8" w:rsidRPr="00E2052F" w:rsidRDefault="007C5DB8" w:rsidP="00F36332">
      <w:pPr>
        <w:pStyle w:val="Titre3"/>
        <w:numPr>
          <w:ilvl w:val="1"/>
          <w:numId w:val="165"/>
        </w:numPr>
        <w:spacing w:before="0" w:beforeAutospacing="0" w:after="160"/>
        <w:ind w:left="0" w:firstLine="284"/>
        <w:jc w:val="left"/>
        <w:rPr>
          <w:rFonts w:asciiTheme="majorBidi" w:hAnsiTheme="majorBidi"/>
          <w:color w:val="auto"/>
          <w:sz w:val="22"/>
        </w:rPr>
      </w:pPr>
      <w:bookmarkStart w:id="900" w:name="_Toc231746894"/>
      <w:bookmarkStart w:id="901" w:name="_Toc231752301"/>
      <w:bookmarkStart w:id="902" w:name="_Toc231810604"/>
      <w:bookmarkStart w:id="903" w:name="_Toc231811947"/>
      <w:bookmarkStart w:id="904" w:name="_Toc231812227"/>
      <w:bookmarkStart w:id="905" w:name="_Toc231815111"/>
      <w:r w:rsidRPr="00E2052F">
        <w:rPr>
          <w:rFonts w:asciiTheme="majorBidi" w:hAnsiTheme="majorBidi"/>
          <w:color w:val="auto"/>
          <w:sz w:val="22"/>
        </w:rPr>
        <w:t>Pacte Mondial de l’ONU :</w:t>
      </w:r>
      <w:bookmarkEnd w:id="900"/>
      <w:bookmarkEnd w:id="901"/>
      <w:bookmarkEnd w:id="902"/>
      <w:bookmarkEnd w:id="903"/>
      <w:bookmarkEnd w:id="904"/>
      <w:bookmarkEnd w:id="905"/>
    </w:p>
    <w:p w14:paraId="6DDE301C"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Lancé le 31 janvier 1999 à la suite du Forum économique mondial de Davos en Suisse, le Global Compact est une initiative des Nations Unies visant à établir un cadre international d’engagement des entreprises en faveur de pratiques responsables et du développement durable.Selon </w:t>
      </w:r>
      <w:r w:rsidRPr="00E2052F">
        <w:rPr>
          <w:rStyle w:val="whitespace-normal"/>
          <w:rFonts w:asciiTheme="majorBidi" w:hAnsiTheme="majorBidi" w:cstheme="majorBidi"/>
          <w:sz w:val="22"/>
          <w:szCs w:val="22"/>
        </w:rPr>
        <w:t>Kofi Annan</w:t>
      </w:r>
      <w:r w:rsidRPr="00E2052F">
        <w:rPr>
          <w:rFonts w:asciiTheme="majorBidi" w:hAnsiTheme="majorBidi" w:cstheme="majorBidi"/>
          <w:sz w:val="22"/>
          <w:szCs w:val="22"/>
        </w:rPr>
        <w:t>, ce pacte constitue un appel adressé aux entreprises pour aligner leurs stratégies et leurs activités sur des principes universels relatifs aux droits de l’homme, au travail, à l’environnement et à la lutte contre la corruption</w:t>
      </w:r>
      <w:r w:rsidRPr="00E2052F">
        <w:rPr>
          <w:rStyle w:val="Appelnotedebasdep"/>
          <w:rFonts w:asciiTheme="majorBidi" w:hAnsiTheme="majorBidi" w:cstheme="majorBidi"/>
          <w:sz w:val="22"/>
          <w:szCs w:val="22"/>
        </w:rPr>
        <w:footnoteReference w:id="205"/>
      </w:r>
      <w:r w:rsidRPr="00E2052F">
        <w:rPr>
          <w:rFonts w:asciiTheme="majorBidi" w:hAnsiTheme="majorBidi" w:cstheme="majorBidi"/>
          <w:sz w:val="22"/>
          <w:szCs w:val="22"/>
        </w:rPr>
        <w:t>.Ce pacte a pour ambition de favoriser des transformations au sein des organisations, de renforcer leur responsabilité citoyenne et de promouvoir à la fois l’innovation et les partenariats entre acteurs économiques et sociaux. Néanmoins, l’intégration des dix principes dans les stratégies et les activités des entreprises repose sur une démarche volontaire, sans obligation juridique contraignante.</w:t>
      </w:r>
    </w:p>
    <w:p w14:paraId="7FE88124"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En effet, le Global Compact ne constitue ni une norme réglementaire ni un système formel de gestion, mais plutôt une plateforme d’échange et d’apprentissage permettant aux entreprises de partager leurs expériences et leurs ressources. L’adhésion implique un engagement progressif à intégrer ces principes dans les pratiques organisationnelles. Fondés sur des conventions internationales, ces dix principes sont structurés autour de quatre grands axes, qui sont suivants</w:t>
      </w:r>
      <w:r w:rsidRPr="00E2052F">
        <w:rPr>
          <w:rStyle w:val="Appelnotedebasdep"/>
          <w:rFonts w:asciiTheme="majorBidi" w:hAnsiTheme="majorBidi" w:cstheme="majorBidi"/>
          <w:sz w:val="22"/>
          <w:szCs w:val="22"/>
        </w:rPr>
        <w:footnoteReference w:id="206"/>
      </w:r>
      <w:r w:rsidRPr="00E2052F">
        <w:rPr>
          <w:rFonts w:asciiTheme="majorBidi" w:hAnsiTheme="majorBidi" w:cstheme="majorBidi"/>
          <w:sz w:val="22"/>
          <w:szCs w:val="22"/>
        </w:rPr>
        <w:t> :</w:t>
      </w:r>
    </w:p>
    <w:p w14:paraId="15AF37F1" w14:textId="77777777" w:rsidR="007C5DB8" w:rsidRPr="00E2052F" w:rsidRDefault="007C5DB8" w:rsidP="00F36332">
      <w:pPr>
        <w:pStyle w:val="NormalWeb"/>
        <w:numPr>
          <w:ilvl w:val="0"/>
          <w:numId w:val="204"/>
        </w:numPr>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Droits de l’Homme :</w:t>
      </w:r>
    </w:p>
    <w:p w14:paraId="7E01E7BF" w14:textId="77777777" w:rsidR="007C5DB8" w:rsidRPr="00E2052F" w:rsidRDefault="007C5DB8" w:rsidP="00F36332">
      <w:pPr>
        <w:pStyle w:val="NormalWeb"/>
        <w:numPr>
          <w:ilvl w:val="0"/>
          <w:numId w:val="152"/>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Promouvoir et respecter la protection du droit international relatif aux droits de l’homme.</w:t>
      </w:r>
    </w:p>
    <w:p w14:paraId="2A248A5E" w14:textId="77777777" w:rsidR="007C5DB8" w:rsidRPr="00E2052F" w:rsidRDefault="007C5DB8" w:rsidP="00F36332">
      <w:pPr>
        <w:pStyle w:val="NormalWeb"/>
        <w:numPr>
          <w:ilvl w:val="0"/>
          <w:numId w:val="152"/>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Veiller à ne pas se rendre complices de violations des droits de l’homme.</w:t>
      </w:r>
    </w:p>
    <w:p w14:paraId="56DCF4EA" w14:textId="77777777" w:rsidR="007C5DB8" w:rsidRPr="00E2052F" w:rsidRDefault="007C5DB8" w:rsidP="00F36332">
      <w:pPr>
        <w:pStyle w:val="NormalWeb"/>
        <w:numPr>
          <w:ilvl w:val="0"/>
          <w:numId w:val="204"/>
        </w:numPr>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Normes Internationales du Travail :</w:t>
      </w:r>
    </w:p>
    <w:p w14:paraId="75AC9AC2" w14:textId="77777777" w:rsidR="007C5DB8" w:rsidRPr="00E2052F" w:rsidRDefault="007C5DB8" w:rsidP="00F36332">
      <w:pPr>
        <w:pStyle w:val="NormalWeb"/>
        <w:numPr>
          <w:ilvl w:val="0"/>
          <w:numId w:val="15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Respecter la liberté d’association et reconnaître le droit de négociation collective.</w:t>
      </w:r>
    </w:p>
    <w:p w14:paraId="79B9F7F0" w14:textId="77777777" w:rsidR="007C5DB8" w:rsidRPr="00E2052F" w:rsidRDefault="007C5DB8" w:rsidP="00F36332">
      <w:pPr>
        <w:pStyle w:val="NormalWeb"/>
        <w:numPr>
          <w:ilvl w:val="0"/>
          <w:numId w:val="15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lastRenderedPageBreak/>
        <w:t>Contribuer à l’élimination de toutes les formes de travail forcé ou obligatoire.</w:t>
      </w:r>
    </w:p>
    <w:p w14:paraId="6E69AEF1" w14:textId="77777777" w:rsidR="007C5DB8" w:rsidRPr="00E2052F" w:rsidRDefault="007C5DB8" w:rsidP="00F36332">
      <w:pPr>
        <w:pStyle w:val="NormalWeb"/>
        <w:numPr>
          <w:ilvl w:val="0"/>
          <w:numId w:val="15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Contribuer à l’abolition effective du travail des enfants.</w:t>
      </w:r>
    </w:p>
    <w:p w14:paraId="67693E06" w14:textId="77777777" w:rsidR="007C5DB8" w:rsidRPr="00E2052F" w:rsidRDefault="007C5DB8" w:rsidP="00F36332">
      <w:pPr>
        <w:pStyle w:val="NormalWeb"/>
        <w:numPr>
          <w:ilvl w:val="0"/>
          <w:numId w:val="153"/>
        </w:numPr>
        <w:spacing w:before="0" w:beforeAutospacing="0" w:line="360" w:lineRule="auto"/>
        <w:ind w:left="0" w:firstLine="284"/>
        <w:rPr>
          <w:rFonts w:asciiTheme="majorBidi" w:hAnsiTheme="majorBidi" w:cstheme="majorBidi"/>
          <w:b/>
          <w:bCs/>
          <w:sz w:val="22"/>
          <w:szCs w:val="22"/>
        </w:rPr>
      </w:pPr>
      <w:r w:rsidRPr="00E2052F">
        <w:rPr>
          <w:rFonts w:asciiTheme="majorBidi" w:eastAsiaTheme="majorEastAsia" w:hAnsiTheme="majorBidi" w:cstheme="majorBidi"/>
          <w:sz w:val="22"/>
          <w:szCs w:val="22"/>
        </w:rPr>
        <w:t>Contribuer à l’élimination de toute discrimination en matière d’emploi et de profession.</w:t>
      </w:r>
    </w:p>
    <w:p w14:paraId="4B7D4A5D" w14:textId="77777777" w:rsidR="007C5DB8" w:rsidRPr="00E2052F" w:rsidRDefault="007C5DB8" w:rsidP="00D61875">
      <w:pPr>
        <w:pStyle w:val="NormalWeb"/>
        <w:numPr>
          <w:ilvl w:val="0"/>
          <w:numId w:val="106"/>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Environnement :</w:t>
      </w:r>
    </w:p>
    <w:p w14:paraId="209AB7FD" w14:textId="77777777" w:rsidR="007C5DB8" w:rsidRPr="00E2052F" w:rsidRDefault="007C5DB8" w:rsidP="00F36332">
      <w:pPr>
        <w:pStyle w:val="NormalWeb"/>
        <w:numPr>
          <w:ilvl w:val="0"/>
          <w:numId w:val="15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Appliquer l’approche de précaution face aux problèmes touchant l’environnement.</w:t>
      </w:r>
    </w:p>
    <w:p w14:paraId="6A913575" w14:textId="77777777" w:rsidR="007C5DB8" w:rsidRPr="00E2052F" w:rsidRDefault="007C5DB8" w:rsidP="00F36332">
      <w:pPr>
        <w:pStyle w:val="NormalWeb"/>
        <w:numPr>
          <w:ilvl w:val="0"/>
          <w:numId w:val="15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Prendre des initiatives tendant à promouvoir une plus grande responsabilité en matière d’environnement.</w:t>
      </w:r>
    </w:p>
    <w:p w14:paraId="5FBCAD75" w14:textId="77777777" w:rsidR="007C5DB8" w:rsidRPr="00E2052F" w:rsidRDefault="007C5DB8" w:rsidP="00F36332">
      <w:pPr>
        <w:pStyle w:val="NormalWeb"/>
        <w:numPr>
          <w:ilvl w:val="0"/>
          <w:numId w:val="15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Favoriser la mise au point et la diffusion de technologies respectueuses de l’environnement.</w:t>
      </w:r>
    </w:p>
    <w:p w14:paraId="6457472E" w14:textId="77777777" w:rsidR="007C5DB8" w:rsidRPr="00E2052F" w:rsidRDefault="007C5DB8" w:rsidP="00D61875">
      <w:pPr>
        <w:pStyle w:val="NormalWeb"/>
        <w:numPr>
          <w:ilvl w:val="0"/>
          <w:numId w:val="106"/>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Lutte contre la Corruption :</w:t>
      </w:r>
    </w:p>
    <w:p w14:paraId="03529C36" w14:textId="77777777" w:rsidR="007C5DB8" w:rsidRPr="00E2052F" w:rsidRDefault="007C5DB8" w:rsidP="00F36332">
      <w:pPr>
        <w:pStyle w:val="NormalWeb"/>
        <w:numPr>
          <w:ilvl w:val="0"/>
          <w:numId w:val="155"/>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Agir contre la corruption sous toutes ses formes, y compris l’extorsion de fonds et les pots-de-vin.</w:t>
      </w:r>
    </w:p>
    <w:p w14:paraId="133F77B2" w14:textId="77777777" w:rsidR="007C5DB8" w:rsidRPr="00E2052F" w:rsidRDefault="007C5DB8" w:rsidP="00F36332">
      <w:pPr>
        <w:pStyle w:val="Titre3"/>
        <w:numPr>
          <w:ilvl w:val="1"/>
          <w:numId w:val="165"/>
        </w:numPr>
        <w:spacing w:before="0" w:beforeAutospacing="0" w:after="160"/>
        <w:ind w:left="0" w:firstLine="284"/>
        <w:jc w:val="left"/>
        <w:rPr>
          <w:rFonts w:asciiTheme="majorBidi" w:hAnsiTheme="majorBidi"/>
          <w:color w:val="auto"/>
          <w:sz w:val="22"/>
        </w:rPr>
      </w:pPr>
      <w:bookmarkStart w:id="906" w:name="_Toc231746895"/>
      <w:bookmarkStart w:id="907" w:name="_Toc231752302"/>
      <w:bookmarkStart w:id="908" w:name="_Toc231810605"/>
      <w:bookmarkStart w:id="909" w:name="_Toc231811948"/>
      <w:bookmarkStart w:id="910" w:name="_Toc231812228"/>
      <w:bookmarkStart w:id="911" w:name="_Toc231815112"/>
      <w:r w:rsidRPr="00E2052F">
        <w:rPr>
          <w:rFonts w:asciiTheme="majorBidi" w:hAnsiTheme="majorBidi"/>
          <w:color w:val="auto"/>
          <w:sz w:val="22"/>
        </w:rPr>
        <w:t>La Global Reporting Initiative (GRI) :</w:t>
      </w:r>
      <w:bookmarkEnd w:id="906"/>
      <w:bookmarkEnd w:id="907"/>
      <w:bookmarkEnd w:id="908"/>
      <w:bookmarkEnd w:id="909"/>
      <w:bookmarkEnd w:id="910"/>
      <w:bookmarkEnd w:id="911"/>
    </w:p>
    <w:p w14:paraId="04DFA45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Global Reporting Initiative (GRI) est une Organisation Non Gouvernementale fondée aux Etats-Unis, dont la mission est l’établissement et la diffusion de lignes directrices pour la publication de rapports environnementaux et sociaux. Elle est issue d’une initiative lancée en 1997 par le CERES (Coalition for EnvironmentallyResponsible Economie) en partenariat avec le programme des Nations Unies pour l’Environnement (PNUE) à laquelle participent des entreprises, des consultants et des universités pour élaborer un cadre et des règles destinées aux entreprises soucieuses de développement durable</w:t>
      </w:r>
      <w:r w:rsidRPr="00E2052F">
        <w:rPr>
          <w:rStyle w:val="Appelnotedebasdep"/>
          <w:rFonts w:asciiTheme="majorBidi" w:hAnsiTheme="majorBidi" w:cstheme="majorBidi"/>
          <w:sz w:val="22"/>
          <w:szCs w:val="22"/>
        </w:rPr>
        <w:footnoteReference w:id="207"/>
      </w:r>
      <w:r w:rsidRPr="00E2052F">
        <w:rPr>
          <w:rFonts w:asciiTheme="majorBidi" w:hAnsiTheme="majorBidi" w:cstheme="majorBidi"/>
          <w:sz w:val="22"/>
          <w:szCs w:val="22"/>
        </w:rPr>
        <w:t xml:space="preserve">.  </w:t>
      </w:r>
    </w:p>
    <w:p w14:paraId="12B12CD9"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Global Reporting Initiative (GRI) a pour mission d'élaborer des normes reflétant la performance économique, sociale et environnementale. Cela inclut le développement de méthodes de reporting extra-financier comparables au reporting financier. Son objectif ultime est d'accroître la transparence au sein des entreprises et autres organisations. La GRI dialogue avec les parties prenantes de l'ensemble du secteur, telles que les ONG, les organismes comptables et les représentants des organisations d'employeurs et des syndicats. À l'issue de ces consultations, la GRI publie des lignes directrices qui définissent les principes et les indicateurs que les organisations peuvent utiliser dans leur reporting en matière de responsabilité sociétale des entreprises (RSE). </w:t>
      </w:r>
    </w:p>
    <w:p w14:paraId="321248F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GRI se présente comme une organisation multilatérale visant à élever la qualité du reporting social à un niveau de comparabilité, d'exactitude et de vérifiabilité comparable à celui du reporting financier.</w:t>
      </w:r>
    </w:p>
    <w:p w14:paraId="0286E8AE" w14:textId="77777777" w:rsidR="007C5DB8" w:rsidRPr="00E2052F" w:rsidRDefault="007C5DB8" w:rsidP="00F36332">
      <w:pPr>
        <w:pStyle w:val="NormalWeb"/>
        <w:numPr>
          <w:ilvl w:val="1"/>
          <w:numId w:val="165"/>
        </w:numPr>
        <w:spacing w:before="0" w:beforeAutospacing="0" w:line="360" w:lineRule="auto"/>
        <w:ind w:left="0" w:firstLine="284"/>
        <w:rPr>
          <w:rFonts w:asciiTheme="majorBidi" w:hAnsiTheme="majorBidi" w:cstheme="majorBidi"/>
          <w:b/>
          <w:bCs/>
          <w:sz w:val="22"/>
          <w:szCs w:val="22"/>
        </w:rPr>
      </w:pPr>
      <w:bookmarkStart w:id="912" w:name="_Toc231746896"/>
      <w:bookmarkStart w:id="913" w:name="_Toc231752303"/>
      <w:bookmarkStart w:id="914" w:name="_Toc231810606"/>
      <w:bookmarkStart w:id="915" w:name="_Toc231811949"/>
      <w:bookmarkStart w:id="916" w:name="_Toc231812229"/>
      <w:bookmarkStart w:id="917" w:name="_Toc231815113"/>
      <w:r w:rsidRPr="00E2052F">
        <w:rPr>
          <w:rStyle w:val="Titre3Car"/>
          <w:rFonts w:asciiTheme="majorBidi" w:hAnsiTheme="majorBidi"/>
          <w:color w:val="auto"/>
          <w:sz w:val="22"/>
          <w:szCs w:val="22"/>
        </w:rPr>
        <w:lastRenderedPageBreak/>
        <w:t>L ’Organisation Internationale de Normalisation ISO :</w:t>
      </w:r>
      <w:bookmarkEnd w:id="912"/>
      <w:bookmarkEnd w:id="913"/>
      <w:bookmarkEnd w:id="914"/>
      <w:bookmarkEnd w:id="915"/>
      <w:bookmarkEnd w:id="916"/>
      <w:bookmarkEnd w:id="917"/>
    </w:p>
    <w:p w14:paraId="0C991BB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Elle est considérée comme le premier producteur de normes internationales d’application volontaire dans le monde. Plusieurs normes de l’ISO ont une relation étroite avec la RSE. Nous pouvons citer les normes ISO 9000 qui visent essentiellement les efforts qu’une organisation réalise pour répondre aux exigences de qualité de ses clients et améliorer leur satisfaction dont l’ISO 9001. Egalement la série ISO 14000 dédiée à la gestion de l’impact environnemental plus spécifiquement, la norme ISO 14001 publiée en septembre 1996, et qui a fait l’objet d’une révision en 2004, définit les exigences relatives à la mise en œuvre d’un système de management environnemental (SME) quel que soit sa taille et son domaine d’activité. Elle est aussi un élément de la triple certification qualité-sécurité environnement ISO 9001, ISO 14001 et OHSAS 18001. La norme ISO 22000 relative à un système de management de la sécurité des denrées alimentaires</w:t>
      </w:r>
      <w:r w:rsidRPr="00E2052F">
        <w:rPr>
          <w:rStyle w:val="Appelnotedebasdep"/>
          <w:rFonts w:asciiTheme="majorBidi" w:hAnsiTheme="majorBidi" w:cstheme="majorBidi"/>
          <w:sz w:val="22"/>
          <w:szCs w:val="22"/>
        </w:rPr>
        <w:footnoteReference w:id="208"/>
      </w:r>
      <w:r w:rsidRPr="00E2052F">
        <w:rPr>
          <w:rFonts w:asciiTheme="majorBidi" w:hAnsiTheme="majorBidi" w:cstheme="majorBidi"/>
          <w:sz w:val="22"/>
          <w:szCs w:val="22"/>
        </w:rPr>
        <w:t>.</w:t>
      </w:r>
    </w:p>
    <w:p w14:paraId="68C9711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1er novembre 2010, l’ISO a publié la première norme en responsabilité sociale qui est la norme ISO 26000, adoptée par 73% des pays membres participants. Elle définit la RSE comme la maîtrise par celle-ci « des impacts de ses décisions et activités sur la société et sur l’environnement, se traduisant par un comportement éthique et transparent qui contribue au développement durable, y compris à la santé et au bienêtre de la société ; prend en compte les attentes des parties prenantes ; respecte les lois en vigueur tout en étant en cohérence avec les normes internationales de comportement ; et qui est intégré dans l’ensemble de l’organisation et mis en œuvre dans ses relations » . Cette définition est le fruit du consensus de plus de 400 experts représentant 99 pays</w:t>
      </w:r>
      <w:r w:rsidRPr="00E2052F">
        <w:rPr>
          <w:rStyle w:val="Appelnotedebasdep"/>
          <w:rFonts w:asciiTheme="majorBidi" w:hAnsiTheme="majorBidi" w:cstheme="majorBidi"/>
          <w:sz w:val="22"/>
          <w:szCs w:val="22"/>
        </w:rPr>
        <w:footnoteReference w:id="209"/>
      </w:r>
      <w:r w:rsidRPr="00E2052F">
        <w:rPr>
          <w:rFonts w:asciiTheme="majorBidi" w:hAnsiTheme="majorBidi" w:cstheme="majorBidi"/>
          <w:sz w:val="22"/>
          <w:szCs w:val="22"/>
        </w:rPr>
        <w:t>.</w:t>
      </w:r>
    </w:p>
    <w:p w14:paraId="13051509" w14:textId="77777777" w:rsidR="007C5DB8" w:rsidRPr="00E2052F" w:rsidRDefault="007C5DB8" w:rsidP="00F36332">
      <w:pPr>
        <w:pStyle w:val="Titre3"/>
        <w:numPr>
          <w:ilvl w:val="1"/>
          <w:numId w:val="165"/>
        </w:numPr>
        <w:spacing w:before="0" w:beforeAutospacing="0" w:after="160"/>
        <w:ind w:left="0" w:firstLine="284"/>
        <w:jc w:val="left"/>
        <w:rPr>
          <w:rFonts w:asciiTheme="majorBidi" w:hAnsiTheme="majorBidi"/>
          <w:color w:val="auto"/>
          <w:sz w:val="22"/>
        </w:rPr>
      </w:pPr>
      <w:bookmarkStart w:id="918" w:name="_Toc231746897"/>
      <w:bookmarkStart w:id="919" w:name="_Toc231752304"/>
      <w:bookmarkStart w:id="920" w:name="_Toc231810607"/>
      <w:bookmarkStart w:id="921" w:name="_Toc231811950"/>
      <w:bookmarkStart w:id="922" w:name="_Toc231812230"/>
      <w:bookmarkStart w:id="923" w:name="_Toc231815114"/>
      <w:r w:rsidRPr="00E2052F">
        <w:rPr>
          <w:rFonts w:asciiTheme="majorBidi" w:hAnsiTheme="majorBidi"/>
          <w:color w:val="auto"/>
          <w:sz w:val="22"/>
        </w:rPr>
        <w:t>La norme EMAS :</w:t>
      </w:r>
      <w:bookmarkEnd w:id="918"/>
      <w:bookmarkEnd w:id="919"/>
      <w:bookmarkEnd w:id="920"/>
      <w:bookmarkEnd w:id="921"/>
      <w:bookmarkEnd w:id="922"/>
      <w:bookmarkEnd w:id="923"/>
    </w:p>
    <w:p w14:paraId="4504A49B"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norme EMAS est un outil de management environnemental mis au point par l’Union européenne qui permet aux entreprises d’évaluer et d’améliorer leur politique environnementale. Dès 1995, elle avait été proposée au secteur industriel uniquement et s’est étendue peu à peu à tous les secteurs et aussi bien pour les grandes entreprises que pour les petites entreprises. Les exigences EMAS sont exactement les mêmes que les exigences de la norme ISO 14001 qui y ont d’ailleurs été intégrées en 2001. La mise en place des principes de la norme EMAS se font aussi sur démarche volontaire. Les rapports EMAS doivent être rendus publics ce qui, engage beaucoup plus les entreprises vis-à-vis de tiers alors que la norme ISO 14001 ne l’exige pas. EMAS insiste aussi sur le respect de la législation et l’implication des travailleurs</w:t>
      </w:r>
      <w:r w:rsidRPr="00E2052F">
        <w:rPr>
          <w:rStyle w:val="Appelnotedebasdep"/>
          <w:rFonts w:asciiTheme="majorBidi" w:hAnsiTheme="majorBidi" w:cstheme="majorBidi"/>
          <w:sz w:val="22"/>
          <w:szCs w:val="22"/>
        </w:rPr>
        <w:footnoteReference w:id="210"/>
      </w:r>
      <w:r w:rsidRPr="00E2052F">
        <w:rPr>
          <w:rFonts w:asciiTheme="majorBidi" w:hAnsiTheme="majorBidi" w:cstheme="majorBidi"/>
          <w:sz w:val="22"/>
          <w:szCs w:val="22"/>
        </w:rPr>
        <w:t>.</w:t>
      </w:r>
    </w:p>
    <w:p w14:paraId="5E2B99D6"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 xml:space="preserve">La Commission européenne a publié un guide utilisateur le 4 mars 2013. Dans la pratique, les entreprises doivent suivre un processus comme suit : </w:t>
      </w:r>
    </w:p>
    <w:p w14:paraId="49B9842D" w14:textId="77777777" w:rsidR="007C5DB8"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Effectuer une analyse environnementale (par des Ecocartes qui relèvent des indicateurs de performance énergétiques, de gestion de déchets, de gestion du bruit, de la poussière, de gestion des risques…).</w:t>
      </w:r>
    </w:p>
    <w:p w14:paraId="6D109F97" w14:textId="77777777" w:rsidR="007C5DB8"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Sur base des résultats, mettre en place un système de gestion environnemental. </w:t>
      </w:r>
    </w:p>
    <w:p w14:paraId="31C75D9D" w14:textId="77777777" w:rsidR="007C5DB8"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Exécuter un audit environnemental interne pour évaluer le système de gestion.</w:t>
      </w:r>
    </w:p>
    <w:p w14:paraId="485F3051" w14:textId="77777777" w:rsidR="007C5DB8"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Publier une déclaration environnementale en présentant les résultats et les objectifs à venir.</w:t>
      </w:r>
    </w:p>
    <w:p w14:paraId="06CD7CEE" w14:textId="77777777" w:rsidR="007C5DB8" w:rsidRPr="00E2052F" w:rsidRDefault="007C5DB8" w:rsidP="00BC1AEC">
      <w:pPr>
        <w:pStyle w:val="Titre1"/>
        <w:rPr>
          <w:lang w:bidi="ar-DZ"/>
        </w:rPr>
      </w:pPr>
      <w:bookmarkStart w:id="924" w:name="_Toc231742170"/>
      <w:bookmarkStart w:id="925" w:name="_Toc231746898"/>
      <w:bookmarkStart w:id="926" w:name="_Toc231752305"/>
      <w:bookmarkStart w:id="927" w:name="_Toc231810608"/>
      <w:bookmarkStart w:id="928" w:name="_Toc231811428"/>
      <w:bookmarkStart w:id="929" w:name="_Toc231811951"/>
      <w:bookmarkStart w:id="930" w:name="_Toc231812231"/>
      <w:bookmarkStart w:id="931" w:name="_Toc231815115"/>
      <w:r w:rsidRPr="00E2052F">
        <w:t>Section 02 : Le cadre opérationnelle de la responsabilité sociale des entreprises :</w:t>
      </w:r>
      <w:bookmarkEnd w:id="924"/>
      <w:bookmarkEnd w:id="925"/>
      <w:bookmarkEnd w:id="926"/>
      <w:bookmarkEnd w:id="927"/>
      <w:bookmarkEnd w:id="928"/>
      <w:bookmarkEnd w:id="929"/>
      <w:bookmarkEnd w:id="930"/>
      <w:bookmarkEnd w:id="931"/>
    </w:p>
    <w:p w14:paraId="143E6059" w14:textId="77777777" w:rsidR="007C5DB8" w:rsidRPr="00E2052F" w:rsidRDefault="007C5DB8" w:rsidP="00F36332">
      <w:pPr>
        <w:pStyle w:val="Titre2"/>
        <w:numPr>
          <w:ilvl w:val="0"/>
          <w:numId w:val="129"/>
        </w:numPr>
      </w:pPr>
      <w:bookmarkStart w:id="932" w:name="_Toc231746899"/>
      <w:bookmarkStart w:id="933" w:name="_Toc231752306"/>
      <w:bookmarkStart w:id="934" w:name="_Toc231810609"/>
      <w:bookmarkStart w:id="935" w:name="_Toc231811952"/>
      <w:bookmarkStart w:id="936" w:name="_Toc231812232"/>
      <w:bookmarkStart w:id="937" w:name="_Toc231815116"/>
      <w:r w:rsidRPr="00E2052F">
        <w:t>Les principaux piliers de la responsabilité sociale des entreprises :</w:t>
      </w:r>
      <w:bookmarkEnd w:id="932"/>
      <w:bookmarkEnd w:id="933"/>
      <w:bookmarkEnd w:id="934"/>
      <w:bookmarkEnd w:id="935"/>
      <w:bookmarkEnd w:id="936"/>
      <w:bookmarkEnd w:id="937"/>
    </w:p>
    <w:p w14:paraId="3802FE6A" w14:textId="77777777" w:rsidR="007C5DB8" w:rsidRPr="00E2052F" w:rsidRDefault="007C5DB8" w:rsidP="00F36332">
      <w:pPr>
        <w:pStyle w:val="NormalWeb"/>
        <w:numPr>
          <w:ilvl w:val="0"/>
          <w:numId w:val="174"/>
        </w:numPr>
        <w:tabs>
          <w:tab w:val="left" w:pos="8043"/>
        </w:tabs>
        <w:spacing w:before="0" w:beforeAutospacing="0" w:line="360" w:lineRule="auto"/>
        <w:rPr>
          <w:rFonts w:asciiTheme="majorBidi" w:hAnsiTheme="majorBidi" w:cstheme="majorBidi"/>
          <w:b/>
          <w:bCs/>
          <w:sz w:val="22"/>
          <w:szCs w:val="22"/>
        </w:rPr>
      </w:pPr>
      <w:bookmarkStart w:id="938" w:name="_Toc231746900"/>
      <w:bookmarkStart w:id="939" w:name="_Toc231752307"/>
      <w:bookmarkStart w:id="940" w:name="_Toc231810610"/>
      <w:bookmarkStart w:id="941" w:name="_Toc231811953"/>
      <w:bookmarkStart w:id="942" w:name="_Toc231812233"/>
      <w:bookmarkStart w:id="943" w:name="_Toc231815117"/>
      <w:r w:rsidRPr="00E2052F">
        <w:rPr>
          <w:rStyle w:val="Titre3Car"/>
          <w:rFonts w:asciiTheme="majorBidi" w:hAnsiTheme="majorBidi"/>
          <w:color w:val="auto"/>
          <w:sz w:val="22"/>
          <w:szCs w:val="22"/>
        </w:rPr>
        <w:t>Les dimensions de la responsabilité sociale des entreprises</w:t>
      </w:r>
      <w:bookmarkEnd w:id="938"/>
      <w:bookmarkEnd w:id="939"/>
      <w:bookmarkEnd w:id="940"/>
      <w:bookmarkEnd w:id="941"/>
      <w:bookmarkEnd w:id="942"/>
      <w:bookmarkEnd w:id="943"/>
      <w:r w:rsidRPr="00E2052F">
        <w:rPr>
          <w:rFonts w:asciiTheme="majorBidi" w:hAnsiTheme="majorBidi" w:cstheme="majorBidi"/>
          <w:b/>
          <w:bCs/>
          <w:sz w:val="22"/>
          <w:szCs w:val="22"/>
        </w:rPr>
        <w:t> :</w:t>
      </w:r>
    </w:p>
    <w:p w14:paraId="65E6F84E"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Responsabilité Sociétale des Entreprises désigne l’intégration volontaire par les organisations des préoccupations sociales, environnementales et économiques dans leurs activités et dans leurs relations avec les parties prenantes. Elle repose sur une approche globale du développement durable, visant à concilier performance économique et impact positif sur la société et l’environnement. </w:t>
      </w:r>
    </w:p>
    <w:p w14:paraId="68D0B355" w14:textId="77777777" w:rsidR="007C5DB8" w:rsidRPr="00E2052F" w:rsidRDefault="007C5DB8" w:rsidP="00C26383">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ce cadre, la RSE s’articule autour de trois dimensions</w:t>
      </w:r>
      <w:r w:rsidR="007F0056" w:rsidRPr="00E2052F">
        <w:rPr>
          <w:rFonts w:asciiTheme="majorBidi" w:hAnsiTheme="majorBidi" w:cstheme="majorBidi"/>
          <w:sz w:val="22"/>
          <w:szCs w:val="22"/>
        </w:rPr>
        <w:t xml:space="preserve"> </w:t>
      </w:r>
      <w:r w:rsidRPr="00E2052F">
        <w:rPr>
          <w:rFonts w:asciiTheme="majorBidi" w:hAnsiTheme="majorBidi" w:cstheme="majorBidi"/>
          <w:sz w:val="22"/>
          <w:szCs w:val="22"/>
        </w:rPr>
        <w:t>fondamentales</w:t>
      </w:r>
      <w:r w:rsidR="009F60D1">
        <w:rPr>
          <w:rFonts w:asciiTheme="majorBidi" w:hAnsiTheme="majorBidi" w:cstheme="majorBidi"/>
          <w:sz w:val="22"/>
          <w:szCs w:val="22"/>
        </w:rPr>
        <w:t xml:space="preserve"> </w:t>
      </w:r>
      <w:r w:rsidRPr="00E2052F">
        <w:rPr>
          <w:rFonts w:asciiTheme="majorBidi" w:hAnsiTheme="majorBidi" w:cstheme="majorBidi"/>
          <w:sz w:val="22"/>
          <w:szCs w:val="22"/>
        </w:rPr>
        <w:t xml:space="preserve">: </w:t>
      </w:r>
    </w:p>
    <w:p w14:paraId="297CAC68"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dimension sociale (faire passer l’humain en priorité) :</w:t>
      </w:r>
    </w:p>
    <w:p w14:paraId="2EEED42B"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dimension sociale renvoie à la capacité de l’entreprise à instaurer un environnement de travail équilibré, équitable et durable pour l’ensemble de ses collaborateurs. Il s’agit pour l’organisation de mettre en place des conditions favorisant le bien-être des salariés, leur sécurité ainsi que leur épanouissement professionnel. Dans cette perspective, l’entreprise est amenée à agir sur plusieurs leviers essentiels, notamment l’amélioration de la qualité de vie au travail (QVT), le renforcement d’un climat interne positif et coopératif, ainsi que le respect des droits sociaux fondamentaux. Ce pilier inclut également la promotion de l’égalité des chances, la lutte contre les discriminations et le développement d’un dialogue social constructif.</w:t>
      </w:r>
    </w:p>
    <w:p w14:paraId="1B4E4CEA"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 ailleurs, la dimension sociale de la RSE accorde une importance particulière à la formation continue et au développement des compétences, afin de garantir l’employabilité des salariés sur le long terme et de favoriser leur adaptation aux évolutions du marché du travail.Les entreprises les plus avancées mettent en place des politiques structurées autour de plusieurs axes : </w:t>
      </w:r>
    </w:p>
    <w:p w14:paraId="25E977F0"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Amélioration des conditions de travail ; </w:t>
      </w:r>
    </w:p>
    <w:p w14:paraId="08AAFE3E"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Prévention des risques psycho-sociaux ; </w:t>
      </w:r>
    </w:p>
    <w:p w14:paraId="22E85203"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lastRenderedPageBreak/>
        <w:t>Egalité femmes-hommes ; </w:t>
      </w:r>
    </w:p>
    <w:p w14:paraId="459F0D7D"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Promotion de la diversité et de l’inclusion ; </w:t>
      </w:r>
    </w:p>
    <w:p w14:paraId="01D54A6F"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Formation continue et développement de compétences ; </w:t>
      </w:r>
    </w:p>
    <w:p w14:paraId="6E952584" w14:textId="77777777" w:rsidR="007C5DB8" w:rsidRPr="00E2052F" w:rsidRDefault="007C5DB8" w:rsidP="00F36332">
      <w:pPr>
        <w:pStyle w:val="NormalWeb"/>
        <w:numPr>
          <w:ilvl w:val="0"/>
          <w:numId w:val="167"/>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Dialogue social. </w:t>
      </w:r>
    </w:p>
    <w:p w14:paraId="6ACD24B3"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Cette dimension s’étend aussi aux relations fournisseurs, notamment via l’obligation de vérifier les conditions de travail chez les partenaires commerciaux. Le pilier social n’est donc pas uniquement interne, il concerne toute la chaîne de valeur</w:t>
      </w:r>
      <w:r w:rsidRPr="00E2052F">
        <w:rPr>
          <w:rFonts w:asciiTheme="majorBidi" w:hAnsiTheme="majorBidi" w:cstheme="majorBidi"/>
          <w:b/>
          <w:bCs/>
          <w:sz w:val="22"/>
          <w:szCs w:val="22"/>
        </w:rPr>
        <w:t>.</w:t>
      </w:r>
      <w:r w:rsidR="00C26383">
        <w:rPr>
          <w:rStyle w:val="Appelnotedebasdep"/>
          <w:rFonts w:asciiTheme="majorBidi" w:hAnsiTheme="majorBidi" w:cstheme="majorBidi"/>
          <w:b/>
          <w:bCs/>
          <w:sz w:val="22"/>
          <w:szCs w:val="22"/>
        </w:rPr>
        <w:footnoteReference w:id="211"/>
      </w:r>
    </w:p>
    <w:p w14:paraId="5B05DF96"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dimension environnementale :</w:t>
      </w:r>
    </w:p>
    <w:p w14:paraId="0B5F6160"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dimension environnementale repose sur la gestion et la réduction de l’impact des activités de l’entreprise sur l’écosystème naturel. Dans un contexte marqué par le changement climatique et l’épuisement des ressources, les exigences des régulateurs, des consommateurs et des investisseurs deviennent de plus en plus strictes, notamment en matière de sobriété énergétique, de réduction des émissions de carbone et de consommation responsable des matières premières</w:t>
      </w:r>
      <w:r w:rsidRPr="00E2052F">
        <w:rPr>
          <w:rFonts w:asciiTheme="majorBidi" w:hAnsiTheme="majorBidi" w:cstheme="majorBidi"/>
          <w:b/>
          <w:bCs/>
          <w:sz w:val="22"/>
          <w:szCs w:val="22"/>
        </w:rPr>
        <w:t xml:space="preserve">. </w:t>
      </w:r>
      <w:r w:rsidRPr="00E2052F">
        <w:rPr>
          <w:rFonts w:asciiTheme="majorBidi" w:hAnsiTheme="majorBidi" w:cstheme="majorBidi"/>
          <w:sz w:val="22"/>
          <w:szCs w:val="22"/>
        </w:rPr>
        <w:t>Dans cette dynamique, un nombre croissant d’entreprises adoptent la stratégie « Net Zéro », qui repose sur une évaluation complète de leurs performances environnementales. Une politique environnementale structurée implique généralement plusieurs actions complémentaires :</w:t>
      </w:r>
    </w:p>
    <w:p w14:paraId="65275838" w14:textId="77777777" w:rsidR="007C5DB8" w:rsidRPr="00E2052F" w:rsidRDefault="007C5DB8" w:rsidP="00F36332">
      <w:pPr>
        <w:pStyle w:val="NormalWeb"/>
        <w:numPr>
          <w:ilvl w:val="0"/>
          <w:numId w:val="177"/>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réduction du Co2 ; </w:t>
      </w:r>
    </w:p>
    <w:p w14:paraId="31704CF6" w14:textId="77777777" w:rsidR="007C5DB8" w:rsidRPr="00E2052F" w:rsidRDefault="007C5DB8" w:rsidP="00F36332">
      <w:pPr>
        <w:pStyle w:val="NormalWeb"/>
        <w:numPr>
          <w:ilvl w:val="0"/>
          <w:numId w:val="177"/>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L’optimisation énergétique des infrastructures ; </w:t>
      </w:r>
    </w:p>
    <w:p w14:paraId="3C45536E" w14:textId="77777777" w:rsidR="007C5DB8" w:rsidRPr="00E2052F" w:rsidRDefault="007C5DB8" w:rsidP="00F36332">
      <w:pPr>
        <w:pStyle w:val="NormalWeb"/>
        <w:numPr>
          <w:ilvl w:val="0"/>
          <w:numId w:val="177"/>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gestion et valorisation des déchets ; </w:t>
      </w:r>
    </w:p>
    <w:p w14:paraId="4A9E898A" w14:textId="77777777" w:rsidR="007C5DB8" w:rsidRPr="00E2052F" w:rsidRDefault="007C5DB8" w:rsidP="00F36332">
      <w:pPr>
        <w:pStyle w:val="NormalWeb"/>
        <w:numPr>
          <w:ilvl w:val="0"/>
          <w:numId w:val="177"/>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réduction des ressources utilisées ; </w:t>
      </w:r>
    </w:p>
    <w:p w14:paraId="3F0F4029" w14:textId="77777777" w:rsidR="007C5DB8" w:rsidRPr="00E2052F" w:rsidRDefault="007C5DB8" w:rsidP="00F36332">
      <w:pPr>
        <w:pStyle w:val="NormalWeb"/>
        <w:numPr>
          <w:ilvl w:val="0"/>
          <w:numId w:val="17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w:t>
      </w:r>
      <w:r w:rsidR="007F0056" w:rsidRPr="00E2052F">
        <w:rPr>
          <w:rFonts w:asciiTheme="majorBidi" w:hAnsiTheme="majorBidi" w:cstheme="majorBidi"/>
          <w:sz w:val="22"/>
          <w:szCs w:val="22"/>
        </w:rPr>
        <w:t>écoconception</w:t>
      </w:r>
      <w:r w:rsidRPr="00E2052F">
        <w:rPr>
          <w:rFonts w:asciiTheme="majorBidi" w:hAnsiTheme="majorBidi" w:cstheme="majorBidi"/>
          <w:sz w:val="22"/>
          <w:szCs w:val="22"/>
        </w:rPr>
        <w:t xml:space="preserve"> des produits ; </w:t>
      </w:r>
    </w:p>
    <w:p w14:paraId="471D343E" w14:textId="77777777" w:rsidR="007C5DB8" w:rsidRPr="00E2052F" w:rsidRDefault="007C5DB8" w:rsidP="00F36332">
      <w:pPr>
        <w:pStyle w:val="NormalWeb"/>
        <w:numPr>
          <w:ilvl w:val="0"/>
          <w:numId w:val="176"/>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L’utilisation d’énergies renouvelables.</w:t>
      </w:r>
    </w:p>
    <w:p w14:paraId="466A1613"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dimension économique :</w:t>
      </w:r>
    </w:p>
    <w:p w14:paraId="6EDDB1CA"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troisième dimension de la RSE concerne la performance économique associée à la gouvernance. Souvent moins mis en avant que les dimensions sociale et environnementale, il n’en demeure pas moins fondamental, car il assure la crédibilité et la solidité des engagements pris par l’entreprise en matière de responsabilité sociétale. Cette dimension vise à garantir une gestion rigoureuse </w:t>
      </w:r>
      <w:r w:rsidR="007F0056" w:rsidRPr="00E2052F">
        <w:rPr>
          <w:rFonts w:asciiTheme="majorBidi" w:hAnsiTheme="majorBidi" w:cstheme="majorBidi"/>
          <w:sz w:val="22"/>
          <w:szCs w:val="22"/>
        </w:rPr>
        <w:t>économique. Il</w:t>
      </w:r>
      <w:r w:rsidRPr="00E2052F">
        <w:rPr>
          <w:rFonts w:asciiTheme="majorBidi" w:hAnsiTheme="majorBidi" w:cstheme="majorBidi"/>
          <w:sz w:val="22"/>
          <w:szCs w:val="22"/>
        </w:rPr>
        <w:t xml:space="preserve"> englobe plusieurs aspects essentiels :</w:t>
      </w:r>
    </w:p>
    <w:p w14:paraId="49FA78E2"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lastRenderedPageBreak/>
        <w:t>Lutte contre la corruption ; </w:t>
      </w:r>
    </w:p>
    <w:p w14:paraId="28FC6286"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Conformité réglementaire ; </w:t>
      </w:r>
    </w:p>
    <w:p w14:paraId="755C8226"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Intégrité des pratiques commerciales ; </w:t>
      </w:r>
    </w:p>
    <w:p w14:paraId="78F9D2FA"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Achats responsables ; </w:t>
      </w:r>
    </w:p>
    <w:p w14:paraId="231FC5AC"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Transparence financière ; </w:t>
      </w:r>
    </w:p>
    <w:p w14:paraId="14EF0CE9" w14:textId="77777777" w:rsidR="007C5DB8" w:rsidRPr="00E2052F" w:rsidRDefault="007C5DB8" w:rsidP="00F36332">
      <w:pPr>
        <w:pStyle w:val="NormalWeb"/>
        <w:numPr>
          <w:ilvl w:val="0"/>
          <w:numId w:val="166"/>
        </w:numPr>
        <w:tabs>
          <w:tab w:val="left" w:pos="8043"/>
        </w:tabs>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Indépendance des instances de décision.</w:t>
      </w:r>
    </w:p>
    <w:p w14:paraId="31CF0DAE" w14:textId="77777777" w:rsidR="007F0056" w:rsidRPr="00E2052F" w:rsidRDefault="007C5DB8" w:rsidP="007F0056">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Lorsqu’elle est correctement appliquée, elle contribue fortement à améliorer la réputation de l’entreprise, à renforcer la confiance des investisseurs et à accroître la résilience globale de l’organisation face aux risques. Elle inclut également la gestion des risques liés aux tiers, dans la mesure où de nombreux problèmes d’éthique, de conformité ou de corruption peuvent survenir dans les relations</w:t>
      </w:r>
      <w:r w:rsidR="007F0056" w:rsidRPr="00E2052F">
        <w:rPr>
          <w:rFonts w:asciiTheme="majorBidi" w:hAnsiTheme="majorBidi" w:cstheme="majorBidi"/>
          <w:sz w:val="22"/>
          <w:szCs w:val="22"/>
        </w:rPr>
        <w:t xml:space="preserve"> avec les partenaires externes.</w:t>
      </w:r>
      <w:r w:rsidR="00C26383">
        <w:rPr>
          <w:rStyle w:val="Appelnotedebasdep"/>
          <w:rFonts w:asciiTheme="majorBidi" w:hAnsiTheme="majorBidi" w:cstheme="majorBidi"/>
          <w:sz w:val="22"/>
          <w:szCs w:val="22"/>
        </w:rPr>
        <w:footnoteReference w:id="212"/>
      </w:r>
    </w:p>
    <w:p w14:paraId="6F4C872D" w14:textId="77777777" w:rsidR="007C5DB8" w:rsidRPr="00E2052F" w:rsidRDefault="00D57746" w:rsidP="007F0056">
      <w:pPr>
        <w:pStyle w:val="NormalWeb"/>
        <w:tabs>
          <w:tab w:val="left" w:pos="8043"/>
        </w:tabs>
        <w:spacing w:before="0" w:beforeAutospacing="0" w:line="360" w:lineRule="auto"/>
        <w:rPr>
          <w:rFonts w:asciiTheme="majorBidi" w:hAnsiTheme="majorBidi" w:cstheme="majorBidi"/>
          <w:b/>
          <w:bCs/>
          <w:sz w:val="22"/>
          <w:szCs w:val="22"/>
        </w:rPr>
      </w:pPr>
      <w:r w:rsidRPr="00091F6F">
        <w:rPr>
          <w:rFonts w:asciiTheme="majorBidi" w:eastAsiaTheme="minorHAnsi" w:hAnsiTheme="majorBidi" w:cstheme="majorBidi"/>
          <w:b/>
          <w:bCs/>
          <w:color w:val="000000"/>
          <w:sz w:val="22"/>
          <w:szCs w:val="22"/>
          <w:u w:val="single"/>
          <w:lang w:eastAsia="en-US"/>
        </w:rPr>
        <w:t>Figure 05</w:t>
      </w:r>
      <w:r w:rsidR="007C5DB8" w:rsidRPr="00091F6F">
        <w:rPr>
          <w:rFonts w:asciiTheme="majorBidi" w:eastAsiaTheme="minorHAnsi" w:hAnsiTheme="majorBidi" w:cstheme="majorBidi"/>
          <w:b/>
          <w:bCs/>
          <w:color w:val="000000"/>
          <w:sz w:val="22"/>
          <w:szCs w:val="22"/>
          <w:u w:val="single"/>
          <w:lang w:eastAsia="en-US"/>
        </w:rPr>
        <w:t xml:space="preserve"> :</w:t>
      </w:r>
      <w:r w:rsidR="007F0056" w:rsidRPr="00091F6F">
        <w:rPr>
          <w:rFonts w:asciiTheme="majorBidi" w:eastAsiaTheme="minorHAnsi" w:hAnsiTheme="majorBidi" w:cstheme="majorBidi"/>
          <w:b/>
          <w:bCs/>
          <w:color w:val="000000"/>
          <w:sz w:val="22"/>
          <w:szCs w:val="22"/>
          <w:lang w:eastAsia="en-US"/>
        </w:rPr>
        <w:t xml:space="preserve"> </w:t>
      </w:r>
      <w:r w:rsidR="007C5DB8" w:rsidRPr="00091F6F">
        <w:rPr>
          <w:rFonts w:asciiTheme="majorBidi" w:eastAsiaTheme="minorHAnsi" w:hAnsiTheme="majorBidi" w:cstheme="majorBidi"/>
          <w:b/>
          <w:bCs/>
          <w:color w:val="000000"/>
          <w:sz w:val="22"/>
          <w:szCs w:val="22"/>
          <w:lang w:eastAsia="en-US"/>
        </w:rPr>
        <w:t>L</w:t>
      </w:r>
      <w:r w:rsidR="007C5DB8" w:rsidRPr="00E2052F">
        <w:rPr>
          <w:rFonts w:asciiTheme="majorBidi" w:eastAsiaTheme="minorHAnsi" w:hAnsiTheme="majorBidi" w:cstheme="majorBidi"/>
          <w:b/>
          <w:bCs/>
          <w:color w:val="000000"/>
          <w:sz w:val="22"/>
          <w:szCs w:val="22"/>
          <w:lang w:eastAsia="en-US"/>
        </w:rPr>
        <w:t>ES TROIS DIMENSIONS DE LA RSE</w:t>
      </w:r>
      <w:r w:rsidR="007F0056" w:rsidRPr="00E2052F">
        <w:rPr>
          <w:rFonts w:asciiTheme="majorBidi" w:eastAsiaTheme="minorHAnsi" w:hAnsiTheme="majorBidi" w:cstheme="majorBidi"/>
          <w:b/>
          <w:bCs/>
          <w:color w:val="000000"/>
          <w:sz w:val="22"/>
          <w:szCs w:val="22"/>
          <w:lang w:eastAsia="en-US"/>
        </w:rPr>
        <w:t>.</w:t>
      </w:r>
    </w:p>
    <w:p w14:paraId="65EAC7AD" w14:textId="77777777" w:rsidR="007C5DB8" w:rsidRPr="00E2052F" w:rsidRDefault="007C5DB8" w:rsidP="003D28B1">
      <w:pPr>
        <w:pStyle w:val="NormalWeb"/>
        <w:tabs>
          <w:tab w:val="left" w:pos="8043"/>
        </w:tabs>
        <w:spacing w:before="0" w:beforeAutospacing="0" w:line="360" w:lineRule="auto"/>
        <w:jc w:val="center"/>
        <w:rPr>
          <w:rFonts w:asciiTheme="majorBidi" w:hAnsiTheme="majorBidi" w:cstheme="majorBidi"/>
          <w:sz w:val="22"/>
          <w:szCs w:val="22"/>
        </w:rPr>
      </w:pPr>
      <w:r w:rsidRPr="00E2052F">
        <w:rPr>
          <w:rFonts w:asciiTheme="majorBidi" w:hAnsiTheme="majorBidi" w:cstheme="majorBidi"/>
          <w:noProof/>
          <w:sz w:val="22"/>
          <w:szCs w:val="22"/>
        </w:rPr>
        <w:drawing>
          <wp:inline distT="0" distB="0" distL="0" distR="0" wp14:anchorId="38D2A713" wp14:editId="046046AB">
            <wp:extent cx="3524250" cy="2390119"/>
            <wp:effectExtent l="19050" t="0" r="0" b="0"/>
            <wp:docPr id="452" name="Image 4" descr="photo_6012660297363033337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012660297363033337_x.jpg"/>
                    <pic:cNvPicPr/>
                  </pic:nvPicPr>
                  <pic:blipFill>
                    <a:blip r:embed="rId31"/>
                    <a:stretch>
                      <a:fillRect/>
                    </a:stretch>
                  </pic:blipFill>
                  <pic:spPr>
                    <a:xfrm>
                      <a:off x="0" y="0"/>
                      <a:ext cx="3541125" cy="2401563"/>
                    </a:xfrm>
                    <a:prstGeom prst="rect">
                      <a:avLst/>
                    </a:prstGeom>
                  </pic:spPr>
                </pic:pic>
              </a:graphicData>
            </a:graphic>
          </wp:inline>
        </w:drawing>
      </w:r>
    </w:p>
    <w:p w14:paraId="7AFB1B46" w14:textId="77777777" w:rsidR="007C5DB8" w:rsidRPr="00605782" w:rsidRDefault="007C5DB8" w:rsidP="003D28B1">
      <w:pPr>
        <w:pStyle w:val="NormalWeb"/>
        <w:tabs>
          <w:tab w:val="left" w:pos="8043"/>
        </w:tabs>
        <w:spacing w:before="0" w:beforeAutospacing="0" w:line="360" w:lineRule="auto"/>
        <w:jc w:val="center"/>
        <w:rPr>
          <w:rFonts w:asciiTheme="majorBidi" w:eastAsiaTheme="minorHAnsi" w:hAnsiTheme="majorBidi" w:cstheme="majorBidi"/>
          <w:color w:val="000000"/>
          <w:sz w:val="20"/>
          <w:szCs w:val="20"/>
          <w:lang w:eastAsia="en-US"/>
        </w:rPr>
      </w:pPr>
      <w:r w:rsidRPr="00605782">
        <w:rPr>
          <w:rFonts w:asciiTheme="majorBidi" w:eastAsiaTheme="minorHAnsi" w:hAnsiTheme="majorBidi" w:cstheme="majorBidi"/>
          <w:b/>
          <w:bCs/>
          <w:color w:val="000000"/>
          <w:sz w:val="20"/>
          <w:szCs w:val="20"/>
          <w:lang w:eastAsia="en-US"/>
        </w:rPr>
        <w:t xml:space="preserve">SOURCE : </w:t>
      </w:r>
      <w:hyperlink r:id="rId32" w:history="1">
        <w:r w:rsidRPr="00605782">
          <w:rPr>
            <w:rStyle w:val="Lienhypertexte"/>
            <w:rFonts w:asciiTheme="majorBidi" w:hAnsiTheme="majorBidi" w:cstheme="majorBidi"/>
            <w:sz w:val="20"/>
            <w:szCs w:val="20"/>
          </w:rPr>
          <w:t>https://done.fr/principes-rse</w:t>
        </w:r>
      </w:hyperlink>
      <w:r w:rsidRPr="00605782">
        <w:rPr>
          <w:rFonts w:asciiTheme="majorBidi" w:hAnsiTheme="majorBidi" w:cstheme="majorBidi"/>
          <w:sz w:val="20"/>
          <w:szCs w:val="20"/>
        </w:rPr>
        <w:t xml:space="preserve"> : consulté le 08/03/2026</w:t>
      </w:r>
    </w:p>
    <w:p w14:paraId="0E524E0F" w14:textId="77777777" w:rsidR="007C5DB8" w:rsidRPr="00E2052F" w:rsidRDefault="007C5DB8" w:rsidP="00F36332">
      <w:pPr>
        <w:pStyle w:val="Titre3"/>
        <w:numPr>
          <w:ilvl w:val="1"/>
          <w:numId w:val="178"/>
        </w:numPr>
        <w:spacing w:before="0" w:beforeAutospacing="0" w:after="160"/>
        <w:jc w:val="left"/>
        <w:rPr>
          <w:rFonts w:asciiTheme="majorBidi" w:hAnsiTheme="majorBidi"/>
          <w:color w:val="auto"/>
          <w:sz w:val="22"/>
        </w:rPr>
      </w:pPr>
      <w:bookmarkStart w:id="944" w:name="_Toc231746901"/>
      <w:bookmarkStart w:id="945" w:name="_Toc231752308"/>
      <w:bookmarkStart w:id="946" w:name="_Toc231810611"/>
      <w:bookmarkStart w:id="947" w:name="_Toc231811954"/>
      <w:bookmarkStart w:id="948" w:name="_Toc231812234"/>
      <w:bookmarkStart w:id="949" w:name="_Toc231815118"/>
      <w:r w:rsidRPr="00E2052F">
        <w:rPr>
          <w:rFonts w:asciiTheme="majorBidi" w:hAnsiTheme="majorBidi"/>
          <w:color w:val="auto"/>
          <w:sz w:val="22"/>
        </w:rPr>
        <w:t>Les principes de la responsabilité sociale des entreprises</w:t>
      </w:r>
      <w:r w:rsidRPr="00E2052F">
        <w:rPr>
          <w:rStyle w:val="Appelnotedebasdep"/>
          <w:rFonts w:asciiTheme="majorBidi" w:hAnsiTheme="majorBidi"/>
          <w:color w:val="auto"/>
          <w:sz w:val="22"/>
        </w:rPr>
        <w:footnoteReference w:id="213"/>
      </w:r>
      <w:r w:rsidRPr="00E2052F">
        <w:rPr>
          <w:rFonts w:asciiTheme="majorBidi" w:hAnsiTheme="majorBidi"/>
          <w:color w:val="auto"/>
          <w:sz w:val="22"/>
        </w:rPr>
        <w:t> :</w:t>
      </w:r>
      <w:bookmarkEnd w:id="944"/>
      <w:bookmarkEnd w:id="945"/>
      <w:bookmarkEnd w:id="946"/>
      <w:bookmarkEnd w:id="947"/>
      <w:bookmarkEnd w:id="948"/>
      <w:bookmarkEnd w:id="949"/>
      <w:r w:rsidRPr="00E2052F">
        <w:rPr>
          <w:rFonts w:asciiTheme="majorBidi" w:hAnsiTheme="majorBidi"/>
          <w:color w:val="auto"/>
          <w:sz w:val="22"/>
        </w:rPr>
        <w:t xml:space="preserve"> </w:t>
      </w:r>
    </w:p>
    <w:p w14:paraId="06895238"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l’élaboration des rapportsde la responsabilité sociale des entreprises, ces dernières sont appelées à se référer aux sept principes fondamentaux afin d’encadrer leurs pratiques et d’assurer la cohérence de leurs engagements.</w:t>
      </w:r>
    </w:p>
    <w:p w14:paraId="5D23EDBB"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transparence :</w:t>
      </w:r>
    </w:p>
    <w:p w14:paraId="46641266"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Le principe de transparence en matière de RSE se traduit principalement par la publication d’un rapport extra-financier, à travers lequel l’entreprise communique de manière claire, sincère et accessible sur ses décisions, ses actions ainsi que ses impacts économiques, sociaux et environnementaux.Cette démarche vise à permettre à l’ensemble des parties prenantes qu’il s’agisse des clients, des partenaires, des investisseurs ou encore du grand public et d’avoir une vision globale et compréhensible des pratiques de l’entreprise. En adoptant une telle approche, l’entreprise renforce la confiance avec son environnement, car elle offre la possibilité à chacun d’évaluer ses engagements et ses performances. Par exemple, dans le cadre des dons à des associations via certaines plateformes, la transparence se manifeste par une information détaillée sur l’utilisation des fonds, les démarches entreprises ainsi que les éventuels avantages associés, ce qui permet aux contributeurs de suivre concrètement l’impact de leur participation.</w:t>
      </w:r>
    </w:p>
    <w:p w14:paraId="0822A960"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Toutefois, cette obligation de transparence ne signifie pas une divulgation totale de toutes les informations de l’entreprise. Elle concerne essentiellement les données relatives aux trois dimensions de la responsabilité sociale des entreprises et doit respecter certaines limites. En effet, les informations stratégiques ou confidentielles ne sont pas destinées à être rendues publiques. L’entreprise doit ainsi trouver un équilibre entre la diffusion d’informations pertinentes et la protection de ses intérêts, afin de garantir à la fois la crédibilité de sa communication et la sécurité de ses données.</w:t>
      </w:r>
    </w:p>
    <w:p w14:paraId="34C884F1"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redevabilité :</w:t>
      </w:r>
    </w:p>
    <w:p w14:paraId="0BA0ECD1"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L’un des principes fondamentaux de la RSE consiste à replacer la responsabilité de l’entreprise au cœur de ses activités. Dans cette logique, l’entreprise ne se limite pas à informer, mais elle doit également rendre des comptes à la société concernant les impacts de ses actions sur les plans économique, social et environnemental. Elle est ainsi tenue d’assumer les conséquences de ses décisions et de justifier ses pratiques auprès de ses parties prenantes. Selon </w:t>
      </w:r>
      <w:r w:rsidRPr="00E2052F">
        <w:rPr>
          <w:rStyle w:val="whitespace-normal"/>
          <w:rFonts w:asciiTheme="majorBidi" w:hAnsiTheme="majorBidi" w:cstheme="majorBidi"/>
          <w:sz w:val="22"/>
          <w:szCs w:val="22"/>
        </w:rPr>
        <w:t>Michael Power</w:t>
      </w:r>
      <w:r w:rsidRPr="00E2052F">
        <w:rPr>
          <w:rFonts w:asciiTheme="majorBidi" w:hAnsiTheme="majorBidi" w:cstheme="majorBidi"/>
          <w:sz w:val="22"/>
          <w:szCs w:val="22"/>
        </w:rPr>
        <w:t xml:space="preserve">, « la redevabilité implique que les organisations doivent être en mesure de justifier et de démontrer la légitimité de leurs actions auprès de la société </w:t>
      </w:r>
      <w:r w:rsidRPr="00E2052F">
        <w:rPr>
          <w:rStyle w:val="Appelnotedebasdep"/>
          <w:rFonts w:asciiTheme="majorBidi" w:hAnsiTheme="majorBidi" w:cstheme="majorBidi"/>
          <w:sz w:val="22"/>
          <w:szCs w:val="22"/>
        </w:rPr>
        <w:footnoteReference w:id="214"/>
      </w:r>
      <w:r w:rsidRPr="00E2052F">
        <w:rPr>
          <w:rFonts w:asciiTheme="majorBidi" w:hAnsiTheme="majorBidi" w:cstheme="majorBidi"/>
          <w:sz w:val="22"/>
          <w:szCs w:val="22"/>
        </w:rPr>
        <w:t>».</w:t>
      </w:r>
    </w:p>
    <w:p w14:paraId="37A9CA8B"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notion de responsabilité va au-delà de la simple transparence. La transparence, à elle seule, ne garantit pas un comportement responsable. Au contraire, la responsabilité implique un engagement plus profond, fondé sur le devoir de justifier ses actions et d'en corriger les effets négatifs.La société attend certains comportements de la part des entrepriseset ils doivent être en concordance avec les valeurs de la société et le bien commun.La redevabilité introduit l’idée d’une véritable obligation morale de l’entreprise envers la société. Elle suppose que l’organisation reconnaisse sa « dette » vis-à-vis de son </w:t>
      </w:r>
      <w:r w:rsidRPr="00E2052F">
        <w:rPr>
          <w:rFonts w:asciiTheme="majorBidi" w:hAnsiTheme="majorBidi" w:cstheme="majorBidi"/>
          <w:sz w:val="22"/>
          <w:szCs w:val="22"/>
        </w:rPr>
        <w:lastRenderedPageBreak/>
        <w:t>environnement et qu’elle mette en œuvre les moyens nécessaires pour en limiter les impacts négatifs et contribuer positivement au développement durable.</w:t>
      </w:r>
    </w:p>
    <w:p w14:paraId="07CC0E51"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 comportement éthique :</w:t>
      </w:r>
    </w:p>
    <w:p w14:paraId="3A4DE868"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 comportement éthique constitue un principe central de la responsabilité sociale des entreprises, fondé sur l’honnêteté, l’intégrité et la responsabilité dans les pratiques de l’entreprise. Il reflète la manière dont l’organisation agit au quotidien, en veillant à adopter des conduites conformes aux valeurs morales et aux attentes de la société, à tous les niveaux de son activité.Selon </w:t>
      </w:r>
      <w:r w:rsidRPr="00E2052F">
        <w:rPr>
          <w:rStyle w:val="whitespace-normal"/>
          <w:rFonts w:asciiTheme="majorBidi" w:hAnsiTheme="majorBidi" w:cstheme="majorBidi"/>
          <w:sz w:val="22"/>
          <w:szCs w:val="22"/>
        </w:rPr>
        <w:t>Norman E. Bowie</w:t>
      </w:r>
      <w:r w:rsidRPr="00E2052F">
        <w:rPr>
          <w:rFonts w:asciiTheme="majorBidi" w:hAnsiTheme="majorBidi" w:cstheme="majorBidi"/>
          <w:sz w:val="22"/>
          <w:szCs w:val="22"/>
        </w:rPr>
        <w:t xml:space="preserve">, « une organisation éthique est celle qui intègre des principes moraux dans ses processus de décision et respecte les droits des individus </w:t>
      </w:r>
      <w:r w:rsidRPr="00E2052F">
        <w:rPr>
          <w:rStyle w:val="Appelnotedebasdep"/>
          <w:rFonts w:asciiTheme="majorBidi" w:hAnsiTheme="majorBidi" w:cstheme="majorBidi"/>
          <w:sz w:val="22"/>
          <w:szCs w:val="22"/>
        </w:rPr>
        <w:footnoteReference w:id="215"/>
      </w:r>
      <w:r w:rsidRPr="00E2052F">
        <w:rPr>
          <w:rFonts w:asciiTheme="majorBidi" w:hAnsiTheme="majorBidi" w:cstheme="majorBidi"/>
          <w:sz w:val="22"/>
          <w:szCs w:val="22"/>
        </w:rPr>
        <w:t>».</w:t>
      </w:r>
    </w:p>
    <w:p w14:paraId="59D9B359"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Sur le plan environnemental, le comportement éthique se manifeste par des actions visant à réduire l’impact écologique de l’entreprise, comme le soutien à des initiatives locales ou la limitation des déplacements professionnels, notamment en privilégiant des alternatives moins polluantes que le transport aérien. Au niveau communautaire, cela se traduit par des pratiques solidaires et responsables, telles que le don de marchandises invendues à des associations caritatives. Ce type d'engagement contribue directement au bien-être social et participe au développement local, en particulier lorsque ces actions profitent aux communautés locales.Enfin, d'un point de vue économique, le comportement éthique se reflète dans des pratiques de gestion responsables qui visent à garantir la performance durable de l'entreprise dans ses choix économiques, à rechercher une rentabilité équilibrée et à respecter les principes de la concurrence loyale. Ainsi, le comportement éthique englobe toutes les pratiques d'une entreprise et vise à assurer la cohérence entre ses actions, ses valeurs et les principes du développement durable.</w:t>
      </w:r>
    </w:p>
    <w:p w14:paraId="0FC247CF"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Finalement, les entreprises disposent d’une multitude de moyens pour adopter un comportement éthique et respecter ce principe RSE.</w:t>
      </w:r>
    </w:p>
    <w:p w14:paraId="2B4987F3"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Les intérêts des parties prenantes :</w:t>
      </w:r>
    </w:p>
    <w:p w14:paraId="3EF12E26"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prise en compte des intérêts des parties prenantes suppose, dans un premier temps, d’identifier l’ensemble des acteurs concernés par l’activité de l’entreprise de manière générale. Selon la nature de l’activité, d’autres acteurs peuvent également être considérés comme parties prenantes. Dans un second temps, l’entreprise doit analyser les attentes et les intérêts de chacun de ces groupes afin de les intégrer dans sa réflexion stratégique. Cela implique de comprendre leurs besoins, leurs préoccupations et leurs exigences, puis d’en tenir compte dans la gestion des activités. Dans une démarche de responsabilité sociale des entreprises avancée, ces intérêts ne sont pas simplement observés, mais intégrés, autant que possible, dans le processus de prise de décision. L’objectif est de rechercher un équilibre entre les </w:t>
      </w:r>
      <w:r w:rsidRPr="00E2052F">
        <w:rPr>
          <w:rFonts w:asciiTheme="majorBidi" w:hAnsiTheme="majorBidi" w:cstheme="majorBidi"/>
          <w:sz w:val="22"/>
          <w:szCs w:val="22"/>
        </w:rPr>
        <w:lastRenderedPageBreak/>
        <w:t>différentes attentes des parties prenantes, afin de favoriser une gestion plus responsable, inclusive et durable de l’entreprise.</w:t>
      </w:r>
    </w:p>
    <w:p w14:paraId="45843C79" w14:textId="77777777" w:rsidR="007C5DB8" w:rsidRPr="00E2052F" w:rsidRDefault="007F0056"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w:t>
      </w:r>
      <w:r w:rsidR="007C5DB8" w:rsidRPr="00E2052F">
        <w:rPr>
          <w:rFonts w:asciiTheme="majorBidi" w:hAnsiTheme="majorBidi" w:cstheme="majorBidi"/>
          <w:b/>
          <w:bCs/>
          <w:sz w:val="22"/>
          <w:szCs w:val="22"/>
        </w:rPr>
        <w:t>égalité :</w:t>
      </w:r>
    </w:p>
    <w:p w14:paraId="7D10D189"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 principe de légalité repose sur l’idée fondamentale selon laquelle aucune organisation n’est au-dessus de la loi,comme dit </w:t>
      </w:r>
      <w:r w:rsidRPr="00E2052F">
        <w:rPr>
          <w:rStyle w:val="whitespace-normal"/>
          <w:rFonts w:asciiTheme="majorBidi" w:hAnsiTheme="majorBidi" w:cstheme="majorBidi"/>
          <w:sz w:val="22"/>
          <w:szCs w:val="22"/>
        </w:rPr>
        <w:t>Jean Rivero</w:t>
      </w:r>
      <w:r w:rsidRPr="00E2052F">
        <w:rPr>
          <w:rFonts w:asciiTheme="majorBidi" w:hAnsiTheme="majorBidi" w:cstheme="majorBidi"/>
          <w:sz w:val="22"/>
          <w:szCs w:val="22"/>
        </w:rPr>
        <w:t xml:space="preserve"> « Nul n’est censé ignorer la loi, et toute organisation est tenue de se conformer aux règles juridiques en vigueur dans l’exercice de ses activités</w:t>
      </w:r>
      <w:r w:rsidRPr="00E2052F">
        <w:rPr>
          <w:rStyle w:val="Appelnotedebasdep"/>
          <w:rFonts w:asciiTheme="majorBidi" w:hAnsiTheme="majorBidi" w:cstheme="majorBidi"/>
          <w:sz w:val="22"/>
          <w:szCs w:val="22"/>
        </w:rPr>
        <w:footnoteReference w:id="216"/>
      </w:r>
      <w:r w:rsidRPr="00E2052F">
        <w:rPr>
          <w:rFonts w:asciiTheme="majorBidi" w:hAnsiTheme="majorBidi" w:cstheme="majorBidi"/>
          <w:sz w:val="22"/>
          <w:szCs w:val="22"/>
        </w:rPr>
        <w:t xml:space="preserve"> ». Ainsi, l’entreprise est tenue de respecter l’ensemble des dispositions juridiques en vigueur et de mettre en place les mécanismes nécessaires pour assurer sa conformité. Cela implique notamment la réalisation d’une veille juridique régulière afin d’anticiper et d’intégrer les nouvelles réglementations dans ses pratiques.</w:t>
      </w:r>
    </w:p>
    <w:p w14:paraId="09435DF9"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b/>
          <w:bCs/>
          <w:sz w:val="22"/>
          <w:szCs w:val="22"/>
        </w:rPr>
        <w:t>Le respect des normes internationales de comportement :</w:t>
      </w:r>
    </w:p>
    <w:p w14:paraId="7878CDD4"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Ce principe de la RSE intervient principalement lorsqu’il existe une absence ou une insuffisance de cadre juridique clair. Dans ce cas, les entreprises peuvent s’appuyer sur des normes et recommandations internationales afin d’orienter leurs pratiques et de garantir un comportement responsable. Ces références permettent de combler les incertitudes et de guider les décisions organisationnelles.Ces normes internationales constituent ainsi un cadre de référence complémentaire, permettant aux entreprises d’adopter des comportements cohérents avec les standards mondiaux en matière de responsabilité sociétale.</w:t>
      </w:r>
    </w:p>
    <w:p w14:paraId="4D7D3CF2"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Les droits de l’homme :</w:t>
      </w:r>
    </w:p>
    <w:p w14:paraId="5897DE5D"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respect des droits de l’Homme constitue un principe fondamental de la RSE, qui impose aux entreprises d’intégrer les exigences liées à la dignité humaine dans l’ensemble de leurs activités et de leur chaîne de valeur. Il se traduit par des actions concrètes visant à garantir l’égalité professionnelle, notamment la réduction des écarts de rémunération entre les hommes et les femmes, la prévention de toute forme de travail des enfants, y compris chez les fournisseurs et sous-traitants, ainsi que la promotion de l’inclusion par l’intégration des personnes en situation de handicap et le soutien à l’insertion professionnelle. Au-delà de son caractère ce principe représente également un le vier de performance globale, dans la mesure où il contribue à renforcer la réputation de l’entreprise, à améliorer la confiance et à soutenir sa compétitivité sur le long terme.</w:t>
      </w:r>
    </w:p>
    <w:p w14:paraId="553A7671"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L’application des principes de la RSE ne doit pas être perçue comme une contrainte par les entreprises, mais au contraire, un moyen de s’améliorer continuellement.</w:t>
      </w:r>
    </w:p>
    <w:p w14:paraId="3EDEB307" w14:textId="77777777" w:rsidR="007C5DB8" w:rsidRPr="00E2052F" w:rsidRDefault="007C5DB8" w:rsidP="00F36332">
      <w:pPr>
        <w:pStyle w:val="Titre3"/>
        <w:numPr>
          <w:ilvl w:val="1"/>
          <w:numId w:val="178"/>
        </w:numPr>
        <w:spacing w:before="0" w:beforeAutospacing="0" w:after="160"/>
        <w:ind w:left="0" w:firstLine="284"/>
        <w:jc w:val="left"/>
        <w:rPr>
          <w:rFonts w:asciiTheme="majorBidi" w:hAnsiTheme="majorBidi"/>
          <w:color w:val="auto"/>
          <w:sz w:val="22"/>
        </w:rPr>
      </w:pPr>
      <w:bookmarkStart w:id="950" w:name="_Toc231746902"/>
      <w:bookmarkStart w:id="951" w:name="_Toc231752309"/>
      <w:bookmarkStart w:id="952" w:name="_Toc231810612"/>
      <w:bookmarkStart w:id="953" w:name="_Toc231811955"/>
      <w:bookmarkStart w:id="954" w:name="_Toc231812235"/>
      <w:bookmarkStart w:id="955" w:name="_Toc231815119"/>
      <w:r w:rsidRPr="00E2052F">
        <w:rPr>
          <w:rFonts w:asciiTheme="majorBidi" w:hAnsiTheme="majorBidi"/>
          <w:color w:val="auto"/>
          <w:sz w:val="22"/>
        </w:rPr>
        <w:lastRenderedPageBreak/>
        <w:t>Les leviers de la performance de la responsabilité sociale des entreprises</w:t>
      </w:r>
      <w:r w:rsidRPr="00E2052F">
        <w:rPr>
          <w:rStyle w:val="Appelnotedebasdep"/>
          <w:rFonts w:asciiTheme="majorBidi" w:hAnsiTheme="majorBidi"/>
          <w:b w:val="0"/>
          <w:bCs w:val="0"/>
          <w:color w:val="auto"/>
          <w:sz w:val="22"/>
        </w:rPr>
        <w:footnoteReference w:id="217"/>
      </w:r>
      <w:r w:rsidRPr="00E2052F">
        <w:rPr>
          <w:rFonts w:asciiTheme="majorBidi" w:hAnsiTheme="majorBidi"/>
          <w:color w:val="auto"/>
          <w:sz w:val="22"/>
        </w:rPr>
        <w:t> :</w:t>
      </w:r>
      <w:bookmarkEnd w:id="950"/>
      <w:bookmarkEnd w:id="951"/>
      <w:bookmarkEnd w:id="952"/>
      <w:bookmarkEnd w:id="953"/>
      <w:bookmarkEnd w:id="954"/>
      <w:bookmarkEnd w:id="955"/>
    </w:p>
    <w:p w14:paraId="0086F58E" w14:textId="77777777" w:rsidR="007C5DB8" w:rsidRPr="00E2052F" w:rsidRDefault="007C5DB8" w:rsidP="00F36332">
      <w:pPr>
        <w:pStyle w:val="NormalWeb"/>
        <w:numPr>
          <w:ilvl w:val="0"/>
          <w:numId w:val="175"/>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La localisation :</w:t>
      </w:r>
    </w:p>
    <w:p w14:paraId="5486EC2D"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lang w:bidi="ar-DZ"/>
        </w:rPr>
        <w:t>La localisation d’une entreprise constitue un levier important de sa performance en matière de responsabilité sociétale des entreprises. Elle influence cette performance principalement à travers le cadre institutionnel et réglementaire dans lequel l’organisation évolue. En effet, les entreprises implantées dans des pays où la législation est plus stricte en matière sociale et environnementale tendent généralement à adopter des pratiques RSE plus avancées. L’expérience des groupes internationaux montre ainsi que même de légères différences géographiques peuvent avoir un impact significatif sur l’intégration de la RSE dans les stratégies d’entreprise.</w:t>
      </w:r>
      <w:r w:rsidRPr="00E2052F">
        <w:rPr>
          <w:rFonts w:asciiTheme="majorBidi" w:hAnsiTheme="majorBidi" w:cstheme="majorBidi"/>
          <w:sz w:val="22"/>
          <w:szCs w:val="22"/>
        </w:rPr>
        <w:t xml:space="preserve"> Un article publié sur le site The Conversation le confirme : « Les études indiquent que la performance RSE dépend fortement du cadre institutionnel et de la réglementation gouvernementale. Des lois plus strictes dans ce domaine encouragent l'intégration de la RSE dans la stratégie d'entreprise.»</w:t>
      </w:r>
    </w:p>
    <w:p w14:paraId="571F5EE7" w14:textId="77777777" w:rsidR="007C5DB8" w:rsidRPr="002720C6" w:rsidRDefault="007C5DB8" w:rsidP="00F36332">
      <w:pPr>
        <w:pStyle w:val="Paragraphedeliste"/>
        <w:numPr>
          <w:ilvl w:val="0"/>
          <w:numId w:val="175"/>
        </w:numPr>
        <w:rPr>
          <w:rStyle w:val="c-contentprimarycolor"/>
          <w:b/>
          <w:bCs/>
          <w:sz w:val="22"/>
          <w:szCs w:val="20"/>
          <w:bdr w:val="none" w:sz="0" w:space="0" w:color="auto" w:frame="1"/>
        </w:rPr>
      </w:pPr>
      <w:bookmarkStart w:id="956" w:name="_Toc231746903"/>
      <w:bookmarkStart w:id="957" w:name="_Toc231752310"/>
      <w:bookmarkStart w:id="958" w:name="_Toc231810613"/>
      <w:bookmarkStart w:id="959" w:name="_Toc231811956"/>
      <w:r w:rsidRPr="002720C6">
        <w:rPr>
          <w:rStyle w:val="c-contentprimarycolor"/>
          <w:b/>
          <w:bCs/>
          <w:sz w:val="22"/>
          <w:szCs w:val="20"/>
          <w:bdr w:val="none" w:sz="0" w:space="0" w:color="auto" w:frame="1"/>
        </w:rPr>
        <w:t>La conviction du ou des dirigeants :</w:t>
      </w:r>
      <w:bookmarkEnd w:id="956"/>
      <w:bookmarkEnd w:id="957"/>
      <w:bookmarkEnd w:id="958"/>
      <w:bookmarkEnd w:id="959"/>
    </w:p>
    <w:p w14:paraId="6988A014" w14:textId="77777777" w:rsidR="007C5DB8" w:rsidRPr="00E2052F" w:rsidRDefault="007C5DB8" w:rsidP="003D28B1">
      <w:pPr>
        <w:spacing w:before="0" w:beforeAutospacing="0"/>
        <w:rPr>
          <w:rFonts w:cstheme="majorBidi"/>
          <w:sz w:val="22"/>
        </w:rPr>
      </w:pPr>
      <w:r w:rsidRPr="00E2052F">
        <w:rPr>
          <w:rFonts w:cstheme="majorBidi"/>
          <w:sz w:val="22"/>
        </w:rPr>
        <w:t>La conviction influence directement la place accordée à ces enjeux dans la stratégie de l’entreprise. La RSE étant intégrée au niveau de la direction générale, l’engagement des dirigeants joue un rôle essentiel dans son développement et sa mise en œuvre. Toutefois, ce n’est pas uniquement le degré d’adhésion idéologique des dirigeants qui détermine les progrès réalisés, mais plutôt leur capacité à allouer des ressources, à fixer des exigences claires et à maintenir une dynamique continue au sein de l’organisation.</w:t>
      </w:r>
    </w:p>
    <w:p w14:paraId="39720924" w14:textId="77777777" w:rsidR="007C5DB8" w:rsidRPr="002720C6" w:rsidRDefault="007C5DB8" w:rsidP="00F36332">
      <w:pPr>
        <w:pStyle w:val="Paragraphedeliste"/>
        <w:numPr>
          <w:ilvl w:val="0"/>
          <w:numId w:val="175"/>
        </w:numPr>
        <w:rPr>
          <w:rStyle w:val="lev"/>
          <w:sz w:val="22"/>
          <w:szCs w:val="20"/>
          <w:bdr w:val="none" w:sz="0" w:space="0" w:color="auto" w:frame="1"/>
        </w:rPr>
      </w:pPr>
      <w:bookmarkStart w:id="960" w:name="_Toc231746904"/>
      <w:bookmarkStart w:id="961" w:name="_Toc231752311"/>
      <w:bookmarkStart w:id="962" w:name="_Toc231810614"/>
      <w:bookmarkStart w:id="963" w:name="_Toc231811957"/>
      <w:r w:rsidRPr="002720C6">
        <w:rPr>
          <w:rStyle w:val="lev"/>
          <w:sz w:val="22"/>
          <w:szCs w:val="20"/>
          <w:bdr w:val="none" w:sz="0" w:space="0" w:color="auto" w:frame="1"/>
        </w:rPr>
        <w:t>L'implication de l'ensemble des collaborateurs :</w:t>
      </w:r>
      <w:bookmarkEnd w:id="960"/>
      <w:bookmarkEnd w:id="961"/>
      <w:bookmarkEnd w:id="962"/>
      <w:bookmarkEnd w:id="963"/>
    </w:p>
    <w:p w14:paraId="66D576CD" w14:textId="77777777" w:rsidR="007C5DB8" w:rsidRPr="00E2052F" w:rsidRDefault="007C5DB8" w:rsidP="003D28B1">
      <w:pPr>
        <w:pStyle w:val="NormalWeb"/>
        <w:spacing w:before="0" w:beforeAutospacing="0" w:line="360" w:lineRule="auto"/>
        <w:rPr>
          <w:rFonts w:asciiTheme="majorBidi" w:hAnsiTheme="majorBidi" w:cstheme="majorBidi"/>
          <w:sz w:val="22"/>
          <w:szCs w:val="22"/>
          <w:rtl/>
        </w:rPr>
      </w:pPr>
      <w:r w:rsidRPr="00E2052F">
        <w:rPr>
          <w:rFonts w:asciiTheme="majorBidi" w:hAnsiTheme="majorBidi" w:cstheme="majorBidi"/>
          <w:sz w:val="22"/>
          <w:szCs w:val="22"/>
          <w:lang w:bidi="ar-DZ"/>
        </w:rPr>
        <w:t>L’implication des collaborateurs constitue un levier déterminant de la performance RSE, dans la mesure où cette démarche repose sur une dynamique collective intégrée aux activités de l’entreprise. Elle ne nécessite pas une maîtrise théorique exhaustive de la RSE par l’ensemble des salariés, mais plutôt une compréhension globale des enjeux et leur traduction concrète dans les pratiques métiers.</w:t>
      </w:r>
      <w:r w:rsidRPr="00E2052F">
        <w:rPr>
          <w:rFonts w:asciiTheme="majorBidi" w:hAnsiTheme="majorBidi" w:cstheme="majorBidi"/>
          <w:sz w:val="22"/>
          <w:szCs w:val="22"/>
        </w:rPr>
        <w:t>Le rôle du management est central dans ce processus, en assurant la déclinaison opérationnelle de la stratégie RSE et en favorisant l’engagement des équipes au quotidien. Par ailleurs, des dispositifs tels que les réseaux d’ambassadeurs peuvent soutenir la diffusion des initiatives, à condition de rester complémentaires et de ne pas marginaliser la RSE. Ainsi, une implication efficace des collaborateurs repose sur l’intégration de la RSE dans les fonctions opérationnelles, soutenue par une communication adaptée et un pilotage managérial structuré.</w:t>
      </w:r>
    </w:p>
    <w:p w14:paraId="263B96AD"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lang w:bidi="ar-DZ"/>
        </w:rPr>
      </w:pPr>
      <w:r w:rsidRPr="00E2052F">
        <w:rPr>
          <w:rFonts w:asciiTheme="majorBidi" w:hAnsiTheme="majorBidi" w:cstheme="majorBidi"/>
          <w:b/>
          <w:bCs/>
          <w:sz w:val="22"/>
          <w:szCs w:val="22"/>
          <w:lang w:bidi="ar-DZ"/>
        </w:rPr>
        <w:lastRenderedPageBreak/>
        <w:t>Les parties prenantes clés :</w:t>
      </w:r>
    </w:p>
    <w:p w14:paraId="57103C85"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b/>
          <w:bCs/>
          <w:sz w:val="22"/>
          <w:szCs w:val="22"/>
          <w:lang w:bidi="ar-DZ"/>
        </w:rPr>
      </w:pPr>
      <w:r w:rsidRPr="00E2052F">
        <w:rPr>
          <w:rFonts w:asciiTheme="majorBidi" w:hAnsiTheme="majorBidi" w:cstheme="majorBidi"/>
          <w:sz w:val="22"/>
          <w:szCs w:val="22"/>
        </w:rPr>
        <w:t>Les parties prenantes clés constituent un levier central de la performance en matière de la responsabilité sociale des entreprises. Leurs exigences croissantes incitent les entreprises à intégrer davantage les déférents enjeux dans leurs stratégies, notamment dans une logique de gestion des risques. Ainsi, la prise en compte et l’anticipation de leurs attentes contribuent à améliorer la performance RSE, tout en renforçant l’innovation et la compétitivité de l’entrepris.</w:t>
      </w:r>
    </w:p>
    <w:p w14:paraId="24EE93B5"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Un pilotage rigoureux de ces 4 leviers favorise une meilleure intégration de la responsabilité sociale des entreprises dans la stratégie globale et contribue à l’optimisation des performances. Leur articulation permet de structurer une approche intégrée, adaptée au contexte de l’entreprise et orientée vers l’amélioration continue. Il s’agit ainsi d’un véritable instrument de gouvernance, renforçant la compétitivité de l’entreprise et sa capacité d’adaptation face aux évolutions de son environnement.</w:t>
      </w:r>
    </w:p>
    <w:p w14:paraId="6FA554FA" w14:textId="77777777" w:rsidR="007C5DB8" w:rsidRPr="00E2052F" w:rsidRDefault="007C5DB8" w:rsidP="00F36332">
      <w:pPr>
        <w:pStyle w:val="Titre2"/>
        <w:numPr>
          <w:ilvl w:val="0"/>
          <w:numId w:val="178"/>
        </w:numPr>
      </w:pPr>
      <w:bookmarkStart w:id="964" w:name="_Toc231746905"/>
      <w:bookmarkStart w:id="965" w:name="_Toc231752312"/>
      <w:bookmarkStart w:id="966" w:name="_Toc231810615"/>
      <w:bookmarkStart w:id="967" w:name="_Toc231811958"/>
      <w:bookmarkStart w:id="968" w:name="_Toc231812236"/>
      <w:bookmarkStart w:id="969" w:name="_Toc231815120"/>
      <w:r w:rsidRPr="00E2052F">
        <w:t>Repères essentiels sur la responsabilité sociale des entreprises :</w:t>
      </w:r>
      <w:bookmarkEnd w:id="964"/>
      <w:bookmarkEnd w:id="965"/>
      <w:bookmarkEnd w:id="966"/>
      <w:bookmarkEnd w:id="967"/>
      <w:bookmarkEnd w:id="968"/>
      <w:bookmarkEnd w:id="969"/>
    </w:p>
    <w:p w14:paraId="34B9ECF0" w14:textId="77777777" w:rsidR="007C5DB8" w:rsidRPr="00E2052F" w:rsidRDefault="007C5DB8" w:rsidP="00F36332">
      <w:pPr>
        <w:pStyle w:val="NormalWeb"/>
        <w:numPr>
          <w:ilvl w:val="1"/>
          <w:numId w:val="179"/>
        </w:numPr>
        <w:tabs>
          <w:tab w:val="left" w:pos="1185"/>
        </w:tabs>
        <w:spacing w:before="0" w:beforeAutospacing="0" w:line="360" w:lineRule="auto"/>
        <w:rPr>
          <w:rFonts w:asciiTheme="majorBidi" w:hAnsiTheme="majorBidi" w:cstheme="majorBidi"/>
          <w:b/>
          <w:bCs/>
          <w:sz w:val="22"/>
          <w:szCs w:val="22"/>
        </w:rPr>
      </w:pPr>
      <w:bookmarkStart w:id="970" w:name="_Toc231746906"/>
      <w:bookmarkStart w:id="971" w:name="_Toc231752313"/>
      <w:bookmarkStart w:id="972" w:name="_Toc231810616"/>
      <w:bookmarkStart w:id="973" w:name="_Toc231811959"/>
      <w:bookmarkStart w:id="974" w:name="_Toc231812237"/>
      <w:bookmarkStart w:id="975" w:name="_Toc231815121"/>
      <w:r w:rsidRPr="00E2052F">
        <w:rPr>
          <w:rStyle w:val="Titre3Car"/>
          <w:rFonts w:asciiTheme="majorBidi" w:hAnsiTheme="majorBidi"/>
          <w:color w:val="auto"/>
          <w:sz w:val="22"/>
          <w:szCs w:val="22"/>
        </w:rPr>
        <w:t>Les caractéristiques de la responsabilité sociale des entreprises</w:t>
      </w:r>
      <w:bookmarkEnd w:id="970"/>
      <w:bookmarkEnd w:id="971"/>
      <w:bookmarkEnd w:id="972"/>
      <w:bookmarkEnd w:id="973"/>
      <w:bookmarkEnd w:id="974"/>
      <w:bookmarkEnd w:id="975"/>
      <w:r w:rsidRPr="00E2052F">
        <w:rPr>
          <w:rStyle w:val="Appelnotedebasdep"/>
          <w:rFonts w:asciiTheme="majorBidi" w:hAnsiTheme="majorBidi" w:cstheme="majorBidi"/>
          <w:b/>
          <w:bCs/>
          <w:sz w:val="22"/>
          <w:szCs w:val="22"/>
        </w:rPr>
        <w:footnoteReference w:id="218"/>
      </w:r>
      <w:r w:rsidRPr="00E2052F">
        <w:rPr>
          <w:rFonts w:asciiTheme="majorBidi" w:hAnsiTheme="majorBidi" w:cstheme="majorBidi"/>
          <w:b/>
          <w:bCs/>
          <w:sz w:val="22"/>
          <w:szCs w:val="22"/>
        </w:rPr>
        <w:t> :</w:t>
      </w:r>
    </w:p>
    <w:p w14:paraId="5BC37F3D"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De ce qui précède, il apparaît que le concept de RSE met en exergue un certain nombre de caractéristiques ci-après :</w:t>
      </w:r>
    </w:p>
    <w:p w14:paraId="75F52F02"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La RSE couvre non seulement les aspects sociaux, mais également les aspects environnementaux, ce qui explique la préférence pour l’adjectif « sociétale » par rapport à celui de « sociale » comme nous venons de le dire.</w:t>
      </w:r>
    </w:p>
    <w:p w14:paraId="5A19567D"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La RSE est un concept volontaire : c’est une obligation que l’entreprise s’impose à elle-même sans contrainte extérieure, surtout pas de la loi.</w:t>
      </w:r>
    </w:p>
    <w:p w14:paraId="1917CF81"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La RSE implique une interaction entre l’entreprise et toutes les parties prenantes sans exception, internes comme externes, primaires comme secondaires, fortes comme faibles.</w:t>
      </w:r>
    </w:p>
    <w:p w14:paraId="41805663"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Le concept de RSE implique qu’il faut intégrer les préoccupations sociales et environnementales dans les stratégies et les opérations de l’entreprise, comme on le fait déjà avec les aspects économiques. Il implique donc la nécessité, pour l’entreprise, de redéfinir sa stratégie pour y intégrer les impératifs sociaux et environnementaux en vue de satisfaire les attentes de toutes les parties prenantes à travers une bonne analyse SWOT.</w:t>
      </w:r>
    </w:p>
    <w:p w14:paraId="737EFB96"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 xml:space="preserve">Le concept de la RSE repose sur l’idée qu’il faut faire confiance aux dirigeants d’entreprise pour atteindre, de leur propre initiative, les objectifs sociétaux, considérés comme une mission noble. Il </w:t>
      </w:r>
      <w:r w:rsidRPr="00E2052F">
        <w:rPr>
          <w:rFonts w:asciiTheme="majorBidi" w:hAnsiTheme="majorBidi" w:cstheme="majorBidi"/>
          <w:sz w:val="22"/>
          <w:szCs w:val="22"/>
        </w:rPr>
        <w:lastRenderedPageBreak/>
        <w:t>suppose qu’il n’est pas nécessaire de démocratiser les entreprises, de leur imposer des obligations légales ou de les nationaliser. Ce concept est donc fondé sur la confiance dans la bonne volonté et le sens social des managers, en postulant un équilibre naturel entre les objectifs économiques et sociétaux, et en laissant le pouvoir entre leurs mains.</w:t>
      </w:r>
    </w:p>
    <w:p w14:paraId="6986B1B6" w14:textId="77777777" w:rsidR="007C5DB8" w:rsidRPr="00E2052F" w:rsidRDefault="007C5DB8" w:rsidP="00F36332">
      <w:pPr>
        <w:pStyle w:val="NormalWeb"/>
        <w:numPr>
          <w:ilvl w:val="0"/>
          <w:numId w:val="149"/>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Le corollaire de la confiance accordée aux managers réside dans leur sens éthique. En effet, leurs décisions stratégiques ont toujours des impacts sociétaux, ce qui implique une responsabilité envers les parties prenantes. Disposant d’un pouvoir discrétionnaire, leurs choix peuvent être influencés par leurs valeurs éthiques et produire des effets positifs ou négatifs. Ainsi, la RSE devient essentielle :</w:t>
      </w:r>
    </w:p>
    <w:p w14:paraId="6F5C75A5" w14:textId="77777777" w:rsidR="007C5DB8" w:rsidRPr="00E2052F" w:rsidRDefault="007C5DB8" w:rsidP="00F36332">
      <w:pPr>
        <w:pStyle w:val="Paragraphedeliste"/>
        <w:numPr>
          <w:ilvl w:val="0"/>
          <w:numId w:val="156"/>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Lorsque les décisions entraînent de lourdes conséquences sociales (comme les suppressions d’emplois) ; </w:t>
      </w:r>
    </w:p>
    <w:p w14:paraId="491A35AC" w14:textId="77777777" w:rsidR="007C5DB8" w:rsidRPr="00E2052F" w:rsidRDefault="007C5DB8" w:rsidP="00F36332">
      <w:pPr>
        <w:pStyle w:val="Paragraphedeliste"/>
        <w:numPr>
          <w:ilvl w:val="0"/>
          <w:numId w:val="156"/>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Lorsque les lois et réglementations sont insuffisantes ou inexistantes ; </w:t>
      </w:r>
    </w:p>
    <w:p w14:paraId="0D89F5B5" w14:textId="77777777" w:rsidR="007C5DB8" w:rsidRPr="00E2052F" w:rsidRDefault="007C5DB8" w:rsidP="00F36332">
      <w:pPr>
        <w:pStyle w:val="Paragraphedeliste"/>
        <w:numPr>
          <w:ilvl w:val="0"/>
          <w:numId w:val="156"/>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Lorsque les managers disposent d’une information supérieure à celle des parties prenantes (asymétrie d’information).</w:t>
      </w:r>
    </w:p>
    <w:p w14:paraId="00A3DBA7" w14:textId="77777777" w:rsidR="007C5DB8" w:rsidRPr="00E2052F" w:rsidRDefault="007C5DB8" w:rsidP="00F36332">
      <w:pPr>
        <w:pStyle w:val="Titre3"/>
        <w:numPr>
          <w:ilvl w:val="1"/>
          <w:numId w:val="179"/>
        </w:numPr>
        <w:spacing w:before="0" w:beforeAutospacing="0" w:after="160"/>
        <w:ind w:left="0" w:firstLine="284"/>
        <w:jc w:val="left"/>
        <w:rPr>
          <w:rFonts w:asciiTheme="majorBidi" w:hAnsiTheme="majorBidi"/>
          <w:color w:val="auto"/>
          <w:sz w:val="22"/>
        </w:rPr>
      </w:pPr>
      <w:bookmarkStart w:id="976" w:name="_Toc231746907"/>
      <w:bookmarkStart w:id="977" w:name="_Toc231752314"/>
      <w:bookmarkStart w:id="978" w:name="_Toc231810617"/>
      <w:bookmarkStart w:id="979" w:name="_Toc231811960"/>
      <w:bookmarkStart w:id="980" w:name="_Toc231812238"/>
      <w:bookmarkStart w:id="981" w:name="_Toc231815122"/>
      <w:r w:rsidRPr="00E2052F">
        <w:rPr>
          <w:rFonts w:asciiTheme="majorBidi" w:hAnsiTheme="majorBidi"/>
          <w:color w:val="auto"/>
          <w:sz w:val="22"/>
        </w:rPr>
        <w:t>Les enjeux de la responsabilité sociale des entreprises</w:t>
      </w:r>
      <w:r w:rsidRPr="00E2052F">
        <w:rPr>
          <w:rStyle w:val="Appelnotedebasdep"/>
          <w:rFonts w:asciiTheme="majorBidi" w:hAnsiTheme="majorBidi"/>
          <w:b w:val="0"/>
          <w:bCs w:val="0"/>
          <w:color w:val="auto"/>
          <w:sz w:val="22"/>
        </w:rPr>
        <w:footnoteReference w:id="219"/>
      </w:r>
      <w:r w:rsidRPr="00E2052F">
        <w:rPr>
          <w:rFonts w:asciiTheme="majorBidi" w:hAnsiTheme="majorBidi"/>
          <w:color w:val="auto"/>
          <w:sz w:val="22"/>
        </w:rPr>
        <w:t> :</w:t>
      </w:r>
      <w:bookmarkEnd w:id="976"/>
      <w:bookmarkEnd w:id="977"/>
      <w:bookmarkEnd w:id="978"/>
      <w:bookmarkEnd w:id="979"/>
      <w:bookmarkEnd w:id="980"/>
      <w:bookmarkEnd w:id="981"/>
    </w:p>
    <w:p w14:paraId="292E404E" w14:textId="77777777" w:rsidR="007C5DB8" w:rsidRPr="00E2052F" w:rsidRDefault="007C5DB8" w:rsidP="003D28B1">
      <w:pPr>
        <w:pStyle w:val="NormalWeb"/>
        <w:tabs>
          <w:tab w:val="left" w:pos="1185"/>
        </w:tabs>
        <w:spacing w:before="0" w:beforeAutospacing="0" w:line="360" w:lineRule="auto"/>
        <w:rPr>
          <w:rFonts w:asciiTheme="majorBidi" w:eastAsiaTheme="minorHAnsi" w:hAnsiTheme="majorBidi" w:cstheme="majorBidi"/>
          <w:color w:val="000000"/>
          <w:sz w:val="22"/>
          <w:szCs w:val="22"/>
          <w:lang w:eastAsia="en-US"/>
        </w:rPr>
      </w:pPr>
      <w:r w:rsidRPr="00E2052F">
        <w:rPr>
          <w:rFonts w:asciiTheme="majorBidi" w:eastAsiaTheme="minorHAnsi" w:hAnsiTheme="majorBidi" w:cstheme="majorBidi"/>
          <w:color w:val="000000"/>
          <w:sz w:val="22"/>
          <w:szCs w:val="22"/>
          <w:lang w:eastAsia="en-US"/>
        </w:rPr>
        <w:t xml:space="preserve">Bien entendu, une démarche RSE consiste à mettre en place des actions et des outils qui englobent tous les aspects de l’activité économique. Ces enjeux ont été cités dans un article rédigé dont l’objectif est de clarifier cet aspect, ils sont classés en </w:t>
      </w:r>
      <w:r w:rsidRPr="00E2052F">
        <w:rPr>
          <w:rStyle w:val="lev"/>
          <w:rFonts w:asciiTheme="majorBidi" w:hAnsiTheme="majorBidi" w:cstheme="majorBidi"/>
          <w:b w:val="0"/>
          <w:bCs w:val="0"/>
          <w:sz w:val="22"/>
          <w:szCs w:val="22"/>
        </w:rPr>
        <w:t>quatre grandes catégories principales</w:t>
      </w:r>
      <w:r w:rsidRPr="00E2052F">
        <w:rPr>
          <w:rFonts w:asciiTheme="majorBidi" w:hAnsiTheme="majorBidi" w:cstheme="majorBidi"/>
          <w:sz w:val="22"/>
          <w:szCs w:val="22"/>
        </w:rPr>
        <w:t>, auxquelles s’ajoutent des dimensions transversales :</w:t>
      </w:r>
    </w:p>
    <w:p w14:paraId="6E65B15F" w14:textId="77777777" w:rsidR="007C5DB8" w:rsidRPr="00B05B9C" w:rsidRDefault="007C5DB8" w:rsidP="00F36332">
      <w:pPr>
        <w:pStyle w:val="Paragraphedeliste"/>
        <w:numPr>
          <w:ilvl w:val="0"/>
          <w:numId w:val="222"/>
        </w:numPr>
        <w:rPr>
          <w:b/>
          <w:bCs/>
        </w:rPr>
      </w:pPr>
      <w:bookmarkStart w:id="982" w:name="_Toc231746908"/>
      <w:r w:rsidRPr="00B05B9C">
        <w:rPr>
          <w:b/>
          <w:bCs/>
        </w:rPr>
        <w:t>Enjeux sociaux :</w:t>
      </w:r>
      <w:bookmarkEnd w:id="982"/>
    </w:p>
    <w:p w14:paraId="4E528854"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Dans un premier temps, la stratégie de responsabilité sociale des entreprises (RSE) vise à instaurer des actions destinées à améliorer la qualité de vie au travail, tout en promouvant l’égalité, la diversité et l’inclusion au sein de l’organisation. Ces initiatives concernent notamment plusieurs dimensions essentielles, telles que :</w:t>
      </w:r>
    </w:p>
    <w:p w14:paraId="4F44D5A8"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l’égalité entre les femmes et les hommes ; </w:t>
      </w:r>
    </w:p>
    <w:p w14:paraId="1EC57163"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l’équité salariale ; </w:t>
      </w:r>
    </w:p>
    <w:p w14:paraId="179BB743"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l’égalité des opportunités ; </w:t>
      </w:r>
    </w:p>
    <w:p w14:paraId="4BD24614"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la lutte contre toute forme de discrimination ; </w:t>
      </w:r>
    </w:p>
    <w:p w14:paraId="5CD744B5"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la réduction de l’exclusion sociale ; </w:t>
      </w:r>
    </w:p>
    <w:p w14:paraId="4973AC9E"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 xml:space="preserve">le respect des droits de l’Homme ; </w:t>
      </w:r>
    </w:p>
    <w:p w14:paraId="75B21392" w14:textId="77777777" w:rsidR="007C5DB8" w:rsidRPr="00E2052F" w:rsidRDefault="007C5DB8" w:rsidP="00F36332">
      <w:pPr>
        <w:numPr>
          <w:ilvl w:val="0"/>
          <w:numId w:val="157"/>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lastRenderedPageBreak/>
        <w:t>l’intégration des personnes en situation de handicap.</w:t>
      </w:r>
    </w:p>
    <w:p w14:paraId="4BA5B0A3"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Par ailleurs, la RSE contribue également au bien-être global, aussi bien des salariés que des clients. Cet objectif repose en grande partie sur la diffusion et le partage des valeurs de l’entreprise. À cet égard, la mise en œuvre d’une démarche RSE suppose l’instauration d’un dialogue continu entre les dirigeants et l’ensemble des collaborateurs.Ils convient de souligner que les dirigeants doivent accorder une attention particulière à la qualité de leur communication, afin de valoriser les engagements de l’entreprise et de rendre visibles les actions mises en œuvre dans le cadre de la RSE.</w:t>
      </w:r>
      <w:r w:rsidR="00523C93">
        <w:rPr>
          <w:rStyle w:val="Appelnotedebasdep"/>
          <w:rFonts w:eastAsia="Times New Roman" w:cstheme="majorBidi"/>
          <w:sz w:val="22"/>
          <w:lang w:eastAsia="fr-FR"/>
        </w:rPr>
        <w:footnoteReference w:id="220"/>
      </w:r>
    </w:p>
    <w:p w14:paraId="2E764CEF" w14:textId="77777777" w:rsidR="007C5DB8" w:rsidRPr="00E2052F" w:rsidRDefault="007C5DB8" w:rsidP="00F36332">
      <w:pPr>
        <w:pStyle w:val="NormalWeb"/>
        <w:numPr>
          <w:ilvl w:val="0"/>
          <w:numId w:val="114"/>
        </w:numPr>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Les enjeux environnementaux :</w:t>
      </w:r>
    </w:p>
    <w:p w14:paraId="0B72400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contexte climatique actuel contraint les entreprises à s’engager activement dans des démarches environnementales. En effet, les enjeux écologiques occupent désormais une place prépondérante, rendant indispensable l’intégration de politiques responsables. La mise en œuvre de telles stratégies implique une prise de conscience accrue des équilibres écologiques ainsi que des impacts des activités économiques sur l’environnement.Dans cette perspective, les entreprises accordent une attention particulière à plusieurs aspects, notamment la réduction des émissions de gaz à effet de serre, la maîtrise de l’empreinte carbone et le développement de pratiques de recyclage. Dès lors, les dirigeants sont de plus en plus responsabilisés et doivent impérativement évaluer et maîtriser les effets de leurs activités sur l’environnement.À cet égard, il convient de souligner l’existence de dispositifs d’accompagnement, tels que des formations professionnelles destinées à soutenir les entreprises dans leur transition écologique. Par ailleurs, certaines aides publiques encouragent ces initiatives, notamment à travers des mécanismes de financement visant à former les salariés aux enjeux de la transition environnementale, à l’instar du dispositif FNE-Formation.</w:t>
      </w:r>
    </w:p>
    <w:p w14:paraId="390DE4F1" w14:textId="77777777" w:rsidR="007C5DB8" w:rsidRPr="00E2052F" w:rsidRDefault="007C5DB8" w:rsidP="00F36332">
      <w:pPr>
        <w:pStyle w:val="NormalWeb"/>
        <w:numPr>
          <w:ilvl w:val="0"/>
          <w:numId w:val="114"/>
        </w:numPr>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Les enjeux organisationnels et gouvernementaux :</w:t>
      </w:r>
    </w:p>
    <w:p w14:paraId="6514BA14"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mise en œuvre d’une stratégie de responsabilité sociale des entreprises (RSE) comporte également des enjeux organisationnels étroitement liés à la gouvernance, laquelle constitue un support fondamental de cette démarche. Une gouvernance efficace permet à l’entreprise de traduire concrètement sa stratégie globale en actions opérationnelles. Cela peut notamment se matérialiser par la mise en place de structures dédiées, telles qu’un comité RSE. À travers ces dispositifs, la gouvernance établit un ensemble de règles et de principes qu’elle veille elle-même à appliquer. Les instances compétentes sont chargées d’évaluer la performance de l’entreprise ainsi que le degré d’atteinte des objectifs fixés, en s’appuyant sur des indicateurs précis, tels que l’évolution de l’empreinte carbone ou le taux de salariés en situation de handicap. Dans ce cadre, le rapport RSE constitue un outil essentiel permettant de recenser les actions engagées et d’en mesurer les résultats.</w:t>
      </w:r>
    </w:p>
    <w:p w14:paraId="67338ADF"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Enfin, la stratégie RSE s’inscrit dans une logique inclusive, en impliquant l’ensemble des parties prenantes, qu’elles soient internes ou externes (clients, fournisseurs, administrations publiques, etc.). L’objectif est d’intégrer tous les acteurs concernés dans le processus décisionnel et opérationnel de l’entreprise.</w:t>
      </w:r>
    </w:p>
    <w:p w14:paraId="3F6385A6" w14:textId="77777777" w:rsidR="007C5DB8" w:rsidRPr="00E2052F" w:rsidRDefault="007C5DB8" w:rsidP="00F36332">
      <w:pPr>
        <w:pStyle w:val="NormalWeb"/>
        <w:numPr>
          <w:ilvl w:val="0"/>
          <w:numId w:val="114"/>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Les enjeux économiques et financiers :</w:t>
      </w:r>
    </w:p>
    <w:p w14:paraId="680AF5B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Sur le plan économique, la communication relative à la responsabilité sociale des entreprises (RSE) constitue un outil stratégique permettant d’anticiper et de maîtriser les risques. Elle contribue également à améliorer l’efficacité organisationnelle et à optimiser les coûts, favorisant ainsi le développement et la pérennité de l’entreprise.Dans cette optique, le dirigeant est appelé à adopter une vision stratégique orientée vers le moyen et le long terme, en intégrant les enjeux économiques dans une logique de durabilité.</w:t>
      </w:r>
    </w:p>
    <w:p w14:paraId="0781411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 ailleurs, les pratiques d’achats responsables jouent un rôle essentiel dans l’équilibre des relations avec les partenaires commerciaux, tels que les fournisseurs et les sous-traitants. Elles permettent d’instaurer des relations plus transparentes, éthiques et durables, contribuant ainsi à la performance globale de l’entreprise.</w:t>
      </w:r>
      <w:r w:rsidR="005966CE">
        <w:rPr>
          <w:rStyle w:val="Appelnotedebasdep"/>
          <w:rFonts w:asciiTheme="majorBidi" w:hAnsiTheme="majorBidi" w:cstheme="majorBidi"/>
          <w:sz w:val="22"/>
          <w:szCs w:val="22"/>
        </w:rPr>
        <w:footnoteReference w:id="221"/>
      </w:r>
    </w:p>
    <w:p w14:paraId="04AB5133" w14:textId="77777777" w:rsidR="007C5DB8" w:rsidRPr="00C9312A" w:rsidRDefault="007C5DB8" w:rsidP="00F36332">
      <w:pPr>
        <w:pStyle w:val="Titre3"/>
        <w:numPr>
          <w:ilvl w:val="0"/>
          <w:numId w:val="220"/>
        </w:numPr>
        <w:rPr>
          <w:rFonts w:asciiTheme="majorBidi" w:eastAsiaTheme="minorHAnsi" w:hAnsiTheme="majorBidi"/>
          <w:b w:val="0"/>
          <w:bCs w:val="0"/>
          <w:color w:val="auto"/>
          <w:sz w:val="22"/>
          <w:lang w:bidi="ar-DZ"/>
        </w:rPr>
      </w:pPr>
      <w:bookmarkStart w:id="983" w:name="_Toc231746909"/>
      <w:bookmarkStart w:id="984" w:name="_Toc231752315"/>
      <w:bookmarkStart w:id="985" w:name="_Toc231810618"/>
      <w:bookmarkStart w:id="986" w:name="_Toc231811961"/>
      <w:bookmarkStart w:id="987" w:name="_Toc231812239"/>
      <w:bookmarkStart w:id="988" w:name="_Toc231815123"/>
      <w:r w:rsidRPr="00C9312A">
        <w:rPr>
          <w:rStyle w:val="Titre2Car"/>
          <w:b/>
          <w:bCs/>
          <w:color w:val="auto"/>
          <w:sz w:val="22"/>
        </w:rPr>
        <w:t>Les indicateurs de la responsabilité sociale des entreprises et modes de contrôle</w:t>
      </w:r>
      <w:r w:rsidRPr="00C9312A">
        <w:rPr>
          <w:rFonts w:asciiTheme="majorBidi" w:eastAsiaTheme="minorHAnsi" w:hAnsiTheme="majorBidi"/>
          <w:b w:val="0"/>
          <w:bCs w:val="0"/>
          <w:color w:val="auto"/>
          <w:sz w:val="22"/>
          <w:lang w:bidi="ar-DZ"/>
        </w:rPr>
        <w:t> :</w:t>
      </w:r>
      <w:bookmarkEnd w:id="983"/>
      <w:bookmarkEnd w:id="984"/>
      <w:bookmarkEnd w:id="985"/>
      <w:bookmarkEnd w:id="986"/>
      <w:bookmarkEnd w:id="987"/>
      <w:bookmarkEnd w:id="988"/>
    </w:p>
    <w:p w14:paraId="3B56C155" w14:textId="77777777" w:rsidR="007C5DB8" w:rsidRPr="00E2052F" w:rsidRDefault="007C5DB8" w:rsidP="003D28B1">
      <w:pPr>
        <w:pStyle w:val="NormalWeb"/>
        <w:tabs>
          <w:tab w:val="left" w:pos="8043"/>
        </w:tabs>
        <w:spacing w:before="0" w:beforeAutospacing="0" w:line="360" w:lineRule="auto"/>
        <w:rPr>
          <w:rFonts w:asciiTheme="majorBidi" w:eastAsiaTheme="minorHAnsi" w:hAnsiTheme="majorBidi" w:cstheme="majorBidi"/>
          <w:color w:val="000000"/>
          <w:sz w:val="22"/>
          <w:szCs w:val="22"/>
          <w:lang w:eastAsia="en-US" w:bidi="ar-DZ"/>
        </w:rPr>
      </w:pPr>
      <w:r w:rsidRPr="00E2052F">
        <w:rPr>
          <w:rFonts w:asciiTheme="majorBidi" w:eastAsiaTheme="minorHAnsi" w:hAnsiTheme="majorBidi" w:cstheme="majorBidi"/>
          <w:color w:val="000000"/>
          <w:sz w:val="22"/>
          <w:szCs w:val="22"/>
          <w:lang w:eastAsia="en-US" w:bidi="ar-DZ"/>
        </w:rPr>
        <w:t>L'émergence des concepts de responsabilité sociale des entreprises a profondément influencé les pratiques de management,</w:t>
      </w:r>
      <w:r w:rsidR="00655C1C" w:rsidRPr="00E2052F">
        <w:rPr>
          <w:rFonts w:asciiTheme="majorBidi" w:eastAsiaTheme="minorHAnsi" w:hAnsiTheme="majorBidi" w:cstheme="majorBidi"/>
          <w:color w:val="000000"/>
          <w:sz w:val="22"/>
          <w:szCs w:val="22"/>
          <w:lang w:eastAsia="en-US" w:bidi="ar-DZ"/>
        </w:rPr>
        <w:t xml:space="preserve"> </w:t>
      </w:r>
      <w:r w:rsidRPr="00E2052F">
        <w:rPr>
          <w:rFonts w:asciiTheme="majorBidi" w:hAnsiTheme="majorBidi" w:cstheme="majorBidi"/>
          <w:sz w:val="22"/>
          <w:szCs w:val="22"/>
        </w:rPr>
        <w:t>dès lors, certains indicateurs se sont progressivement imposés comme une exigence stratégiquement essentielle dans la mesure où ils permettent de piloter de manière rigoureuse les performances de entreprises</w:t>
      </w:r>
      <w:r w:rsidRPr="00E2052F">
        <w:rPr>
          <w:rFonts w:asciiTheme="majorBidi" w:eastAsiaTheme="minorHAnsi" w:hAnsiTheme="majorBidi" w:cstheme="majorBidi"/>
          <w:color w:val="000000"/>
          <w:sz w:val="22"/>
          <w:szCs w:val="22"/>
          <w:lang w:eastAsia="en-US" w:bidi="ar-DZ"/>
        </w:rPr>
        <w:t>. Initialement conçus pour le reporting financier et extra-financier, ces indicateurs sont devenus des outils clés du contrôle interne et de la gestion des dimensions environnementales et sociales des entreprises.Ces indicateurs ont pour fonction d'informer les dirigeants et les cadres supérieurs des impacts des activités de l'entreprise, d'une part, et de la qualité des relations entre l'entreprise et ses parties prenantes, d'autre part.</w:t>
      </w:r>
      <w:r w:rsidRPr="00E2052F">
        <w:rPr>
          <w:rStyle w:val="Appelnotedebasdep"/>
          <w:rFonts w:asciiTheme="majorBidi" w:eastAsiaTheme="minorHAnsi" w:hAnsiTheme="majorBidi" w:cstheme="majorBidi"/>
          <w:color w:val="000000"/>
          <w:sz w:val="22"/>
          <w:szCs w:val="22"/>
          <w:lang w:eastAsia="en-US" w:bidi="ar-DZ"/>
        </w:rPr>
        <w:footnoteReference w:id="222"/>
      </w:r>
    </w:p>
    <w:p w14:paraId="0A43AF60" w14:textId="77777777" w:rsidR="007C5DB8" w:rsidRPr="00E2052F" w:rsidRDefault="007C5DB8" w:rsidP="00F36332">
      <w:pPr>
        <w:pStyle w:val="NormalWeb"/>
        <w:numPr>
          <w:ilvl w:val="0"/>
          <w:numId w:val="180"/>
        </w:numPr>
        <w:tabs>
          <w:tab w:val="left" w:pos="8043"/>
        </w:tabs>
        <w:spacing w:before="0" w:beforeAutospacing="0" w:line="360" w:lineRule="auto"/>
        <w:ind w:left="1134" w:hanging="567"/>
        <w:jc w:val="left"/>
        <w:outlineLvl w:val="3"/>
        <w:rPr>
          <w:rFonts w:asciiTheme="majorBidi" w:eastAsiaTheme="minorHAnsi" w:hAnsiTheme="majorBidi" w:cstheme="majorBidi"/>
          <w:i/>
          <w:iCs/>
          <w:sz w:val="22"/>
          <w:szCs w:val="22"/>
          <w:lang w:eastAsia="en-US" w:bidi="ar-DZ"/>
        </w:rPr>
      </w:pPr>
      <w:bookmarkStart w:id="989" w:name="_Toc231746910"/>
      <w:bookmarkStart w:id="990" w:name="_Toc231752316"/>
      <w:bookmarkStart w:id="991" w:name="_Toc231810619"/>
      <w:bookmarkStart w:id="992" w:name="_Toc231811962"/>
      <w:bookmarkStart w:id="993" w:name="_Toc231812240"/>
      <w:bookmarkStart w:id="994" w:name="_Toc231815124"/>
      <w:r w:rsidRPr="00E2052F">
        <w:rPr>
          <w:rStyle w:val="Titre4Car"/>
          <w:rFonts w:asciiTheme="majorBidi" w:hAnsiTheme="majorBidi"/>
          <w:i w:val="0"/>
          <w:iCs w:val="0"/>
          <w:color w:val="auto"/>
          <w:sz w:val="22"/>
          <w:szCs w:val="22"/>
        </w:rPr>
        <w:t>Les indicateurs internes</w:t>
      </w:r>
      <w:r w:rsidRPr="00E2052F">
        <w:rPr>
          <w:rFonts w:asciiTheme="majorBidi" w:hAnsiTheme="majorBidi" w:cstheme="majorBidi"/>
          <w:b/>
          <w:bCs/>
          <w:i/>
          <w:iCs/>
          <w:sz w:val="22"/>
          <w:szCs w:val="22"/>
        </w:rPr>
        <w:t> :</w:t>
      </w:r>
      <w:bookmarkEnd w:id="989"/>
      <w:bookmarkEnd w:id="990"/>
      <w:bookmarkEnd w:id="991"/>
      <w:bookmarkEnd w:id="992"/>
      <w:bookmarkEnd w:id="993"/>
      <w:bookmarkEnd w:id="994"/>
    </w:p>
    <w:p w14:paraId="61ABB304"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Les indicateurs internes de la responsabilité sociétale des entreprises désignent l’ensemble des outils de mesure permettant d’évaluer les pratiques et les performances de l’organisation au sein même de sa structure. Ils traduisent l’engagement de l’entreprise envers ses ressources internes, ses processus de production et ses modes de gouvernance. Ils constituent ainsi un levier essentiel de pilotage de la </w:t>
      </w:r>
      <w:r w:rsidRPr="00E2052F">
        <w:rPr>
          <w:rFonts w:asciiTheme="majorBidi" w:hAnsiTheme="majorBidi" w:cstheme="majorBidi"/>
          <w:sz w:val="22"/>
          <w:szCs w:val="22"/>
        </w:rPr>
        <w:lastRenderedPageBreak/>
        <w:t xml:space="preserve">performance globale.Comme le souligne </w:t>
      </w:r>
      <w:r w:rsidRPr="00E2052F">
        <w:rPr>
          <w:rStyle w:val="whitespace-normal"/>
          <w:rFonts w:asciiTheme="majorBidi" w:hAnsiTheme="majorBidi" w:cstheme="majorBidi"/>
          <w:sz w:val="22"/>
          <w:szCs w:val="22"/>
        </w:rPr>
        <w:t>Anthony Hopwood</w:t>
      </w:r>
      <w:r w:rsidRPr="00E2052F">
        <w:rPr>
          <w:rFonts w:asciiTheme="majorBidi" w:hAnsiTheme="majorBidi" w:cstheme="majorBidi"/>
          <w:sz w:val="22"/>
          <w:szCs w:val="22"/>
        </w:rPr>
        <w:t>, les systèmes d’évaluation basés sur des indicateurs peuvent orienter les comportements et les décisions au sein des organisations</w:t>
      </w:r>
      <w:r w:rsidRPr="00E2052F">
        <w:rPr>
          <w:rStyle w:val="Appelnotedebasdep"/>
          <w:rFonts w:asciiTheme="majorBidi" w:hAnsiTheme="majorBidi" w:cstheme="majorBidi"/>
          <w:sz w:val="22"/>
          <w:szCs w:val="22"/>
        </w:rPr>
        <w:footnoteReference w:id="223"/>
      </w:r>
      <w:r w:rsidRPr="00E2052F">
        <w:rPr>
          <w:rFonts w:asciiTheme="majorBidi" w:hAnsiTheme="majorBidi" w:cstheme="majorBidi"/>
          <w:sz w:val="22"/>
          <w:szCs w:val="22"/>
        </w:rPr>
        <w:t xml:space="preserve">, De même, </w:t>
      </w:r>
      <w:r w:rsidRPr="00E2052F">
        <w:rPr>
          <w:rStyle w:val="whitespace-normal"/>
          <w:rFonts w:asciiTheme="majorBidi" w:hAnsiTheme="majorBidi" w:cstheme="majorBidi"/>
          <w:sz w:val="22"/>
          <w:szCs w:val="22"/>
        </w:rPr>
        <w:t>Robert Simons</w:t>
      </w:r>
      <w:r w:rsidRPr="00E2052F">
        <w:rPr>
          <w:rFonts w:asciiTheme="majorBidi" w:hAnsiTheme="majorBidi" w:cstheme="majorBidi"/>
          <w:sz w:val="22"/>
          <w:szCs w:val="22"/>
        </w:rPr>
        <w:t xml:space="preserve"> met en évidence que les indicateurs participent au pilotage stratégique et à l’apprentissage organisationnel</w:t>
      </w:r>
      <w:r w:rsidRPr="00E2052F">
        <w:rPr>
          <w:rStyle w:val="Appelnotedebasdep"/>
          <w:rFonts w:asciiTheme="majorBidi" w:hAnsiTheme="majorBidi" w:cstheme="majorBidi"/>
          <w:sz w:val="22"/>
          <w:szCs w:val="22"/>
        </w:rPr>
        <w:footnoteReference w:id="224"/>
      </w:r>
      <w:r w:rsidRPr="00E2052F">
        <w:rPr>
          <w:rFonts w:asciiTheme="majorBidi" w:hAnsiTheme="majorBidi" w:cstheme="majorBidi"/>
          <w:sz w:val="22"/>
          <w:szCs w:val="22"/>
        </w:rPr>
        <w:t>, et sont essentiels pour mesurer l’impact social interne des entreprises</w:t>
      </w:r>
      <w:r w:rsidRPr="00E2052F">
        <w:rPr>
          <w:rStyle w:val="Appelnotedebasdep"/>
          <w:rFonts w:asciiTheme="majorBidi" w:hAnsiTheme="majorBidi" w:cstheme="majorBidi"/>
          <w:sz w:val="22"/>
          <w:szCs w:val="22"/>
        </w:rPr>
        <w:footnoteReference w:id="225"/>
      </w:r>
      <w:r w:rsidRPr="00E2052F">
        <w:rPr>
          <w:rFonts w:asciiTheme="majorBidi" w:hAnsiTheme="majorBidi" w:cstheme="majorBidi"/>
          <w:sz w:val="22"/>
          <w:szCs w:val="22"/>
        </w:rPr>
        <w:t>.Ils permettent d’évaluer la qualité de l’environnement professionnel offert aux salariés et traduisent la responsabilité de l’entreprise envers eux pour prévenir les risques professionnels et amélioration du bien-être au travail, comme le souligne Herzberg « le bien-être au travail constitue un facteur clé de la performance organisationnelle</w:t>
      </w:r>
      <w:r w:rsidRPr="00E2052F">
        <w:rPr>
          <w:rStyle w:val="Appelnotedebasdep"/>
          <w:rFonts w:asciiTheme="majorBidi" w:hAnsiTheme="majorBidi" w:cstheme="majorBidi"/>
          <w:sz w:val="22"/>
          <w:szCs w:val="22"/>
        </w:rPr>
        <w:footnoteReference w:id="226"/>
      </w:r>
      <w:r w:rsidRPr="00E2052F">
        <w:rPr>
          <w:rFonts w:asciiTheme="majorBidi" w:hAnsiTheme="majorBidi" w:cstheme="majorBidi"/>
          <w:sz w:val="22"/>
          <w:szCs w:val="22"/>
        </w:rPr>
        <w:t xml:space="preserve"> ».On peut citer les suivants :</w:t>
      </w:r>
    </w:p>
    <w:p w14:paraId="12FF82B0"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Ressources humaines :</w:t>
      </w:r>
    </w:p>
    <w:p w14:paraId="6F45526E" w14:textId="77777777" w:rsidR="007C5DB8" w:rsidRPr="00E2052F" w:rsidRDefault="007C5DB8" w:rsidP="00F36332">
      <w:pPr>
        <w:pStyle w:val="NormalWeb"/>
        <w:numPr>
          <w:ilvl w:val="0"/>
          <w:numId w:val="181"/>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Taux d’absentéisme.</w:t>
      </w:r>
    </w:p>
    <w:p w14:paraId="51784484" w14:textId="77777777" w:rsidR="007C5DB8" w:rsidRPr="00E2052F" w:rsidRDefault="007C5DB8" w:rsidP="00F36332">
      <w:pPr>
        <w:pStyle w:val="NormalWeb"/>
        <w:numPr>
          <w:ilvl w:val="0"/>
          <w:numId w:val="181"/>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Taux de turnover.</w:t>
      </w:r>
    </w:p>
    <w:p w14:paraId="0DE94DDA" w14:textId="77777777" w:rsidR="007C5DB8" w:rsidRPr="00E2052F" w:rsidRDefault="007C5DB8" w:rsidP="00F36332">
      <w:pPr>
        <w:pStyle w:val="NormalWeb"/>
        <w:numPr>
          <w:ilvl w:val="0"/>
          <w:numId w:val="181"/>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Taux de formation.</w:t>
      </w:r>
    </w:p>
    <w:p w14:paraId="4A5C6C20" w14:textId="77777777" w:rsidR="007C5DB8" w:rsidRPr="00E2052F" w:rsidRDefault="007C5DB8" w:rsidP="00F36332">
      <w:pPr>
        <w:pStyle w:val="NormalWeb"/>
        <w:numPr>
          <w:ilvl w:val="0"/>
          <w:numId w:val="181"/>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Niveau de satisfaction des employés.</w:t>
      </w:r>
    </w:p>
    <w:p w14:paraId="56ACEFD9" w14:textId="77777777" w:rsidR="007C5DB8" w:rsidRPr="00E2052F" w:rsidRDefault="007C5DB8" w:rsidP="00F36332">
      <w:pPr>
        <w:pStyle w:val="NormalWeb"/>
        <w:numPr>
          <w:ilvl w:val="0"/>
          <w:numId w:val="181"/>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Égalité professionnelle (écart salarial, accès aux postes).</w:t>
      </w:r>
    </w:p>
    <w:p w14:paraId="437A4B12"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Conditions de travail :</w:t>
      </w:r>
    </w:p>
    <w:p w14:paraId="459ED951" w14:textId="77777777" w:rsidR="007C5DB8" w:rsidRPr="00E2052F" w:rsidRDefault="007C5DB8" w:rsidP="00F36332">
      <w:pPr>
        <w:pStyle w:val="NormalWeb"/>
        <w:numPr>
          <w:ilvl w:val="0"/>
          <w:numId w:val="182"/>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Taux d’accidents du travail.</w:t>
      </w:r>
    </w:p>
    <w:p w14:paraId="7A03C1DA" w14:textId="77777777" w:rsidR="007C5DB8" w:rsidRPr="00E2052F" w:rsidRDefault="007C5DB8" w:rsidP="00F36332">
      <w:pPr>
        <w:pStyle w:val="NormalWeb"/>
        <w:numPr>
          <w:ilvl w:val="0"/>
          <w:numId w:val="182"/>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Gravité des accidents.</w:t>
      </w:r>
    </w:p>
    <w:p w14:paraId="7D30C8B2" w14:textId="77777777" w:rsidR="007C5DB8" w:rsidRPr="00E2052F" w:rsidRDefault="007C5DB8" w:rsidP="00F36332">
      <w:pPr>
        <w:pStyle w:val="NormalWeb"/>
        <w:numPr>
          <w:ilvl w:val="0"/>
          <w:numId w:val="182"/>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Nombre de maladies professionnelles.</w:t>
      </w:r>
    </w:p>
    <w:p w14:paraId="53904249" w14:textId="77777777" w:rsidR="007C5DB8" w:rsidRPr="00E2052F" w:rsidRDefault="007C5DB8" w:rsidP="00F36332">
      <w:pPr>
        <w:pStyle w:val="NormalWeb"/>
        <w:numPr>
          <w:ilvl w:val="0"/>
          <w:numId w:val="182"/>
        </w:numPr>
        <w:tabs>
          <w:tab w:val="left" w:pos="8043"/>
        </w:tabs>
        <w:spacing w:before="0" w:beforeAutospacing="0" w:line="360" w:lineRule="auto"/>
        <w:ind w:left="1003" w:hanging="357"/>
        <w:rPr>
          <w:rFonts w:asciiTheme="majorBidi" w:hAnsiTheme="majorBidi" w:cstheme="majorBidi"/>
          <w:b/>
          <w:bCs/>
          <w:sz w:val="22"/>
          <w:szCs w:val="22"/>
        </w:rPr>
      </w:pPr>
      <w:r w:rsidRPr="00E2052F">
        <w:rPr>
          <w:rFonts w:asciiTheme="majorBidi" w:hAnsiTheme="majorBidi" w:cstheme="majorBidi"/>
          <w:sz w:val="22"/>
          <w:szCs w:val="22"/>
        </w:rPr>
        <w:t>Conditions de santé et sécurité au travail.</w:t>
      </w:r>
    </w:p>
    <w:p w14:paraId="604BBA77" w14:textId="77777777" w:rsidR="007C5DB8" w:rsidRPr="00E2052F" w:rsidRDefault="007C5DB8" w:rsidP="00F36332">
      <w:pPr>
        <w:pStyle w:val="NormalWeb"/>
        <w:numPr>
          <w:ilvl w:val="0"/>
          <w:numId w:val="182"/>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Niveau de bien-être au travail.</w:t>
      </w:r>
    </w:p>
    <w:p w14:paraId="543D602A" w14:textId="77777777" w:rsidR="007C5DB8" w:rsidRPr="00E2052F" w:rsidRDefault="007C5DB8" w:rsidP="00F36332">
      <w:pPr>
        <w:pStyle w:val="NormalWeb"/>
        <w:numPr>
          <w:ilvl w:val="0"/>
          <w:numId w:val="182"/>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Heures de formation en sécurité.</w:t>
      </w:r>
    </w:p>
    <w:p w14:paraId="519F0B8A"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Gouvernance interne :</w:t>
      </w:r>
    </w:p>
    <w:p w14:paraId="5D8A96A1" w14:textId="77777777" w:rsidR="007C5DB8" w:rsidRPr="00E2052F" w:rsidRDefault="007C5DB8" w:rsidP="00F36332">
      <w:pPr>
        <w:pStyle w:val="Paragraphedeliste"/>
        <w:numPr>
          <w:ilvl w:val="0"/>
          <w:numId w:val="183"/>
        </w:numPr>
        <w:spacing w:before="0" w:beforeAutospacing="0"/>
        <w:jc w:val="left"/>
        <w:rPr>
          <w:rFonts w:eastAsia="Times New Roman" w:cstheme="majorBidi"/>
          <w:sz w:val="22"/>
          <w:lang w:eastAsia="fr-FR"/>
        </w:rPr>
      </w:pPr>
      <w:r w:rsidRPr="00E2052F">
        <w:rPr>
          <w:rFonts w:eastAsia="Times New Roman" w:cstheme="majorBidi"/>
          <w:sz w:val="22"/>
          <w:lang w:eastAsia="fr-FR"/>
        </w:rPr>
        <w:t>Transparence des décisions.</w:t>
      </w:r>
    </w:p>
    <w:p w14:paraId="28C1951A" w14:textId="77777777" w:rsidR="007C5DB8" w:rsidRPr="00E2052F" w:rsidRDefault="007C5DB8" w:rsidP="00F36332">
      <w:pPr>
        <w:pStyle w:val="Paragraphedeliste"/>
        <w:numPr>
          <w:ilvl w:val="0"/>
          <w:numId w:val="183"/>
        </w:numPr>
        <w:spacing w:before="0" w:beforeAutospacing="0"/>
        <w:jc w:val="left"/>
        <w:rPr>
          <w:rFonts w:eastAsia="Times New Roman" w:cstheme="majorBidi"/>
          <w:sz w:val="22"/>
          <w:lang w:eastAsia="fr-FR"/>
        </w:rPr>
      </w:pPr>
      <w:r w:rsidRPr="00E2052F">
        <w:rPr>
          <w:rFonts w:eastAsia="Times New Roman" w:cstheme="majorBidi"/>
          <w:sz w:val="22"/>
          <w:lang w:eastAsia="fr-FR"/>
        </w:rPr>
        <w:t>Existence de codes d’éthique.</w:t>
      </w:r>
    </w:p>
    <w:p w14:paraId="2581CE87" w14:textId="77777777" w:rsidR="007C5DB8" w:rsidRPr="00E2052F" w:rsidRDefault="007C5DB8" w:rsidP="00F36332">
      <w:pPr>
        <w:pStyle w:val="Paragraphedeliste"/>
        <w:numPr>
          <w:ilvl w:val="0"/>
          <w:numId w:val="183"/>
        </w:numPr>
        <w:spacing w:before="0" w:beforeAutospacing="0"/>
        <w:jc w:val="left"/>
        <w:rPr>
          <w:rFonts w:eastAsia="Times New Roman" w:cstheme="majorBidi"/>
          <w:sz w:val="22"/>
          <w:lang w:eastAsia="fr-FR"/>
        </w:rPr>
      </w:pPr>
      <w:r w:rsidRPr="00E2052F">
        <w:rPr>
          <w:rFonts w:eastAsia="Times New Roman" w:cstheme="majorBidi"/>
          <w:sz w:val="22"/>
          <w:lang w:eastAsia="fr-FR"/>
        </w:rPr>
        <w:lastRenderedPageBreak/>
        <w:t>Dispositifs de lutte contre la corruption.</w:t>
      </w:r>
    </w:p>
    <w:p w14:paraId="7FDCE0D7" w14:textId="77777777" w:rsidR="007C5DB8" w:rsidRPr="00E2052F" w:rsidRDefault="007C5DB8" w:rsidP="00F36332">
      <w:pPr>
        <w:pStyle w:val="Paragraphedeliste"/>
        <w:numPr>
          <w:ilvl w:val="0"/>
          <w:numId w:val="183"/>
        </w:numPr>
        <w:spacing w:before="0" w:beforeAutospacing="0"/>
        <w:jc w:val="left"/>
        <w:rPr>
          <w:rFonts w:eastAsia="Times New Roman" w:cstheme="majorBidi"/>
          <w:sz w:val="22"/>
          <w:lang w:eastAsia="fr-FR"/>
        </w:rPr>
      </w:pPr>
      <w:r w:rsidRPr="00E2052F">
        <w:rPr>
          <w:rFonts w:eastAsia="Times New Roman" w:cstheme="majorBidi"/>
          <w:sz w:val="22"/>
          <w:lang w:eastAsia="fr-FR"/>
        </w:rPr>
        <w:t>Qualité du contrôle interne.</w:t>
      </w:r>
    </w:p>
    <w:p w14:paraId="57AA831A" w14:textId="77777777" w:rsidR="007C5DB8" w:rsidRPr="00E2052F" w:rsidRDefault="007C5DB8" w:rsidP="00F36332">
      <w:pPr>
        <w:pStyle w:val="Paragraphedeliste"/>
        <w:numPr>
          <w:ilvl w:val="0"/>
          <w:numId w:val="183"/>
        </w:numPr>
        <w:spacing w:before="0" w:beforeAutospacing="0"/>
        <w:jc w:val="left"/>
        <w:rPr>
          <w:rFonts w:eastAsia="Times New Roman" w:cstheme="majorBidi"/>
          <w:sz w:val="22"/>
          <w:lang w:eastAsia="fr-FR"/>
        </w:rPr>
      </w:pPr>
      <w:r w:rsidRPr="00E2052F">
        <w:rPr>
          <w:rFonts w:eastAsia="Times New Roman" w:cstheme="majorBidi"/>
          <w:sz w:val="22"/>
          <w:lang w:eastAsia="fr-FR"/>
        </w:rPr>
        <w:t>Conformité réglementaire.</w:t>
      </w:r>
    </w:p>
    <w:p w14:paraId="437464F8"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Performance environnementale interne :</w:t>
      </w:r>
    </w:p>
    <w:p w14:paraId="635266D7"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 xml:space="preserve">Consommation d’énergie. </w:t>
      </w:r>
    </w:p>
    <w:p w14:paraId="6B4043C2"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Consommation d’eau.</w:t>
      </w:r>
    </w:p>
    <w:p w14:paraId="1B745AC5"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Gestion des déchets.</w:t>
      </w:r>
    </w:p>
    <w:p w14:paraId="59CB039E"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Taux de recyclage.</w:t>
      </w:r>
    </w:p>
    <w:p w14:paraId="5C56AC3F"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Émissions de CO₂.</w:t>
      </w:r>
    </w:p>
    <w:p w14:paraId="041AE3A7" w14:textId="77777777" w:rsidR="007C5DB8" w:rsidRPr="00E2052F" w:rsidRDefault="007C5DB8" w:rsidP="00F36332">
      <w:pPr>
        <w:pStyle w:val="NormalWeb"/>
        <w:numPr>
          <w:ilvl w:val="0"/>
          <w:numId w:val="18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Efficacité énergétique.</w:t>
      </w:r>
      <w:r w:rsidR="00920006">
        <w:rPr>
          <w:rStyle w:val="Appelnotedebasdep"/>
          <w:rFonts w:asciiTheme="majorBidi" w:hAnsiTheme="majorBidi" w:cstheme="majorBidi"/>
          <w:sz w:val="22"/>
          <w:szCs w:val="22"/>
        </w:rPr>
        <w:footnoteReference w:id="227"/>
      </w:r>
    </w:p>
    <w:p w14:paraId="169C2D53" w14:textId="77777777" w:rsidR="007C5DB8" w:rsidRPr="00E2052F" w:rsidRDefault="007C5DB8" w:rsidP="00F36332">
      <w:pPr>
        <w:pStyle w:val="NormalWeb"/>
        <w:numPr>
          <w:ilvl w:val="2"/>
          <w:numId w:val="168"/>
        </w:numPr>
        <w:tabs>
          <w:tab w:val="left" w:pos="8043"/>
        </w:tabs>
        <w:spacing w:before="0" w:beforeAutospacing="0" w:line="360" w:lineRule="auto"/>
        <w:outlineLvl w:val="3"/>
        <w:rPr>
          <w:rFonts w:asciiTheme="majorBidi" w:hAnsiTheme="majorBidi" w:cstheme="majorBidi"/>
          <w:b/>
          <w:bCs/>
          <w:i/>
          <w:iCs/>
          <w:sz w:val="22"/>
          <w:szCs w:val="22"/>
        </w:rPr>
      </w:pPr>
      <w:bookmarkStart w:id="995" w:name="_Toc231746911"/>
      <w:bookmarkStart w:id="996" w:name="_Toc231752317"/>
      <w:bookmarkStart w:id="997" w:name="_Toc231810620"/>
      <w:bookmarkStart w:id="998" w:name="_Toc231811963"/>
      <w:bookmarkStart w:id="999" w:name="_Toc231812241"/>
      <w:bookmarkStart w:id="1000" w:name="_Toc231815125"/>
      <w:r w:rsidRPr="00E2052F">
        <w:rPr>
          <w:rStyle w:val="Titre4Car"/>
          <w:rFonts w:asciiTheme="majorBidi" w:hAnsiTheme="majorBidi"/>
          <w:i w:val="0"/>
          <w:iCs w:val="0"/>
          <w:color w:val="auto"/>
          <w:sz w:val="22"/>
          <w:szCs w:val="22"/>
        </w:rPr>
        <w:t xml:space="preserve">Les indicateurs </w:t>
      </w:r>
      <w:r w:rsidR="00655C1C" w:rsidRPr="00E2052F">
        <w:rPr>
          <w:rStyle w:val="Titre4Car"/>
          <w:rFonts w:asciiTheme="majorBidi" w:hAnsiTheme="majorBidi"/>
          <w:i w:val="0"/>
          <w:iCs w:val="0"/>
          <w:color w:val="auto"/>
          <w:sz w:val="22"/>
          <w:szCs w:val="22"/>
        </w:rPr>
        <w:t>externes</w:t>
      </w:r>
      <w:r w:rsidR="00655C1C" w:rsidRPr="00E2052F">
        <w:rPr>
          <w:rFonts w:asciiTheme="majorBidi" w:hAnsiTheme="majorBidi" w:cstheme="majorBidi"/>
          <w:b/>
          <w:bCs/>
          <w:i/>
          <w:iCs/>
          <w:sz w:val="22"/>
          <w:szCs w:val="22"/>
        </w:rPr>
        <w:t> :</w:t>
      </w:r>
      <w:bookmarkEnd w:id="995"/>
      <w:bookmarkEnd w:id="996"/>
      <w:bookmarkEnd w:id="997"/>
      <w:bookmarkEnd w:id="998"/>
      <w:bookmarkEnd w:id="999"/>
      <w:bookmarkEnd w:id="1000"/>
    </w:p>
    <w:p w14:paraId="008390B7"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Les indicateurs externes de la responsabilité sociétale des entreprises (RSE) permettent d’évaluer les impacts de l’organisation sur son au-delà de ses frontières internes.</w:t>
      </w:r>
      <w:r w:rsidR="00571AAB">
        <w:rPr>
          <w:rFonts w:asciiTheme="majorBidi" w:hAnsiTheme="majorBidi" w:cstheme="majorBidi"/>
          <w:sz w:val="22"/>
          <w:szCs w:val="22"/>
        </w:rPr>
        <w:t xml:space="preserve"> </w:t>
      </w:r>
      <w:r w:rsidRPr="00E2052F">
        <w:rPr>
          <w:rFonts w:asciiTheme="majorBidi" w:hAnsiTheme="majorBidi" w:cstheme="majorBidi"/>
          <w:sz w:val="22"/>
          <w:szCs w:val="22"/>
        </w:rPr>
        <w:t xml:space="preserve">Ils traduisent la capacité de l’entreprise à intégrer les enjeux sociétaux dans ses activités et dans ses interactions avec son environnement, constituant ainsi un levier essentiel d’évaluation de sa performance globale et de sa légitimité, comme le souligne </w:t>
      </w:r>
      <w:r w:rsidRPr="00E2052F">
        <w:rPr>
          <w:rStyle w:val="whitespace-normal"/>
          <w:rFonts w:asciiTheme="majorBidi" w:hAnsiTheme="majorBidi" w:cstheme="majorBidi"/>
          <w:sz w:val="22"/>
          <w:szCs w:val="22"/>
        </w:rPr>
        <w:t>R. Edward Freeman</w:t>
      </w:r>
      <w:r w:rsidRPr="00E2052F">
        <w:rPr>
          <w:rFonts w:asciiTheme="majorBidi" w:hAnsiTheme="majorBidi" w:cstheme="majorBidi"/>
          <w:sz w:val="22"/>
          <w:szCs w:val="22"/>
        </w:rPr>
        <w:t>, l’entreprise ne peut être considérée uniquement comme responsable envers ses actionnaires, mais doit répondre aux attentes de l’ensemble de ses parties prenantes, ce qui renforce la nécessité de mesurer ses impacts externes</w:t>
      </w:r>
      <w:r w:rsidR="00655C1C" w:rsidRPr="00E2052F">
        <w:rPr>
          <w:rFonts w:asciiTheme="majorBidi" w:hAnsiTheme="majorBidi" w:cstheme="majorBidi"/>
          <w:sz w:val="22"/>
          <w:szCs w:val="22"/>
        </w:rPr>
        <w:t xml:space="preserve"> </w:t>
      </w:r>
      <w:r w:rsidRPr="00E2052F">
        <w:rPr>
          <w:rFonts w:asciiTheme="majorBidi" w:hAnsiTheme="majorBidi" w:cstheme="majorBidi"/>
          <w:sz w:val="22"/>
          <w:szCs w:val="22"/>
        </w:rPr>
        <w:t>. On peut citer les suivants :</w:t>
      </w:r>
    </w:p>
    <w:p w14:paraId="52535B80"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Impact environnemental global :</w:t>
      </w:r>
    </w:p>
    <w:p w14:paraId="62EA1EFB" w14:textId="77777777" w:rsidR="007C5DB8" w:rsidRPr="00E2052F" w:rsidRDefault="007C5DB8" w:rsidP="00F36332">
      <w:pPr>
        <w:pStyle w:val="Paragraphedeliste"/>
        <w:numPr>
          <w:ilvl w:val="0"/>
          <w:numId w:val="109"/>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Émissions globales de gaz à effet de serre.</w:t>
      </w:r>
    </w:p>
    <w:p w14:paraId="4AB3748D" w14:textId="77777777" w:rsidR="007C5DB8" w:rsidRPr="00E2052F" w:rsidRDefault="007C5DB8" w:rsidP="00F36332">
      <w:pPr>
        <w:pStyle w:val="Paragraphedeliste"/>
        <w:numPr>
          <w:ilvl w:val="0"/>
          <w:numId w:val="109"/>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Pollution de l’air, de l’eau et des sols.</w:t>
      </w:r>
    </w:p>
    <w:p w14:paraId="618B183E" w14:textId="77777777" w:rsidR="007C5DB8" w:rsidRPr="00E2052F" w:rsidRDefault="007C5DB8" w:rsidP="00F36332">
      <w:pPr>
        <w:pStyle w:val="Paragraphedeliste"/>
        <w:numPr>
          <w:ilvl w:val="0"/>
          <w:numId w:val="109"/>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Empreinte carbone.</w:t>
      </w:r>
    </w:p>
    <w:p w14:paraId="302DE641" w14:textId="77777777" w:rsidR="007C5DB8" w:rsidRPr="00E2052F" w:rsidRDefault="007C5DB8" w:rsidP="00F36332">
      <w:pPr>
        <w:pStyle w:val="Paragraphedeliste"/>
        <w:numPr>
          <w:ilvl w:val="0"/>
          <w:numId w:val="109"/>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Impact sur la biodiversité.</w:t>
      </w:r>
    </w:p>
    <w:p w14:paraId="6BE71C62" w14:textId="77777777" w:rsidR="007C5DB8" w:rsidRPr="00E2052F" w:rsidRDefault="007C5DB8" w:rsidP="00F36332">
      <w:pPr>
        <w:pStyle w:val="Paragraphedeliste"/>
        <w:numPr>
          <w:ilvl w:val="0"/>
          <w:numId w:val="109"/>
        </w:numPr>
        <w:spacing w:before="0" w:beforeAutospacing="0"/>
        <w:ind w:left="930" w:hanging="284"/>
        <w:jc w:val="left"/>
        <w:rPr>
          <w:rFonts w:eastAsia="Times New Roman" w:cstheme="majorBidi"/>
          <w:sz w:val="22"/>
          <w:lang w:eastAsia="fr-FR"/>
        </w:rPr>
      </w:pPr>
      <w:r w:rsidRPr="00E2052F">
        <w:rPr>
          <w:rFonts w:cstheme="majorBidi"/>
          <w:sz w:val="22"/>
        </w:rPr>
        <w:t>Utilisation des ressources naturelles</w:t>
      </w:r>
      <w:r w:rsidRPr="00E2052F">
        <w:rPr>
          <w:rFonts w:cstheme="majorBidi"/>
          <w:b/>
          <w:bCs/>
          <w:sz w:val="22"/>
        </w:rPr>
        <w:t>.</w:t>
      </w:r>
    </w:p>
    <w:p w14:paraId="1C38D477"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Relations avec le marché et les clients :</w:t>
      </w:r>
    </w:p>
    <w:p w14:paraId="4B3B8C42" w14:textId="77777777" w:rsidR="007C5DB8" w:rsidRPr="00E2052F" w:rsidRDefault="007C5DB8" w:rsidP="00F36332">
      <w:pPr>
        <w:pStyle w:val="Paragraphedeliste"/>
        <w:numPr>
          <w:ilvl w:val="0"/>
          <w:numId w:val="110"/>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 xml:space="preserve">Satisfaction client. </w:t>
      </w:r>
    </w:p>
    <w:p w14:paraId="46808E34" w14:textId="77777777" w:rsidR="007C5DB8" w:rsidRPr="00E2052F" w:rsidRDefault="007C5DB8" w:rsidP="00F36332">
      <w:pPr>
        <w:pStyle w:val="Paragraphedeliste"/>
        <w:numPr>
          <w:ilvl w:val="0"/>
          <w:numId w:val="110"/>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 xml:space="preserve">Fidélité des clients. </w:t>
      </w:r>
    </w:p>
    <w:p w14:paraId="4CDC2CA5" w14:textId="77777777" w:rsidR="007C5DB8" w:rsidRPr="00E2052F" w:rsidRDefault="007C5DB8" w:rsidP="00F36332">
      <w:pPr>
        <w:pStyle w:val="Paragraphedeliste"/>
        <w:numPr>
          <w:ilvl w:val="0"/>
          <w:numId w:val="110"/>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 xml:space="preserve">Qualité des produits et services. </w:t>
      </w:r>
    </w:p>
    <w:p w14:paraId="35A981EB" w14:textId="77777777" w:rsidR="005578D1" w:rsidRPr="00E2052F" w:rsidRDefault="007C5DB8" w:rsidP="00F36332">
      <w:pPr>
        <w:pStyle w:val="Paragraphedeliste"/>
        <w:numPr>
          <w:ilvl w:val="0"/>
          <w:numId w:val="110"/>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Sécurité des produits.</w:t>
      </w:r>
    </w:p>
    <w:p w14:paraId="42E9F541" w14:textId="77777777" w:rsidR="007C5DB8" w:rsidRPr="00E2052F" w:rsidRDefault="007C5DB8" w:rsidP="00F36332">
      <w:pPr>
        <w:pStyle w:val="Paragraphedeliste"/>
        <w:numPr>
          <w:ilvl w:val="0"/>
          <w:numId w:val="110"/>
        </w:numPr>
        <w:spacing w:before="0" w:beforeAutospacing="0"/>
        <w:ind w:left="986" w:hanging="340"/>
        <w:jc w:val="left"/>
        <w:rPr>
          <w:rFonts w:eastAsia="Times New Roman" w:cstheme="majorBidi"/>
          <w:sz w:val="22"/>
          <w:lang w:eastAsia="fr-FR"/>
        </w:rPr>
      </w:pPr>
      <w:r w:rsidRPr="00E2052F">
        <w:rPr>
          <w:rFonts w:cstheme="majorBidi"/>
          <w:sz w:val="22"/>
        </w:rPr>
        <w:lastRenderedPageBreak/>
        <w:t>Transparence commerciale.</w:t>
      </w:r>
    </w:p>
    <w:p w14:paraId="24729322"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Contribution socio-</w:t>
      </w:r>
      <w:r w:rsidR="005578D1" w:rsidRPr="00E2052F">
        <w:rPr>
          <w:rFonts w:asciiTheme="majorBidi" w:hAnsiTheme="majorBidi" w:cstheme="majorBidi"/>
          <w:b/>
          <w:bCs/>
          <w:sz w:val="22"/>
          <w:szCs w:val="22"/>
        </w:rPr>
        <w:t>économique :</w:t>
      </w:r>
    </w:p>
    <w:p w14:paraId="5A8354FE" w14:textId="77777777" w:rsidR="007C5DB8" w:rsidRPr="00E2052F" w:rsidRDefault="007C5DB8" w:rsidP="00F36332">
      <w:pPr>
        <w:pStyle w:val="Paragraphedeliste"/>
        <w:numPr>
          <w:ilvl w:val="0"/>
          <w:numId w:val="111"/>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Création d’emplois.</w:t>
      </w:r>
    </w:p>
    <w:p w14:paraId="7B6085B6" w14:textId="77777777" w:rsidR="007C5DB8" w:rsidRPr="00E2052F" w:rsidRDefault="007C5DB8" w:rsidP="00F36332">
      <w:pPr>
        <w:pStyle w:val="Paragraphedeliste"/>
        <w:numPr>
          <w:ilvl w:val="0"/>
          <w:numId w:val="111"/>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Développement local.</w:t>
      </w:r>
    </w:p>
    <w:p w14:paraId="40F69778" w14:textId="77777777" w:rsidR="007C5DB8" w:rsidRPr="00E2052F" w:rsidRDefault="007C5DB8" w:rsidP="00F36332">
      <w:pPr>
        <w:pStyle w:val="Paragraphedeliste"/>
        <w:numPr>
          <w:ilvl w:val="0"/>
          <w:numId w:val="111"/>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Investissements sociaux.</w:t>
      </w:r>
    </w:p>
    <w:p w14:paraId="4F1DB647" w14:textId="77777777" w:rsidR="005578D1" w:rsidRPr="00E2052F" w:rsidRDefault="007C5DB8" w:rsidP="00F36332">
      <w:pPr>
        <w:pStyle w:val="Paragraphedeliste"/>
        <w:numPr>
          <w:ilvl w:val="0"/>
          <w:numId w:val="111"/>
        </w:numPr>
        <w:spacing w:before="0" w:beforeAutospacing="0"/>
        <w:ind w:left="986" w:hanging="340"/>
        <w:jc w:val="left"/>
        <w:rPr>
          <w:rFonts w:eastAsia="Times New Roman" w:cstheme="majorBidi"/>
          <w:sz w:val="22"/>
          <w:lang w:eastAsia="fr-FR"/>
        </w:rPr>
      </w:pPr>
      <w:r w:rsidRPr="00E2052F">
        <w:rPr>
          <w:rFonts w:eastAsia="Times New Roman" w:cstheme="majorBidi"/>
          <w:sz w:val="22"/>
          <w:lang w:eastAsia="fr-FR"/>
        </w:rPr>
        <w:t>Participation à des projets communautaires.</w:t>
      </w:r>
    </w:p>
    <w:p w14:paraId="41E699E9" w14:textId="77777777" w:rsidR="007C5DB8" w:rsidRPr="00E2052F" w:rsidRDefault="007C5DB8" w:rsidP="00F36332">
      <w:pPr>
        <w:pStyle w:val="Paragraphedeliste"/>
        <w:numPr>
          <w:ilvl w:val="0"/>
          <w:numId w:val="111"/>
        </w:numPr>
        <w:spacing w:before="0" w:beforeAutospacing="0"/>
        <w:ind w:left="986" w:hanging="340"/>
        <w:jc w:val="left"/>
        <w:rPr>
          <w:rFonts w:eastAsia="Times New Roman" w:cstheme="majorBidi"/>
          <w:sz w:val="22"/>
          <w:lang w:eastAsia="fr-FR"/>
        </w:rPr>
      </w:pPr>
      <w:r w:rsidRPr="00E2052F">
        <w:rPr>
          <w:rFonts w:cstheme="majorBidi"/>
          <w:sz w:val="22"/>
        </w:rPr>
        <w:t>Impact territorial.</w:t>
      </w:r>
    </w:p>
    <w:p w14:paraId="46AB4A7F"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Conformité et éthique externe</w:t>
      </w:r>
      <w:r w:rsidR="005578D1" w:rsidRPr="00E2052F">
        <w:rPr>
          <w:rFonts w:asciiTheme="majorBidi" w:hAnsiTheme="majorBidi" w:cstheme="majorBidi"/>
          <w:b/>
          <w:bCs/>
          <w:sz w:val="22"/>
          <w:szCs w:val="22"/>
        </w:rPr>
        <w:t xml:space="preserve"> </w:t>
      </w:r>
      <w:r w:rsidRPr="00E2052F">
        <w:rPr>
          <w:rFonts w:asciiTheme="majorBidi" w:hAnsiTheme="majorBidi" w:cstheme="majorBidi"/>
          <w:b/>
          <w:bCs/>
          <w:sz w:val="22"/>
          <w:szCs w:val="22"/>
        </w:rPr>
        <w:t>:</w:t>
      </w:r>
    </w:p>
    <w:p w14:paraId="3455D596" w14:textId="77777777" w:rsidR="007C5DB8" w:rsidRPr="00E2052F" w:rsidRDefault="007C5DB8" w:rsidP="00F36332">
      <w:pPr>
        <w:pStyle w:val="Paragraphedeliste"/>
        <w:numPr>
          <w:ilvl w:val="0"/>
          <w:numId w:val="112"/>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 xml:space="preserve">Respect des lois et réglementations. </w:t>
      </w:r>
    </w:p>
    <w:p w14:paraId="5BEFA119" w14:textId="77777777" w:rsidR="007C5DB8" w:rsidRPr="00E2052F" w:rsidRDefault="007C5DB8" w:rsidP="00F36332">
      <w:pPr>
        <w:pStyle w:val="Paragraphedeliste"/>
        <w:numPr>
          <w:ilvl w:val="0"/>
          <w:numId w:val="112"/>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Conformité aux normes internationales.</w:t>
      </w:r>
    </w:p>
    <w:p w14:paraId="13043279" w14:textId="77777777" w:rsidR="007C5DB8" w:rsidRPr="00E2052F" w:rsidRDefault="007C5DB8" w:rsidP="00F36332">
      <w:pPr>
        <w:pStyle w:val="Paragraphedeliste"/>
        <w:numPr>
          <w:ilvl w:val="0"/>
          <w:numId w:val="112"/>
        </w:numPr>
        <w:spacing w:before="0" w:beforeAutospacing="0"/>
        <w:ind w:left="930" w:hanging="284"/>
        <w:jc w:val="left"/>
        <w:rPr>
          <w:rFonts w:eastAsia="Times New Roman" w:cstheme="majorBidi"/>
          <w:sz w:val="22"/>
          <w:lang w:eastAsia="fr-FR"/>
        </w:rPr>
      </w:pPr>
      <w:r w:rsidRPr="00E2052F">
        <w:rPr>
          <w:rFonts w:eastAsia="Times New Roman" w:cstheme="majorBidi"/>
          <w:sz w:val="22"/>
          <w:lang w:eastAsia="fr-FR"/>
        </w:rPr>
        <w:t>Pratiques commerciales responsables.</w:t>
      </w:r>
    </w:p>
    <w:p w14:paraId="2310FF23" w14:textId="77777777" w:rsidR="007C5DB8" w:rsidRPr="00E2052F" w:rsidRDefault="007C5DB8" w:rsidP="00F36332">
      <w:pPr>
        <w:pStyle w:val="Paragraphedeliste"/>
        <w:numPr>
          <w:ilvl w:val="0"/>
          <w:numId w:val="112"/>
        </w:numPr>
        <w:spacing w:before="0" w:beforeAutospacing="0"/>
        <w:ind w:left="930" w:hanging="284"/>
        <w:jc w:val="left"/>
        <w:rPr>
          <w:rFonts w:eastAsia="Times New Roman" w:cstheme="majorBidi"/>
          <w:sz w:val="22"/>
          <w:lang w:eastAsia="fr-FR"/>
        </w:rPr>
      </w:pPr>
      <w:r w:rsidRPr="00E2052F">
        <w:rPr>
          <w:rFonts w:cstheme="majorBidi"/>
          <w:sz w:val="22"/>
        </w:rPr>
        <w:t>Respect des droits humains dans la chaîne de valeur.</w:t>
      </w:r>
    </w:p>
    <w:p w14:paraId="5E189783" w14:textId="77777777" w:rsidR="007C5DB8" w:rsidRPr="00E2052F" w:rsidRDefault="007C5DB8" w:rsidP="00F36332">
      <w:pPr>
        <w:pStyle w:val="NormalWeb"/>
        <w:numPr>
          <w:ilvl w:val="2"/>
          <w:numId w:val="168"/>
        </w:numPr>
        <w:tabs>
          <w:tab w:val="left" w:pos="8043"/>
        </w:tabs>
        <w:spacing w:before="0" w:beforeAutospacing="0" w:line="360" w:lineRule="auto"/>
        <w:ind w:left="1134" w:hanging="567"/>
        <w:outlineLvl w:val="3"/>
        <w:rPr>
          <w:rFonts w:asciiTheme="majorBidi" w:eastAsiaTheme="minorHAnsi" w:hAnsiTheme="majorBidi" w:cstheme="majorBidi"/>
          <w:b/>
          <w:bCs/>
          <w:i/>
          <w:iCs/>
          <w:sz w:val="22"/>
          <w:szCs w:val="22"/>
          <w:lang w:eastAsia="en-US" w:bidi="ar-DZ"/>
        </w:rPr>
      </w:pPr>
      <w:bookmarkStart w:id="1001" w:name="_Toc231746912"/>
      <w:bookmarkStart w:id="1002" w:name="_Toc231752318"/>
      <w:bookmarkStart w:id="1003" w:name="_Toc231810621"/>
      <w:bookmarkStart w:id="1004" w:name="_Toc231811964"/>
      <w:bookmarkStart w:id="1005" w:name="_Toc231812242"/>
      <w:bookmarkStart w:id="1006" w:name="_Toc231815126"/>
      <w:r w:rsidRPr="00E2052F">
        <w:rPr>
          <w:rStyle w:val="Titre4Car"/>
          <w:rFonts w:asciiTheme="majorBidi" w:hAnsiTheme="majorBidi"/>
          <w:i w:val="0"/>
          <w:iCs w:val="0"/>
          <w:color w:val="auto"/>
          <w:sz w:val="22"/>
          <w:szCs w:val="22"/>
        </w:rPr>
        <w:t>Les indicateurs des parties prenantes</w:t>
      </w:r>
      <w:r w:rsidRPr="00CC69F0">
        <w:rPr>
          <w:rStyle w:val="Appelnotedebasdep"/>
          <w:rFonts w:asciiTheme="majorBidi" w:hAnsiTheme="majorBidi" w:cstheme="majorBidi"/>
          <w:b/>
          <w:bCs/>
          <w:sz w:val="22"/>
          <w:szCs w:val="22"/>
        </w:rPr>
        <w:footnoteReference w:id="228"/>
      </w:r>
      <w:r w:rsidRPr="00CC69F0">
        <w:rPr>
          <w:rFonts w:asciiTheme="majorBidi" w:hAnsiTheme="majorBidi" w:cstheme="majorBidi"/>
          <w:b/>
          <w:bCs/>
          <w:sz w:val="22"/>
          <w:szCs w:val="22"/>
        </w:rPr>
        <w:t> :</w:t>
      </w:r>
      <w:bookmarkEnd w:id="1001"/>
      <w:bookmarkEnd w:id="1002"/>
      <w:bookmarkEnd w:id="1003"/>
      <w:bookmarkEnd w:id="1004"/>
      <w:bookmarkEnd w:id="1005"/>
      <w:bookmarkEnd w:id="1006"/>
    </w:p>
    <w:p w14:paraId="70796676"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Les indicateurs des parties prenantes permettent d’évaluer la qualité des relations entretenues entre l’entreprise et l’ensemble des acteurs influencés directement ou indirectement par ses activités. Ils s’inscrivent dans une approche élargie de la performance, fondée sur la création de valeur partagée et la prise en compte des attentes des différentes parties </w:t>
      </w:r>
      <w:r w:rsidR="00EC4BCB" w:rsidRPr="00E2052F">
        <w:rPr>
          <w:rFonts w:asciiTheme="majorBidi" w:hAnsiTheme="majorBidi" w:cstheme="majorBidi"/>
          <w:sz w:val="22"/>
          <w:szCs w:val="22"/>
        </w:rPr>
        <w:t>prenantes. A</w:t>
      </w:r>
      <w:r w:rsidRPr="00E2052F">
        <w:rPr>
          <w:rFonts w:asciiTheme="majorBidi" w:hAnsiTheme="majorBidi" w:cstheme="majorBidi"/>
          <w:sz w:val="22"/>
          <w:szCs w:val="22"/>
        </w:rPr>
        <w:t xml:space="preserve"> ce titre l’</w:t>
      </w:r>
      <w:r w:rsidRPr="00E2052F">
        <w:rPr>
          <w:rStyle w:val="whitespace-normal"/>
          <w:rFonts w:asciiTheme="majorBidi" w:hAnsiTheme="majorBidi" w:cstheme="majorBidi"/>
          <w:sz w:val="22"/>
          <w:szCs w:val="22"/>
        </w:rPr>
        <w:t xml:space="preserve">organisation de coopération et de développement économiques </w:t>
      </w:r>
      <w:r w:rsidRPr="00E2052F">
        <w:rPr>
          <w:rFonts w:asciiTheme="majorBidi" w:hAnsiTheme="majorBidi" w:cstheme="majorBidi"/>
          <w:sz w:val="22"/>
          <w:szCs w:val="22"/>
        </w:rPr>
        <w:t xml:space="preserve">souligne que </w:t>
      </w:r>
      <w:r w:rsidRPr="00E2052F">
        <w:rPr>
          <w:rStyle w:val="lev"/>
          <w:rFonts w:asciiTheme="majorBidi" w:hAnsiTheme="majorBidi" w:cstheme="majorBidi"/>
          <w:b w:val="0"/>
          <w:bCs w:val="0"/>
          <w:sz w:val="22"/>
          <w:szCs w:val="22"/>
        </w:rPr>
        <w:t>« la bonne gouvernance d’entreprise repose sur un ensemble de relations entre la direction, le conseil d’administration, les actionnaires et les autres parties prenantes, et fournit la structure permettant de définir les objectifs de l’entreprise».</w:t>
      </w:r>
    </w:p>
    <w:p w14:paraId="7C5CAFF4"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eastAsiaTheme="minorHAnsi" w:hAnsiTheme="majorBidi" w:cstheme="majorBidi"/>
          <w:b/>
          <w:bCs/>
          <w:color w:val="000000"/>
          <w:sz w:val="22"/>
          <w:szCs w:val="22"/>
          <w:lang w:eastAsia="en-US" w:bidi="ar-DZ"/>
        </w:rPr>
      </w:pPr>
      <w:r w:rsidRPr="00E2052F">
        <w:rPr>
          <w:rFonts w:asciiTheme="majorBidi" w:eastAsiaTheme="minorHAnsi" w:hAnsiTheme="majorBidi" w:cstheme="majorBidi"/>
          <w:b/>
          <w:bCs/>
          <w:color w:val="000000"/>
          <w:sz w:val="22"/>
          <w:szCs w:val="22"/>
          <w:lang w:eastAsia="en-US" w:bidi="ar-DZ"/>
        </w:rPr>
        <w:t>Indicateurs pour les employés :</w:t>
      </w:r>
    </w:p>
    <w:p w14:paraId="0AD723D9"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eastAsiaTheme="minorHAnsi" w:hAnsiTheme="majorBidi" w:cstheme="majorBidi"/>
          <w:color w:val="000000"/>
          <w:sz w:val="22"/>
          <w:szCs w:val="22"/>
          <w:lang w:eastAsia="en-US" w:bidi="ar-DZ"/>
        </w:rPr>
        <w:t>La justice sociale est une préoccupation majeure pour les employés au sein des organisations. Élément fondamental de la responsabilité sociale des entreprises, elle se caractérise par la liberté, l'égalité et l'équité.</w:t>
      </w:r>
      <w:r w:rsidRPr="00E2052F">
        <w:rPr>
          <w:rFonts w:asciiTheme="majorBidi" w:hAnsiTheme="majorBidi" w:cstheme="majorBidi"/>
          <w:sz w:val="22"/>
          <w:szCs w:val="22"/>
        </w:rPr>
        <w:t xml:space="preserve">Dans le contexte des chantiers, les insuffisances en matière de santé et de sécurité au travail représentent un enjeu majeur nécessitant une attention prioritaire. Les employés accordent une importance particulière à des conditions de travail saines, sûres et de qualité, ainsi qu’aux opportunités de formation et de développement professionnel. À cet égard, le Système international de management de la santé et de la sécurité au travail (SMSHS-I) recommande aux organisations d’améliorer continuellement les conditions de travail en se conformant à la législation et à la réglementation en </w:t>
      </w:r>
      <w:r w:rsidRPr="00E2052F">
        <w:rPr>
          <w:rFonts w:asciiTheme="majorBidi" w:hAnsiTheme="majorBidi" w:cstheme="majorBidi"/>
          <w:sz w:val="22"/>
          <w:szCs w:val="22"/>
        </w:rPr>
        <w:lastRenderedPageBreak/>
        <w:t>vigueur, en mettant à disposition les équipements et infrastructures nécessaires, et en assurant une formation appropriée aux travailleurs intervenant sur les chantiers.</w:t>
      </w:r>
      <w:r w:rsidR="00FC536F">
        <w:rPr>
          <w:rStyle w:val="Appelnotedebasdep"/>
          <w:rFonts w:asciiTheme="majorBidi" w:hAnsiTheme="majorBidi" w:cstheme="majorBidi"/>
          <w:sz w:val="22"/>
          <w:szCs w:val="22"/>
        </w:rPr>
        <w:footnoteReference w:id="229"/>
      </w:r>
    </w:p>
    <w:p w14:paraId="7A86E736" w14:textId="77777777" w:rsidR="007C5DB8" w:rsidRPr="00E2052F" w:rsidRDefault="007C5DB8" w:rsidP="00523C93">
      <w:pPr>
        <w:pStyle w:val="NormalWeb"/>
        <w:tabs>
          <w:tab w:val="left" w:pos="8043"/>
        </w:tabs>
        <w:spacing w:before="0" w:beforeAutospacing="0" w:line="360" w:lineRule="auto"/>
        <w:rPr>
          <w:rFonts w:asciiTheme="majorBidi" w:eastAsiaTheme="minorHAnsi" w:hAnsiTheme="majorBidi" w:cstheme="majorBidi"/>
          <w:b/>
          <w:bCs/>
          <w:color w:val="000000"/>
          <w:sz w:val="22"/>
          <w:szCs w:val="22"/>
          <w:lang w:eastAsia="en-US" w:bidi="ar-DZ"/>
        </w:rPr>
      </w:pPr>
      <w:r w:rsidRPr="00E2052F">
        <w:rPr>
          <w:rFonts w:asciiTheme="majorBidi" w:eastAsiaTheme="minorHAnsi" w:hAnsiTheme="majorBidi" w:cstheme="majorBidi"/>
          <w:b/>
          <w:bCs/>
          <w:color w:val="000000"/>
          <w:sz w:val="22"/>
          <w:szCs w:val="22"/>
          <w:u w:val="single"/>
          <w:lang w:eastAsia="en-US" w:bidi="ar-DZ"/>
        </w:rPr>
        <w:t>Tableau 03 :</w:t>
      </w:r>
      <w:r w:rsidRPr="00E2052F">
        <w:rPr>
          <w:rFonts w:asciiTheme="majorBidi" w:eastAsiaTheme="minorHAnsi" w:hAnsiTheme="majorBidi" w:cstheme="majorBidi"/>
          <w:b/>
          <w:bCs/>
          <w:color w:val="000000"/>
          <w:sz w:val="22"/>
          <w:szCs w:val="22"/>
          <w:lang w:eastAsia="en-US" w:bidi="ar-DZ"/>
        </w:rPr>
        <w:t xml:space="preserve"> Indicateurs RSE liés aux employés.</w:t>
      </w:r>
    </w:p>
    <w:tbl>
      <w:tblPr>
        <w:tblStyle w:val="Grilledutableau"/>
        <w:tblW w:w="9060" w:type="dxa"/>
        <w:jc w:val="center"/>
        <w:tblLayout w:type="fixed"/>
        <w:tblLook w:val="04A0" w:firstRow="1" w:lastRow="0" w:firstColumn="1" w:lastColumn="0" w:noHBand="0" w:noVBand="1"/>
      </w:tblPr>
      <w:tblGrid>
        <w:gridCol w:w="3397"/>
        <w:gridCol w:w="5663"/>
      </w:tblGrid>
      <w:tr w:rsidR="007C5DB8" w:rsidRPr="00531CA5" w14:paraId="33B689FD" w14:textId="77777777" w:rsidTr="005578D1">
        <w:trPr>
          <w:jc w:val="center"/>
        </w:trPr>
        <w:tc>
          <w:tcPr>
            <w:tcW w:w="3397" w:type="dxa"/>
            <w:shd w:val="clear" w:color="auto" w:fill="D9E2F3" w:themeFill="accent1" w:themeFillTint="33"/>
          </w:tcPr>
          <w:p w14:paraId="24610957"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Style w:val="citation-362"/>
                <w:rFonts w:asciiTheme="majorBidi" w:eastAsiaTheme="majorEastAsia" w:hAnsiTheme="majorBidi" w:cstheme="majorBidi"/>
                <w:b/>
                <w:bCs/>
                <w:sz w:val="20"/>
                <w:szCs w:val="20"/>
              </w:rPr>
              <w:t>Questions relatives aux performances en</w:t>
            </w:r>
            <w:r w:rsidRPr="00531CA5">
              <w:rPr>
                <w:rFonts w:asciiTheme="majorBidi" w:hAnsiTheme="majorBidi" w:cstheme="majorBidi"/>
                <w:b/>
                <w:bCs/>
                <w:sz w:val="20"/>
                <w:szCs w:val="20"/>
              </w:rPr>
              <w:t xml:space="preserve"> matière de RSE</w:t>
            </w:r>
          </w:p>
        </w:tc>
        <w:tc>
          <w:tcPr>
            <w:tcW w:w="5663" w:type="dxa"/>
            <w:shd w:val="clear" w:color="auto" w:fill="D9E2F3" w:themeFill="accent1" w:themeFillTint="33"/>
          </w:tcPr>
          <w:p w14:paraId="39B018DC"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b/>
                <w:bCs/>
                <w:sz w:val="20"/>
                <w:szCs w:val="20"/>
              </w:rPr>
              <w:t>Indicateurs RSE</w:t>
            </w:r>
          </w:p>
        </w:tc>
      </w:tr>
      <w:tr w:rsidR="007C5DB8" w:rsidRPr="00531CA5" w14:paraId="31F509B1" w14:textId="77777777" w:rsidTr="005578D1">
        <w:trPr>
          <w:jc w:val="center"/>
        </w:trPr>
        <w:tc>
          <w:tcPr>
            <w:tcW w:w="3397" w:type="dxa"/>
            <w:shd w:val="clear" w:color="auto" w:fill="D9E2F3" w:themeFill="accent1" w:themeFillTint="33"/>
          </w:tcPr>
          <w:p w14:paraId="7CD86F1F"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Santé et sécurité au travail</w:t>
            </w:r>
          </w:p>
        </w:tc>
        <w:tc>
          <w:tcPr>
            <w:tcW w:w="5663" w:type="dxa"/>
          </w:tcPr>
          <w:p w14:paraId="162BEBA7"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Environnement de travail sûr ;</w:t>
            </w:r>
          </w:p>
          <w:p w14:paraId="2DFC3505"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 xml:space="preserve">Formation et sensibilisation </w:t>
            </w:r>
            <w:r w:rsidR="00FC536F" w:rsidRPr="00531CA5">
              <w:rPr>
                <w:rFonts w:eastAsia="Times New Roman" w:cstheme="majorBidi"/>
                <w:sz w:val="20"/>
                <w:szCs w:val="20"/>
                <w:lang w:eastAsia="fr-FR"/>
              </w:rPr>
              <w:t>à</w:t>
            </w:r>
            <w:r w:rsidRPr="00531CA5">
              <w:rPr>
                <w:rFonts w:eastAsia="Times New Roman" w:cstheme="majorBidi"/>
                <w:sz w:val="20"/>
                <w:szCs w:val="20"/>
                <w:lang w:eastAsia="fr-FR"/>
              </w:rPr>
              <w:t xml:space="preserve"> la santé et sécurité ;</w:t>
            </w:r>
          </w:p>
          <w:p w14:paraId="3F8AC201"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Accès aux installations essentielles ;</w:t>
            </w:r>
          </w:p>
          <w:p w14:paraId="49417B40"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Réduction des risques de conception ;</w:t>
            </w:r>
          </w:p>
          <w:p w14:paraId="70222CC0"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Entretien des équipements réguliers ;</w:t>
            </w:r>
          </w:p>
          <w:p w14:paraId="6A1BAE2B"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Gestion des urgences efficace ;</w:t>
            </w:r>
          </w:p>
          <w:p w14:paraId="42F5A188"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Inspections régulières du travail ;</w:t>
            </w:r>
          </w:p>
          <w:p w14:paraId="6442A630"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Contrôles médicaux périodiques ;</w:t>
            </w:r>
          </w:p>
          <w:p w14:paraId="6BEE59B9" w14:textId="77777777" w:rsidR="007C5DB8" w:rsidRPr="00531CA5" w:rsidRDefault="007C5DB8" w:rsidP="00F36332">
            <w:pPr>
              <w:pStyle w:val="Paragraphedeliste"/>
              <w:numPr>
                <w:ilvl w:val="0"/>
                <w:numId w:val="130"/>
              </w:numPr>
              <w:spacing w:before="0" w:beforeAutospacing="0" w:after="160" w:line="360" w:lineRule="auto"/>
              <w:ind w:left="0" w:firstLine="284"/>
              <w:jc w:val="left"/>
              <w:rPr>
                <w:rFonts w:eastAsia="Times New Roman" w:cstheme="majorBidi"/>
                <w:sz w:val="20"/>
                <w:szCs w:val="20"/>
                <w:lang w:eastAsia="fr-FR"/>
              </w:rPr>
            </w:pPr>
            <w:r w:rsidRPr="00531CA5">
              <w:rPr>
                <w:rFonts w:cstheme="majorBidi"/>
                <w:sz w:val="20"/>
                <w:szCs w:val="20"/>
              </w:rPr>
              <w:t>Participation des représentants salariés.</w:t>
            </w:r>
          </w:p>
        </w:tc>
      </w:tr>
      <w:tr w:rsidR="007C5DB8" w:rsidRPr="00531CA5" w14:paraId="06E876C6" w14:textId="77777777" w:rsidTr="005578D1">
        <w:trPr>
          <w:jc w:val="center"/>
        </w:trPr>
        <w:tc>
          <w:tcPr>
            <w:tcW w:w="3397" w:type="dxa"/>
            <w:shd w:val="clear" w:color="auto" w:fill="D9E2F3" w:themeFill="accent1" w:themeFillTint="33"/>
          </w:tcPr>
          <w:p w14:paraId="20818BF7"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Heures de travail et temps de repos légaux</w:t>
            </w:r>
          </w:p>
        </w:tc>
        <w:tc>
          <w:tcPr>
            <w:tcW w:w="5663" w:type="dxa"/>
          </w:tcPr>
          <w:p w14:paraId="24E35335" w14:textId="77777777" w:rsidR="007C5DB8" w:rsidRPr="00531CA5" w:rsidRDefault="007C5DB8" w:rsidP="00F36332">
            <w:pPr>
              <w:pStyle w:val="Paragraphedeliste"/>
              <w:numPr>
                <w:ilvl w:val="0"/>
                <w:numId w:val="131"/>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Respect de la réglementation des heures de travail ;</w:t>
            </w:r>
          </w:p>
          <w:p w14:paraId="3FFBCEE1" w14:textId="77777777" w:rsidR="007C5DB8" w:rsidRPr="00531CA5" w:rsidRDefault="007C5DB8" w:rsidP="00F36332">
            <w:pPr>
              <w:pStyle w:val="Paragraphedeliste"/>
              <w:numPr>
                <w:ilvl w:val="0"/>
                <w:numId w:val="131"/>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Attribution d’horaires adaptés au type de travail ;</w:t>
            </w:r>
          </w:p>
          <w:p w14:paraId="3A3C512D" w14:textId="77777777" w:rsidR="005578D1" w:rsidRPr="00531CA5" w:rsidRDefault="007C5DB8" w:rsidP="00F36332">
            <w:pPr>
              <w:pStyle w:val="Paragraphedeliste"/>
              <w:numPr>
                <w:ilvl w:val="0"/>
                <w:numId w:val="131"/>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Gestion du dépassement hebdomadaire de travail ;</w:t>
            </w:r>
          </w:p>
          <w:p w14:paraId="3702F11B" w14:textId="77777777" w:rsidR="007C5DB8" w:rsidRPr="00531CA5" w:rsidRDefault="005578D1" w:rsidP="00F36332">
            <w:pPr>
              <w:pStyle w:val="Paragraphedeliste"/>
              <w:numPr>
                <w:ilvl w:val="0"/>
                <w:numId w:val="131"/>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S</w:t>
            </w:r>
            <w:r w:rsidR="007C5DB8" w:rsidRPr="00531CA5">
              <w:rPr>
                <w:rFonts w:cstheme="majorBidi"/>
                <w:sz w:val="20"/>
                <w:szCs w:val="20"/>
              </w:rPr>
              <w:t>uivi de la durée moyenne de travail hebdomadaire.</w:t>
            </w:r>
          </w:p>
        </w:tc>
      </w:tr>
      <w:tr w:rsidR="007C5DB8" w:rsidRPr="00531CA5" w14:paraId="0606D9A2" w14:textId="77777777" w:rsidTr="005578D1">
        <w:trPr>
          <w:jc w:val="center"/>
        </w:trPr>
        <w:tc>
          <w:tcPr>
            <w:tcW w:w="3397" w:type="dxa"/>
            <w:shd w:val="clear" w:color="auto" w:fill="D9E2F3" w:themeFill="accent1" w:themeFillTint="33"/>
          </w:tcPr>
          <w:p w14:paraId="1F2134DE"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Salaires et protection sociale</w:t>
            </w:r>
          </w:p>
        </w:tc>
        <w:tc>
          <w:tcPr>
            <w:tcW w:w="5663" w:type="dxa"/>
          </w:tcPr>
          <w:p w14:paraId="57F5DF32"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Garantir le salaire minimum professionnel ;</w:t>
            </w:r>
          </w:p>
          <w:p w14:paraId="0E8063FF"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Sensibiliser aux composantes du salaire ;</w:t>
            </w:r>
          </w:p>
          <w:p w14:paraId="6E88F783"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Interdire les retenues disciplinaires salariales ;</w:t>
            </w:r>
          </w:p>
          <w:p w14:paraId="178C608B"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Assurer le paiement sans retard ;</w:t>
            </w:r>
          </w:p>
          <w:p w14:paraId="7F606306"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Respecter les cotisations sociales obligatoires ;</w:t>
            </w:r>
          </w:p>
          <w:p w14:paraId="2FC3D5AA"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Améliorer le bien-être du personnel ;</w:t>
            </w:r>
          </w:p>
          <w:p w14:paraId="06E8B799" w14:textId="77777777" w:rsidR="007C5DB8" w:rsidRPr="00531CA5" w:rsidRDefault="007C5DB8" w:rsidP="00F36332">
            <w:pPr>
              <w:pStyle w:val="Paragraphedeliste"/>
              <w:numPr>
                <w:ilvl w:val="0"/>
                <w:numId w:val="132"/>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Verser des indemnités spécifiques ;</w:t>
            </w:r>
          </w:p>
          <w:p w14:paraId="28D81E15" w14:textId="77777777" w:rsidR="007C5DB8" w:rsidRPr="00531CA5" w:rsidRDefault="007C5DB8" w:rsidP="00F36332">
            <w:pPr>
              <w:pStyle w:val="NormalWeb"/>
              <w:numPr>
                <w:ilvl w:val="0"/>
                <w:numId w:val="132"/>
              </w:numPr>
              <w:tabs>
                <w:tab w:val="left" w:pos="8043"/>
              </w:tabs>
              <w:spacing w:before="0" w:beforeAutospacing="0" w:after="160" w:line="360" w:lineRule="auto"/>
              <w:ind w:left="0" w:firstLine="284"/>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Rémunérer les heures supplémentaires.</w:t>
            </w:r>
          </w:p>
        </w:tc>
      </w:tr>
      <w:tr w:rsidR="007C5DB8" w:rsidRPr="00531CA5" w14:paraId="3D7A5890" w14:textId="77777777" w:rsidTr="005578D1">
        <w:trPr>
          <w:jc w:val="center"/>
        </w:trPr>
        <w:tc>
          <w:tcPr>
            <w:tcW w:w="3397" w:type="dxa"/>
            <w:shd w:val="clear" w:color="auto" w:fill="D9E2F3" w:themeFill="accent1" w:themeFillTint="33"/>
          </w:tcPr>
          <w:p w14:paraId="4FD7D2B3"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Emploi du personnel</w:t>
            </w:r>
          </w:p>
        </w:tc>
        <w:tc>
          <w:tcPr>
            <w:tcW w:w="5663" w:type="dxa"/>
          </w:tcPr>
          <w:p w14:paraId="25BAF55F" w14:textId="77777777" w:rsidR="007C5DB8" w:rsidRPr="00531CA5" w:rsidRDefault="007C5DB8" w:rsidP="00F36332">
            <w:pPr>
              <w:pStyle w:val="Paragraphedeliste"/>
              <w:numPr>
                <w:ilvl w:val="0"/>
                <w:numId w:val="133"/>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Offrir des emplois équitables et justes ;</w:t>
            </w:r>
          </w:p>
          <w:p w14:paraId="1063F6E9" w14:textId="77777777" w:rsidR="007C5DB8" w:rsidRPr="00531CA5" w:rsidRDefault="007C5DB8" w:rsidP="00F36332">
            <w:pPr>
              <w:pStyle w:val="Paragraphedeliste"/>
              <w:numPr>
                <w:ilvl w:val="0"/>
                <w:numId w:val="133"/>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Tous les employés disposent de contrats officiels ;</w:t>
            </w:r>
          </w:p>
          <w:p w14:paraId="6604015D" w14:textId="77777777" w:rsidR="005578D1" w:rsidRPr="00531CA5" w:rsidRDefault="007C5DB8" w:rsidP="00F36332">
            <w:pPr>
              <w:pStyle w:val="Paragraphedeliste"/>
              <w:numPr>
                <w:ilvl w:val="0"/>
                <w:numId w:val="133"/>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Respecter l’interdiction du travail des enfants ;</w:t>
            </w:r>
          </w:p>
          <w:p w14:paraId="42B539E2" w14:textId="77777777" w:rsidR="007C5DB8" w:rsidRPr="00531CA5" w:rsidRDefault="005578D1" w:rsidP="00F36332">
            <w:pPr>
              <w:pStyle w:val="Paragraphedeliste"/>
              <w:numPr>
                <w:ilvl w:val="0"/>
                <w:numId w:val="133"/>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M</w:t>
            </w:r>
            <w:r w:rsidR="007C5DB8" w:rsidRPr="00531CA5">
              <w:rPr>
                <w:rFonts w:cstheme="majorBidi"/>
                <w:sz w:val="20"/>
                <w:szCs w:val="20"/>
              </w:rPr>
              <w:t>ettre en place une politique RH attractive et durable.</w:t>
            </w:r>
          </w:p>
        </w:tc>
      </w:tr>
      <w:tr w:rsidR="007C5DB8" w:rsidRPr="00531CA5" w14:paraId="7FDAB590" w14:textId="77777777" w:rsidTr="005578D1">
        <w:trPr>
          <w:jc w:val="center"/>
        </w:trPr>
        <w:tc>
          <w:tcPr>
            <w:tcW w:w="3397" w:type="dxa"/>
            <w:shd w:val="clear" w:color="auto" w:fill="D9E2F3" w:themeFill="accent1" w:themeFillTint="33"/>
          </w:tcPr>
          <w:p w14:paraId="19A44E67"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Éducation et formation</w:t>
            </w:r>
          </w:p>
        </w:tc>
        <w:tc>
          <w:tcPr>
            <w:tcW w:w="5663" w:type="dxa"/>
          </w:tcPr>
          <w:p w14:paraId="4F6080D6" w14:textId="77777777" w:rsidR="007C5DB8" w:rsidRPr="00531CA5" w:rsidRDefault="007C5DB8" w:rsidP="00F36332">
            <w:pPr>
              <w:pStyle w:val="Paragraphedeliste"/>
              <w:numPr>
                <w:ilvl w:val="0"/>
                <w:numId w:val="134"/>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Formation sur le poste de travail ;</w:t>
            </w:r>
          </w:p>
          <w:p w14:paraId="443B6D28" w14:textId="77777777" w:rsidR="007C5DB8" w:rsidRPr="00531CA5" w:rsidRDefault="007C5DB8" w:rsidP="00F36332">
            <w:pPr>
              <w:pStyle w:val="Paragraphedeliste"/>
              <w:numPr>
                <w:ilvl w:val="0"/>
                <w:numId w:val="134"/>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lastRenderedPageBreak/>
              <w:t>Connaissance des règles et valeurs de l’entreprise ;</w:t>
            </w:r>
          </w:p>
          <w:p w14:paraId="36D76216" w14:textId="77777777" w:rsidR="007C5DB8" w:rsidRPr="00531CA5" w:rsidRDefault="007C5DB8" w:rsidP="00F36332">
            <w:pPr>
              <w:pStyle w:val="NormalWeb"/>
              <w:numPr>
                <w:ilvl w:val="0"/>
                <w:numId w:val="134"/>
              </w:numPr>
              <w:tabs>
                <w:tab w:val="left" w:pos="8043"/>
              </w:tabs>
              <w:spacing w:before="0" w:beforeAutospacing="0" w:after="160" w:line="360" w:lineRule="auto"/>
              <w:ind w:left="0" w:firstLine="284"/>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Plan d’orientation professionnelle des travailleurs.</w:t>
            </w:r>
          </w:p>
        </w:tc>
      </w:tr>
      <w:tr w:rsidR="007C5DB8" w:rsidRPr="00531CA5" w14:paraId="723BD641" w14:textId="77777777" w:rsidTr="005578D1">
        <w:trPr>
          <w:jc w:val="center"/>
        </w:trPr>
        <w:tc>
          <w:tcPr>
            <w:tcW w:w="3397" w:type="dxa"/>
            <w:shd w:val="clear" w:color="auto" w:fill="D9E2F3" w:themeFill="accent1" w:themeFillTint="33"/>
          </w:tcPr>
          <w:p w14:paraId="047451C6"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lastRenderedPageBreak/>
              <w:t>Liberté d'association et de négociation</w:t>
            </w:r>
          </w:p>
        </w:tc>
        <w:tc>
          <w:tcPr>
            <w:tcW w:w="5663" w:type="dxa"/>
          </w:tcPr>
          <w:p w14:paraId="7D71C12A" w14:textId="77777777" w:rsidR="007C5DB8" w:rsidRPr="00531CA5" w:rsidRDefault="007C5DB8" w:rsidP="00F36332">
            <w:pPr>
              <w:pStyle w:val="Paragraphedeliste"/>
              <w:numPr>
                <w:ilvl w:val="0"/>
                <w:numId w:val="135"/>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 xml:space="preserve">Droit d’association et liberté syndicale ;  </w:t>
            </w:r>
          </w:p>
          <w:p w14:paraId="100C56DB" w14:textId="77777777" w:rsidR="007C5DB8" w:rsidRPr="00531CA5" w:rsidRDefault="007C5DB8" w:rsidP="00F36332">
            <w:pPr>
              <w:pStyle w:val="Paragraphedeliste"/>
              <w:numPr>
                <w:ilvl w:val="0"/>
                <w:numId w:val="135"/>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Système confidentiel de gestion des plaintes ;</w:t>
            </w:r>
          </w:p>
          <w:p w14:paraId="446CC6EE" w14:textId="77777777" w:rsidR="007C5DB8" w:rsidRPr="00531CA5" w:rsidRDefault="007C5DB8" w:rsidP="00F36332">
            <w:pPr>
              <w:pStyle w:val="Paragraphedeliste"/>
              <w:numPr>
                <w:ilvl w:val="0"/>
                <w:numId w:val="135"/>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Négociation des avantages avec syndicats ;</w:t>
            </w:r>
          </w:p>
          <w:p w14:paraId="1C187B38" w14:textId="77777777" w:rsidR="007C5DB8" w:rsidRPr="00531CA5" w:rsidRDefault="007C5DB8" w:rsidP="00F36332">
            <w:pPr>
              <w:pStyle w:val="NormalWeb"/>
              <w:numPr>
                <w:ilvl w:val="0"/>
                <w:numId w:val="135"/>
              </w:numPr>
              <w:tabs>
                <w:tab w:val="left" w:pos="8043"/>
              </w:tabs>
              <w:spacing w:before="0" w:beforeAutospacing="0" w:after="160" w:line="360" w:lineRule="auto"/>
              <w:ind w:left="0" w:firstLine="284"/>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Procédure efficace de traitement des plaintes.</w:t>
            </w:r>
          </w:p>
        </w:tc>
      </w:tr>
      <w:tr w:rsidR="007C5DB8" w:rsidRPr="00531CA5" w14:paraId="2A017E0A" w14:textId="77777777" w:rsidTr="005578D1">
        <w:trPr>
          <w:jc w:val="center"/>
        </w:trPr>
        <w:tc>
          <w:tcPr>
            <w:tcW w:w="3397" w:type="dxa"/>
            <w:shd w:val="clear" w:color="auto" w:fill="D9E2F3" w:themeFill="accent1" w:themeFillTint="33"/>
          </w:tcPr>
          <w:p w14:paraId="7C975D51" w14:textId="77777777" w:rsidR="007C5DB8" w:rsidRPr="00531CA5" w:rsidRDefault="007C5DB8" w:rsidP="003D28B1">
            <w:pPr>
              <w:pStyle w:val="NormalWeb"/>
              <w:tabs>
                <w:tab w:val="left" w:pos="8043"/>
              </w:tabs>
              <w:spacing w:before="0" w:beforeAutospacing="0" w:after="160" w:line="360" w:lineRule="auto"/>
              <w:rPr>
                <w:rFonts w:asciiTheme="majorBidi" w:eastAsiaTheme="minorHAnsi" w:hAnsiTheme="majorBidi" w:cstheme="majorBidi"/>
                <w:b/>
                <w:bCs/>
                <w:color w:val="000000"/>
                <w:sz w:val="20"/>
                <w:szCs w:val="20"/>
                <w:lang w:eastAsia="en-US" w:bidi="ar-DZ"/>
              </w:rPr>
            </w:pPr>
            <w:r w:rsidRPr="00531CA5">
              <w:rPr>
                <w:rFonts w:asciiTheme="majorBidi" w:hAnsiTheme="majorBidi" w:cstheme="majorBidi"/>
                <w:sz w:val="20"/>
                <w:szCs w:val="20"/>
              </w:rPr>
              <w:t>Relations harmonieuses entre les travailleurs et la direction</w:t>
            </w:r>
          </w:p>
        </w:tc>
        <w:tc>
          <w:tcPr>
            <w:tcW w:w="5663" w:type="dxa"/>
          </w:tcPr>
          <w:p w14:paraId="55E3E73B" w14:textId="77777777" w:rsidR="007C5DB8" w:rsidRPr="00531CA5" w:rsidRDefault="007C5DB8" w:rsidP="00F36332">
            <w:pPr>
              <w:pStyle w:val="Paragraphedeliste"/>
              <w:numPr>
                <w:ilvl w:val="0"/>
                <w:numId w:val="136"/>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Participation des salariés aux décisions ;</w:t>
            </w:r>
          </w:p>
          <w:p w14:paraId="232AB78C" w14:textId="77777777" w:rsidR="007C5DB8" w:rsidRPr="00531CA5" w:rsidRDefault="007C5DB8" w:rsidP="00F36332">
            <w:pPr>
              <w:pStyle w:val="Paragraphedeliste"/>
              <w:numPr>
                <w:ilvl w:val="0"/>
                <w:numId w:val="136"/>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Canaux d’information sur les changements internes ;</w:t>
            </w:r>
          </w:p>
          <w:p w14:paraId="38D04C07" w14:textId="77777777" w:rsidR="007C5DB8" w:rsidRPr="00531CA5" w:rsidRDefault="007C5DB8" w:rsidP="00F36332">
            <w:pPr>
              <w:pStyle w:val="Paragraphedeliste"/>
              <w:numPr>
                <w:ilvl w:val="0"/>
                <w:numId w:val="136"/>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 xml:space="preserve"> Soutien aux employés en difficulté personnelle.</w:t>
            </w:r>
          </w:p>
        </w:tc>
      </w:tr>
      <w:tr w:rsidR="007C5DB8" w:rsidRPr="00531CA5" w14:paraId="24BEEFFB" w14:textId="77777777" w:rsidTr="005578D1">
        <w:trPr>
          <w:jc w:val="center"/>
        </w:trPr>
        <w:tc>
          <w:tcPr>
            <w:tcW w:w="3397" w:type="dxa"/>
            <w:shd w:val="clear" w:color="auto" w:fill="D9E2F3" w:themeFill="accent1" w:themeFillTint="33"/>
          </w:tcPr>
          <w:p w14:paraId="164D02C7" w14:textId="77777777" w:rsidR="007C5DB8" w:rsidRPr="00531CA5" w:rsidRDefault="007C5DB8" w:rsidP="003D28B1">
            <w:pPr>
              <w:pStyle w:val="NormalWeb"/>
              <w:tabs>
                <w:tab w:val="left" w:pos="8043"/>
              </w:tabs>
              <w:spacing w:before="0" w:beforeAutospacing="0" w:after="160" w:line="360" w:lineRule="auto"/>
              <w:rPr>
                <w:rFonts w:asciiTheme="majorBidi" w:hAnsiTheme="majorBidi" w:cstheme="majorBidi"/>
                <w:sz w:val="20"/>
                <w:szCs w:val="20"/>
              </w:rPr>
            </w:pPr>
            <w:r w:rsidRPr="00531CA5">
              <w:rPr>
                <w:rFonts w:asciiTheme="majorBidi" w:hAnsiTheme="majorBidi" w:cstheme="majorBidi"/>
                <w:sz w:val="20"/>
                <w:szCs w:val="20"/>
              </w:rPr>
              <w:t>Mesures relatives aux droits de l'homme</w:t>
            </w:r>
          </w:p>
        </w:tc>
        <w:tc>
          <w:tcPr>
            <w:tcW w:w="5663" w:type="dxa"/>
          </w:tcPr>
          <w:p w14:paraId="2370482A" w14:textId="77777777" w:rsidR="007C5DB8" w:rsidRPr="00531CA5"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Respect des croyances et droits des employés ;</w:t>
            </w:r>
          </w:p>
          <w:p w14:paraId="258D2BC1" w14:textId="77777777" w:rsidR="007C5DB8" w:rsidRPr="00531CA5"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Interdiction du harcèlement et des abus ;</w:t>
            </w:r>
          </w:p>
          <w:p w14:paraId="33D4634E" w14:textId="77777777" w:rsidR="007C5DB8" w:rsidRPr="00531CA5"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Interdiction du travail forcé ou excessif ;</w:t>
            </w:r>
          </w:p>
          <w:p w14:paraId="75F27928" w14:textId="77777777" w:rsidR="007C5DB8" w:rsidRPr="00531CA5"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Mise en place de politiques droits humains ;</w:t>
            </w:r>
          </w:p>
          <w:p w14:paraId="721EDADB" w14:textId="77777777" w:rsidR="007C5DB8" w:rsidRPr="00531CA5"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0"/>
                <w:szCs w:val="20"/>
                <w:lang w:eastAsia="fr-FR"/>
              </w:rPr>
            </w:pPr>
            <w:r w:rsidRPr="00531CA5">
              <w:rPr>
                <w:rFonts w:eastAsia="Times New Roman" w:cstheme="majorBidi"/>
                <w:sz w:val="20"/>
                <w:szCs w:val="20"/>
                <w:lang w:eastAsia="fr-FR"/>
              </w:rPr>
              <w:t>Environnement adaptés aux employés.</w:t>
            </w:r>
          </w:p>
        </w:tc>
      </w:tr>
    </w:tbl>
    <w:p w14:paraId="4C0943BA" w14:textId="77777777" w:rsidR="007C5DB8" w:rsidRPr="00EC4BCB" w:rsidRDefault="00523C93" w:rsidP="00EC4BCB">
      <w:pPr>
        <w:pStyle w:val="NormalWeb"/>
        <w:tabs>
          <w:tab w:val="left" w:pos="8043"/>
        </w:tabs>
        <w:spacing w:before="0" w:beforeAutospacing="0" w:line="360" w:lineRule="auto"/>
        <w:jc w:val="center"/>
        <w:rPr>
          <w:rFonts w:asciiTheme="majorBidi" w:eastAsiaTheme="minorHAnsi" w:hAnsiTheme="majorBidi" w:cstheme="majorBidi"/>
          <w:color w:val="000000"/>
          <w:sz w:val="20"/>
          <w:szCs w:val="20"/>
          <w:lang w:eastAsia="en-US" w:bidi="ar-DZ"/>
        </w:rPr>
      </w:pPr>
      <w:r w:rsidRPr="00EC4BCB">
        <w:rPr>
          <w:rFonts w:asciiTheme="majorBidi" w:eastAsiaTheme="minorHAnsi" w:hAnsiTheme="majorBidi" w:cstheme="majorBidi"/>
          <w:b/>
          <w:bCs/>
          <w:color w:val="000000"/>
          <w:sz w:val="20"/>
          <w:szCs w:val="20"/>
          <w:lang w:eastAsia="en-US" w:bidi="ar-DZ"/>
        </w:rPr>
        <w:t>Source </w:t>
      </w:r>
      <w:r w:rsidR="00EC4BCB" w:rsidRPr="00EC4BCB">
        <w:rPr>
          <w:rFonts w:asciiTheme="majorBidi" w:eastAsiaTheme="minorHAnsi" w:hAnsiTheme="majorBidi" w:cstheme="majorBidi"/>
          <w:b/>
          <w:bCs/>
          <w:color w:val="000000"/>
          <w:sz w:val="20"/>
          <w:szCs w:val="20"/>
          <w:lang w:eastAsia="en-US" w:bidi="ar-DZ"/>
        </w:rPr>
        <w:t>:</w:t>
      </w:r>
      <w:r w:rsidR="000036D1">
        <w:rPr>
          <w:rFonts w:asciiTheme="majorBidi" w:eastAsiaTheme="minorHAnsi" w:hAnsiTheme="majorBidi" w:cstheme="majorBidi"/>
          <w:color w:val="000000"/>
          <w:sz w:val="20"/>
          <w:szCs w:val="20"/>
          <w:lang w:eastAsia="en-US" w:bidi="ar-DZ"/>
        </w:rPr>
        <w:t xml:space="preserve"> élaboré</w:t>
      </w:r>
      <w:r w:rsidR="00EC4BCB" w:rsidRPr="00EC4BCB">
        <w:rPr>
          <w:rFonts w:asciiTheme="majorBidi" w:eastAsiaTheme="minorHAnsi" w:hAnsiTheme="majorBidi" w:cstheme="majorBidi"/>
          <w:color w:val="000000"/>
          <w:sz w:val="20"/>
          <w:szCs w:val="20"/>
          <w:lang w:eastAsia="en-US" w:bidi="ar-DZ"/>
        </w:rPr>
        <w:t xml:space="preserve"> par nous-mêmes</w:t>
      </w:r>
      <w:r w:rsidR="0020071A">
        <w:rPr>
          <w:rFonts w:asciiTheme="majorBidi" w:eastAsiaTheme="minorHAnsi" w:hAnsiTheme="majorBidi" w:cstheme="majorBidi"/>
          <w:color w:val="000000"/>
          <w:sz w:val="20"/>
          <w:szCs w:val="20"/>
          <w:lang w:eastAsia="en-US" w:bidi="ar-DZ"/>
        </w:rPr>
        <w:t xml:space="preserve"> </w:t>
      </w:r>
      <w:r w:rsidR="0020071A">
        <w:rPr>
          <w:rFonts w:asciiTheme="majorBidi" w:hAnsiTheme="majorBidi" w:cstheme="majorBidi"/>
          <w:sz w:val="20"/>
          <w:szCs w:val="20"/>
        </w:rPr>
        <w:t>à l’aide des études précédentes</w:t>
      </w:r>
      <w:r w:rsidR="00EC4BCB" w:rsidRPr="00EC4BCB">
        <w:rPr>
          <w:rFonts w:asciiTheme="majorBidi" w:eastAsiaTheme="minorHAnsi" w:hAnsiTheme="majorBidi" w:cstheme="majorBidi"/>
          <w:color w:val="000000"/>
          <w:sz w:val="20"/>
          <w:szCs w:val="20"/>
          <w:lang w:eastAsia="en-US" w:bidi="ar-DZ"/>
        </w:rPr>
        <w:t>.</w:t>
      </w:r>
    </w:p>
    <w:p w14:paraId="1A7824B8" w14:textId="77777777" w:rsidR="007C5DB8" w:rsidRPr="00E2052F" w:rsidRDefault="007C5DB8" w:rsidP="00F36332">
      <w:pPr>
        <w:pStyle w:val="NormalWeb"/>
        <w:numPr>
          <w:ilvl w:val="0"/>
          <w:numId w:val="108"/>
        </w:numPr>
        <w:tabs>
          <w:tab w:val="left" w:pos="1185"/>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b/>
          <w:bCs/>
          <w:sz w:val="22"/>
          <w:szCs w:val="22"/>
        </w:rPr>
        <w:t>Indicateurs pour les actionnaires :</w:t>
      </w:r>
    </w:p>
    <w:p w14:paraId="0E255AC6"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L’actionnaire est une partie prenante externe dont les intérêts sont directement liés à la performance globale de l’entreprise. Les indicateurs de RSE le concernant sont généralement évalués au niveau organisationnel. Comme toute entreprise, l’organisation a pour mission d’assurer une rentabilité durable afin de garantir aux actionnaires un rendement financier stable et satisfaisant.</w:t>
      </w:r>
      <w:r w:rsidR="00EC4BCB">
        <w:rPr>
          <w:rStyle w:val="Appelnotedebasdep"/>
          <w:rFonts w:asciiTheme="majorBidi" w:hAnsiTheme="majorBidi" w:cstheme="majorBidi"/>
          <w:sz w:val="22"/>
          <w:szCs w:val="22"/>
        </w:rPr>
        <w:footnoteReference w:id="230"/>
      </w:r>
    </w:p>
    <w:p w14:paraId="4A180CAF" w14:textId="77777777" w:rsidR="007C5DB8" w:rsidRPr="00E2052F" w:rsidRDefault="007C5DB8" w:rsidP="005631EA">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u w:val="single"/>
        </w:rPr>
        <w:t>Tableau 04 :</w:t>
      </w:r>
      <w:r w:rsidRPr="00E2052F">
        <w:rPr>
          <w:rFonts w:asciiTheme="majorBidi" w:hAnsiTheme="majorBidi" w:cstheme="majorBidi"/>
          <w:b/>
          <w:bCs/>
          <w:sz w:val="22"/>
          <w:szCs w:val="22"/>
        </w:rPr>
        <w:t xml:space="preserve"> Indicateurs RSE liés aux actionnaires</w:t>
      </w:r>
      <w:r w:rsidR="005631EA">
        <w:rPr>
          <w:rFonts w:asciiTheme="majorBidi" w:hAnsiTheme="majorBidi" w:cstheme="majorBidi"/>
          <w:b/>
          <w:bCs/>
          <w:sz w:val="22"/>
          <w:szCs w:val="22"/>
        </w:rPr>
        <w:t>.</w:t>
      </w:r>
    </w:p>
    <w:tbl>
      <w:tblPr>
        <w:tblStyle w:val="Grilledutableau"/>
        <w:tblW w:w="8505" w:type="dxa"/>
        <w:jc w:val="center"/>
        <w:tblLook w:val="04A0" w:firstRow="1" w:lastRow="0" w:firstColumn="1" w:lastColumn="0" w:noHBand="0" w:noVBand="1"/>
      </w:tblPr>
      <w:tblGrid>
        <w:gridCol w:w="2817"/>
        <w:gridCol w:w="5688"/>
      </w:tblGrid>
      <w:tr w:rsidR="007C5DB8" w:rsidRPr="00E2052F" w14:paraId="7F2F15DB" w14:textId="77777777" w:rsidTr="005578D1">
        <w:trPr>
          <w:jc w:val="center"/>
        </w:trPr>
        <w:tc>
          <w:tcPr>
            <w:tcW w:w="3119" w:type="dxa"/>
            <w:shd w:val="clear" w:color="auto" w:fill="D9E2F3" w:themeFill="accent1" w:themeFillTint="33"/>
          </w:tcPr>
          <w:p w14:paraId="17AB7C9A"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Style w:val="citation-355"/>
                <w:rFonts w:asciiTheme="majorBidi" w:hAnsiTheme="majorBidi" w:cstheme="majorBidi"/>
                <w:b/>
                <w:bCs/>
                <w:sz w:val="22"/>
                <w:szCs w:val="22"/>
              </w:rPr>
              <w:t>Questions relatives aux performance</w:t>
            </w:r>
            <w:r w:rsidRPr="00E2052F">
              <w:rPr>
                <w:rFonts w:asciiTheme="majorBidi" w:hAnsiTheme="majorBidi" w:cstheme="majorBidi"/>
                <w:b/>
                <w:bCs/>
                <w:sz w:val="22"/>
                <w:szCs w:val="22"/>
              </w:rPr>
              <w:t>s en matière de RSE</w:t>
            </w:r>
          </w:p>
        </w:tc>
        <w:tc>
          <w:tcPr>
            <w:tcW w:w="6484" w:type="dxa"/>
            <w:shd w:val="clear" w:color="auto" w:fill="D9E2F3" w:themeFill="accent1" w:themeFillTint="33"/>
          </w:tcPr>
          <w:p w14:paraId="28D7F06C"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RSE</w:t>
            </w:r>
          </w:p>
        </w:tc>
      </w:tr>
      <w:tr w:rsidR="007C5DB8" w:rsidRPr="00E2052F" w14:paraId="3E6D24C8" w14:textId="77777777" w:rsidTr="005578D1">
        <w:trPr>
          <w:jc w:val="center"/>
        </w:trPr>
        <w:tc>
          <w:tcPr>
            <w:tcW w:w="3119" w:type="dxa"/>
            <w:shd w:val="clear" w:color="auto" w:fill="D9E2F3" w:themeFill="accent1" w:themeFillTint="33"/>
          </w:tcPr>
          <w:p w14:paraId="4C665C5B"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Recettes légales des actionnaires</w:t>
            </w:r>
          </w:p>
        </w:tc>
        <w:tc>
          <w:tcPr>
            <w:tcW w:w="6484" w:type="dxa"/>
          </w:tcPr>
          <w:p w14:paraId="0DF1FB2F" w14:textId="77777777" w:rsidR="007C5DB8" w:rsidRPr="00E2052F" w:rsidRDefault="007C5DB8" w:rsidP="00F36332">
            <w:pPr>
              <w:pStyle w:val="Paragraphedeliste"/>
              <w:numPr>
                <w:ilvl w:val="0"/>
                <w:numId w:val="137"/>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Maintien et amélioration des bénéfices ;</w:t>
            </w:r>
          </w:p>
          <w:p w14:paraId="173DF1AD" w14:textId="77777777" w:rsidR="007C5DB8" w:rsidRPr="00E2052F" w:rsidRDefault="007C5DB8" w:rsidP="00F36332">
            <w:pPr>
              <w:pStyle w:val="Paragraphedeliste"/>
              <w:numPr>
                <w:ilvl w:val="0"/>
                <w:numId w:val="139"/>
              </w:numPr>
              <w:spacing w:before="0" w:beforeAutospacing="0" w:after="160" w:line="360" w:lineRule="auto"/>
              <w:ind w:left="0" w:firstLine="284"/>
              <w:jc w:val="left"/>
              <w:rPr>
                <w:rFonts w:cstheme="majorBidi"/>
                <w:b/>
                <w:bCs/>
                <w:sz w:val="22"/>
              </w:rPr>
            </w:pPr>
            <w:r w:rsidRPr="00E2052F">
              <w:rPr>
                <w:rFonts w:eastAsia="Times New Roman" w:cstheme="majorBidi"/>
                <w:sz w:val="22"/>
                <w:lang w:eastAsia="fr-FR"/>
              </w:rPr>
              <w:t>Augmentation de</w:t>
            </w:r>
            <w:r w:rsidRPr="00E2052F">
              <w:rPr>
                <w:rFonts w:cstheme="majorBidi"/>
                <w:sz w:val="22"/>
              </w:rPr>
              <w:t xml:space="preserve"> la valeur des actions.</w:t>
            </w:r>
          </w:p>
        </w:tc>
      </w:tr>
      <w:tr w:rsidR="007C5DB8" w:rsidRPr="00E2052F" w14:paraId="2CF5AC44" w14:textId="77777777" w:rsidTr="005578D1">
        <w:trPr>
          <w:jc w:val="center"/>
        </w:trPr>
        <w:tc>
          <w:tcPr>
            <w:tcW w:w="3119" w:type="dxa"/>
            <w:shd w:val="clear" w:color="auto" w:fill="D9E2F3" w:themeFill="accent1" w:themeFillTint="33"/>
          </w:tcPr>
          <w:p w14:paraId="7C28E990"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lastRenderedPageBreak/>
              <w:t>Divulgation précise de la situation de l'entreprise et de ses perspectives de développement</w:t>
            </w:r>
          </w:p>
        </w:tc>
        <w:tc>
          <w:tcPr>
            <w:tcW w:w="6484" w:type="dxa"/>
          </w:tcPr>
          <w:p w14:paraId="48954282" w14:textId="77777777" w:rsidR="007C5DB8" w:rsidRPr="00E2052F" w:rsidRDefault="007C5DB8" w:rsidP="00F36332">
            <w:pPr>
              <w:pStyle w:val="NormalWeb"/>
              <w:numPr>
                <w:ilvl w:val="0"/>
                <w:numId w:val="139"/>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Informations précises sur les performances opérationnelles et financières ;</w:t>
            </w:r>
          </w:p>
          <w:p w14:paraId="21253F2F" w14:textId="77777777" w:rsidR="007C5DB8" w:rsidRPr="00E2052F" w:rsidRDefault="007C5DB8" w:rsidP="00F36332">
            <w:pPr>
              <w:pStyle w:val="NormalWeb"/>
              <w:numPr>
                <w:ilvl w:val="0"/>
                <w:numId w:val="139"/>
              </w:numPr>
              <w:tabs>
                <w:tab w:val="left" w:pos="1185"/>
              </w:tabs>
              <w:spacing w:before="0" w:beforeAutospacing="0" w:after="16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Informations précises sur les perspectives de développement durable.</w:t>
            </w:r>
          </w:p>
        </w:tc>
      </w:tr>
      <w:tr w:rsidR="007C5DB8" w:rsidRPr="00E2052F" w14:paraId="0CD53B95" w14:textId="77777777" w:rsidTr="005578D1">
        <w:trPr>
          <w:jc w:val="center"/>
        </w:trPr>
        <w:tc>
          <w:tcPr>
            <w:tcW w:w="3119" w:type="dxa"/>
            <w:shd w:val="clear" w:color="auto" w:fill="D9E2F3" w:themeFill="accent1" w:themeFillTint="33"/>
          </w:tcPr>
          <w:p w14:paraId="67DE7D66"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Participation à la prise de décision</w:t>
            </w:r>
          </w:p>
        </w:tc>
        <w:tc>
          <w:tcPr>
            <w:tcW w:w="6484" w:type="dxa"/>
          </w:tcPr>
          <w:p w14:paraId="5D7DA3F2" w14:textId="77777777" w:rsidR="007C5DB8" w:rsidRPr="00E2052F" w:rsidRDefault="007C5DB8" w:rsidP="00F36332">
            <w:pPr>
              <w:pStyle w:val="NormalWeb"/>
              <w:numPr>
                <w:ilvl w:val="0"/>
                <w:numId w:val="140"/>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Participation à la prise de décision concernant les principales activités de l’entreprise.</w:t>
            </w:r>
          </w:p>
          <w:p w14:paraId="3807585A"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p>
        </w:tc>
      </w:tr>
      <w:tr w:rsidR="007C5DB8" w:rsidRPr="00E2052F" w14:paraId="4DBDB330" w14:textId="77777777" w:rsidTr="007E3B0D">
        <w:trPr>
          <w:trHeight w:val="1089"/>
          <w:jc w:val="center"/>
        </w:trPr>
        <w:tc>
          <w:tcPr>
            <w:tcW w:w="3119" w:type="dxa"/>
            <w:shd w:val="clear" w:color="auto" w:fill="D9E2F3" w:themeFill="accent1" w:themeFillTint="33"/>
          </w:tcPr>
          <w:p w14:paraId="6B5B7029"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Système de gestion des relations avec les actionnaires</w:t>
            </w:r>
          </w:p>
        </w:tc>
        <w:tc>
          <w:tcPr>
            <w:tcW w:w="6484" w:type="dxa"/>
          </w:tcPr>
          <w:p w14:paraId="2DEAB51B"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Gestion des relations avec les actionnaires ;</w:t>
            </w:r>
          </w:p>
          <w:p w14:paraId="203288FA"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Établir le sens de la responsabilité envers les actionnaires.</w:t>
            </w:r>
          </w:p>
        </w:tc>
      </w:tr>
    </w:tbl>
    <w:p w14:paraId="01902683" w14:textId="77777777" w:rsidR="005631EA" w:rsidRPr="00EC4BCB" w:rsidRDefault="005631EA" w:rsidP="00EC4BCB">
      <w:pPr>
        <w:pStyle w:val="NormalWeb"/>
        <w:tabs>
          <w:tab w:val="left" w:pos="1185"/>
        </w:tabs>
        <w:spacing w:before="0" w:beforeAutospacing="0" w:line="360" w:lineRule="auto"/>
        <w:jc w:val="center"/>
        <w:rPr>
          <w:rFonts w:asciiTheme="majorBidi" w:hAnsiTheme="majorBidi" w:cstheme="majorBidi"/>
          <w:b/>
          <w:bCs/>
          <w:sz w:val="20"/>
          <w:szCs w:val="20"/>
        </w:rPr>
      </w:pPr>
      <w:r w:rsidRPr="00EC4BCB">
        <w:rPr>
          <w:rFonts w:asciiTheme="majorBidi" w:hAnsiTheme="majorBidi" w:cstheme="majorBidi"/>
          <w:b/>
          <w:bCs/>
          <w:sz w:val="20"/>
          <w:szCs w:val="20"/>
        </w:rPr>
        <w:t>Source </w:t>
      </w:r>
      <w:r w:rsidR="00270C8E" w:rsidRPr="00EC4BCB">
        <w:rPr>
          <w:rFonts w:asciiTheme="majorBidi" w:hAnsiTheme="majorBidi" w:cstheme="majorBidi"/>
          <w:b/>
          <w:bCs/>
          <w:sz w:val="20"/>
          <w:szCs w:val="20"/>
        </w:rPr>
        <w:t>:</w:t>
      </w:r>
      <w:r w:rsidR="00270C8E">
        <w:rPr>
          <w:rStyle w:val="lev"/>
          <w:rFonts w:asciiTheme="majorBidi" w:hAnsiTheme="majorBidi" w:cstheme="majorBidi"/>
          <w:b w:val="0"/>
          <w:bCs w:val="0"/>
          <w:sz w:val="20"/>
          <w:szCs w:val="20"/>
        </w:rPr>
        <w:t xml:space="preserve"> </w:t>
      </w:r>
      <w:r w:rsidR="000036D1">
        <w:rPr>
          <w:rStyle w:val="lev"/>
          <w:rFonts w:asciiTheme="majorBidi" w:hAnsiTheme="majorBidi" w:cstheme="majorBidi"/>
          <w:b w:val="0"/>
          <w:bCs w:val="0"/>
          <w:sz w:val="20"/>
          <w:szCs w:val="20"/>
        </w:rPr>
        <w:t>élaboré</w:t>
      </w:r>
      <w:r w:rsidR="00EC4BCB" w:rsidRPr="00EC4BCB">
        <w:rPr>
          <w:rStyle w:val="lev"/>
          <w:rFonts w:asciiTheme="majorBidi" w:hAnsiTheme="majorBidi" w:cstheme="majorBidi"/>
          <w:b w:val="0"/>
          <w:bCs w:val="0"/>
          <w:sz w:val="20"/>
          <w:szCs w:val="20"/>
        </w:rPr>
        <w:t xml:space="preserve"> par nous-mêmes</w:t>
      </w:r>
      <w:r w:rsidR="0020071A">
        <w:rPr>
          <w:rStyle w:val="lev"/>
          <w:rFonts w:asciiTheme="majorBidi" w:hAnsiTheme="majorBidi" w:cstheme="majorBidi"/>
          <w:b w:val="0"/>
          <w:bCs w:val="0"/>
          <w:sz w:val="20"/>
          <w:szCs w:val="20"/>
        </w:rPr>
        <w:t xml:space="preserve"> </w:t>
      </w:r>
      <w:r w:rsidR="0020071A">
        <w:rPr>
          <w:rFonts w:asciiTheme="majorBidi" w:hAnsiTheme="majorBidi" w:cstheme="majorBidi"/>
          <w:sz w:val="20"/>
          <w:szCs w:val="20"/>
        </w:rPr>
        <w:t>à l’aide des études précédentes</w:t>
      </w:r>
      <w:r w:rsidR="00EC4BCB" w:rsidRPr="00EC4BCB">
        <w:rPr>
          <w:rStyle w:val="lev"/>
          <w:rFonts w:asciiTheme="majorBidi" w:hAnsiTheme="majorBidi" w:cstheme="majorBidi"/>
          <w:b w:val="0"/>
          <w:bCs w:val="0"/>
          <w:sz w:val="20"/>
          <w:szCs w:val="20"/>
        </w:rPr>
        <w:t>.</w:t>
      </w:r>
    </w:p>
    <w:p w14:paraId="12221C8D" w14:textId="77777777" w:rsidR="007C5DB8" w:rsidRPr="00E2052F" w:rsidRDefault="007C5DB8" w:rsidP="00F36332">
      <w:pPr>
        <w:pStyle w:val="NormalWeb"/>
        <w:numPr>
          <w:ilvl w:val="0"/>
          <w:numId w:val="108"/>
        </w:numPr>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pour les clients :</w:t>
      </w:r>
    </w:p>
    <w:p w14:paraId="41AE001A" w14:textId="77777777" w:rsidR="007C5DB8" w:rsidRPr="00E2052F" w:rsidRDefault="007C5DB8" w:rsidP="00531CA5">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Les entreprises ne doivent pas uniquement répondre aux besoins des clients actuels, mais également anticiper ceux des futurs utilisateurs. Les indicateurs de RSE liés aux clients sont généralement évalués au niveau des projets. Dans le secteur de la construction, cette responsabilité concerne notamment les matériaux utilisés, les ouvrages réalisés ainsi que les opérations de modernisation et de rénovation.</w:t>
      </w:r>
    </w:p>
    <w:p w14:paraId="4B46B13C" w14:textId="77777777" w:rsidR="007C5DB8" w:rsidRPr="00E2052F" w:rsidRDefault="007C5DB8" w:rsidP="005631EA">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u w:val="single"/>
        </w:rPr>
        <w:t>Tableau 05 </w:t>
      </w:r>
      <w:r w:rsidR="005578D1" w:rsidRPr="00E2052F">
        <w:rPr>
          <w:rFonts w:asciiTheme="majorBidi" w:hAnsiTheme="majorBidi" w:cstheme="majorBidi"/>
          <w:b/>
          <w:bCs/>
          <w:sz w:val="22"/>
          <w:szCs w:val="22"/>
          <w:u w:val="single"/>
        </w:rPr>
        <w:t>:</w:t>
      </w:r>
      <w:r w:rsidR="005578D1" w:rsidRPr="00E2052F">
        <w:rPr>
          <w:rFonts w:asciiTheme="majorBidi" w:hAnsiTheme="majorBidi" w:cstheme="majorBidi"/>
          <w:b/>
          <w:bCs/>
          <w:sz w:val="22"/>
          <w:szCs w:val="22"/>
        </w:rPr>
        <w:t xml:space="preserve"> Indicateurs</w:t>
      </w:r>
      <w:r w:rsidRPr="00E2052F">
        <w:rPr>
          <w:rFonts w:asciiTheme="majorBidi" w:hAnsiTheme="majorBidi" w:cstheme="majorBidi"/>
          <w:b/>
          <w:bCs/>
          <w:sz w:val="22"/>
          <w:szCs w:val="22"/>
        </w:rPr>
        <w:t xml:space="preserve"> RSE relatifs aux clients.</w:t>
      </w:r>
    </w:p>
    <w:tbl>
      <w:tblPr>
        <w:tblStyle w:val="Grilledutableau"/>
        <w:tblW w:w="8505" w:type="dxa"/>
        <w:jc w:val="center"/>
        <w:tblLook w:val="04A0" w:firstRow="1" w:lastRow="0" w:firstColumn="1" w:lastColumn="0" w:noHBand="0" w:noVBand="1"/>
      </w:tblPr>
      <w:tblGrid>
        <w:gridCol w:w="2807"/>
        <w:gridCol w:w="5698"/>
      </w:tblGrid>
      <w:tr w:rsidR="007C5DB8" w:rsidRPr="00E2052F" w14:paraId="47A30D23" w14:textId="77777777" w:rsidTr="007E3B0D">
        <w:trPr>
          <w:jc w:val="center"/>
        </w:trPr>
        <w:tc>
          <w:tcPr>
            <w:tcW w:w="3119" w:type="dxa"/>
            <w:shd w:val="clear" w:color="auto" w:fill="D9E2F3" w:themeFill="accent1" w:themeFillTint="33"/>
          </w:tcPr>
          <w:p w14:paraId="720A2D66"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Questions relatives aux performances en matière de RSE</w:t>
            </w:r>
          </w:p>
        </w:tc>
        <w:tc>
          <w:tcPr>
            <w:tcW w:w="6484" w:type="dxa"/>
            <w:shd w:val="clear" w:color="auto" w:fill="D9E2F3" w:themeFill="accent1" w:themeFillTint="33"/>
          </w:tcPr>
          <w:p w14:paraId="0B7CA3C2"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RSE</w:t>
            </w:r>
          </w:p>
        </w:tc>
      </w:tr>
      <w:tr w:rsidR="007C5DB8" w:rsidRPr="00E2052F" w14:paraId="4C8A1D70" w14:textId="77777777" w:rsidTr="007E3B0D">
        <w:trPr>
          <w:jc w:val="center"/>
        </w:trPr>
        <w:tc>
          <w:tcPr>
            <w:tcW w:w="3119" w:type="dxa"/>
            <w:shd w:val="clear" w:color="auto" w:fill="D9E2F3" w:themeFill="accent1" w:themeFillTint="33"/>
          </w:tcPr>
          <w:p w14:paraId="553BD261"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sz w:val="22"/>
                <w:szCs w:val="22"/>
              </w:rPr>
            </w:pPr>
            <w:r w:rsidRPr="00E2052F">
              <w:rPr>
                <w:rFonts w:asciiTheme="majorBidi" w:hAnsiTheme="majorBidi" w:cstheme="majorBidi"/>
                <w:sz w:val="22"/>
                <w:szCs w:val="22"/>
              </w:rPr>
              <w:t>Qualité et sécurité des produits de construction</w:t>
            </w:r>
          </w:p>
        </w:tc>
        <w:tc>
          <w:tcPr>
            <w:tcW w:w="6484" w:type="dxa"/>
          </w:tcPr>
          <w:p w14:paraId="7302A4D5"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des normes légales et sécurité ;</w:t>
            </w:r>
          </w:p>
          <w:p w14:paraId="477A782A"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 xml:space="preserve">Élimination des risques pour la communauté ; </w:t>
            </w:r>
          </w:p>
          <w:p w14:paraId="4060B59B"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Système d’archivage des incidents de chantier ;</w:t>
            </w:r>
          </w:p>
          <w:p w14:paraId="5923C6AF" w14:textId="77777777" w:rsidR="007C5DB8" w:rsidRPr="00E2052F" w:rsidRDefault="007C5DB8" w:rsidP="00F36332">
            <w:pPr>
              <w:pStyle w:val="NormalWeb"/>
              <w:numPr>
                <w:ilvl w:val="0"/>
                <w:numId w:val="138"/>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Système de gestion de la qualité projet.</w:t>
            </w:r>
          </w:p>
        </w:tc>
      </w:tr>
      <w:tr w:rsidR="007C5DB8" w:rsidRPr="00E2052F" w14:paraId="4AD6055D" w14:textId="77777777" w:rsidTr="007E3B0D">
        <w:trPr>
          <w:jc w:val="center"/>
        </w:trPr>
        <w:tc>
          <w:tcPr>
            <w:tcW w:w="3119" w:type="dxa"/>
            <w:shd w:val="clear" w:color="auto" w:fill="D9E2F3" w:themeFill="accent1" w:themeFillTint="33"/>
          </w:tcPr>
          <w:p w14:paraId="699820CF"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sz w:val="22"/>
                <w:szCs w:val="22"/>
              </w:rPr>
            </w:pPr>
            <w:r w:rsidRPr="00E2052F">
              <w:rPr>
                <w:rFonts w:asciiTheme="majorBidi" w:hAnsiTheme="majorBidi" w:cstheme="majorBidi"/>
                <w:sz w:val="22"/>
                <w:szCs w:val="22"/>
              </w:rPr>
              <w:t>Satisfaction du client</w:t>
            </w:r>
          </w:p>
        </w:tc>
        <w:tc>
          <w:tcPr>
            <w:tcW w:w="6484" w:type="dxa"/>
          </w:tcPr>
          <w:p w14:paraId="0C2F9E36"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du budget du projet ;</w:t>
            </w:r>
          </w:p>
          <w:p w14:paraId="19D53E82"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des délais de réalisation ;</w:t>
            </w:r>
          </w:p>
          <w:p w14:paraId="24CBC03E"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 xml:space="preserve">Politique orientée besoins des clients ; </w:t>
            </w:r>
          </w:p>
          <w:p w14:paraId="379ADB26" w14:textId="77777777" w:rsidR="007C5DB8" w:rsidRPr="00E2052F" w:rsidRDefault="007C5DB8" w:rsidP="00F36332">
            <w:pPr>
              <w:pStyle w:val="Paragraphedeliste"/>
              <w:numPr>
                <w:ilvl w:val="0"/>
                <w:numId w:val="138"/>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Gestion efficace des réclamations clients.</w:t>
            </w:r>
          </w:p>
        </w:tc>
      </w:tr>
      <w:tr w:rsidR="007C5DB8" w:rsidRPr="00E2052F" w14:paraId="1A82AF3D" w14:textId="77777777" w:rsidTr="007E3B0D">
        <w:trPr>
          <w:jc w:val="center"/>
        </w:trPr>
        <w:tc>
          <w:tcPr>
            <w:tcW w:w="3119" w:type="dxa"/>
            <w:shd w:val="clear" w:color="auto" w:fill="D9E2F3" w:themeFill="accent1" w:themeFillTint="33"/>
          </w:tcPr>
          <w:p w14:paraId="0F98A258"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sz w:val="22"/>
                <w:szCs w:val="22"/>
              </w:rPr>
            </w:pPr>
            <w:r w:rsidRPr="00E2052F">
              <w:rPr>
                <w:rFonts w:asciiTheme="majorBidi" w:hAnsiTheme="majorBidi" w:cstheme="majorBidi"/>
                <w:sz w:val="22"/>
                <w:szCs w:val="22"/>
              </w:rPr>
              <w:t>Culture du service à la clientèle</w:t>
            </w:r>
          </w:p>
        </w:tc>
        <w:tc>
          <w:tcPr>
            <w:tcW w:w="6484" w:type="dxa"/>
          </w:tcPr>
          <w:p w14:paraId="6D98D079" w14:textId="77777777" w:rsidR="007C5DB8" w:rsidRPr="00E2052F" w:rsidRDefault="007C5DB8" w:rsidP="00F36332">
            <w:pPr>
              <w:pStyle w:val="NormalWeb"/>
              <w:numPr>
                <w:ilvl w:val="0"/>
                <w:numId w:val="141"/>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A mis en place un système approprié de gestion des actifs.</w:t>
            </w:r>
          </w:p>
        </w:tc>
      </w:tr>
      <w:tr w:rsidR="007C5DB8" w:rsidRPr="00E2052F" w14:paraId="6E7B7839" w14:textId="77777777" w:rsidTr="00091F6F">
        <w:trPr>
          <w:trHeight w:val="1605"/>
          <w:jc w:val="center"/>
        </w:trPr>
        <w:tc>
          <w:tcPr>
            <w:tcW w:w="3119" w:type="dxa"/>
            <w:shd w:val="clear" w:color="auto" w:fill="D9E2F3" w:themeFill="accent1" w:themeFillTint="33"/>
          </w:tcPr>
          <w:p w14:paraId="2289859D"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sz w:val="22"/>
                <w:szCs w:val="22"/>
              </w:rPr>
            </w:pPr>
            <w:r w:rsidRPr="00E2052F">
              <w:rPr>
                <w:rFonts w:asciiTheme="majorBidi" w:hAnsiTheme="majorBidi" w:cstheme="majorBidi"/>
                <w:sz w:val="22"/>
                <w:szCs w:val="22"/>
              </w:rPr>
              <w:lastRenderedPageBreak/>
              <w:t>Divulgation des informations de l'entreprise</w:t>
            </w:r>
          </w:p>
        </w:tc>
        <w:tc>
          <w:tcPr>
            <w:tcW w:w="6484" w:type="dxa"/>
          </w:tcPr>
          <w:p w14:paraId="10D79255" w14:textId="77777777" w:rsidR="007C5DB8" w:rsidRPr="00E2052F" w:rsidRDefault="007C5DB8" w:rsidP="00F36332">
            <w:pPr>
              <w:pStyle w:val="Paragraphedeliste"/>
              <w:numPr>
                <w:ilvl w:val="0"/>
                <w:numId w:val="142"/>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Informations sur les dossiers de crédit ;</w:t>
            </w:r>
          </w:p>
          <w:p w14:paraId="3915867E" w14:textId="77777777" w:rsidR="007C5DB8" w:rsidRPr="00E2052F" w:rsidRDefault="007C5DB8" w:rsidP="00F36332">
            <w:pPr>
              <w:pStyle w:val="Paragraphedeliste"/>
              <w:numPr>
                <w:ilvl w:val="0"/>
                <w:numId w:val="142"/>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des contrats de crédit ;</w:t>
            </w:r>
          </w:p>
          <w:p w14:paraId="09D571C9" w14:textId="77777777" w:rsidR="007C5DB8" w:rsidRPr="00E2052F" w:rsidRDefault="007C5DB8" w:rsidP="00F36332">
            <w:pPr>
              <w:pStyle w:val="Paragraphedeliste"/>
              <w:numPr>
                <w:ilvl w:val="0"/>
                <w:numId w:val="142"/>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Données sur la qualité des produits ;</w:t>
            </w:r>
          </w:p>
          <w:p w14:paraId="5C7ACF9C" w14:textId="77777777" w:rsidR="007C5DB8" w:rsidRPr="00E2052F" w:rsidRDefault="007C5DB8" w:rsidP="00F36332">
            <w:pPr>
              <w:pStyle w:val="NormalWeb"/>
              <w:numPr>
                <w:ilvl w:val="0"/>
                <w:numId w:val="142"/>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Informations fiscales de l’entreprise précises.</w:t>
            </w:r>
          </w:p>
        </w:tc>
      </w:tr>
    </w:tbl>
    <w:p w14:paraId="11C019C5" w14:textId="77777777" w:rsidR="005631EA" w:rsidRPr="005631EA" w:rsidRDefault="005631EA" w:rsidP="00EC4BCB">
      <w:pPr>
        <w:pStyle w:val="NormalWeb"/>
        <w:tabs>
          <w:tab w:val="left" w:pos="1185"/>
        </w:tabs>
        <w:spacing w:before="0" w:beforeAutospacing="0" w:line="360" w:lineRule="auto"/>
        <w:jc w:val="center"/>
        <w:rPr>
          <w:rFonts w:asciiTheme="majorBidi" w:hAnsiTheme="majorBidi" w:cstheme="majorBidi"/>
          <w:sz w:val="20"/>
          <w:szCs w:val="20"/>
        </w:rPr>
      </w:pPr>
      <w:r w:rsidRPr="005631EA">
        <w:rPr>
          <w:rFonts w:asciiTheme="majorBidi" w:hAnsiTheme="majorBidi" w:cstheme="majorBidi"/>
          <w:b/>
          <w:bCs/>
          <w:sz w:val="20"/>
          <w:szCs w:val="20"/>
        </w:rPr>
        <w:t>Source : </w:t>
      </w:r>
      <w:r w:rsidR="0028673B">
        <w:rPr>
          <w:sz w:val="20"/>
          <w:szCs w:val="20"/>
        </w:rPr>
        <w:t>élaboré</w:t>
      </w:r>
      <w:r w:rsidR="00EC4BCB">
        <w:rPr>
          <w:sz w:val="20"/>
          <w:szCs w:val="20"/>
        </w:rPr>
        <w:t xml:space="preserve"> par nous-mêmes</w:t>
      </w:r>
      <w:r w:rsidR="0020071A">
        <w:rPr>
          <w:sz w:val="20"/>
          <w:szCs w:val="20"/>
        </w:rPr>
        <w:t xml:space="preserve"> </w:t>
      </w:r>
      <w:r w:rsidR="0020071A">
        <w:rPr>
          <w:rFonts w:asciiTheme="majorBidi" w:hAnsiTheme="majorBidi" w:cstheme="majorBidi"/>
          <w:sz w:val="20"/>
          <w:szCs w:val="20"/>
        </w:rPr>
        <w:t>à l’aide des études précédentes</w:t>
      </w:r>
      <w:r w:rsidR="00EC4BCB">
        <w:rPr>
          <w:sz w:val="20"/>
          <w:szCs w:val="20"/>
        </w:rPr>
        <w:t>.</w:t>
      </w:r>
    </w:p>
    <w:p w14:paraId="11A9662C" w14:textId="77777777" w:rsidR="007C5DB8" w:rsidRPr="00E2052F" w:rsidRDefault="007C5DB8" w:rsidP="00F36332">
      <w:pPr>
        <w:pStyle w:val="NormalWeb"/>
        <w:numPr>
          <w:ilvl w:val="0"/>
          <w:numId w:val="108"/>
        </w:numPr>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pour les fournisseurs et les partenaires :</w:t>
      </w:r>
    </w:p>
    <w:p w14:paraId="2AC16407" w14:textId="77777777" w:rsidR="007C5DB8" w:rsidRPr="00E2052F" w:rsidRDefault="007C5DB8" w:rsidP="003C7283">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gestion de la chaîne d’approvisionnement constitue un enjeu central de la RSE, dans la mesure où les entreprises sont de plus en plus amenées à garantir non seulement la viabilité économique de leurs fournisseurs, mais aussi le respect de leurs responsabilités sociales et environnementales à travers des politiques d’achats responsables, bien que cette dimension reste encore insuffisamment prise en compte dans les rapports RSE.</w:t>
      </w:r>
      <w:r w:rsidR="00531CA5">
        <w:rPr>
          <w:rStyle w:val="Appelnotedebasdep"/>
          <w:rFonts w:asciiTheme="majorBidi" w:hAnsiTheme="majorBidi" w:cstheme="majorBidi"/>
          <w:sz w:val="22"/>
          <w:szCs w:val="22"/>
        </w:rPr>
        <w:footnoteReference w:id="231"/>
      </w:r>
    </w:p>
    <w:p w14:paraId="5827234E" w14:textId="77777777" w:rsidR="007C5DB8" w:rsidRPr="00E2052F" w:rsidRDefault="007C5DB8" w:rsidP="005631EA">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u w:val="single"/>
        </w:rPr>
        <w:t>Tableau 06 :</w:t>
      </w:r>
      <w:r w:rsidRPr="00E2052F">
        <w:rPr>
          <w:rFonts w:asciiTheme="majorBidi" w:hAnsiTheme="majorBidi" w:cstheme="majorBidi"/>
          <w:b/>
          <w:bCs/>
          <w:sz w:val="22"/>
          <w:szCs w:val="22"/>
        </w:rPr>
        <w:t xml:space="preserve"> Indicateurs RSE relatifs aux fournisseurs et partenaires.</w:t>
      </w:r>
    </w:p>
    <w:tbl>
      <w:tblPr>
        <w:tblStyle w:val="Grilledutableau"/>
        <w:tblW w:w="8505" w:type="dxa"/>
        <w:jc w:val="center"/>
        <w:tblLook w:val="04A0" w:firstRow="1" w:lastRow="0" w:firstColumn="1" w:lastColumn="0" w:noHBand="0" w:noVBand="1"/>
      </w:tblPr>
      <w:tblGrid>
        <w:gridCol w:w="3397"/>
        <w:gridCol w:w="5108"/>
      </w:tblGrid>
      <w:tr w:rsidR="007C5DB8" w:rsidRPr="00E2052F" w14:paraId="73837122" w14:textId="77777777" w:rsidTr="007E3B0D">
        <w:trPr>
          <w:jc w:val="center"/>
        </w:trPr>
        <w:tc>
          <w:tcPr>
            <w:tcW w:w="3397" w:type="dxa"/>
            <w:shd w:val="clear" w:color="auto" w:fill="D9E2F3" w:themeFill="accent1" w:themeFillTint="33"/>
          </w:tcPr>
          <w:p w14:paraId="70823B1A"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Style w:val="citation-331"/>
                <w:rFonts w:asciiTheme="majorBidi" w:hAnsiTheme="majorBidi" w:cstheme="majorBidi"/>
                <w:b/>
                <w:bCs/>
                <w:sz w:val="22"/>
                <w:szCs w:val="22"/>
              </w:rPr>
              <w:t>Questions relatives aux performance</w:t>
            </w:r>
            <w:r w:rsidRPr="00E2052F">
              <w:rPr>
                <w:rFonts w:asciiTheme="majorBidi" w:hAnsiTheme="majorBidi" w:cstheme="majorBidi"/>
                <w:b/>
                <w:bCs/>
                <w:sz w:val="22"/>
                <w:szCs w:val="22"/>
              </w:rPr>
              <w:t>s en matière de RSE</w:t>
            </w:r>
          </w:p>
        </w:tc>
        <w:tc>
          <w:tcPr>
            <w:tcW w:w="5108" w:type="dxa"/>
            <w:shd w:val="clear" w:color="auto" w:fill="D9E2F3" w:themeFill="accent1" w:themeFillTint="33"/>
          </w:tcPr>
          <w:p w14:paraId="4F22577F"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RSE</w:t>
            </w:r>
          </w:p>
        </w:tc>
      </w:tr>
      <w:tr w:rsidR="007C5DB8" w:rsidRPr="00E2052F" w14:paraId="4AF1007F" w14:textId="77777777" w:rsidTr="007E3B0D">
        <w:trPr>
          <w:jc w:val="center"/>
        </w:trPr>
        <w:tc>
          <w:tcPr>
            <w:tcW w:w="3397" w:type="dxa"/>
            <w:shd w:val="clear" w:color="auto" w:fill="D9E2F3" w:themeFill="accent1" w:themeFillTint="33"/>
          </w:tcPr>
          <w:p w14:paraId="149828EE"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Maintenir une relation de partenariat appropriée</w:t>
            </w:r>
          </w:p>
        </w:tc>
        <w:tc>
          <w:tcPr>
            <w:tcW w:w="5108" w:type="dxa"/>
          </w:tcPr>
          <w:p w14:paraId="2C66E471" w14:textId="77777777" w:rsidR="007C5DB8" w:rsidRPr="00E2052F" w:rsidRDefault="007C5DB8" w:rsidP="00F36332">
            <w:pPr>
              <w:pStyle w:val="Paragraphedeliste"/>
              <w:numPr>
                <w:ilvl w:val="0"/>
                <w:numId w:val="143"/>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des obligations contractuelles ;</w:t>
            </w:r>
          </w:p>
          <w:p w14:paraId="02567C73" w14:textId="77777777" w:rsidR="007C5DB8" w:rsidRPr="00E2052F" w:rsidRDefault="007C5DB8" w:rsidP="00F36332">
            <w:pPr>
              <w:pStyle w:val="NormalWeb"/>
              <w:numPr>
                <w:ilvl w:val="0"/>
                <w:numId w:val="143"/>
              </w:numPr>
              <w:tabs>
                <w:tab w:val="left" w:pos="1185"/>
              </w:tabs>
              <w:spacing w:before="0" w:beforeAutospacing="0" w:after="16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Respect des lois et éthique des affaires.</w:t>
            </w:r>
          </w:p>
        </w:tc>
      </w:tr>
      <w:tr w:rsidR="007C5DB8" w:rsidRPr="00E2052F" w14:paraId="271A9C94" w14:textId="77777777" w:rsidTr="007E3B0D">
        <w:trPr>
          <w:jc w:val="center"/>
        </w:trPr>
        <w:tc>
          <w:tcPr>
            <w:tcW w:w="3397" w:type="dxa"/>
            <w:shd w:val="clear" w:color="auto" w:fill="D9E2F3" w:themeFill="accent1" w:themeFillTint="33"/>
          </w:tcPr>
          <w:p w14:paraId="1AACF53D"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Améliorer la communication avec les partenaires et fournisseurs</w:t>
            </w:r>
          </w:p>
        </w:tc>
        <w:tc>
          <w:tcPr>
            <w:tcW w:w="5108" w:type="dxa"/>
          </w:tcPr>
          <w:p w14:paraId="7848DB41" w14:textId="77777777" w:rsidR="007C5DB8" w:rsidRPr="00E2052F" w:rsidRDefault="007C5DB8" w:rsidP="00F36332">
            <w:pPr>
              <w:pStyle w:val="Paragraphedeliste"/>
              <w:numPr>
                <w:ilvl w:val="0"/>
                <w:numId w:val="144"/>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Divulgation des politiques aux fournisseurs ;</w:t>
            </w:r>
          </w:p>
          <w:p w14:paraId="1E10525D" w14:textId="77777777" w:rsidR="007C5DB8" w:rsidRPr="00E2052F" w:rsidRDefault="007C5DB8" w:rsidP="00F36332">
            <w:pPr>
              <w:pStyle w:val="Paragraphedeliste"/>
              <w:numPr>
                <w:ilvl w:val="0"/>
                <w:numId w:val="144"/>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 xml:space="preserve">Communication efficace avec les partenaires ; </w:t>
            </w:r>
          </w:p>
          <w:p w14:paraId="7334761A" w14:textId="77777777" w:rsidR="007C5DB8" w:rsidRPr="00E2052F" w:rsidRDefault="007C5DB8" w:rsidP="00F36332">
            <w:pPr>
              <w:pStyle w:val="Paragraphedeliste"/>
              <w:numPr>
                <w:ilvl w:val="0"/>
                <w:numId w:val="144"/>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Promotion de la RSE des fournisseurs ;</w:t>
            </w:r>
          </w:p>
          <w:p w14:paraId="3EA3A5C0" w14:textId="77777777" w:rsidR="007C5DB8" w:rsidRPr="00E2052F" w:rsidRDefault="007C5DB8" w:rsidP="00F36332">
            <w:pPr>
              <w:pStyle w:val="NormalWeb"/>
              <w:numPr>
                <w:ilvl w:val="0"/>
                <w:numId w:val="144"/>
              </w:numPr>
              <w:tabs>
                <w:tab w:val="left" w:pos="1185"/>
              </w:tabs>
              <w:spacing w:before="0" w:beforeAutospacing="0" w:after="16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Enregistrement et évaluation des partenaires.</w:t>
            </w:r>
          </w:p>
        </w:tc>
      </w:tr>
    </w:tbl>
    <w:p w14:paraId="42F5ADD6" w14:textId="77777777" w:rsidR="005631EA" w:rsidRPr="00C15072" w:rsidRDefault="00C15072" w:rsidP="00C15072">
      <w:pPr>
        <w:pStyle w:val="NormalWeb"/>
        <w:tabs>
          <w:tab w:val="left" w:pos="1185"/>
        </w:tabs>
        <w:spacing w:before="0" w:beforeAutospacing="0" w:line="360" w:lineRule="auto"/>
        <w:jc w:val="center"/>
        <w:rPr>
          <w:rFonts w:asciiTheme="majorBidi" w:hAnsiTheme="majorBidi" w:cstheme="majorBidi"/>
          <w:b/>
          <w:bCs/>
        </w:rPr>
      </w:pPr>
      <w:r w:rsidRPr="00C15072">
        <w:rPr>
          <w:rStyle w:val="lev"/>
          <w:rFonts w:asciiTheme="majorBidi" w:hAnsiTheme="majorBidi" w:cstheme="majorBidi"/>
          <w:sz w:val="20"/>
          <w:szCs w:val="20"/>
        </w:rPr>
        <w:t>Source :</w:t>
      </w:r>
      <w:r w:rsidR="0028673B">
        <w:rPr>
          <w:rStyle w:val="lev"/>
          <w:rFonts w:asciiTheme="majorBidi" w:hAnsiTheme="majorBidi" w:cstheme="majorBidi"/>
          <w:b w:val="0"/>
          <w:bCs w:val="0"/>
          <w:sz w:val="20"/>
          <w:szCs w:val="20"/>
        </w:rPr>
        <w:t xml:space="preserve"> élaboré</w:t>
      </w:r>
      <w:r w:rsidRPr="00C15072">
        <w:rPr>
          <w:rStyle w:val="lev"/>
          <w:rFonts w:asciiTheme="majorBidi" w:hAnsiTheme="majorBidi" w:cstheme="majorBidi"/>
          <w:b w:val="0"/>
          <w:bCs w:val="0"/>
          <w:sz w:val="20"/>
          <w:szCs w:val="20"/>
        </w:rPr>
        <w:t xml:space="preserve"> par nous-mêmes</w:t>
      </w:r>
      <w:r w:rsidR="0020071A">
        <w:rPr>
          <w:rStyle w:val="lev"/>
          <w:rFonts w:asciiTheme="majorBidi" w:hAnsiTheme="majorBidi" w:cstheme="majorBidi"/>
          <w:b w:val="0"/>
          <w:bCs w:val="0"/>
          <w:sz w:val="20"/>
          <w:szCs w:val="20"/>
        </w:rPr>
        <w:t xml:space="preserve"> </w:t>
      </w:r>
      <w:r w:rsidR="0020071A">
        <w:rPr>
          <w:rFonts w:asciiTheme="majorBidi" w:hAnsiTheme="majorBidi" w:cstheme="majorBidi"/>
          <w:sz w:val="20"/>
          <w:szCs w:val="20"/>
        </w:rPr>
        <w:t>à l’aide des études précédentes</w:t>
      </w:r>
      <w:r w:rsidRPr="00C15072">
        <w:rPr>
          <w:rStyle w:val="lev"/>
          <w:rFonts w:asciiTheme="majorBidi" w:hAnsiTheme="majorBidi" w:cstheme="majorBidi"/>
          <w:b w:val="0"/>
          <w:bCs w:val="0"/>
          <w:sz w:val="20"/>
          <w:szCs w:val="20"/>
        </w:rPr>
        <w:t>.</w:t>
      </w:r>
    </w:p>
    <w:p w14:paraId="661ABCF0" w14:textId="77777777" w:rsidR="007C5DB8" w:rsidRPr="00E2052F" w:rsidRDefault="007C5DB8" w:rsidP="00F36332">
      <w:pPr>
        <w:pStyle w:val="NormalWeb"/>
        <w:numPr>
          <w:ilvl w:val="0"/>
          <w:numId w:val="108"/>
        </w:numPr>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pour les concurrents :</w:t>
      </w:r>
    </w:p>
    <w:p w14:paraId="2ACF26FE"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Les concurrents constituent également des parties prenantes importantes de l’entreprise, et dans le cadre des projets, une entreprise responsable doit lutter contre les pratiques illégales telles que la corruption et les ententes lors des appels d’offres, garantir une concurrence loyale, contribuer à un </w:t>
      </w:r>
      <w:r w:rsidRPr="00E2052F">
        <w:rPr>
          <w:rFonts w:asciiTheme="majorBidi" w:hAnsiTheme="majorBidi" w:cstheme="majorBidi"/>
          <w:sz w:val="22"/>
          <w:szCs w:val="22"/>
        </w:rPr>
        <w:lastRenderedPageBreak/>
        <w:t>fonctionnement sain du marché et collaborer avec les autorités compétentes afin de promouvoir des conditions équitables de concurrence.</w:t>
      </w:r>
      <w:r w:rsidR="00C15072">
        <w:rPr>
          <w:rStyle w:val="Appelnotedebasdep"/>
          <w:rFonts w:asciiTheme="majorBidi" w:hAnsiTheme="majorBidi" w:cstheme="majorBidi"/>
          <w:sz w:val="22"/>
          <w:szCs w:val="22"/>
        </w:rPr>
        <w:footnoteReference w:id="232"/>
      </w:r>
    </w:p>
    <w:p w14:paraId="6817B603" w14:textId="77777777" w:rsidR="007C5DB8" w:rsidRPr="00E2052F" w:rsidRDefault="007C5DB8" w:rsidP="008E5686">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u w:val="single"/>
        </w:rPr>
        <w:t>Tableau 07 :</w:t>
      </w:r>
      <w:r w:rsidRPr="00E2052F">
        <w:rPr>
          <w:rFonts w:asciiTheme="majorBidi" w:hAnsiTheme="majorBidi" w:cstheme="majorBidi"/>
          <w:b/>
          <w:bCs/>
          <w:sz w:val="22"/>
          <w:szCs w:val="22"/>
        </w:rPr>
        <w:t xml:space="preserve"> Indicateurs RSE relatifs aux concurrents.</w:t>
      </w:r>
    </w:p>
    <w:tbl>
      <w:tblPr>
        <w:tblStyle w:val="Grilledutableau"/>
        <w:tblW w:w="8505" w:type="dxa"/>
        <w:jc w:val="center"/>
        <w:tblLook w:val="04A0" w:firstRow="1" w:lastRow="0" w:firstColumn="1" w:lastColumn="0" w:noHBand="0" w:noVBand="1"/>
      </w:tblPr>
      <w:tblGrid>
        <w:gridCol w:w="2857"/>
        <w:gridCol w:w="5648"/>
      </w:tblGrid>
      <w:tr w:rsidR="007C5DB8" w:rsidRPr="00E2052F" w14:paraId="2608B691" w14:textId="77777777" w:rsidTr="007E3B0D">
        <w:trPr>
          <w:jc w:val="center"/>
        </w:trPr>
        <w:tc>
          <w:tcPr>
            <w:tcW w:w="3119" w:type="dxa"/>
            <w:shd w:val="clear" w:color="auto" w:fill="D9E2F3" w:themeFill="accent1" w:themeFillTint="33"/>
          </w:tcPr>
          <w:p w14:paraId="70AE85D3"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Style w:val="citation-331"/>
                <w:rFonts w:asciiTheme="majorBidi" w:hAnsiTheme="majorBidi" w:cstheme="majorBidi"/>
                <w:b/>
                <w:bCs/>
                <w:sz w:val="22"/>
                <w:szCs w:val="22"/>
              </w:rPr>
              <w:t>Questions relatives aux performance</w:t>
            </w:r>
            <w:r w:rsidRPr="00E2052F">
              <w:rPr>
                <w:rFonts w:asciiTheme="majorBidi" w:hAnsiTheme="majorBidi" w:cstheme="majorBidi"/>
                <w:b/>
                <w:bCs/>
                <w:sz w:val="22"/>
                <w:szCs w:val="22"/>
              </w:rPr>
              <w:t>s en matière de RSE</w:t>
            </w:r>
          </w:p>
        </w:tc>
        <w:tc>
          <w:tcPr>
            <w:tcW w:w="6484" w:type="dxa"/>
            <w:shd w:val="clear" w:color="auto" w:fill="D9E2F3" w:themeFill="accent1" w:themeFillTint="33"/>
          </w:tcPr>
          <w:p w14:paraId="7250EFB4"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RSE</w:t>
            </w:r>
          </w:p>
        </w:tc>
      </w:tr>
      <w:tr w:rsidR="007C5DB8" w:rsidRPr="00E2052F" w14:paraId="3D697883" w14:textId="77777777" w:rsidTr="007E3B0D">
        <w:trPr>
          <w:jc w:val="center"/>
        </w:trPr>
        <w:tc>
          <w:tcPr>
            <w:tcW w:w="3119" w:type="dxa"/>
            <w:shd w:val="clear" w:color="auto" w:fill="D9E2F3" w:themeFill="accent1" w:themeFillTint="33"/>
          </w:tcPr>
          <w:p w14:paraId="37509AFD"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Fonctionnement éthique</w:t>
            </w:r>
          </w:p>
        </w:tc>
        <w:tc>
          <w:tcPr>
            <w:tcW w:w="6484" w:type="dxa"/>
          </w:tcPr>
          <w:p w14:paraId="2A56AC3C" w14:textId="77777777" w:rsidR="007C5DB8" w:rsidRPr="00E2052F" w:rsidRDefault="007C5DB8" w:rsidP="00F36332">
            <w:pPr>
              <w:pStyle w:val="NormalWeb"/>
              <w:numPr>
                <w:ilvl w:val="0"/>
                <w:numId w:val="145"/>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Mécanismes d’autorégulation et respect des lois ;</w:t>
            </w:r>
          </w:p>
          <w:p w14:paraId="5A1A48D8" w14:textId="77777777" w:rsidR="007C5DB8" w:rsidRPr="00E2052F" w:rsidRDefault="007C5DB8" w:rsidP="00F36332">
            <w:pPr>
              <w:pStyle w:val="NormalWeb"/>
              <w:numPr>
                <w:ilvl w:val="0"/>
                <w:numId w:val="145"/>
              </w:numPr>
              <w:tabs>
                <w:tab w:val="left" w:pos="1185"/>
              </w:tabs>
              <w:spacing w:before="0" w:beforeAutospacing="0" w:after="16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Coopération avec associations du secteur construction.</w:t>
            </w:r>
          </w:p>
        </w:tc>
      </w:tr>
      <w:tr w:rsidR="007C5DB8" w:rsidRPr="00E2052F" w14:paraId="1F6B7462" w14:textId="77777777" w:rsidTr="007E3B0D">
        <w:trPr>
          <w:jc w:val="center"/>
        </w:trPr>
        <w:tc>
          <w:tcPr>
            <w:tcW w:w="3119" w:type="dxa"/>
            <w:shd w:val="clear" w:color="auto" w:fill="D9E2F3" w:themeFill="accent1" w:themeFillTint="33"/>
          </w:tcPr>
          <w:p w14:paraId="1240FE9A" w14:textId="77777777" w:rsidR="007C5DB8" w:rsidRPr="00E2052F" w:rsidRDefault="007C5DB8" w:rsidP="003D28B1">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Concurrence loyale</w:t>
            </w:r>
          </w:p>
        </w:tc>
        <w:tc>
          <w:tcPr>
            <w:tcW w:w="6484" w:type="dxa"/>
          </w:tcPr>
          <w:p w14:paraId="62741895" w14:textId="77777777" w:rsidR="007C5DB8" w:rsidRPr="00E2052F" w:rsidRDefault="007C5DB8" w:rsidP="00F36332">
            <w:pPr>
              <w:pStyle w:val="NormalWeb"/>
              <w:numPr>
                <w:ilvl w:val="0"/>
                <w:numId w:val="146"/>
              </w:numPr>
              <w:tabs>
                <w:tab w:val="left" w:pos="1185"/>
              </w:tabs>
              <w:spacing w:before="0" w:beforeAutospacing="0" w:after="16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Condamnation de la corruption et pratiques inacceptables ;</w:t>
            </w:r>
          </w:p>
          <w:p w14:paraId="1AE006A4" w14:textId="77777777" w:rsidR="007C5DB8" w:rsidRPr="00E2052F" w:rsidRDefault="007C5DB8" w:rsidP="00F36332">
            <w:pPr>
              <w:pStyle w:val="NormalWeb"/>
              <w:numPr>
                <w:ilvl w:val="0"/>
                <w:numId w:val="146"/>
              </w:numPr>
              <w:tabs>
                <w:tab w:val="left" w:pos="1185"/>
              </w:tabs>
              <w:spacing w:before="0" w:beforeAutospacing="0" w:after="16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Boycott des comportements illégaux sur le marché.</w:t>
            </w:r>
          </w:p>
        </w:tc>
      </w:tr>
    </w:tbl>
    <w:p w14:paraId="785C8CEB" w14:textId="77777777" w:rsidR="005631EA" w:rsidRPr="00C15072" w:rsidRDefault="008E5686" w:rsidP="00C15072">
      <w:pPr>
        <w:pStyle w:val="NormalWeb"/>
        <w:spacing w:before="0" w:beforeAutospacing="0" w:line="360" w:lineRule="auto"/>
        <w:ind w:firstLine="0"/>
        <w:jc w:val="center"/>
        <w:rPr>
          <w:rFonts w:asciiTheme="majorBidi" w:hAnsiTheme="majorBidi" w:cstheme="majorBidi"/>
          <w:sz w:val="16"/>
          <w:szCs w:val="16"/>
        </w:rPr>
      </w:pPr>
      <w:r w:rsidRPr="005631EA">
        <w:rPr>
          <w:rFonts w:asciiTheme="majorBidi" w:hAnsiTheme="majorBidi" w:cstheme="majorBidi"/>
          <w:b/>
          <w:bCs/>
          <w:sz w:val="20"/>
          <w:szCs w:val="20"/>
        </w:rPr>
        <w:t>Source</w:t>
      </w:r>
      <w:r w:rsidR="00C15072">
        <w:rPr>
          <w:rFonts w:asciiTheme="majorBidi" w:hAnsiTheme="majorBidi" w:cstheme="majorBidi"/>
          <w:b/>
          <w:bCs/>
          <w:sz w:val="20"/>
          <w:szCs w:val="20"/>
        </w:rPr>
        <w:t xml:space="preserve"> : </w:t>
      </w:r>
      <w:r w:rsidR="0028673B">
        <w:rPr>
          <w:rFonts w:asciiTheme="majorBidi" w:hAnsiTheme="majorBidi" w:cstheme="majorBidi"/>
          <w:sz w:val="20"/>
          <w:szCs w:val="20"/>
        </w:rPr>
        <w:t xml:space="preserve">élaboré </w:t>
      </w:r>
      <w:r w:rsidR="00C15072" w:rsidRPr="00C15072">
        <w:rPr>
          <w:rFonts w:asciiTheme="majorBidi" w:hAnsiTheme="majorBidi" w:cstheme="majorBidi"/>
          <w:sz w:val="20"/>
          <w:szCs w:val="20"/>
        </w:rPr>
        <w:t>par nous-mêmes</w:t>
      </w:r>
      <w:r w:rsidR="0020071A">
        <w:rPr>
          <w:rFonts w:asciiTheme="majorBidi" w:hAnsiTheme="majorBidi" w:cstheme="majorBidi"/>
          <w:sz w:val="20"/>
          <w:szCs w:val="20"/>
        </w:rPr>
        <w:t xml:space="preserve"> à l’aide des études précédentes</w:t>
      </w:r>
      <w:r w:rsidR="00C15072" w:rsidRPr="00C15072">
        <w:rPr>
          <w:rFonts w:asciiTheme="majorBidi" w:hAnsiTheme="majorBidi" w:cstheme="majorBidi"/>
          <w:sz w:val="20"/>
          <w:szCs w:val="20"/>
        </w:rPr>
        <w:t>.</w:t>
      </w:r>
    </w:p>
    <w:p w14:paraId="119711DA" w14:textId="77777777" w:rsidR="007C5DB8" w:rsidRPr="00E2052F" w:rsidRDefault="007C5DB8" w:rsidP="00F36332">
      <w:pPr>
        <w:pStyle w:val="NormalWeb"/>
        <w:numPr>
          <w:ilvl w:val="0"/>
          <w:numId w:val="108"/>
        </w:numPr>
        <w:tabs>
          <w:tab w:val="left" w:pos="1185"/>
        </w:tabs>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Indicateurs pour les pouvoirs publics :</w:t>
      </w:r>
    </w:p>
    <w:p w14:paraId="6B94A30C"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Tous les indicateurs de la RSE liés aux pouvoirs publics, au niveau organisationnel, reposent sur le respect des exigences législatives et réglementaires ainsi que des normes officielles, sur le paiement des impôts, et sur la contribution à la création d’emplois grâce aux activités à forte intensité de main-d’œuvre offrant de nombreuses opportunités professionnelles.</w:t>
      </w:r>
      <w:r w:rsidR="00C15072">
        <w:rPr>
          <w:rStyle w:val="Appelnotedebasdep"/>
          <w:rFonts w:asciiTheme="majorBidi" w:hAnsiTheme="majorBidi" w:cstheme="majorBidi"/>
          <w:sz w:val="22"/>
          <w:szCs w:val="22"/>
        </w:rPr>
        <w:footnoteReference w:id="233"/>
      </w:r>
    </w:p>
    <w:p w14:paraId="403FEECF" w14:textId="77777777" w:rsidR="007C5DB8" w:rsidRPr="00E2052F" w:rsidRDefault="007C5DB8" w:rsidP="00523C93">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u w:val="single"/>
        </w:rPr>
        <w:t>Tableau 08 :</w:t>
      </w:r>
      <w:r w:rsidR="007E3B0D" w:rsidRPr="00E2052F">
        <w:rPr>
          <w:rFonts w:asciiTheme="majorBidi" w:hAnsiTheme="majorBidi" w:cstheme="majorBidi"/>
          <w:b/>
          <w:bCs/>
          <w:sz w:val="22"/>
          <w:szCs w:val="22"/>
          <w:u w:val="single"/>
        </w:rPr>
        <w:t xml:space="preserve"> </w:t>
      </w:r>
      <w:r w:rsidRPr="00E2052F">
        <w:rPr>
          <w:rFonts w:asciiTheme="majorBidi" w:hAnsiTheme="majorBidi" w:cstheme="majorBidi"/>
          <w:b/>
          <w:bCs/>
          <w:sz w:val="22"/>
          <w:szCs w:val="22"/>
        </w:rPr>
        <w:t>Indicateurs de RSE liés aux pouvoirs publics</w:t>
      </w:r>
      <w:r w:rsidR="00523C93">
        <w:rPr>
          <w:rFonts w:asciiTheme="majorBidi" w:hAnsiTheme="majorBidi" w:cstheme="majorBidi"/>
          <w:b/>
          <w:bCs/>
          <w:sz w:val="22"/>
          <w:szCs w:val="22"/>
        </w:rPr>
        <w:t>.</w:t>
      </w:r>
    </w:p>
    <w:tbl>
      <w:tblPr>
        <w:tblStyle w:val="Grilledutableau"/>
        <w:tblW w:w="8505" w:type="dxa"/>
        <w:jc w:val="center"/>
        <w:tblLook w:val="04A0" w:firstRow="1" w:lastRow="0" w:firstColumn="1" w:lastColumn="0" w:noHBand="0" w:noVBand="1"/>
      </w:tblPr>
      <w:tblGrid>
        <w:gridCol w:w="2601"/>
        <w:gridCol w:w="5904"/>
      </w:tblGrid>
      <w:tr w:rsidR="007C5DB8" w:rsidRPr="00E2052F" w14:paraId="14DFD92E" w14:textId="77777777" w:rsidTr="007E3B0D">
        <w:trPr>
          <w:jc w:val="center"/>
        </w:trPr>
        <w:tc>
          <w:tcPr>
            <w:tcW w:w="2835" w:type="dxa"/>
            <w:shd w:val="clear" w:color="auto" w:fill="D9E2F3" w:themeFill="accent1" w:themeFillTint="33"/>
          </w:tcPr>
          <w:p w14:paraId="6FB940F4" w14:textId="77777777" w:rsidR="007C5DB8" w:rsidRPr="00E2052F" w:rsidRDefault="007C5DB8" w:rsidP="001F014D">
            <w:pPr>
              <w:pStyle w:val="NormalWeb"/>
              <w:tabs>
                <w:tab w:val="left" w:pos="1185"/>
              </w:tabs>
              <w:spacing w:before="0" w:beforeAutospacing="0" w:after="160" w:line="360" w:lineRule="auto"/>
              <w:rPr>
                <w:rFonts w:asciiTheme="majorBidi" w:hAnsiTheme="majorBidi" w:cstheme="majorBidi"/>
                <w:b/>
                <w:bCs/>
                <w:sz w:val="22"/>
                <w:szCs w:val="22"/>
              </w:rPr>
            </w:pPr>
            <w:r w:rsidRPr="00E2052F">
              <w:rPr>
                <w:rStyle w:val="citation-331"/>
                <w:rFonts w:asciiTheme="majorBidi" w:hAnsiTheme="majorBidi" w:cstheme="majorBidi"/>
                <w:b/>
                <w:bCs/>
                <w:sz w:val="22"/>
                <w:szCs w:val="22"/>
              </w:rPr>
              <w:t>Questions relatives aux performance</w:t>
            </w:r>
            <w:r w:rsidRPr="00E2052F">
              <w:rPr>
                <w:rFonts w:asciiTheme="majorBidi" w:hAnsiTheme="majorBidi" w:cstheme="majorBidi"/>
                <w:b/>
                <w:bCs/>
                <w:sz w:val="22"/>
                <w:szCs w:val="22"/>
              </w:rPr>
              <w:t>s en matière de RSE</w:t>
            </w:r>
          </w:p>
        </w:tc>
        <w:tc>
          <w:tcPr>
            <w:tcW w:w="6768" w:type="dxa"/>
            <w:shd w:val="clear" w:color="auto" w:fill="D9E2F3" w:themeFill="accent1" w:themeFillTint="33"/>
          </w:tcPr>
          <w:p w14:paraId="30FDD4F7" w14:textId="77777777" w:rsidR="007C5DB8" w:rsidRPr="00E2052F" w:rsidRDefault="007C5DB8" w:rsidP="001F014D">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b/>
                <w:bCs/>
                <w:sz w:val="22"/>
                <w:szCs w:val="22"/>
              </w:rPr>
              <w:t>Indicateurs RSE</w:t>
            </w:r>
          </w:p>
        </w:tc>
      </w:tr>
      <w:tr w:rsidR="007C5DB8" w:rsidRPr="00E2052F" w14:paraId="78B99CBD" w14:textId="77777777" w:rsidTr="007E3B0D">
        <w:trPr>
          <w:jc w:val="center"/>
        </w:trPr>
        <w:tc>
          <w:tcPr>
            <w:tcW w:w="2835" w:type="dxa"/>
            <w:shd w:val="clear" w:color="auto" w:fill="D9E2F3" w:themeFill="accent1" w:themeFillTint="33"/>
          </w:tcPr>
          <w:p w14:paraId="6A9B7E31" w14:textId="77777777" w:rsidR="007C5DB8" w:rsidRPr="00E2052F" w:rsidRDefault="007C5DB8" w:rsidP="001F014D">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Payer l'impôt</w:t>
            </w:r>
          </w:p>
        </w:tc>
        <w:tc>
          <w:tcPr>
            <w:tcW w:w="6768" w:type="dxa"/>
          </w:tcPr>
          <w:p w14:paraId="6A451EC0" w14:textId="77777777" w:rsidR="007C5DB8" w:rsidRPr="00F461EA" w:rsidRDefault="007C5DB8" w:rsidP="00F461EA">
            <w:pPr>
              <w:pStyle w:val="Paragraphedeliste"/>
              <w:numPr>
                <w:ilvl w:val="0"/>
                <w:numId w:val="240"/>
              </w:numPr>
              <w:spacing w:before="0" w:beforeAutospacing="0"/>
              <w:jc w:val="left"/>
              <w:rPr>
                <w:rFonts w:eastAsia="Times New Roman" w:cstheme="majorBidi"/>
                <w:sz w:val="22"/>
                <w:lang w:eastAsia="fr-FR"/>
              </w:rPr>
            </w:pPr>
            <w:r w:rsidRPr="00F461EA">
              <w:rPr>
                <w:rFonts w:eastAsia="Times New Roman" w:cstheme="majorBidi"/>
                <w:sz w:val="22"/>
                <w:lang w:eastAsia="fr-FR"/>
              </w:rPr>
              <w:t>S'acquitter des paiements d'impôts exigés par la loi.</w:t>
            </w:r>
          </w:p>
        </w:tc>
      </w:tr>
      <w:tr w:rsidR="007C5DB8" w:rsidRPr="00E2052F" w14:paraId="69547EE2" w14:textId="77777777" w:rsidTr="007E3B0D">
        <w:trPr>
          <w:jc w:val="center"/>
        </w:trPr>
        <w:tc>
          <w:tcPr>
            <w:tcW w:w="2835" w:type="dxa"/>
            <w:shd w:val="clear" w:color="auto" w:fill="D9E2F3" w:themeFill="accent1" w:themeFillTint="33"/>
          </w:tcPr>
          <w:p w14:paraId="03BEFB92" w14:textId="77777777" w:rsidR="007C5DB8" w:rsidRPr="00E2052F" w:rsidRDefault="007C5DB8" w:rsidP="001F014D">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lastRenderedPageBreak/>
              <w:t>Respecter les exigences des lois et des politiques</w:t>
            </w:r>
          </w:p>
        </w:tc>
        <w:tc>
          <w:tcPr>
            <w:tcW w:w="6768" w:type="dxa"/>
          </w:tcPr>
          <w:p w14:paraId="50C5BBB9" w14:textId="77777777" w:rsidR="00C15072" w:rsidRDefault="007C5DB8" w:rsidP="00C15072">
            <w:pPr>
              <w:pStyle w:val="Paragraphedeliste"/>
              <w:numPr>
                <w:ilvl w:val="0"/>
                <w:numId w:val="147"/>
              </w:numPr>
              <w:spacing w:before="0" w:beforeAutospacing="0" w:after="160" w:line="360" w:lineRule="auto"/>
              <w:ind w:left="0" w:firstLine="284"/>
              <w:jc w:val="left"/>
              <w:rPr>
                <w:rFonts w:eastAsia="Times New Roman" w:cstheme="majorBidi"/>
                <w:sz w:val="22"/>
                <w:lang w:eastAsia="fr-FR"/>
              </w:rPr>
            </w:pPr>
            <w:r w:rsidRPr="00E2052F">
              <w:rPr>
                <w:rFonts w:eastAsia="Times New Roman" w:cstheme="majorBidi"/>
                <w:sz w:val="22"/>
                <w:lang w:eastAsia="fr-FR"/>
              </w:rPr>
              <w:t>Respect des lois et codes de conduite ;</w:t>
            </w:r>
          </w:p>
          <w:p w14:paraId="4CBF7E13" w14:textId="77777777" w:rsidR="007C5DB8" w:rsidRPr="00C15072" w:rsidRDefault="007C5DB8" w:rsidP="00C15072">
            <w:pPr>
              <w:pStyle w:val="Paragraphedeliste"/>
              <w:numPr>
                <w:ilvl w:val="0"/>
                <w:numId w:val="147"/>
              </w:numPr>
              <w:spacing w:before="0" w:beforeAutospacing="0" w:after="160" w:line="360" w:lineRule="auto"/>
              <w:ind w:left="0" w:firstLine="284"/>
              <w:jc w:val="left"/>
              <w:rPr>
                <w:rFonts w:eastAsia="Times New Roman" w:cstheme="majorBidi"/>
                <w:sz w:val="22"/>
                <w:lang w:eastAsia="fr-FR"/>
              </w:rPr>
            </w:pPr>
            <w:r w:rsidRPr="00C15072">
              <w:rPr>
                <w:rFonts w:cstheme="majorBidi"/>
                <w:sz w:val="22"/>
              </w:rPr>
              <w:t>Soutien aux activités publiques gouvernementales.</w:t>
            </w:r>
          </w:p>
        </w:tc>
      </w:tr>
      <w:tr w:rsidR="007C5DB8" w:rsidRPr="00E2052F" w14:paraId="5E33B7F0" w14:textId="77777777" w:rsidTr="007E3B0D">
        <w:trPr>
          <w:jc w:val="center"/>
        </w:trPr>
        <w:tc>
          <w:tcPr>
            <w:tcW w:w="2835" w:type="dxa"/>
            <w:shd w:val="clear" w:color="auto" w:fill="D9E2F3" w:themeFill="accent1" w:themeFillTint="33"/>
          </w:tcPr>
          <w:p w14:paraId="69949817" w14:textId="77777777" w:rsidR="007C5DB8" w:rsidRPr="00E2052F" w:rsidRDefault="007C5DB8" w:rsidP="001F014D">
            <w:pPr>
              <w:pStyle w:val="NormalWeb"/>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Offrir des opportunités d'emploi</w:t>
            </w:r>
          </w:p>
        </w:tc>
        <w:tc>
          <w:tcPr>
            <w:tcW w:w="6768" w:type="dxa"/>
          </w:tcPr>
          <w:p w14:paraId="049B8B18" w14:textId="77777777" w:rsidR="007C5DB8" w:rsidRPr="00E2052F" w:rsidRDefault="007C5DB8" w:rsidP="00C15072">
            <w:pPr>
              <w:pStyle w:val="NormalWeb"/>
              <w:numPr>
                <w:ilvl w:val="0"/>
                <w:numId w:val="147"/>
              </w:numPr>
              <w:tabs>
                <w:tab w:val="left" w:pos="1185"/>
              </w:tabs>
              <w:spacing w:before="0" w:beforeAutospacing="0" w:after="160" w:line="360" w:lineRule="auto"/>
              <w:rPr>
                <w:rFonts w:asciiTheme="majorBidi" w:hAnsiTheme="majorBidi" w:cstheme="majorBidi"/>
                <w:b/>
                <w:bCs/>
                <w:sz w:val="22"/>
                <w:szCs w:val="22"/>
              </w:rPr>
            </w:pPr>
            <w:r w:rsidRPr="00E2052F">
              <w:rPr>
                <w:rFonts w:asciiTheme="majorBidi" w:hAnsiTheme="majorBidi" w:cstheme="majorBidi"/>
                <w:sz w:val="22"/>
                <w:szCs w:val="22"/>
              </w:rPr>
              <w:t>Offrir des possibilités d'emploi pour la société.</w:t>
            </w:r>
          </w:p>
        </w:tc>
      </w:tr>
    </w:tbl>
    <w:p w14:paraId="01245014" w14:textId="77777777" w:rsidR="001F014D" w:rsidRPr="00C15072" w:rsidRDefault="001F014D" w:rsidP="00C15072">
      <w:pPr>
        <w:pStyle w:val="NormalWeb"/>
        <w:tabs>
          <w:tab w:val="left" w:pos="1185"/>
        </w:tabs>
        <w:spacing w:before="0" w:beforeAutospacing="0" w:line="360" w:lineRule="auto"/>
        <w:jc w:val="center"/>
        <w:rPr>
          <w:rFonts w:asciiTheme="majorBidi" w:hAnsiTheme="majorBidi" w:cstheme="majorBidi"/>
          <w:b/>
          <w:bCs/>
          <w:sz w:val="20"/>
          <w:szCs w:val="20"/>
        </w:rPr>
      </w:pPr>
      <w:r w:rsidRPr="00C15072">
        <w:rPr>
          <w:rFonts w:asciiTheme="majorBidi" w:hAnsiTheme="majorBidi" w:cstheme="majorBidi"/>
          <w:b/>
          <w:bCs/>
          <w:sz w:val="20"/>
          <w:szCs w:val="20"/>
        </w:rPr>
        <w:t>Source</w:t>
      </w:r>
      <w:r w:rsidR="005631EA" w:rsidRPr="00C15072">
        <w:rPr>
          <w:rFonts w:asciiTheme="majorBidi" w:hAnsiTheme="majorBidi" w:cstheme="majorBidi"/>
          <w:b/>
          <w:bCs/>
          <w:sz w:val="20"/>
          <w:szCs w:val="20"/>
        </w:rPr>
        <w:t> :</w:t>
      </w:r>
      <w:r w:rsidRPr="00C15072">
        <w:rPr>
          <w:rFonts w:asciiTheme="majorBidi" w:hAnsiTheme="majorBidi" w:cstheme="majorBidi"/>
          <w:b/>
          <w:bCs/>
          <w:sz w:val="20"/>
          <w:szCs w:val="20"/>
        </w:rPr>
        <w:t> </w:t>
      </w:r>
      <w:r w:rsidR="0028673B">
        <w:rPr>
          <w:rStyle w:val="lev"/>
          <w:rFonts w:asciiTheme="majorBidi" w:hAnsiTheme="majorBidi" w:cstheme="majorBidi"/>
          <w:b w:val="0"/>
          <w:bCs w:val="0"/>
          <w:sz w:val="20"/>
          <w:szCs w:val="20"/>
        </w:rPr>
        <w:t>élaboré</w:t>
      </w:r>
      <w:r w:rsidR="00C15072" w:rsidRPr="00C15072">
        <w:rPr>
          <w:rStyle w:val="lev"/>
          <w:rFonts w:asciiTheme="majorBidi" w:hAnsiTheme="majorBidi" w:cstheme="majorBidi"/>
          <w:b w:val="0"/>
          <w:bCs w:val="0"/>
          <w:sz w:val="20"/>
          <w:szCs w:val="20"/>
        </w:rPr>
        <w:t xml:space="preserve"> par nous-mêmes</w:t>
      </w:r>
      <w:r w:rsidR="0020071A">
        <w:rPr>
          <w:rStyle w:val="lev"/>
          <w:rFonts w:asciiTheme="majorBidi" w:hAnsiTheme="majorBidi" w:cstheme="majorBidi"/>
          <w:b w:val="0"/>
          <w:bCs w:val="0"/>
          <w:sz w:val="20"/>
          <w:szCs w:val="20"/>
        </w:rPr>
        <w:t xml:space="preserve"> </w:t>
      </w:r>
      <w:r w:rsidR="0020071A">
        <w:rPr>
          <w:rFonts w:asciiTheme="majorBidi" w:hAnsiTheme="majorBidi" w:cstheme="majorBidi"/>
          <w:sz w:val="20"/>
          <w:szCs w:val="20"/>
        </w:rPr>
        <w:t>à l’aide des études précédentes</w:t>
      </w:r>
      <w:r w:rsidR="00C15072" w:rsidRPr="00C15072">
        <w:rPr>
          <w:rStyle w:val="lev"/>
          <w:rFonts w:asciiTheme="majorBidi" w:hAnsiTheme="majorBidi" w:cstheme="majorBidi"/>
          <w:b w:val="0"/>
          <w:bCs w:val="0"/>
          <w:sz w:val="20"/>
          <w:szCs w:val="20"/>
        </w:rPr>
        <w:t>.</w:t>
      </w:r>
    </w:p>
    <w:p w14:paraId="6920B33B"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Ces indicateurs montrent le caractère global de la RSE. Ils traduisent le respect des règles et des parties prenantes. Ils visent l’équilibre entre performance et responsabilité.</w:t>
      </w:r>
    </w:p>
    <w:p w14:paraId="2688BF78" w14:textId="77777777" w:rsidR="007C5DB8" w:rsidRPr="00007B44" w:rsidRDefault="007C5DB8" w:rsidP="00F36332">
      <w:pPr>
        <w:pStyle w:val="Titre2"/>
        <w:numPr>
          <w:ilvl w:val="0"/>
          <w:numId w:val="233"/>
        </w:numPr>
      </w:pPr>
      <w:bookmarkStart w:id="1007" w:name="_Toc231746913"/>
      <w:bookmarkStart w:id="1008" w:name="_Toc231752319"/>
      <w:bookmarkStart w:id="1009" w:name="_Toc231810622"/>
      <w:bookmarkStart w:id="1010" w:name="_Toc231811965"/>
      <w:bookmarkStart w:id="1011" w:name="_Toc231812243"/>
      <w:bookmarkStart w:id="1012" w:name="_Toc231815127"/>
      <w:r w:rsidRPr="00C8480E">
        <w:rPr>
          <w:rStyle w:val="Titre2Car"/>
          <w:b/>
          <w:bCs/>
        </w:rPr>
        <w:t>Les axes d’action de la responsabilité sociale des entreprises</w:t>
      </w:r>
      <w:r w:rsidRPr="00007B44">
        <w:t> :</w:t>
      </w:r>
      <w:bookmarkEnd w:id="1007"/>
      <w:bookmarkEnd w:id="1008"/>
      <w:bookmarkEnd w:id="1009"/>
      <w:bookmarkEnd w:id="1010"/>
      <w:bookmarkEnd w:id="1011"/>
      <w:bookmarkEnd w:id="1012"/>
    </w:p>
    <w:p w14:paraId="67262626" w14:textId="77777777" w:rsidR="007C5DB8" w:rsidRPr="00BE1625" w:rsidRDefault="007C5DB8" w:rsidP="00F36332">
      <w:pPr>
        <w:pStyle w:val="Titre3"/>
        <w:numPr>
          <w:ilvl w:val="0"/>
          <w:numId w:val="230"/>
        </w:numPr>
      </w:pPr>
      <w:bookmarkStart w:id="1013" w:name="_Toc231746914"/>
      <w:bookmarkStart w:id="1014" w:name="_Toc231752320"/>
      <w:bookmarkStart w:id="1015" w:name="_Toc231810623"/>
      <w:bookmarkStart w:id="1016" w:name="_Toc231811966"/>
      <w:bookmarkStart w:id="1017" w:name="_Toc231812244"/>
      <w:bookmarkStart w:id="1018" w:name="_Toc231815128"/>
      <w:r w:rsidRPr="00246D53">
        <w:rPr>
          <w:rStyle w:val="Titre3Car"/>
          <w:rFonts w:asciiTheme="majorBidi" w:hAnsiTheme="majorBidi"/>
          <w:b/>
          <w:bCs/>
          <w:color w:val="auto"/>
        </w:rPr>
        <w:t>L’outillage de la responsabilité sociale des entreprises</w:t>
      </w:r>
      <w:r w:rsidRPr="00BE1625">
        <w:t> :</w:t>
      </w:r>
      <w:bookmarkEnd w:id="1013"/>
      <w:bookmarkEnd w:id="1014"/>
      <w:bookmarkEnd w:id="1015"/>
      <w:bookmarkEnd w:id="1016"/>
      <w:bookmarkEnd w:id="1017"/>
      <w:bookmarkEnd w:id="1018"/>
    </w:p>
    <w:p w14:paraId="3D926B8D"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relative rapidité avec laquelle la RSE s’est impose dans le paysage gestionnaire s’explique en </w:t>
      </w:r>
      <w:r w:rsidR="001F014D" w:rsidRPr="00E2052F">
        <w:rPr>
          <w:rFonts w:asciiTheme="majorBidi" w:hAnsiTheme="majorBidi" w:cstheme="majorBidi"/>
          <w:sz w:val="22"/>
          <w:szCs w:val="22"/>
        </w:rPr>
        <w:t xml:space="preserve">partie </w:t>
      </w:r>
      <w:r w:rsidR="001F014D">
        <w:rPr>
          <w:rFonts w:asciiTheme="majorBidi" w:hAnsiTheme="majorBidi" w:cstheme="majorBidi"/>
          <w:sz w:val="22"/>
          <w:szCs w:val="22"/>
        </w:rPr>
        <w:t>par</w:t>
      </w:r>
      <w:r w:rsidRPr="00E2052F">
        <w:rPr>
          <w:rFonts w:asciiTheme="majorBidi" w:hAnsiTheme="majorBidi" w:cstheme="majorBidi"/>
          <w:sz w:val="22"/>
          <w:szCs w:val="22"/>
        </w:rPr>
        <w:t xml:space="preserve"> la mise à disposition des entreprises d’outils de gestion performants concernant de nombreuses applications. Un outil de gestion peut être vu comme un conglomérat singulier constitué d’un </w:t>
      </w:r>
      <w:r w:rsidRPr="00E2052F">
        <w:rPr>
          <w:rStyle w:val="Accentuation"/>
          <w:rFonts w:asciiTheme="majorBidi" w:hAnsiTheme="majorBidi" w:cstheme="majorBidi"/>
          <w:i w:val="0"/>
          <w:iCs w:val="0"/>
          <w:sz w:val="22"/>
          <w:szCs w:val="22"/>
        </w:rPr>
        <w:t>substrat technique</w:t>
      </w:r>
      <w:r w:rsidRPr="00E2052F">
        <w:rPr>
          <w:rFonts w:asciiTheme="majorBidi" w:hAnsiTheme="majorBidi" w:cstheme="majorBidi"/>
          <w:i/>
          <w:iCs/>
          <w:sz w:val="22"/>
          <w:szCs w:val="22"/>
        </w:rPr>
        <w:t xml:space="preserve">, </w:t>
      </w:r>
      <w:r w:rsidRPr="00E2052F">
        <w:rPr>
          <w:rFonts w:asciiTheme="majorBidi" w:hAnsiTheme="majorBidi" w:cstheme="majorBidi"/>
          <w:sz w:val="22"/>
          <w:szCs w:val="22"/>
        </w:rPr>
        <w:t xml:space="preserve">d’une </w:t>
      </w:r>
      <w:r w:rsidRPr="00E2052F">
        <w:rPr>
          <w:rStyle w:val="Accentuation"/>
          <w:rFonts w:asciiTheme="majorBidi" w:hAnsiTheme="majorBidi" w:cstheme="majorBidi"/>
          <w:i w:val="0"/>
          <w:iCs w:val="0"/>
          <w:sz w:val="22"/>
          <w:szCs w:val="22"/>
        </w:rPr>
        <w:t>philosophie gestionnaire</w:t>
      </w:r>
      <w:r w:rsidR="001F014D">
        <w:rPr>
          <w:rStyle w:val="Accentuation"/>
          <w:rFonts w:asciiTheme="majorBidi" w:hAnsiTheme="majorBidi" w:cstheme="majorBidi"/>
          <w:i w:val="0"/>
          <w:iCs w:val="0"/>
          <w:sz w:val="22"/>
          <w:szCs w:val="22"/>
        </w:rPr>
        <w:t xml:space="preserve"> </w:t>
      </w:r>
      <w:r w:rsidRPr="00E2052F">
        <w:rPr>
          <w:rFonts w:asciiTheme="majorBidi" w:hAnsiTheme="majorBidi" w:cstheme="majorBidi"/>
          <w:sz w:val="22"/>
          <w:szCs w:val="22"/>
        </w:rPr>
        <w:t>et d’une</w:t>
      </w:r>
      <w:r w:rsidR="001F014D">
        <w:rPr>
          <w:rFonts w:asciiTheme="majorBidi" w:hAnsiTheme="majorBidi" w:cstheme="majorBidi"/>
          <w:sz w:val="22"/>
          <w:szCs w:val="22"/>
        </w:rPr>
        <w:t xml:space="preserve"> </w:t>
      </w:r>
      <w:r w:rsidRPr="00E2052F">
        <w:rPr>
          <w:rStyle w:val="Accentuation"/>
          <w:rFonts w:asciiTheme="majorBidi" w:hAnsiTheme="majorBidi" w:cstheme="majorBidi"/>
          <w:i w:val="0"/>
          <w:iCs w:val="0"/>
          <w:sz w:val="22"/>
          <w:szCs w:val="22"/>
        </w:rPr>
        <w:t>vision simplifiée des relations organisationnelles</w:t>
      </w:r>
      <w:r w:rsidRPr="00E2052F">
        <w:rPr>
          <w:rStyle w:val="Appelnotedebasdep"/>
          <w:rFonts w:asciiTheme="majorBidi" w:hAnsiTheme="majorBidi" w:cstheme="majorBidi"/>
          <w:sz w:val="22"/>
          <w:szCs w:val="22"/>
        </w:rPr>
        <w:footnoteReference w:id="234"/>
      </w:r>
      <w:r w:rsidRPr="00E2052F">
        <w:rPr>
          <w:rFonts w:asciiTheme="majorBidi" w:hAnsiTheme="majorBidi" w:cstheme="majorBidi"/>
          <w:sz w:val="22"/>
          <w:szCs w:val="22"/>
        </w:rPr>
        <w:t>.Les fondements techniques varient d'un outil à l'autre. Chaque discipline de gestion concernée par la responsabilité sociale des entreprises s'est moins intéressée à la création d'un outil entièrement nouveau qu'à l'extension et à l'adaptation des outils existants, et parmi ces outils :</w:t>
      </w:r>
    </w:p>
    <w:p w14:paraId="3534E1B5" w14:textId="77777777" w:rsidR="007C5DB8" w:rsidRPr="00E2052F" w:rsidRDefault="007C5DB8" w:rsidP="00F36332">
      <w:pPr>
        <w:pStyle w:val="NormalWeb"/>
        <w:numPr>
          <w:ilvl w:val="0"/>
          <w:numId w:val="114"/>
        </w:numPr>
        <w:tabs>
          <w:tab w:val="left" w:pos="1185"/>
        </w:tabs>
        <w:spacing w:before="0" w:beforeAutospacing="0" w:line="360" w:lineRule="auto"/>
        <w:rPr>
          <w:rFonts w:asciiTheme="majorBidi" w:hAnsiTheme="majorBidi" w:cstheme="majorBidi"/>
          <w:b/>
          <w:bCs/>
          <w:sz w:val="22"/>
          <w:szCs w:val="22"/>
        </w:rPr>
      </w:pPr>
      <w:r w:rsidRPr="00E2052F">
        <w:rPr>
          <w:rFonts w:asciiTheme="majorBidi" w:eastAsiaTheme="minorHAnsi" w:hAnsiTheme="majorBidi" w:cstheme="majorBidi"/>
          <w:b/>
          <w:bCs/>
          <w:color w:val="000000"/>
          <w:sz w:val="22"/>
          <w:szCs w:val="22"/>
          <w:lang w:eastAsia="en-US"/>
        </w:rPr>
        <w:t>Le reporting social :</w:t>
      </w:r>
    </w:p>
    <w:p w14:paraId="48C39C4B" w14:textId="77777777" w:rsidR="007C5DB8" w:rsidRPr="00E2052F" w:rsidRDefault="007C5DB8" w:rsidP="003D28B1">
      <w:pPr>
        <w:pStyle w:val="NormalWeb"/>
        <w:tabs>
          <w:tab w:val="left" w:pos="1185"/>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La diffusion du reporting social reflète une sensibilisation croissante des entreprises à leur responsabilité sociétale. Tandis que certains le perçoivent comme un simple instrument de communication entre l’organisation et ses différentes parties prenantes, d’autres lui attribuent un rôle plus stratégique dans l’aide à la prise de décision dans la mesure où il fournit des informations nouvellement sollicitées par les investisseurs</w:t>
      </w:r>
      <w:r w:rsidRPr="00E2052F">
        <w:rPr>
          <w:rStyle w:val="Appelnotedebasdep"/>
          <w:rFonts w:asciiTheme="majorBidi" w:hAnsiTheme="majorBidi" w:cstheme="majorBidi"/>
          <w:sz w:val="22"/>
          <w:szCs w:val="22"/>
        </w:rPr>
        <w:footnoteReference w:id="235"/>
      </w:r>
      <w:r w:rsidRPr="00E2052F">
        <w:rPr>
          <w:rFonts w:asciiTheme="majorBidi" w:hAnsiTheme="majorBidi" w:cstheme="majorBidi"/>
          <w:sz w:val="22"/>
          <w:szCs w:val="22"/>
        </w:rPr>
        <w:t>. Le reporting social peut se présenter sous trois formes principales :</w:t>
      </w:r>
    </w:p>
    <w:p w14:paraId="134FC449" w14:textId="77777777" w:rsidR="007E3B0D" w:rsidRPr="00E2052F" w:rsidRDefault="007C5DB8" w:rsidP="00F36332">
      <w:pPr>
        <w:pStyle w:val="NormalWeb"/>
        <w:numPr>
          <w:ilvl w:val="0"/>
          <w:numId w:val="108"/>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Le rapport RSE annuel de gestion :</w:t>
      </w:r>
    </w:p>
    <w:p w14:paraId="7629F298" w14:textId="77777777" w:rsidR="007C5DB8" w:rsidRPr="00E2052F" w:rsidRDefault="007C5DB8" w:rsidP="007E3B0D">
      <w:pPr>
        <w:pStyle w:val="NormalWeb"/>
        <w:tabs>
          <w:tab w:val="left" w:pos="8043"/>
        </w:tabs>
        <w:spacing w:before="0" w:beforeAutospacing="0" w:line="360" w:lineRule="auto"/>
        <w:ind w:left="284"/>
        <w:rPr>
          <w:rFonts w:asciiTheme="majorBidi" w:hAnsiTheme="majorBidi" w:cstheme="majorBidi"/>
          <w:b/>
          <w:bCs/>
          <w:sz w:val="22"/>
          <w:szCs w:val="22"/>
        </w:rPr>
      </w:pPr>
      <w:r w:rsidRPr="00E2052F">
        <w:rPr>
          <w:rFonts w:asciiTheme="majorBidi" w:hAnsiTheme="majorBidi" w:cstheme="majorBidi"/>
          <w:sz w:val="22"/>
          <w:szCs w:val="22"/>
        </w:rPr>
        <w:t>Il intègre des informations relatives à la RSE, directement au sein du rapport global de l’entreprise, permettant ainsi une vision intégrée de performances financières et extra-financier.</w:t>
      </w:r>
    </w:p>
    <w:p w14:paraId="424C9566" w14:textId="77777777" w:rsidR="007E3B0D" w:rsidRPr="00E2052F" w:rsidRDefault="007C5DB8" w:rsidP="00F36332">
      <w:pPr>
        <w:pStyle w:val="NormalWeb"/>
        <w:numPr>
          <w:ilvl w:val="0"/>
          <w:numId w:val="108"/>
        </w:numPr>
        <w:tabs>
          <w:tab w:val="left" w:pos="8043"/>
        </w:tabs>
        <w:spacing w:before="0" w:beforeAutospacing="0" w:line="360" w:lineRule="auto"/>
        <w:rPr>
          <w:rFonts w:asciiTheme="majorBidi" w:hAnsiTheme="majorBidi" w:cstheme="majorBidi"/>
          <w:b/>
          <w:bCs/>
          <w:sz w:val="22"/>
          <w:szCs w:val="22"/>
        </w:rPr>
      </w:pPr>
      <w:r w:rsidRPr="00E2052F">
        <w:rPr>
          <w:rStyle w:val="lev"/>
          <w:rFonts w:asciiTheme="majorBidi" w:hAnsiTheme="majorBidi" w:cstheme="majorBidi"/>
          <w:sz w:val="22"/>
          <w:szCs w:val="22"/>
        </w:rPr>
        <w:t>Le site internet institutionnel</w:t>
      </w:r>
      <w:r w:rsidRPr="00E2052F">
        <w:rPr>
          <w:rFonts w:asciiTheme="majorBidi" w:hAnsiTheme="majorBidi" w:cstheme="majorBidi"/>
          <w:sz w:val="22"/>
          <w:szCs w:val="22"/>
        </w:rPr>
        <w:t> </w:t>
      </w:r>
      <w:r w:rsidRPr="00E2052F">
        <w:rPr>
          <w:rFonts w:asciiTheme="majorBidi" w:hAnsiTheme="majorBidi" w:cstheme="majorBidi"/>
          <w:b/>
          <w:bCs/>
          <w:sz w:val="22"/>
          <w:szCs w:val="22"/>
        </w:rPr>
        <w:t xml:space="preserve">: </w:t>
      </w:r>
    </w:p>
    <w:p w14:paraId="0F0C3E5A" w14:textId="77777777" w:rsidR="007C5DB8" w:rsidRPr="00E2052F" w:rsidRDefault="007C5DB8" w:rsidP="007E3B0D">
      <w:pPr>
        <w:pStyle w:val="NormalWeb"/>
        <w:tabs>
          <w:tab w:val="left" w:pos="8043"/>
        </w:tabs>
        <w:spacing w:before="0" w:beforeAutospacing="0" w:line="360" w:lineRule="auto"/>
        <w:ind w:left="284"/>
        <w:rPr>
          <w:rFonts w:asciiTheme="majorBidi" w:hAnsiTheme="majorBidi" w:cstheme="majorBidi"/>
          <w:b/>
          <w:bCs/>
          <w:sz w:val="22"/>
          <w:szCs w:val="22"/>
        </w:rPr>
      </w:pPr>
      <w:r w:rsidRPr="00E2052F">
        <w:rPr>
          <w:rFonts w:asciiTheme="majorBidi" w:hAnsiTheme="majorBidi" w:cstheme="majorBidi"/>
          <w:sz w:val="22"/>
          <w:szCs w:val="22"/>
        </w:rPr>
        <w:lastRenderedPageBreak/>
        <w:t>Il permet de diffuser de manière continue et accessible les informations de l’entreprise, favorisant la transparence et la mise à jour régulière des données.</w:t>
      </w:r>
    </w:p>
    <w:p w14:paraId="63C0C36E" w14:textId="77777777" w:rsidR="007E3B0D" w:rsidRPr="00E2052F" w:rsidRDefault="007C5DB8" w:rsidP="00F36332">
      <w:pPr>
        <w:pStyle w:val="NormalWeb"/>
        <w:numPr>
          <w:ilvl w:val="0"/>
          <w:numId w:val="108"/>
        </w:numPr>
        <w:tabs>
          <w:tab w:val="left" w:pos="8043"/>
        </w:tabs>
        <w:spacing w:before="0" w:beforeAutospacing="0" w:line="360" w:lineRule="auto"/>
        <w:jc w:val="left"/>
        <w:rPr>
          <w:rFonts w:asciiTheme="majorBidi" w:hAnsiTheme="majorBidi" w:cstheme="majorBidi"/>
          <w:b/>
          <w:bCs/>
          <w:sz w:val="22"/>
          <w:szCs w:val="22"/>
        </w:rPr>
      </w:pPr>
      <w:r w:rsidRPr="00E2052F">
        <w:rPr>
          <w:rStyle w:val="lev"/>
          <w:rFonts w:asciiTheme="majorBidi" w:hAnsiTheme="majorBidi" w:cstheme="majorBidi"/>
          <w:sz w:val="22"/>
          <w:szCs w:val="22"/>
        </w:rPr>
        <w:t xml:space="preserve">Le rapport RSE </w:t>
      </w:r>
      <w:r w:rsidR="007E3B0D" w:rsidRPr="00E2052F">
        <w:rPr>
          <w:rStyle w:val="lev"/>
          <w:rFonts w:asciiTheme="majorBidi" w:hAnsiTheme="majorBidi" w:cstheme="majorBidi"/>
          <w:sz w:val="22"/>
          <w:szCs w:val="22"/>
        </w:rPr>
        <w:t>spécifique</w:t>
      </w:r>
      <w:r w:rsidR="007E3B0D" w:rsidRPr="00E2052F">
        <w:rPr>
          <w:rFonts w:asciiTheme="majorBidi" w:hAnsiTheme="majorBidi" w:cstheme="majorBidi"/>
          <w:b/>
          <w:bCs/>
          <w:sz w:val="22"/>
          <w:szCs w:val="22"/>
        </w:rPr>
        <w:t> :</w:t>
      </w:r>
    </w:p>
    <w:p w14:paraId="751650C3" w14:textId="77777777" w:rsidR="007C5DB8" w:rsidRPr="00E2052F" w:rsidRDefault="007C5DB8" w:rsidP="007E3B0D">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Il s’agit d’un document distinct, généralement plus détaillé, entièrement consacré à la responsabilité sociétale.</w:t>
      </w:r>
    </w:p>
    <w:p w14:paraId="74254811"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reporting social peut, dans certains contextes, relever d’une obligation légale, mais il est le plus souvent encouragé par les exigences et la pression des organisations de la société civile. La crédibilité des informations publiées repose de plus en plus sur leur vérification par des tiers indépendants.</w:t>
      </w:r>
    </w:p>
    <w:p w14:paraId="554A9E80"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Global Reporting Initiative (GRI) constitue un référentiel majeur, proposant des lignes directrices structurées autour de principes fondamentaux qui orientent la sélection des thèmes et des indicateurs de performance à intégre</w:t>
      </w:r>
      <w:r w:rsidR="00B164D2">
        <w:rPr>
          <w:rFonts w:asciiTheme="majorBidi" w:hAnsiTheme="majorBidi" w:cstheme="majorBidi"/>
          <w:sz w:val="22"/>
          <w:szCs w:val="22"/>
        </w:rPr>
        <w:t xml:space="preserve">r dans les rapports. Ce modèle </w:t>
      </w:r>
      <w:r w:rsidRPr="00E2052F">
        <w:rPr>
          <w:rFonts w:asciiTheme="majorBidi" w:hAnsiTheme="majorBidi" w:cstheme="majorBidi"/>
          <w:sz w:val="22"/>
          <w:szCs w:val="22"/>
        </w:rPr>
        <w:t>repose sur une structure normalisée incluant la présentation de l’organisation, l’analyse des impacts, risques et opportunités, ainsi que des informations relatives à la gouvernance et aux engagements en matière de développement durable. Les indicateurs y sont classés en catégories (de base, complémentaires et sectoriels), permettant une évaluation progressive du niveau d’application du référentiel.</w:t>
      </w:r>
    </w:p>
    <w:p w14:paraId="2AAF64C0"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b/>
          <w:bCs/>
          <w:sz w:val="22"/>
          <w:szCs w:val="22"/>
        </w:rPr>
      </w:pPr>
      <w:r w:rsidRPr="00E2052F">
        <w:rPr>
          <w:rFonts w:asciiTheme="majorBidi" w:eastAsiaTheme="minorHAnsi" w:hAnsiTheme="majorBidi" w:cstheme="majorBidi"/>
          <w:b/>
          <w:bCs/>
          <w:color w:val="000000"/>
          <w:sz w:val="22"/>
          <w:szCs w:val="22"/>
          <w:lang w:eastAsia="en-US"/>
        </w:rPr>
        <w:t>L’audit de la responsabilité sociale des entreprises :</w:t>
      </w:r>
    </w:p>
    <w:p w14:paraId="25B8E1D5"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L'audit RSE est une évaluation complète des performances d'une entreprise dans les domaines environnementaux, sociaux, gouvernementaux et de l’intégration territoriale, conduit par un organisme indépendant ou en interne, il vérifie la conformité aux réglementations en vigueur et garantit la fiabilité des informations communiquées. Il permet de</w:t>
      </w:r>
      <w:r w:rsidRPr="00E2052F">
        <w:rPr>
          <w:rStyle w:val="Appelnotedebasdep"/>
          <w:rFonts w:asciiTheme="majorBidi" w:hAnsiTheme="majorBidi" w:cstheme="majorBidi"/>
          <w:sz w:val="22"/>
          <w:szCs w:val="22"/>
        </w:rPr>
        <w:footnoteReference w:id="236"/>
      </w:r>
      <w:r w:rsidRPr="00E2052F">
        <w:rPr>
          <w:rFonts w:asciiTheme="majorBidi" w:hAnsiTheme="majorBidi" w:cstheme="majorBidi"/>
          <w:sz w:val="22"/>
          <w:szCs w:val="22"/>
        </w:rPr>
        <w:t xml:space="preserve"> :</w:t>
      </w:r>
    </w:p>
    <w:p w14:paraId="40BC782E" w14:textId="77777777" w:rsidR="007C5DB8" w:rsidRPr="00E2052F" w:rsidRDefault="007C5DB8" w:rsidP="00F36332">
      <w:pPr>
        <w:pStyle w:val="NormalWeb"/>
        <w:numPr>
          <w:ilvl w:val="0"/>
          <w:numId w:val="18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Mesurer la progression et atteindre les objectifs fixés ;</w:t>
      </w:r>
    </w:p>
    <w:p w14:paraId="195B4159" w14:textId="77777777" w:rsidR="007C5DB8" w:rsidRPr="00E2052F" w:rsidRDefault="007C5DB8" w:rsidP="00F36332">
      <w:pPr>
        <w:pStyle w:val="NormalWeb"/>
        <w:numPr>
          <w:ilvl w:val="0"/>
          <w:numId w:val="18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Mettre en lumière les opportunités et identifier les risques ;</w:t>
      </w:r>
    </w:p>
    <w:p w14:paraId="5CE6B57E" w14:textId="77777777" w:rsidR="007C5DB8" w:rsidRPr="00E2052F" w:rsidRDefault="007C5DB8" w:rsidP="00F36332">
      <w:pPr>
        <w:pStyle w:val="NormalWeb"/>
        <w:numPr>
          <w:ilvl w:val="0"/>
          <w:numId w:val="18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Les consommateurs et autres parties prenantes sont de plus en plus sensibles aux pratiques responsables ;</w:t>
      </w:r>
    </w:p>
    <w:p w14:paraId="19CD8B87" w14:textId="77777777" w:rsidR="007C5DB8" w:rsidRPr="00E2052F" w:rsidRDefault="007C5DB8" w:rsidP="00F36332">
      <w:pPr>
        <w:pStyle w:val="NormalWeb"/>
        <w:numPr>
          <w:ilvl w:val="0"/>
          <w:numId w:val="18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Améliorer le bien-être au travail et attirer de nouveaux talents ;</w:t>
      </w:r>
    </w:p>
    <w:p w14:paraId="7D6E6AF8" w14:textId="77777777" w:rsidR="007C5DB8" w:rsidRPr="00E2052F" w:rsidRDefault="007C5DB8" w:rsidP="00F36332">
      <w:pPr>
        <w:pStyle w:val="NormalWeb"/>
        <w:numPr>
          <w:ilvl w:val="0"/>
          <w:numId w:val="185"/>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Réduire les coûts, notamment énergétiques, pour se différencier de la concurrence.</w:t>
      </w:r>
    </w:p>
    <w:p w14:paraId="100A9D63"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L’audit de la RSE peut être interne ou externe. Dans un premier cas, l’audit interne a pour première mission de « contrôler » la qualité du contrôle interne : tout débute par une analyse des risques qui réalisée une ou plusieurs fois par an. Cette analyse met en évidence et évalue les risques liés à la RSE, </w:t>
      </w:r>
      <w:r w:rsidRPr="00E2052F">
        <w:rPr>
          <w:rFonts w:asciiTheme="majorBidi" w:hAnsiTheme="majorBidi" w:cstheme="majorBidi"/>
          <w:sz w:val="22"/>
          <w:szCs w:val="22"/>
        </w:rPr>
        <w:lastRenderedPageBreak/>
        <w:t>ils sont nombreux. Ils peuvent concerner la non-conformité de certaines pratiques de l’entreprise par rapport aux différentes législations et règlementations existantes dans le domaine social et environnemental.L’articulation entre la direction de l’audit interne et externe dépend souvent des moyens de la direction de l’audit interne, audit externe pouvant compenser les faiblesses et compléter les compétences. Donc il intervient en complément afin de renforcer l’objectivité de l’évaluation, en particulier dans le contrôle de la chaîne de sous-traitance, où il s’agit de vérifier le respect des normes fondamentales, notamment celles définies par l’</w:t>
      </w:r>
      <w:r w:rsidRPr="00E2052F">
        <w:rPr>
          <w:rStyle w:val="whitespace-normal"/>
          <w:rFonts w:asciiTheme="majorBidi" w:hAnsiTheme="majorBidi" w:cstheme="majorBidi"/>
          <w:sz w:val="22"/>
          <w:szCs w:val="22"/>
        </w:rPr>
        <w:t>Organisation internationale du Travail</w:t>
      </w:r>
      <w:r w:rsidRPr="00E2052F">
        <w:rPr>
          <w:rStyle w:val="Appelnotedebasdep"/>
          <w:rFonts w:asciiTheme="majorBidi" w:hAnsiTheme="majorBidi" w:cstheme="majorBidi"/>
          <w:sz w:val="22"/>
          <w:szCs w:val="22"/>
        </w:rPr>
        <w:footnoteReference w:id="237"/>
      </w:r>
      <w:r w:rsidRPr="00E2052F">
        <w:rPr>
          <w:rFonts w:asciiTheme="majorBidi" w:hAnsiTheme="majorBidi" w:cstheme="majorBidi"/>
          <w:sz w:val="22"/>
          <w:szCs w:val="22"/>
        </w:rPr>
        <w:t>.</w:t>
      </w:r>
    </w:p>
    <w:p w14:paraId="0244AB05" w14:textId="77777777" w:rsidR="007C5DB8" w:rsidRPr="00E2052F" w:rsidRDefault="007C5DB8" w:rsidP="00F36332">
      <w:pPr>
        <w:pStyle w:val="NormalWeb"/>
        <w:numPr>
          <w:ilvl w:val="0"/>
          <w:numId w:val="114"/>
        </w:numPr>
        <w:tabs>
          <w:tab w:val="left" w:pos="8043"/>
        </w:tabs>
        <w:spacing w:before="0" w:beforeAutospacing="0" w:line="360" w:lineRule="auto"/>
        <w:rPr>
          <w:rFonts w:asciiTheme="majorBidi" w:hAnsiTheme="majorBidi" w:cstheme="majorBidi"/>
          <w:sz w:val="22"/>
          <w:szCs w:val="22"/>
        </w:rPr>
      </w:pPr>
      <w:r w:rsidRPr="00E2052F">
        <w:rPr>
          <w:rFonts w:asciiTheme="majorBidi" w:eastAsiaTheme="minorHAnsi" w:hAnsiTheme="majorBidi" w:cstheme="majorBidi"/>
          <w:b/>
          <w:bCs/>
          <w:color w:val="000000"/>
          <w:sz w:val="22"/>
          <w:szCs w:val="22"/>
          <w:lang w:eastAsia="en-US"/>
        </w:rPr>
        <w:t>Le conseil aux entreprises autour de la RSE :</w:t>
      </w:r>
    </w:p>
    <w:p w14:paraId="1F61A04E"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domaine du conseil en responsabilité sociétale des entreprises (RSE) connaît une diversification croissante qui dépasse le simple audit pour inclure le diagnostic, le conseil stratégique et le conseil en communication, contribuant ainsi à l’ancrage des pratiques de RSE au sein des organisations.Parmi les principaux outils de diagnostic figurent :</w:t>
      </w:r>
    </w:p>
    <w:p w14:paraId="7F4FA0BC" w14:textId="77777777" w:rsidR="007E3B0D" w:rsidRPr="00E2052F" w:rsidRDefault="007C5DB8" w:rsidP="00D61875">
      <w:pPr>
        <w:pStyle w:val="NormalWeb"/>
        <w:numPr>
          <w:ilvl w:val="0"/>
          <w:numId w:val="106"/>
        </w:numPr>
        <w:tabs>
          <w:tab w:val="left" w:pos="8043"/>
        </w:tabs>
        <w:spacing w:before="0" w:beforeAutospacing="0" w:line="360" w:lineRule="auto"/>
        <w:rPr>
          <w:rStyle w:val="whitespace-normal"/>
          <w:rFonts w:asciiTheme="majorBidi" w:hAnsiTheme="majorBidi" w:cstheme="majorBidi"/>
          <w:b/>
          <w:bCs/>
          <w:sz w:val="22"/>
          <w:szCs w:val="22"/>
        </w:rPr>
      </w:pPr>
      <w:r w:rsidRPr="00E2052F">
        <w:rPr>
          <w:rFonts w:asciiTheme="majorBidi" w:hAnsiTheme="majorBidi" w:cstheme="majorBidi"/>
          <w:b/>
          <w:bCs/>
          <w:sz w:val="22"/>
          <w:szCs w:val="22"/>
        </w:rPr>
        <w:t xml:space="preserve">Guide de </w:t>
      </w:r>
      <w:r w:rsidRPr="00E2052F">
        <w:rPr>
          <w:rStyle w:val="whitespace-normal"/>
          <w:rFonts w:asciiTheme="majorBidi" w:hAnsiTheme="majorBidi" w:cstheme="majorBidi"/>
          <w:b/>
          <w:bCs/>
          <w:sz w:val="22"/>
          <w:szCs w:val="22"/>
        </w:rPr>
        <w:t>CSR Europe </w:t>
      </w:r>
      <w:r w:rsidR="007E3B0D" w:rsidRPr="00E2052F">
        <w:rPr>
          <w:rStyle w:val="whitespace-normal"/>
          <w:rFonts w:asciiTheme="majorBidi" w:hAnsiTheme="majorBidi" w:cstheme="majorBidi"/>
          <w:b/>
          <w:bCs/>
          <w:sz w:val="22"/>
          <w:szCs w:val="22"/>
        </w:rPr>
        <w:t>:</w:t>
      </w:r>
    </w:p>
    <w:p w14:paraId="2CD63952" w14:textId="77777777" w:rsidR="007C5DB8" w:rsidRPr="00E2052F" w:rsidRDefault="007E3B0D" w:rsidP="007E3B0D">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 xml:space="preserve"> Outil</w:t>
      </w:r>
      <w:r w:rsidR="007C5DB8" w:rsidRPr="00E2052F">
        <w:rPr>
          <w:rFonts w:asciiTheme="majorBidi" w:hAnsiTheme="majorBidi" w:cstheme="majorBidi"/>
          <w:sz w:val="22"/>
          <w:szCs w:val="22"/>
        </w:rPr>
        <w:t xml:space="preserve"> destiné aux PME, fondé sur une série de questions permettant d’évaluer les pratiques RSE. Il vise à sensibiliser les dirigeants et à identifier les axes d’amélioration de manière progressive.</w:t>
      </w:r>
    </w:p>
    <w:p w14:paraId="3161BD5B" w14:textId="77777777" w:rsidR="007E3B0D"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Bilan sociétal :</w:t>
      </w:r>
    </w:p>
    <w:p w14:paraId="0DAA193D" w14:textId="77777777" w:rsidR="007C5DB8" w:rsidRPr="00E2052F" w:rsidRDefault="007E3B0D" w:rsidP="007E3B0D">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 xml:space="preserve"> </w:t>
      </w:r>
      <w:r w:rsidR="007C5DB8" w:rsidRPr="00E2052F">
        <w:rPr>
          <w:rFonts w:asciiTheme="majorBidi" w:hAnsiTheme="majorBidi" w:cstheme="majorBidi"/>
          <w:b/>
          <w:bCs/>
          <w:sz w:val="22"/>
          <w:szCs w:val="22"/>
        </w:rPr>
        <w:t xml:space="preserve"> </w:t>
      </w:r>
      <w:r w:rsidRPr="00E2052F">
        <w:rPr>
          <w:rFonts w:asciiTheme="majorBidi" w:hAnsiTheme="majorBidi" w:cstheme="majorBidi"/>
          <w:sz w:val="22"/>
          <w:szCs w:val="22"/>
        </w:rPr>
        <w:t>Outil</w:t>
      </w:r>
      <w:r w:rsidR="007C5DB8" w:rsidRPr="00E2052F">
        <w:rPr>
          <w:rFonts w:asciiTheme="majorBidi" w:hAnsiTheme="majorBidi" w:cstheme="majorBidi"/>
          <w:sz w:val="22"/>
          <w:szCs w:val="22"/>
        </w:rPr>
        <w:t xml:space="preserve"> participatif basé sur des questionnaires adressés aux parties prenantes internes et externes. Il permet de comparer les perceptions des acteurs et de mettre en évidence les écarts en matière de performance sociétale.</w:t>
      </w:r>
    </w:p>
    <w:p w14:paraId="5196F015" w14:textId="77777777" w:rsidR="009D393F" w:rsidRPr="00E2052F" w:rsidRDefault="007C5DB8" w:rsidP="00D61875">
      <w:pPr>
        <w:pStyle w:val="NormalWeb"/>
        <w:numPr>
          <w:ilvl w:val="0"/>
          <w:numId w:val="106"/>
        </w:numPr>
        <w:tabs>
          <w:tab w:val="left" w:pos="8043"/>
        </w:tabs>
        <w:spacing w:before="0" w:beforeAutospacing="0" w:line="360" w:lineRule="auto"/>
        <w:rPr>
          <w:rFonts w:asciiTheme="majorBidi" w:hAnsiTheme="majorBidi" w:cstheme="majorBidi"/>
          <w:b/>
          <w:bCs/>
          <w:sz w:val="22"/>
          <w:szCs w:val="22"/>
        </w:rPr>
      </w:pPr>
      <w:r w:rsidRPr="00E2052F">
        <w:rPr>
          <w:rStyle w:val="lev"/>
          <w:rFonts w:asciiTheme="majorBidi" w:hAnsiTheme="majorBidi" w:cstheme="majorBidi"/>
          <w:sz w:val="22"/>
          <w:szCs w:val="22"/>
        </w:rPr>
        <w:t>Ecopass 3D :</w:t>
      </w:r>
      <w:r w:rsidRPr="00E2052F">
        <w:rPr>
          <w:rFonts w:asciiTheme="majorBidi" w:hAnsiTheme="majorBidi" w:cstheme="majorBidi"/>
          <w:sz w:val="22"/>
          <w:szCs w:val="22"/>
        </w:rPr>
        <w:t xml:space="preserve"> </w:t>
      </w:r>
    </w:p>
    <w:p w14:paraId="268534F1" w14:textId="77777777" w:rsidR="007C5DB8" w:rsidRPr="00E2052F" w:rsidRDefault="009D393F" w:rsidP="009D393F">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Outil</w:t>
      </w:r>
      <w:r w:rsidR="007C5DB8" w:rsidRPr="00E2052F">
        <w:rPr>
          <w:rFonts w:asciiTheme="majorBidi" w:hAnsiTheme="majorBidi" w:cstheme="majorBidi"/>
          <w:sz w:val="22"/>
          <w:szCs w:val="22"/>
        </w:rPr>
        <w:t xml:space="preserve"> global s’appuyant sur les référentiels de la RSE pour structurer un système de management. Il permet de mesurer la performance globale à travers un indicateur synthétique de suivi.</w:t>
      </w:r>
    </w:p>
    <w:p w14:paraId="5F4CB6D3" w14:textId="77777777" w:rsidR="007C5DB8" w:rsidRPr="00E2052F" w:rsidRDefault="007C5DB8" w:rsidP="003D28B1">
      <w:pPr>
        <w:spacing w:before="0" w:beforeAutospacing="0"/>
        <w:rPr>
          <w:rFonts w:cstheme="majorBidi"/>
          <w:sz w:val="22"/>
        </w:rPr>
      </w:pPr>
      <w:r w:rsidRPr="00E2052F">
        <w:rPr>
          <w:rFonts w:cstheme="majorBidi"/>
          <w:sz w:val="22"/>
        </w:rPr>
        <w:t xml:space="preserve">Ces </w:t>
      </w:r>
      <w:r w:rsidRPr="00E2052F">
        <w:rPr>
          <w:rStyle w:val="lev"/>
          <w:rFonts w:cstheme="majorBidi"/>
          <w:b w:val="0"/>
          <w:bCs w:val="0"/>
          <w:sz w:val="22"/>
        </w:rPr>
        <w:t>trois principaux outils de diagnostic</w:t>
      </w:r>
      <w:r w:rsidRPr="00E2052F">
        <w:rPr>
          <w:rFonts w:cstheme="majorBidi"/>
          <w:sz w:val="22"/>
        </w:rPr>
        <w:t xml:space="preserve"> sont centrés sur une </w:t>
      </w:r>
      <w:r w:rsidRPr="00E2052F">
        <w:rPr>
          <w:rStyle w:val="lev"/>
          <w:rFonts w:cstheme="majorBidi"/>
          <w:b w:val="0"/>
          <w:bCs w:val="0"/>
          <w:sz w:val="22"/>
        </w:rPr>
        <w:t>approche globale et multidimensionnelle de la RSE</w:t>
      </w:r>
      <w:r w:rsidRPr="00E2052F">
        <w:rPr>
          <w:rFonts w:cstheme="majorBidi"/>
          <w:b/>
          <w:bCs/>
          <w:sz w:val="22"/>
        </w:rPr>
        <w:t>.</w:t>
      </w:r>
      <w:r w:rsidRPr="00E2052F">
        <w:rPr>
          <w:rFonts w:cstheme="majorBidi"/>
          <w:sz w:val="22"/>
        </w:rPr>
        <w:t>Mais Il existe également des outils plus spécifiques, centrés sur une seule dimension, tels que :</w:t>
      </w:r>
    </w:p>
    <w:p w14:paraId="1D0E9C1D" w14:textId="77777777" w:rsidR="007C5DB8" w:rsidRPr="00E2052F" w:rsidRDefault="007C5DB8" w:rsidP="00F36332">
      <w:pPr>
        <w:pStyle w:val="Paragraphedeliste"/>
        <w:numPr>
          <w:ilvl w:val="0"/>
          <w:numId w:val="115"/>
        </w:numPr>
        <w:spacing w:before="0" w:beforeAutospacing="0"/>
        <w:ind w:left="0" w:firstLine="284"/>
        <w:rPr>
          <w:rFonts w:cstheme="majorBidi"/>
          <w:sz w:val="22"/>
        </w:rPr>
      </w:pPr>
      <w:r w:rsidRPr="00E2052F">
        <w:rPr>
          <w:rFonts w:cstheme="majorBidi"/>
          <w:b/>
          <w:bCs/>
          <w:sz w:val="22"/>
        </w:rPr>
        <w:t>Empreinte écologique :</w:t>
      </w:r>
      <w:r w:rsidRPr="00E2052F">
        <w:rPr>
          <w:rFonts w:cstheme="majorBidi"/>
          <w:sz w:val="22"/>
        </w:rPr>
        <w:t xml:space="preserve"> outil centré sur la mesure de l’impact environnemental des activités d’une organisation. Il évalue la pression exercée sur les ressources naturelles et les écosystèmes.</w:t>
      </w:r>
    </w:p>
    <w:p w14:paraId="5487C7BF" w14:textId="77777777" w:rsidR="007C5DB8" w:rsidRPr="00E2052F" w:rsidRDefault="007C5DB8" w:rsidP="00F36332">
      <w:pPr>
        <w:pStyle w:val="Paragraphedeliste"/>
        <w:numPr>
          <w:ilvl w:val="0"/>
          <w:numId w:val="115"/>
        </w:numPr>
        <w:spacing w:before="0" w:beforeAutospacing="0"/>
        <w:ind w:left="0" w:firstLine="284"/>
        <w:rPr>
          <w:rFonts w:cstheme="majorBidi"/>
          <w:sz w:val="22"/>
        </w:rPr>
      </w:pPr>
      <w:r w:rsidRPr="00E2052F">
        <w:rPr>
          <w:rStyle w:val="lev"/>
          <w:rFonts w:cstheme="majorBidi"/>
          <w:sz w:val="22"/>
        </w:rPr>
        <w:t>Bilan carbone :</w:t>
      </w:r>
      <w:r w:rsidRPr="00E2052F">
        <w:rPr>
          <w:rFonts w:cstheme="majorBidi"/>
          <w:sz w:val="22"/>
        </w:rPr>
        <w:t xml:space="preserve"> outil spécifique visant à quantifier les émissions de gaz à effet de serre.</w:t>
      </w:r>
      <w:r w:rsidRPr="00E2052F">
        <w:rPr>
          <w:rFonts w:cstheme="majorBidi"/>
          <w:sz w:val="22"/>
        </w:rPr>
        <w:br/>
        <w:t>Il sert à identifier les sources d’émissions et à orienter les stratégies de réduction.</w:t>
      </w:r>
    </w:p>
    <w:p w14:paraId="7806C19A" w14:textId="77777777" w:rsidR="007C5DB8" w:rsidRPr="00E2052F" w:rsidRDefault="007C5DB8" w:rsidP="00F36332">
      <w:pPr>
        <w:pStyle w:val="Paragraphedeliste"/>
        <w:numPr>
          <w:ilvl w:val="2"/>
          <w:numId w:val="179"/>
        </w:numPr>
        <w:spacing w:before="0" w:beforeAutospacing="0"/>
        <w:ind w:left="0" w:firstLine="284"/>
        <w:rPr>
          <w:rFonts w:cstheme="majorBidi"/>
          <w:sz w:val="22"/>
        </w:rPr>
      </w:pPr>
      <w:r w:rsidRPr="00E2052F">
        <w:rPr>
          <w:rFonts w:cstheme="majorBidi"/>
          <w:b/>
          <w:bCs/>
          <w:color w:val="000000"/>
          <w:sz w:val="22"/>
        </w:rPr>
        <w:t>La RSE et la GRH :</w:t>
      </w:r>
    </w:p>
    <w:p w14:paraId="363E1B45"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Les responsables des ressources humaines influencent directement la transition de l’entreprise d’un état négatif vers un état positif, notamment dans les organisations qui cherchent à devenir un environnement de travail idéal et à gérer leurs relations avec les employés de manière socialement responsable. Toutefois, il existe un manque de ressources destinées aux gestionnaires RH souhaitant intégrer les valeurs de la responsabilité sociale à tous les niveaux de l’organisation et accompagner la direction dans leur ancrage au sein de la culture d’entreprise.</w:t>
      </w:r>
      <w:r w:rsidRPr="00E2052F">
        <w:rPr>
          <w:rFonts w:asciiTheme="majorBidi" w:hAnsiTheme="majorBidi" w:cstheme="majorBidi"/>
          <w:sz w:val="22"/>
          <w:szCs w:val="22"/>
          <w:lang w:bidi="ar-DZ"/>
        </w:rPr>
        <w:t>C</w:t>
      </w:r>
      <w:r w:rsidRPr="00E2052F">
        <w:rPr>
          <w:rFonts w:asciiTheme="majorBidi" w:hAnsiTheme="majorBidi" w:cstheme="majorBidi"/>
          <w:sz w:val="22"/>
          <w:szCs w:val="22"/>
        </w:rPr>
        <w:t>omme l’illustrent les échecs marquants de certaines entreprises telles qu’Enron, les organisations qui adoptent une démarche de RSE purement formelle, sans réelle intégration dans leurs pratiques, s’exposent à des risques importants pouvant affecter leur réputation. Bien que les ressources humaines contribuent au développement des systèmes et des procédures l’engagement effectif des employés nécessite la mobilisation des efforts à l’échelle de l’ensemble de l’organisation afin de mettre en œuvre les principes de la responsabilité sociale.</w:t>
      </w:r>
    </w:p>
    <w:p w14:paraId="07A8F652"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gestion des ressources humaines constitue la seule fonction dont l’influence s’étend sur l’ensemble du « cycle de vie » du salarié au sein de l’organisation, ce qui lui confère une capacité importante de conduite du changement lorsqu’elle est mobilisée efficacement. Elle est également en mesure de jouer un rôle de premier plan grâce à sa capacité d’intervention à la fois horizontale et verticale à travers les différents niveaux de l’organisation, ce qui constitue un facteur clé de réussite de la mise en œuvre de la responsabilité sociétale des entreprises et de son ancrage comme un « comportement intrinsèque » au sein de l’entreprise</w:t>
      </w:r>
      <w:r w:rsidRPr="00E2052F">
        <w:rPr>
          <w:rStyle w:val="Appelnotedebasdep"/>
          <w:rFonts w:asciiTheme="majorBidi" w:hAnsiTheme="majorBidi" w:cstheme="majorBidi"/>
          <w:sz w:val="22"/>
          <w:szCs w:val="22"/>
        </w:rPr>
        <w:footnoteReference w:id="238"/>
      </w:r>
      <w:r w:rsidRPr="00E2052F">
        <w:rPr>
          <w:rFonts w:asciiTheme="majorBidi" w:hAnsiTheme="majorBidi" w:cstheme="majorBidi"/>
          <w:sz w:val="22"/>
          <w:szCs w:val="22"/>
        </w:rPr>
        <w:t>.</w:t>
      </w:r>
    </w:p>
    <w:p w14:paraId="77FE4981" w14:textId="77777777" w:rsidR="007C5DB8" w:rsidRPr="00E2052F" w:rsidRDefault="007C5DB8" w:rsidP="003D28B1">
      <w:pPr>
        <w:spacing w:before="0" w:beforeAutospacing="0"/>
        <w:rPr>
          <w:rFonts w:cstheme="majorBidi"/>
          <w:sz w:val="22"/>
        </w:rPr>
      </w:pPr>
      <w:r w:rsidRPr="00E2052F">
        <w:rPr>
          <w:rFonts w:cstheme="majorBidi"/>
          <w:sz w:val="22"/>
        </w:rPr>
        <w:t>L’outillage de la RSE permet aux entreprises de structurer, mesurer et piloter leurs pratiques responsables de manière cohérente. Il favorise ainsi une intégration concrète et durable de la RSE en transformant les engagements en actions mesurables.</w:t>
      </w:r>
    </w:p>
    <w:p w14:paraId="7156D006" w14:textId="77777777" w:rsidR="007C5DB8" w:rsidRPr="00B05B9C" w:rsidRDefault="007C5DB8" w:rsidP="00F36332">
      <w:pPr>
        <w:pStyle w:val="Titre3"/>
        <w:numPr>
          <w:ilvl w:val="0"/>
          <w:numId w:val="230"/>
        </w:numPr>
      </w:pPr>
      <w:bookmarkStart w:id="1019" w:name="_Toc231746915"/>
      <w:bookmarkStart w:id="1020" w:name="_Toc231752321"/>
      <w:bookmarkStart w:id="1021" w:name="_Toc231810624"/>
      <w:bookmarkStart w:id="1022" w:name="_Toc231811967"/>
      <w:bookmarkStart w:id="1023" w:name="_Toc231812245"/>
      <w:bookmarkStart w:id="1024" w:name="_Toc231815129"/>
      <w:r w:rsidRPr="00B05B9C">
        <w:rPr>
          <w:rStyle w:val="Titre3Car"/>
          <w:rFonts w:asciiTheme="majorBidi" w:hAnsiTheme="majorBidi"/>
          <w:b/>
          <w:bCs/>
          <w:color w:val="auto"/>
        </w:rPr>
        <w:t>La démarche de la responsabilité sociale des entreprises</w:t>
      </w:r>
      <w:r w:rsidRPr="00B05B9C">
        <w:t> :</w:t>
      </w:r>
      <w:bookmarkEnd w:id="1019"/>
      <w:bookmarkEnd w:id="1020"/>
      <w:bookmarkEnd w:id="1021"/>
      <w:bookmarkEnd w:id="1022"/>
      <w:bookmarkEnd w:id="1023"/>
      <w:bookmarkEnd w:id="1024"/>
    </w:p>
    <w:p w14:paraId="2A776141" w14:textId="77777777" w:rsidR="007C5DB8" w:rsidRPr="00E2052F" w:rsidRDefault="007C5DB8" w:rsidP="003D28B1">
      <w:pPr>
        <w:spacing w:before="0" w:beforeAutospacing="0"/>
        <w:rPr>
          <w:rFonts w:cstheme="majorBidi"/>
          <w:sz w:val="22"/>
        </w:rPr>
      </w:pPr>
      <w:r w:rsidRPr="00E2052F">
        <w:rPr>
          <w:rFonts w:cstheme="majorBidi"/>
          <w:sz w:val="22"/>
        </w:rPr>
        <w:t>Une entreprise est considérée comme socialement responsable lorsqu’elle adopte une démarche structurée de responsabilité sociale et environnementale.</w:t>
      </w:r>
    </w:p>
    <w:p w14:paraId="40DAC3D2" w14:textId="77777777" w:rsidR="007C5DB8" w:rsidRPr="00C53AA1" w:rsidRDefault="007C5DB8" w:rsidP="00F36332">
      <w:pPr>
        <w:pStyle w:val="Titre4"/>
        <w:numPr>
          <w:ilvl w:val="0"/>
          <w:numId w:val="231"/>
        </w:numPr>
        <w:rPr>
          <w:rFonts w:asciiTheme="majorBidi" w:hAnsiTheme="majorBidi"/>
          <w:b w:val="0"/>
          <w:bCs w:val="0"/>
        </w:rPr>
      </w:pPr>
      <w:bookmarkStart w:id="1025" w:name="_Toc231746916"/>
      <w:bookmarkStart w:id="1026" w:name="_Toc231752322"/>
      <w:bookmarkStart w:id="1027" w:name="_Toc231810625"/>
      <w:bookmarkStart w:id="1028" w:name="_Toc231811968"/>
      <w:bookmarkStart w:id="1029" w:name="_Toc231812246"/>
      <w:bookmarkStart w:id="1030" w:name="_Toc231815130"/>
      <w:r w:rsidRPr="00C53AA1">
        <w:rPr>
          <w:rStyle w:val="Titre4Car"/>
          <w:rFonts w:asciiTheme="majorBidi" w:hAnsiTheme="majorBidi"/>
          <w:b/>
          <w:bCs/>
          <w:color w:val="auto"/>
          <w:sz w:val="22"/>
          <w:szCs w:val="20"/>
        </w:rPr>
        <w:t>La RSE en pratique</w:t>
      </w:r>
      <w:r w:rsidRPr="00C53AA1">
        <w:rPr>
          <w:rStyle w:val="Appelnotedebasdep"/>
          <w:rFonts w:asciiTheme="majorBidi" w:hAnsiTheme="majorBidi"/>
          <w:b w:val="0"/>
          <w:bCs w:val="0"/>
          <w:i w:val="0"/>
          <w:iCs w:val="0"/>
          <w:color w:val="auto"/>
          <w:sz w:val="22"/>
          <w:szCs w:val="20"/>
        </w:rPr>
        <w:footnoteReference w:id="239"/>
      </w:r>
      <w:r w:rsidRPr="00C53AA1">
        <w:rPr>
          <w:rFonts w:asciiTheme="majorBidi" w:hAnsiTheme="majorBidi"/>
          <w:b w:val="0"/>
          <w:bCs w:val="0"/>
          <w:i w:val="0"/>
          <w:iCs w:val="0"/>
          <w:color w:val="auto"/>
          <w:sz w:val="22"/>
          <w:szCs w:val="20"/>
        </w:rPr>
        <w:t> :</w:t>
      </w:r>
      <w:bookmarkEnd w:id="1025"/>
      <w:bookmarkEnd w:id="1026"/>
      <w:bookmarkEnd w:id="1027"/>
      <w:bookmarkEnd w:id="1028"/>
      <w:bookmarkEnd w:id="1029"/>
      <w:bookmarkEnd w:id="1030"/>
    </w:p>
    <w:p w14:paraId="23971486" w14:textId="77777777" w:rsidR="007C5DB8" w:rsidRPr="00E2052F" w:rsidRDefault="007C5DB8" w:rsidP="00F36332">
      <w:pPr>
        <w:pStyle w:val="Paragraphedeliste"/>
        <w:numPr>
          <w:ilvl w:val="0"/>
          <w:numId w:val="116"/>
        </w:numPr>
        <w:spacing w:before="0" w:beforeAutospacing="0"/>
        <w:ind w:left="0" w:firstLine="284"/>
        <w:rPr>
          <w:rFonts w:cstheme="majorBidi"/>
          <w:b/>
          <w:bCs/>
          <w:sz w:val="22"/>
        </w:rPr>
      </w:pPr>
      <w:r w:rsidRPr="00E2052F">
        <w:rPr>
          <w:rFonts w:cstheme="majorBidi"/>
          <w:b/>
          <w:bCs/>
          <w:sz w:val="22"/>
        </w:rPr>
        <w:t xml:space="preserve">État d’esprit et culture organisationnelle </w:t>
      </w:r>
      <w:r w:rsidR="00007B44" w:rsidRPr="00E2052F">
        <w:rPr>
          <w:rFonts w:cstheme="majorBidi"/>
          <w:b/>
          <w:bCs/>
          <w:sz w:val="22"/>
        </w:rPr>
        <w:t>:</w:t>
      </w:r>
      <w:r w:rsidR="00007B44" w:rsidRPr="00E2052F">
        <w:rPr>
          <w:rFonts w:cstheme="majorBidi"/>
          <w:sz w:val="22"/>
        </w:rPr>
        <w:t xml:space="preserve"> Au</w:t>
      </w:r>
      <w:r w:rsidRPr="00E2052F">
        <w:rPr>
          <w:rFonts w:cstheme="majorBidi"/>
          <w:sz w:val="22"/>
        </w:rPr>
        <w:t>-delà des procédures à mettre en œuvre et des éventuels labels à obtenir, la RSE repose avant tout sur une transformation du paradigme de création de valeur et sur l’adoption d’une nouvelle conception des objectifs et de la raison d’être de l’entreprise. Elle traduit ainsi un véritable changement d’état d’esprit au sein de l’organisation.</w:t>
      </w:r>
    </w:p>
    <w:p w14:paraId="75FB2C39" w14:textId="77777777" w:rsidR="007C5DB8" w:rsidRPr="00E2052F" w:rsidRDefault="007C5DB8" w:rsidP="00F36332">
      <w:pPr>
        <w:pStyle w:val="Paragraphedeliste"/>
        <w:numPr>
          <w:ilvl w:val="0"/>
          <w:numId w:val="116"/>
        </w:numPr>
        <w:spacing w:before="0" w:beforeAutospacing="0"/>
        <w:ind w:left="0" w:firstLine="284"/>
        <w:rPr>
          <w:rFonts w:cstheme="majorBidi"/>
          <w:b/>
          <w:bCs/>
          <w:sz w:val="22"/>
        </w:rPr>
      </w:pPr>
      <w:r w:rsidRPr="00E2052F">
        <w:rPr>
          <w:rFonts w:cstheme="majorBidi"/>
          <w:b/>
          <w:bCs/>
          <w:sz w:val="22"/>
        </w:rPr>
        <w:t>Démarche continue et dynamique :</w:t>
      </w:r>
      <w:r w:rsidR="00007B44">
        <w:rPr>
          <w:rFonts w:cstheme="majorBidi"/>
          <w:b/>
          <w:bCs/>
          <w:sz w:val="22"/>
        </w:rPr>
        <w:t xml:space="preserve"> </w:t>
      </w:r>
      <w:r w:rsidRPr="00E2052F">
        <w:rPr>
          <w:rFonts w:cstheme="majorBidi"/>
          <w:sz w:val="22"/>
        </w:rPr>
        <w:t xml:space="preserve">La démarche RSE s’inscrit dans un processus continu et itératif, dans la mesure où les objectifs fixés font l’objet d’un suivi régulier, d’une révision et </w:t>
      </w:r>
      <w:r w:rsidRPr="00E2052F">
        <w:rPr>
          <w:rFonts w:cstheme="majorBidi"/>
          <w:sz w:val="22"/>
        </w:rPr>
        <w:lastRenderedPageBreak/>
        <w:t>d’ajustements périodiques. Elle est également dynamique, car elle doit s’adapter en permanence aux évolutions des attentes sociétales, lesquelles constituent son principal moteur.</w:t>
      </w:r>
    </w:p>
    <w:p w14:paraId="3FDC74DA" w14:textId="77777777" w:rsidR="007C5DB8" w:rsidRPr="00E2052F" w:rsidRDefault="007C5DB8" w:rsidP="00F36332">
      <w:pPr>
        <w:pStyle w:val="Paragraphedeliste"/>
        <w:numPr>
          <w:ilvl w:val="0"/>
          <w:numId w:val="116"/>
        </w:numPr>
        <w:spacing w:before="0" w:beforeAutospacing="0"/>
        <w:ind w:left="0" w:firstLine="284"/>
        <w:rPr>
          <w:rFonts w:cstheme="majorBidi"/>
          <w:b/>
          <w:bCs/>
          <w:sz w:val="22"/>
        </w:rPr>
      </w:pPr>
      <w:r w:rsidRPr="00E2052F">
        <w:rPr>
          <w:rFonts w:cstheme="majorBidi"/>
          <w:b/>
          <w:bCs/>
          <w:sz w:val="22"/>
        </w:rPr>
        <w:t>Démarche holistique (globale) :</w:t>
      </w:r>
      <w:r w:rsidR="00007B44">
        <w:rPr>
          <w:rFonts w:cstheme="majorBidi"/>
          <w:b/>
          <w:bCs/>
          <w:sz w:val="22"/>
        </w:rPr>
        <w:t xml:space="preserve"> </w:t>
      </w:r>
      <w:r w:rsidRPr="00E2052F">
        <w:rPr>
          <w:rFonts w:cstheme="majorBidi"/>
          <w:sz w:val="22"/>
        </w:rPr>
        <w:t xml:space="preserve">La RSE implique l’intégration de l’ensemble des enjeux centraux. Une entreprise socialement responsable ne traite pas ces enjeux de manière sélective ou isolée. Elle applique l’ensemble des principes fondamentaux de la RSE, notamment la transparence, la </w:t>
      </w:r>
      <w:r w:rsidR="0020071A" w:rsidRPr="00E2052F">
        <w:rPr>
          <w:rFonts w:cstheme="majorBidi"/>
          <w:sz w:val="22"/>
        </w:rPr>
        <w:t>recevabilité</w:t>
      </w:r>
      <w:r w:rsidRPr="00E2052F">
        <w:rPr>
          <w:rFonts w:cstheme="majorBidi"/>
          <w:sz w:val="22"/>
        </w:rPr>
        <w:t>, le comportement éthique, la prise en compte des parties prenantes, le respect des lois et des normes internationales de comportement, ainsi que le respect des droits de l’Homme.</w:t>
      </w:r>
    </w:p>
    <w:p w14:paraId="077BA9A3" w14:textId="77777777" w:rsidR="007C5DB8" w:rsidRPr="00E2052F" w:rsidRDefault="007C5DB8" w:rsidP="00F36332">
      <w:pPr>
        <w:pStyle w:val="Paragraphedeliste"/>
        <w:numPr>
          <w:ilvl w:val="0"/>
          <w:numId w:val="116"/>
        </w:numPr>
        <w:spacing w:before="0" w:beforeAutospacing="0"/>
        <w:ind w:left="0" w:firstLine="284"/>
        <w:rPr>
          <w:rFonts w:cstheme="majorBidi"/>
          <w:sz w:val="22"/>
        </w:rPr>
      </w:pPr>
      <w:r w:rsidRPr="00E2052F">
        <w:rPr>
          <w:rFonts w:cstheme="majorBidi"/>
          <w:b/>
          <w:bCs/>
          <w:sz w:val="22"/>
        </w:rPr>
        <w:t>Démarche horizontale et verticale :</w:t>
      </w:r>
      <w:r w:rsidR="009D393F" w:rsidRPr="00E2052F">
        <w:rPr>
          <w:rFonts w:cstheme="majorBidi"/>
          <w:b/>
          <w:bCs/>
          <w:sz w:val="22"/>
        </w:rPr>
        <w:t xml:space="preserve"> </w:t>
      </w:r>
      <w:r w:rsidRPr="00E2052F">
        <w:rPr>
          <w:rFonts w:cstheme="majorBidi"/>
          <w:sz w:val="22"/>
        </w:rPr>
        <w:t>La RSE constitue une approche transversale devant être intégrée dans l’ensemble des processus de l’entreprise. Elle s’inscrit dans toutes les fonctions clés. Par ailleurs, elle revêt également une dimension verticale, dans la mesure où elle doit être portée et appliquée à tous les niveaux hiérarchiques de l’organisation.</w:t>
      </w:r>
    </w:p>
    <w:p w14:paraId="2E278EE8" w14:textId="77777777" w:rsidR="007C5DB8" w:rsidRPr="00E2052F" w:rsidRDefault="007C5DB8" w:rsidP="00F36332">
      <w:pPr>
        <w:pStyle w:val="Paragraphedeliste"/>
        <w:numPr>
          <w:ilvl w:val="0"/>
          <w:numId w:val="116"/>
        </w:numPr>
        <w:spacing w:before="0" w:beforeAutospacing="0"/>
        <w:ind w:left="0" w:firstLine="284"/>
        <w:rPr>
          <w:rFonts w:cstheme="majorBidi"/>
          <w:sz w:val="22"/>
        </w:rPr>
      </w:pPr>
      <w:r w:rsidRPr="00E2052F">
        <w:rPr>
          <w:rFonts w:cstheme="majorBidi"/>
          <w:b/>
          <w:bCs/>
          <w:sz w:val="22"/>
        </w:rPr>
        <w:t>Mise en œuvre directe et indirecte :</w:t>
      </w:r>
      <w:r w:rsidR="009D393F" w:rsidRPr="00E2052F">
        <w:rPr>
          <w:rFonts w:cstheme="majorBidi"/>
          <w:b/>
          <w:bCs/>
          <w:sz w:val="22"/>
        </w:rPr>
        <w:t xml:space="preserve"> </w:t>
      </w:r>
      <w:r w:rsidRPr="00E2052F">
        <w:rPr>
          <w:rFonts w:cstheme="majorBidi"/>
          <w:sz w:val="22"/>
        </w:rPr>
        <w:t>La RSE est mise en œuvre directement par l’entreprise dans ses activités internes et dans les processus qu’elle contrôle (recrutement, investissement, production, etc.). Elle s’exerce également de manière indirecte à travers l’influence qu’elle peut exercer sur ses parties prenantes (partenaires économiques, pouvoirs publics, société civile) afin de promouvoir les principes du développement durable et de la responsabilité sociétale.</w:t>
      </w:r>
    </w:p>
    <w:p w14:paraId="3EA23911" w14:textId="77777777" w:rsidR="007C5DB8" w:rsidRPr="00E2052F" w:rsidRDefault="007C5DB8" w:rsidP="00F36332">
      <w:pPr>
        <w:pStyle w:val="Paragraphedeliste"/>
        <w:numPr>
          <w:ilvl w:val="0"/>
          <w:numId w:val="116"/>
        </w:numPr>
        <w:spacing w:before="0" w:beforeAutospacing="0"/>
        <w:ind w:left="0" w:firstLine="284"/>
        <w:rPr>
          <w:rFonts w:cstheme="majorBidi"/>
          <w:sz w:val="22"/>
        </w:rPr>
      </w:pPr>
      <w:r w:rsidRPr="00E2052F">
        <w:rPr>
          <w:rFonts w:cstheme="majorBidi"/>
          <w:b/>
          <w:bCs/>
          <w:sz w:val="22"/>
        </w:rPr>
        <w:t>Interaction avec la gouvernance de l’entreprise :</w:t>
      </w:r>
      <w:r w:rsidR="009D393F" w:rsidRPr="00E2052F">
        <w:rPr>
          <w:rFonts w:cstheme="majorBidi"/>
          <w:b/>
          <w:bCs/>
          <w:sz w:val="22"/>
        </w:rPr>
        <w:t xml:space="preserve"> </w:t>
      </w:r>
      <w:r w:rsidRPr="00E2052F">
        <w:rPr>
          <w:rFonts w:cstheme="majorBidi"/>
          <w:sz w:val="22"/>
        </w:rPr>
        <w:t>La RSE entretient une relation bidirectionnelle avec la gouvernance d’entreprise. D’une part, une gouvernance adaptée constitue un levier essentiel permettant à l’organisation d’adopter un comportement socialement responsable. D’autre part, la gouvernance constitue un axe central de la RSE, dans la mesure où cette dernière influence directement les pratiques de gouvernance et doit s’y refléter de manière effective.</w:t>
      </w:r>
    </w:p>
    <w:p w14:paraId="70741265" w14:textId="77777777" w:rsidR="007C5DB8" w:rsidRPr="00091F6F" w:rsidRDefault="007C5DB8" w:rsidP="00F36332">
      <w:pPr>
        <w:pStyle w:val="Titre4"/>
        <w:numPr>
          <w:ilvl w:val="0"/>
          <w:numId w:val="231"/>
        </w:numPr>
        <w:rPr>
          <w:rFonts w:asciiTheme="majorBidi" w:hAnsiTheme="majorBidi"/>
          <w:b w:val="0"/>
          <w:bCs w:val="0"/>
          <w:color w:val="auto"/>
          <w:sz w:val="22"/>
          <w:szCs w:val="20"/>
        </w:rPr>
      </w:pPr>
      <w:bookmarkStart w:id="1031" w:name="_Toc231746917"/>
      <w:bookmarkStart w:id="1032" w:name="_Toc231752323"/>
      <w:bookmarkStart w:id="1033" w:name="_Toc231810626"/>
      <w:bookmarkStart w:id="1034" w:name="_Toc231811969"/>
      <w:bookmarkStart w:id="1035" w:name="_Toc231812247"/>
      <w:bookmarkStart w:id="1036" w:name="_Toc231815131"/>
      <w:r w:rsidRPr="00091F6F">
        <w:rPr>
          <w:rStyle w:val="Titre4Car"/>
          <w:rFonts w:asciiTheme="majorBidi" w:hAnsiTheme="majorBidi"/>
          <w:b/>
          <w:bCs/>
          <w:color w:val="auto"/>
          <w:sz w:val="22"/>
          <w:szCs w:val="20"/>
        </w:rPr>
        <w:t>La mise en place de la démarche RSE</w:t>
      </w:r>
      <w:r w:rsidRPr="00091F6F">
        <w:rPr>
          <w:rStyle w:val="Appelnotedebasdep"/>
          <w:rFonts w:asciiTheme="majorBidi" w:hAnsiTheme="majorBidi"/>
          <w:b w:val="0"/>
          <w:bCs w:val="0"/>
          <w:color w:val="auto"/>
          <w:sz w:val="22"/>
          <w:szCs w:val="20"/>
        </w:rPr>
        <w:footnoteReference w:id="240"/>
      </w:r>
      <w:r w:rsidRPr="00091F6F">
        <w:rPr>
          <w:rFonts w:asciiTheme="majorBidi" w:hAnsiTheme="majorBidi"/>
          <w:b w:val="0"/>
          <w:bCs w:val="0"/>
          <w:color w:val="auto"/>
          <w:sz w:val="22"/>
          <w:szCs w:val="20"/>
        </w:rPr>
        <w:t> :</w:t>
      </w:r>
      <w:bookmarkEnd w:id="1031"/>
      <w:bookmarkEnd w:id="1032"/>
      <w:bookmarkEnd w:id="1033"/>
      <w:bookmarkEnd w:id="1034"/>
      <w:bookmarkEnd w:id="1035"/>
      <w:bookmarkEnd w:id="1036"/>
    </w:p>
    <w:p w14:paraId="2FF2A900" w14:textId="77777777" w:rsidR="007C5DB8" w:rsidRPr="00E2052F" w:rsidRDefault="007C5DB8" w:rsidP="003D28B1">
      <w:pPr>
        <w:spacing w:before="0" w:beforeAutospacing="0"/>
        <w:rPr>
          <w:rFonts w:cstheme="majorBidi"/>
          <w:sz w:val="22"/>
        </w:rPr>
      </w:pPr>
      <w:r w:rsidRPr="00E2052F">
        <w:rPr>
          <w:rFonts w:cstheme="majorBidi"/>
          <w:sz w:val="22"/>
        </w:rPr>
        <w:t>La mise en œuvre d’une démarche RSE repose sur un ensemble d’étapes structurées dont l’importance varie selon le contexte propre à chaque entreprise :</w:t>
      </w:r>
    </w:p>
    <w:p w14:paraId="0B4A25AB"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Adoption par la direction de l’entreprise</w:t>
      </w:r>
      <w:r w:rsidRPr="00E2052F">
        <w:rPr>
          <w:rFonts w:cstheme="majorBidi"/>
          <w:sz w:val="22"/>
        </w:rPr>
        <w:t> </w:t>
      </w:r>
      <w:r w:rsidR="009D393F" w:rsidRPr="00E2052F">
        <w:rPr>
          <w:rFonts w:cstheme="majorBidi"/>
          <w:sz w:val="22"/>
        </w:rPr>
        <w:t>: Les</w:t>
      </w:r>
      <w:r w:rsidRPr="00E2052F">
        <w:rPr>
          <w:rFonts w:cstheme="majorBidi"/>
          <w:sz w:val="22"/>
        </w:rPr>
        <w:t xml:space="preserve"> instances dirigeantes doivent comprendre les enjeux et décider d'adopter une conduite responsable. Une entité RSE dédiée doit être créée et rattachée aux hautes instances pour garantir son leadership.</w:t>
      </w:r>
    </w:p>
    <w:p w14:paraId="3693BB3B"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Identification des axes de la responsabilité sociale </w:t>
      </w:r>
      <w:r w:rsidR="009D393F" w:rsidRPr="00E2052F">
        <w:rPr>
          <w:rFonts w:cstheme="majorBidi"/>
          <w:b/>
          <w:bCs/>
          <w:sz w:val="22"/>
        </w:rPr>
        <w:t>:</w:t>
      </w:r>
      <w:r w:rsidR="009D393F" w:rsidRPr="00E2052F">
        <w:rPr>
          <w:rFonts w:cstheme="majorBidi"/>
          <w:sz w:val="22"/>
        </w:rPr>
        <w:t xml:space="preserve"> La</w:t>
      </w:r>
      <w:r w:rsidRPr="00E2052F">
        <w:rPr>
          <w:rFonts w:cstheme="majorBidi"/>
          <w:sz w:val="22"/>
        </w:rPr>
        <w:t xml:space="preserve"> RSE couvre un ensemble d’axes. Ces derniers incluent notamment l’environnement, la société, la gouvernance, les relations avec les parties prenantes et le développement des communautés, leur importance variant selon le contexte de l’entreprise.</w:t>
      </w:r>
    </w:p>
    <w:p w14:paraId="5C82A36B"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Identification des activités et des parties prenantes</w:t>
      </w:r>
      <w:r w:rsidRPr="00E2052F">
        <w:rPr>
          <w:rFonts w:cstheme="majorBidi"/>
          <w:sz w:val="22"/>
        </w:rPr>
        <w:t xml:space="preserve"> : La démarche RSE implique l’identification des activités de l’entreprise ainsi que de l’ensemble de ses parties prenantes. Elle repose </w:t>
      </w:r>
      <w:r w:rsidRPr="00E2052F">
        <w:rPr>
          <w:rFonts w:cstheme="majorBidi"/>
          <w:sz w:val="22"/>
        </w:rPr>
        <w:lastRenderedPageBreak/>
        <w:t>sur la prise en compte de leurs attentes et intérêts, en lien avec les enjeux du développement durable et les principes éthiques.</w:t>
      </w:r>
    </w:p>
    <w:p w14:paraId="1AC429AC"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Réalisation d’un auto-diagnostic</w:t>
      </w:r>
      <w:r w:rsidRPr="00E2052F">
        <w:rPr>
          <w:rFonts w:cstheme="majorBidi"/>
          <w:sz w:val="22"/>
        </w:rPr>
        <w:t> : L’entreprise doit évaluer ses pratiques au regard des référentiels adoptés afin de mesurer leur conformité</w:t>
      </w:r>
      <w:r w:rsidR="009D393F" w:rsidRPr="00E2052F">
        <w:rPr>
          <w:rFonts w:cstheme="majorBidi"/>
          <w:sz w:val="22"/>
        </w:rPr>
        <w:t xml:space="preserve"> </w:t>
      </w:r>
      <w:r w:rsidRPr="00E2052F">
        <w:rPr>
          <w:rFonts w:cstheme="majorBidi"/>
          <w:sz w:val="22"/>
        </w:rPr>
        <w:t>pour identifier les forces et les pistes d'amélioration.</w:t>
      </w:r>
    </w:p>
    <w:p w14:paraId="727F713D"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Analyse de matérialité :</w:t>
      </w:r>
      <w:r w:rsidR="009D393F" w:rsidRPr="00E2052F">
        <w:rPr>
          <w:rFonts w:cstheme="majorBidi"/>
          <w:b/>
          <w:bCs/>
          <w:sz w:val="22"/>
        </w:rPr>
        <w:t xml:space="preserve"> </w:t>
      </w:r>
      <w:r w:rsidRPr="00E2052F">
        <w:rPr>
          <w:rFonts w:cstheme="majorBidi"/>
          <w:sz w:val="22"/>
        </w:rPr>
        <w:t>Cartographier les enjeux pour déterminer ceux qui sont les plus importants pour l'entreprise et ses parties prenantes.</w:t>
      </w:r>
    </w:p>
    <w:p w14:paraId="1E28357C"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Définition des objectifs et des plans d’action :</w:t>
      </w:r>
      <w:r w:rsidRPr="00E2052F">
        <w:rPr>
          <w:rFonts w:cstheme="majorBidi"/>
          <w:sz w:val="22"/>
        </w:rPr>
        <w:t xml:space="preserve"> Des objectifs clairs et mesurables doivent être définis pour chaque enjeu prioritaire. Ils sont traduits en plans d’action adaptés, tenant compte des ressources disponibles et du niveau de criticité des enjeux.</w:t>
      </w:r>
    </w:p>
    <w:p w14:paraId="0798A77F"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Mise en place des moyens :</w:t>
      </w:r>
      <w:r w:rsidR="009D393F" w:rsidRPr="00E2052F">
        <w:rPr>
          <w:rFonts w:cstheme="majorBidi"/>
          <w:b/>
          <w:bCs/>
          <w:sz w:val="22"/>
        </w:rPr>
        <w:t xml:space="preserve"> </w:t>
      </w:r>
      <w:r w:rsidRPr="00E2052F">
        <w:rPr>
          <w:rFonts w:cstheme="majorBidi"/>
          <w:sz w:val="22"/>
        </w:rPr>
        <w:t>La réussite de la démarche nécessite la mobilisation de ressources humaines, financières et organisationnelles adéquates. Les processus internes et les responsabilités doivent être ajustés afin d’assurer la cohérence avec les engagements RSE.</w:t>
      </w:r>
    </w:p>
    <w:p w14:paraId="065E77A0"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Mobilisation des collaborateurs :</w:t>
      </w:r>
      <w:r w:rsidR="009D393F" w:rsidRPr="00E2052F">
        <w:rPr>
          <w:rFonts w:cstheme="majorBidi"/>
          <w:b/>
          <w:bCs/>
          <w:sz w:val="22"/>
        </w:rPr>
        <w:t xml:space="preserve"> </w:t>
      </w:r>
      <w:r w:rsidRPr="00E2052F">
        <w:rPr>
          <w:rFonts w:cstheme="majorBidi"/>
          <w:sz w:val="22"/>
        </w:rPr>
        <w:t>Informer et former le personnel pour obtenir leur adhésion. La RSE doit être intégrée dans les fiches de poste.</w:t>
      </w:r>
    </w:p>
    <w:p w14:paraId="711FE959"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Mise en pratique dans les activités quotidiennes :</w:t>
      </w:r>
      <w:r w:rsidRPr="00E2052F">
        <w:rPr>
          <w:rFonts w:cstheme="majorBidi"/>
          <w:sz w:val="22"/>
        </w:rPr>
        <w:t xml:space="preserve"> La RSE doit être intégrée dans les comportements et les décisions quotidiennes des collaborateurs. Cela suppose une sensibilisation continue aux impacts des actions individuelles et organisationnelles.</w:t>
      </w:r>
    </w:p>
    <w:p w14:paraId="7047EC52" w14:textId="77777777" w:rsidR="007C5DB8" w:rsidRPr="00E2052F" w:rsidRDefault="007C5DB8" w:rsidP="00F36332">
      <w:pPr>
        <w:pStyle w:val="Paragraphedeliste"/>
        <w:numPr>
          <w:ilvl w:val="3"/>
          <w:numId w:val="117"/>
        </w:numPr>
        <w:spacing w:before="0" w:beforeAutospacing="0"/>
        <w:ind w:left="0" w:firstLine="284"/>
        <w:rPr>
          <w:rFonts w:cstheme="majorBidi"/>
          <w:sz w:val="22"/>
        </w:rPr>
      </w:pPr>
      <w:r w:rsidRPr="00E2052F">
        <w:rPr>
          <w:rFonts w:cstheme="majorBidi"/>
          <w:b/>
          <w:bCs/>
          <w:sz w:val="22"/>
        </w:rPr>
        <w:t>L’engagement des parties prenantes :</w:t>
      </w:r>
      <w:r w:rsidR="009D393F" w:rsidRPr="00E2052F">
        <w:rPr>
          <w:rFonts w:cstheme="majorBidi"/>
          <w:b/>
          <w:bCs/>
          <w:sz w:val="22"/>
        </w:rPr>
        <w:t xml:space="preserve"> </w:t>
      </w:r>
      <w:r w:rsidRPr="00E2052F">
        <w:rPr>
          <w:rFonts w:cstheme="majorBidi"/>
          <w:sz w:val="22"/>
        </w:rPr>
        <w:t>Établir un dialogue constant (écoute, reporting ESG) et pousser les partenaires à adopter des pratiques responsables via les cahiers des charges.</w:t>
      </w:r>
      <w:r w:rsidRPr="00E2052F">
        <w:rPr>
          <w:rFonts w:cstheme="majorBidi"/>
          <w:b/>
          <w:bCs/>
          <w:sz w:val="22"/>
        </w:rPr>
        <w:t xml:space="preserve"> Suivi et amélioration continue :</w:t>
      </w:r>
      <w:r w:rsidRPr="00E2052F">
        <w:rPr>
          <w:rFonts w:cstheme="majorBidi"/>
          <w:sz w:val="22"/>
        </w:rPr>
        <w:t xml:space="preserve"> Évaluer l'atteinte des objectifs, déterminer des actions correctives et assurer une évolution constante selon le cycle PDCA (Planifier, Dérouler, Contrôler, Agir).</w:t>
      </w:r>
    </w:p>
    <w:p w14:paraId="124202B3" w14:textId="77777777" w:rsidR="007C5DB8" w:rsidRPr="00E2052F" w:rsidRDefault="007C5DB8" w:rsidP="003D28B1">
      <w:pPr>
        <w:spacing w:before="0" w:beforeAutospacing="0"/>
        <w:rPr>
          <w:rFonts w:cstheme="majorBidi"/>
          <w:sz w:val="22"/>
        </w:rPr>
      </w:pPr>
      <w:r w:rsidRPr="00E2052F">
        <w:rPr>
          <w:rFonts w:cstheme="majorBidi"/>
          <w:sz w:val="22"/>
        </w:rPr>
        <w:t>La démarche de responsabilité sociétale des entreprises constitue une approche intégrée visant à concilier les exigences de performance économique. Elle contribue également à instaurer une culture organisationnelle responsable et à renforcer la durabilité de l’entreprise ainsi que sa capacité d’adaptation à son environnement.</w:t>
      </w:r>
    </w:p>
    <w:p w14:paraId="096E38B7" w14:textId="77777777" w:rsidR="007C5DB8" w:rsidRPr="00091F6F" w:rsidRDefault="007C5DB8" w:rsidP="00F36332">
      <w:pPr>
        <w:pStyle w:val="Titre4"/>
        <w:numPr>
          <w:ilvl w:val="0"/>
          <w:numId w:val="231"/>
        </w:numPr>
        <w:rPr>
          <w:rFonts w:asciiTheme="majorBidi" w:hAnsiTheme="majorBidi"/>
          <w:b w:val="0"/>
          <w:bCs w:val="0"/>
        </w:rPr>
      </w:pPr>
      <w:bookmarkStart w:id="1037" w:name="_Toc231746918"/>
      <w:bookmarkStart w:id="1038" w:name="_Toc231752324"/>
      <w:bookmarkStart w:id="1039" w:name="_Toc231810627"/>
      <w:bookmarkStart w:id="1040" w:name="_Toc231811970"/>
      <w:bookmarkStart w:id="1041" w:name="_Toc231812248"/>
      <w:bookmarkStart w:id="1042" w:name="_Toc231815132"/>
      <w:r w:rsidRPr="00091F6F">
        <w:rPr>
          <w:rStyle w:val="Titre4Car"/>
          <w:rFonts w:asciiTheme="majorBidi" w:hAnsiTheme="majorBidi"/>
          <w:b/>
          <w:bCs/>
          <w:color w:val="auto"/>
          <w:sz w:val="22"/>
          <w:szCs w:val="20"/>
        </w:rPr>
        <w:t>Évaluation de la démarche RSE d’une entreprise</w:t>
      </w:r>
      <w:r w:rsidRPr="00091F6F">
        <w:rPr>
          <w:rStyle w:val="Appelnotedebasdep"/>
          <w:rFonts w:asciiTheme="majorBidi" w:hAnsiTheme="majorBidi"/>
          <w:b w:val="0"/>
          <w:bCs w:val="0"/>
          <w:color w:val="auto"/>
          <w:sz w:val="22"/>
          <w:szCs w:val="20"/>
        </w:rPr>
        <w:footnoteReference w:id="241"/>
      </w:r>
      <w:r w:rsidRPr="00091F6F">
        <w:rPr>
          <w:rFonts w:asciiTheme="majorBidi" w:hAnsiTheme="majorBidi"/>
          <w:b w:val="0"/>
          <w:bCs w:val="0"/>
          <w:sz w:val="22"/>
          <w:szCs w:val="20"/>
        </w:rPr>
        <w:t> :</w:t>
      </w:r>
      <w:bookmarkEnd w:id="1037"/>
      <w:bookmarkEnd w:id="1038"/>
      <w:bookmarkEnd w:id="1039"/>
      <w:bookmarkEnd w:id="1040"/>
      <w:bookmarkEnd w:id="1041"/>
      <w:bookmarkEnd w:id="1042"/>
    </w:p>
    <w:p w14:paraId="648273FC" w14:textId="77777777" w:rsidR="007C5DB8" w:rsidRPr="00E2052F" w:rsidRDefault="007C5DB8" w:rsidP="003D28B1">
      <w:pPr>
        <w:spacing w:before="0" w:beforeAutospacing="0"/>
        <w:rPr>
          <w:rFonts w:cstheme="majorBidi"/>
          <w:b/>
          <w:bCs/>
          <w:sz w:val="22"/>
        </w:rPr>
      </w:pPr>
      <w:r w:rsidRPr="00E2052F">
        <w:rPr>
          <w:rStyle w:val="citation-396"/>
          <w:rFonts w:cstheme="majorBidi"/>
          <w:sz w:val="22"/>
        </w:rPr>
        <w:t xml:space="preserve">L’évaluation </w:t>
      </w:r>
      <w:r w:rsidRPr="00E2052F">
        <w:rPr>
          <w:rFonts w:cstheme="majorBidi"/>
          <w:sz w:val="22"/>
        </w:rPr>
        <w:t>de la démarche RSE repose sur la capacité de l'organisation à transformer ses engagements en performances mesurables et vérifiables. Cette légitimité s'articule autour de trois points stratégiques :</w:t>
      </w:r>
    </w:p>
    <w:p w14:paraId="7BA86A87" w14:textId="77777777" w:rsidR="007C5DB8" w:rsidRPr="00E2052F" w:rsidRDefault="007C5DB8" w:rsidP="00F36332">
      <w:pPr>
        <w:pStyle w:val="Paragraphedeliste"/>
        <w:numPr>
          <w:ilvl w:val="0"/>
          <w:numId w:val="118"/>
        </w:numPr>
        <w:spacing w:before="0" w:beforeAutospacing="0"/>
        <w:ind w:left="0" w:firstLine="284"/>
        <w:rPr>
          <w:rFonts w:cstheme="majorBidi"/>
          <w:b/>
          <w:bCs/>
          <w:sz w:val="22"/>
        </w:rPr>
      </w:pPr>
      <w:r w:rsidRPr="00E2052F">
        <w:rPr>
          <w:rFonts w:cstheme="majorBidi"/>
          <w:b/>
          <w:bCs/>
          <w:sz w:val="22"/>
        </w:rPr>
        <w:t xml:space="preserve">La Standardisation par les Référentiels et Labels : </w:t>
      </w:r>
      <w:r w:rsidRPr="00E2052F">
        <w:rPr>
          <w:rFonts w:cstheme="majorBidi"/>
          <w:sz w:val="22"/>
        </w:rPr>
        <w:t xml:space="preserve">L'évaluation de la performance RSE nécessite un cadre de mesure objectif. Le choix d'un référentiel universel (tel que l'ISO 26000) est </w:t>
      </w:r>
      <w:r w:rsidRPr="00E2052F">
        <w:rPr>
          <w:rFonts w:cstheme="majorBidi"/>
          <w:sz w:val="22"/>
        </w:rPr>
        <w:lastRenderedPageBreak/>
        <w:t xml:space="preserve">déterminant, il assure la pertinence de l'approche. Les labels, quant à eux, agissent comme des signaux de confiance, offrant une assurance immédiate aux parties prenantes quant au respect de critères sociétaux spécifiques. </w:t>
      </w:r>
    </w:p>
    <w:p w14:paraId="070BB109" w14:textId="77777777" w:rsidR="007C5DB8" w:rsidRPr="00E2052F" w:rsidRDefault="007C5DB8" w:rsidP="00F36332">
      <w:pPr>
        <w:pStyle w:val="NormalWeb"/>
        <w:numPr>
          <w:ilvl w:val="0"/>
          <w:numId w:val="118"/>
        </w:numPr>
        <w:spacing w:before="0" w:beforeAutospacing="0" w:line="360" w:lineRule="auto"/>
        <w:ind w:left="0" w:firstLine="284"/>
        <w:jc w:val="left"/>
        <w:rPr>
          <w:rFonts w:asciiTheme="majorBidi" w:hAnsiTheme="majorBidi" w:cstheme="majorBidi"/>
          <w:sz w:val="22"/>
          <w:szCs w:val="22"/>
        </w:rPr>
      </w:pPr>
      <w:r w:rsidRPr="00E2052F">
        <w:rPr>
          <w:rFonts w:asciiTheme="majorBidi" w:hAnsiTheme="majorBidi" w:cstheme="majorBidi"/>
          <w:b/>
          <w:bCs/>
          <w:sz w:val="22"/>
          <w:szCs w:val="22"/>
        </w:rPr>
        <w:t>La Certification par l'expertise Indépendante :</w:t>
      </w:r>
      <w:r w:rsidRPr="00E2052F">
        <w:rPr>
          <w:rFonts w:asciiTheme="majorBidi" w:hAnsiTheme="majorBidi" w:cstheme="majorBidi"/>
          <w:sz w:val="22"/>
          <w:szCs w:val="22"/>
        </w:rPr>
        <w:t>Pour pallier les risques de "greenwashing" ou d'auto-évaluation biaisée, le recours à des experts indépendants est essentiel. Ces derniers interviennent à deux niveaux :</w:t>
      </w:r>
    </w:p>
    <w:p w14:paraId="669360A3" w14:textId="77777777" w:rsidR="007C5DB8" w:rsidRPr="00E2052F" w:rsidRDefault="007C5DB8" w:rsidP="00F36332">
      <w:pPr>
        <w:pStyle w:val="NormalWeb"/>
        <w:numPr>
          <w:ilvl w:val="0"/>
          <w:numId w:val="119"/>
        </w:numPr>
        <w:spacing w:before="0" w:beforeAutospacing="0" w:line="360" w:lineRule="auto"/>
        <w:ind w:left="0" w:firstLine="284"/>
        <w:jc w:val="left"/>
        <w:rPr>
          <w:rFonts w:asciiTheme="majorBidi" w:hAnsiTheme="majorBidi" w:cstheme="majorBidi"/>
          <w:sz w:val="22"/>
          <w:szCs w:val="22"/>
        </w:rPr>
      </w:pPr>
      <w:r w:rsidRPr="00E2052F">
        <w:rPr>
          <w:rFonts w:asciiTheme="majorBidi" w:hAnsiTheme="majorBidi" w:cstheme="majorBidi"/>
          <w:b/>
          <w:bCs/>
          <w:sz w:val="22"/>
          <w:szCs w:val="22"/>
        </w:rPr>
        <w:t>Audit et conseil :</w:t>
      </w:r>
      <w:r w:rsidRPr="00E2052F">
        <w:rPr>
          <w:rFonts w:asciiTheme="majorBidi" w:hAnsiTheme="majorBidi" w:cstheme="majorBidi"/>
          <w:sz w:val="22"/>
          <w:szCs w:val="22"/>
        </w:rPr>
        <w:t xml:space="preserve"> Alignement de la stratégie sur les meilleures pratiques mondiales.</w:t>
      </w:r>
    </w:p>
    <w:p w14:paraId="3EEF3A29" w14:textId="77777777" w:rsidR="007C5DB8" w:rsidRPr="00E2052F" w:rsidRDefault="007C5DB8" w:rsidP="00F36332">
      <w:pPr>
        <w:pStyle w:val="NormalWeb"/>
        <w:numPr>
          <w:ilvl w:val="0"/>
          <w:numId w:val="119"/>
        </w:numPr>
        <w:spacing w:before="0" w:beforeAutospacing="0" w:line="360" w:lineRule="auto"/>
        <w:ind w:left="0" w:firstLine="284"/>
        <w:jc w:val="left"/>
        <w:rPr>
          <w:rFonts w:asciiTheme="majorBidi" w:hAnsiTheme="majorBidi" w:cstheme="majorBidi"/>
          <w:sz w:val="22"/>
          <w:szCs w:val="22"/>
        </w:rPr>
      </w:pPr>
      <w:r w:rsidRPr="00E2052F">
        <w:rPr>
          <w:rFonts w:asciiTheme="majorBidi" w:hAnsiTheme="majorBidi" w:cstheme="majorBidi"/>
          <w:b/>
          <w:bCs/>
          <w:sz w:val="22"/>
          <w:szCs w:val="22"/>
        </w:rPr>
        <w:t>Notation ESG :</w:t>
      </w:r>
      <w:r w:rsidRPr="00E2052F">
        <w:rPr>
          <w:rFonts w:asciiTheme="majorBidi" w:hAnsiTheme="majorBidi" w:cstheme="majorBidi"/>
          <w:sz w:val="22"/>
          <w:szCs w:val="22"/>
        </w:rPr>
        <w:t xml:space="preserve"> Évaluation rigoureuse des impacts environnementaux, sociaux et de gouvernance, conférant une crédibilité externe aux données communiquées.</w:t>
      </w:r>
    </w:p>
    <w:p w14:paraId="7A9714C7" w14:textId="77777777" w:rsidR="007C5DB8" w:rsidRPr="00E2052F" w:rsidRDefault="007C5DB8" w:rsidP="00F36332">
      <w:pPr>
        <w:pStyle w:val="Paragraphedeliste"/>
        <w:numPr>
          <w:ilvl w:val="0"/>
          <w:numId w:val="118"/>
        </w:numPr>
        <w:spacing w:before="0" w:beforeAutospacing="0"/>
        <w:ind w:left="0" w:firstLine="284"/>
        <w:rPr>
          <w:rFonts w:cstheme="majorBidi"/>
          <w:b/>
          <w:bCs/>
          <w:sz w:val="22"/>
        </w:rPr>
      </w:pPr>
      <w:r w:rsidRPr="00E2052F">
        <w:rPr>
          <w:rFonts w:cstheme="majorBidi"/>
          <w:b/>
          <w:bCs/>
          <w:sz w:val="22"/>
        </w:rPr>
        <w:t>La Transparence comme Vecteur de Confiance :</w:t>
      </w:r>
      <w:r w:rsidR="009D393F" w:rsidRPr="00E2052F">
        <w:rPr>
          <w:rFonts w:cstheme="majorBidi"/>
          <w:b/>
          <w:bCs/>
          <w:sz w:val="22"/>
        </w:rPr>
        <w:t xml:space="preserve"> </w:t>
      </w:r>
      <w:r w:rsidRPr="00E2052F">
        <w:rPr>
          <w:rFonts w:cstheme="majorBidi"/>
          <w:sz w:val="22"/>
        </w:rPr>
        <w:t>La transparence constitue la clé de voûte d'une démarche RSE authentique. Elle se matérialise par une communication proactive, adaptée aux attentes des parties prenantes internes et externes. Le rapport RSE/ESG demeure l'outil privilégié de cette politique : il permet de documenter de manière exhaustive la stratégie, les objectifs fixés et, surtout, les progrès réels accomplis par l'entreprise.</w:t>
      </w:r>
    </w:p>
    <w:p w14:paraId="110506FD" w14:textId="77777777" w:rsidR="007C5DB8" w:rsidRPr="00E2052F" w:rsidRDefault="007C5DB8" w:rsidP="003D28B1">
      <w:pPr>
        <w:spacing w:before="0" w:beforeAutospacing="0"/>
        <w:rPr>
          <w:rFonts w:cstheme="majorBidi"/>
          <w:sz w:val="22"/>
        </w:rPr>
      </w:pPr>
      <w:r w:rsidRPr="00E2052F">
        <w:rPr>
          <w:rFonts w:cstheme="majorBidi"/>
          <w:sz w:val="22"/>
        </w:rPr>
        <w:t>La pérennité d'une démarche RSE ne dépend pas seulement de l'intention, mais de sa capacité à être évaluée selon des standards rigoureux et à être communiquée de manière transparente.</w:t>
      </w:r>
    </w:p>
    <w:p w14:paraId="08E9D295" w14:textId="77777777" w:rsidR="007C5DB8" w:rsidRPr="00E2052F" w:rsidRDefault="007C5DB8" w:rsidP="00F36332">
      <w:pPr>
        <w:pStyle w:val="Titre2"/>
        <w:numPr>
          <w:ilvl w:val="0"/>
          <w:numId w:val="232"/>
        </w:numPr>
      </w:pPr>
      <w:bookmarkStart w:id="1043" w:name="_Toc231746919"/>
      <w:bookmarkStart w:id="1044" w:name="_Toc231752325"/>
      <w:bookmarkStart w:id="1045" w:name="_Toc231810628"/>
      <w:bookmarkStart w:id="1046" w:name="_Toc231811971"/>
      <w:bookmarkStart w:id="1047" w:name="_Toc231812249"/>
      <w:bookmarkStart w:id="1048" w:name="_Toc231815133"/>
      <w:r w:rsidRPr="00605782">
        <w:rPr>
          <w:rStyle w:val="Titre2Car"/>
          <w:b/>
          <w:bCs/>
        </w:rPr>
        <w:t>La responsabilité sociale dans le cadre de développement durable</w:t>
      </w:r>
      <w:r w:rsidRPr="00E2052F">
        <w:t> :</w:t>
      </w:r>
      <w:bookmarkEnd w:id="1043"/>
      <w:bookmarkEnd w:id="1044"/>
      <w:bookmarkEnd w:id="1045"/>
      <w:bookmarkEnd w:id="1046"/>
      <w:bookmarkEnd w:id="1047"/>
      <w:bookmarkEnd w:id="1048"/>
    </w:p>
    <w:p w14:paraId="0D405A3A" w14:textId="77777777" w:rsidR="007C5DB8" w:rsidRPr="00E2052F" w:rsidRDefault="007C5DB8" w:rsidP="00F36332">
      <w:pPr>
        <w:pStyle w:val="NormalWeb"/>
        <w:numPr>
          <w:ilvl w:val="2"/>
          <w:numId w:val="186"/>
        </w:numPr>
        <w:tabs>
          <w:tab w:val="left" w:pos="8043"/>
        </w:tabs>
        <w:spacing w:before="0" w:beforeAutospacing="0" w:line="360" w:lineRule="auto"/>
        <w:outlineLvl w:val="2"/>
        <w:rPr>
          <w:rFonts w:asciiTheme="majorBidi" w:hAnsiTheme="majorBidi" w:cstheme="majorBidi"/>
          <w:b/>
          <w:bCs/>
          <w:sz w:val="22"/>
          <w:szCs w:val="22"/>
        </w:rPr>
      </w:pPr>
      <w:bookmarkStart w:id="1049" w:name="_Toc231746920"/>
      <w:bookmarkStart w:id="1050" w:name="_Toc231752326"/>
      <w:bookmarkStart w:id="1051" w:name="_Toc231810629"/>
      <w:bookmarkStart w:id="1052" w:name="_Toc231811972"/>
      <w:bookmarkStart w:id="1053" w:name="_Toc231812250"/>
      <w:bookmarkStart w:id="1054" w:name="_Toc231815134"/>
      <w:r w:rsidRPr="00E2052F">
        <w:rPr>
          <w:rStyle w:val="Titre3Car"/>
          <w:rFonts w:asciiTheme="majorBidi" w:hAnsiTheme="majorBidi"/>
          <w:color w:val="auto"/>
          <w:sz w:val="22"/>
          <w:szCs w:val="22"/>
        </w:rPr>
        <w:t>Le concept de développement durable</w:t>
      </w:r>
      <w:r w:rsidRPr="00E2052F">
        <w:rPr>
          <w:rStyle w:val="Appelnotedebasdep"/>
          <w:rFonts w:asciiTheme="majorBidi" w:hAnsiTheme="majorBidi" w:cstheme="majorBidi"/>
          <w:b/>
          <w:bCs/>
          <w:sz w:val="22"/>
          <w:szCs w:val="22"/>
        </w:rPr>
        <w:footnoteReference w:id="242"/>
      </w:r>
      <w:r w:rsidRPr="00E2052F">
        <w:rPr>
          <w:rFonts w:asciiTheme="majorBidi" w:hAnsiTheme="majorBidi" w:cstheme="majorBidi"/>
          <w:b/>
          <w:bCs/>
          <w:sz w:val="22"/>
          <w:szCs w:val="22"/>
        </w:rPr>
        <w:t> :</w:t>
      </w:r>
      <w:bookmarkEnd w:id="1049"/>
      <w:bookmarkEnd w:id="1050"/>
      <w:bookmarkEnd w:id="1051"/>
      <w:bookmarkEnd w:id="1052"/>
      <w:bookmarkEnd w:id="1053"/>
      <w:bookmarkEnd w:id="1054"/>
    </w:p>
    <w:p w14:paraId="78D20A1B"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concept de développement durable a été introduit en 1987 par la Commission mondiale sur l’environnement et le développement, qui le définit comme un mode de développement répondant aux besoins des générations présentes sans compromettre la capacité des générations futures à satisfaire les leurs. Il constitue un objectif fondamental de l’Union européenne et oriente l’ensemble de ses politiques publiques.Il s’est construit comme une réponse au des institutions et des entreprises au préoccupations de la société civile et de certains organisations non gouvernementales relative aux impacts environnementaux et sociaux de l'activité des principaux agents économiques sur leurs parties prenantes la finalité de développement durable et de trouver un équilibre cohérent et viable à long terme entre les enjeux économiques sociaux et environnementaux.</w:t>
      </w:r>
    </w:p>
    <w:p w14:paraId="2CDAA000"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De manière générale, le développement durable vise à concilier croissance économique, cohésion sociale et protection de l’environnement, dans une perspective globale intégrant des enjeux tels que l’emploi, la santé, l’éducation et la diversité culturelle. Il implique également une transformation des </w:t>
      </w:r>
      <w:r w:rsidRPr="00E2052F">
        <w:rPr>
          <w:rFonts w:asciiTheme="majorBidi" w:hAnsiTheme="majorBidi" w:cstheme="majorBidi"/>
          <w:sz w:val="22"/>
          <w:szCs w:val="22"/>
        </w:rPr>
        <w:lastRenderedPageBreak/>
        <w:t>comportements de l’ensemble des acteurs (États, entreprises, citoyens) face aux défis contemporains, notamment les inégalités sociales, les risques environnementaux et le changement climatique.</w:t>
      </w:r>
    </w:p>
    <w:p w14:paraId="5A38F2F2" w14:textId="77777777" w:rsidR="007C5DB8" w:rsidRPr="00E2052F" w:rsidRDefault="007C5DB8" w:rsidP="00F36332">
      <w:pPr>
        <w:pStyle w:val="Titre3"/>
        <w:numPr>
          <w:ilvl w:val="2"/>
          <w:numId w:val="186"/>
        </w:numPr>
        <w:rPr>
          <w:rFonts w:asciiTheme="majorBidi" w:hAnsiTheme="majorBidi"/>
          <w:b w:val="0"/>
          <w:bCs w:val="0"/>
          <w:color w:val="auto"/>
          <w:sz w:val="22"/>
        </w:rPr>
      </w:pPr>
      <w:bookmarkStart w:id="1055" w:name="_Toc231746921"/>
      <w:bookmarkStart w:id="1056" w:name="_Toc231752327"/>
      <w:bookmarkStart w:id="1057" w:name="_Toc231810630"/>
      <w:bookmarkStart w:id="1058" w:name="_Toc231811973"/>
      <w:bookmarkStart w:id="1059" w:name="_Toc231812251"/>
      <w:bookmarkStart w:id="1060" w:name="_Toc231815135"/>
      <w:r w:rsidRPr="00E2052F">
        <w:rPr>
          <w:rStyle w:val="Titre3Car"/>
          <w:rFonts w:asciiTheme="majorBidi" w:hAnsiTheme="majorBidi"/>
          <w:b/>
          <w:bCs/>
          <w:color w:val="auto"/>
          <w:sz w:val="22"/>
        </w:rPr>
        <w:t>Les caractéristiques de développement durable</w:t>
      </w:r>
      <w:r w:rsidRPr="00E2052F">
        <w:rPr>
          <w:rFonts w:asciiTheme="majorBidi" w:hAnsiTheme="majorBidi"/>
          <w:b w:val="0"/>
          <w:bCs w:val="0"/>
          <w:color w:val="auto"/>
          <w:sz w:val="22"/>
        </w:rPr>
        <w:t> :</w:t>
      </w:r>
      <w:bookmarkEnd w:id="1055"/>
      <w:bookmarkEnd w:id="1056"/>
      <w:bookmarkEnd w:id="1057"/>
      <w:bookmarkEnd w:id="1058"/>
      <w:bookmarkEnd w:id="1059"/>
      <w:bookmarkEnd w:id="1060"/>
    </w:p>
    <w:p w14:paraId="55CD0AAD" w14:textId="77777777" w:rsidR="007C5DB8" w:rsidRPr="00E2052F" w:rsidRDefault="007C5DB8" w:rsidP="003D28B1">
      <w:pPr>
        <w:pStyle w:val="NormalWeb"/>
        <w:tabs>
          <w:tab w:val="left" w:pos="8043"/>
        </w:tabs>
        <w:spacing w:before="0" w:beforeAutospacing="0" w:line="360" w:lineRule="auto"/>
        <w:rPr>
          <w:rFonts w:asciiTheme="majorBidi" w:eastAsiaTheme="minorHAnsi" w:hAnsiTheme="majorBidi" w:cstheme="majorBidi"/>
          <w:color w:val="000000"/>
          <w:sz w:val="22"/>
          <w:szCs w:val="22"/>
          <w:lang w:eastAsia="en-US"/>
        </w:rPr>
      </w:pPr>
      <w:r w:rsidRPr="00E2052F">
        <w:rPr>
          <w:rFonts w:asciiTheme="majorBidi" w:eastAsiaTheme="minorHAnsi" w:hAnsiTheme="majorBidi" w:cstheme="majorBidi"/>
          <w:color w:val="000000"/>
          <w:sz w:val="22"/>
          <w:szCs w:val="22"/>
          <w:lang w:eastAsia="en-US"/>
        </w:rPr>
        <w:t>L’historique de la genèse du développement durable dégage les caractéristiques suivantes :</w:t>
      </w:r>
    </w:p>
    <w:p w14:paraId="361F63BE" w14:textId="77777777" w:rsidR="007C5DB8" w:rsidRPr="00E2052F" w:rsidRDefault="007C5DB8" w:rsidP="00F36332">
      <w:pPr>
        <w:pStyle w:val="NormalWeb"/>
        <w:numPr>
          <w:ilvl w:val="0"/>
          <w:numId w:val="124"/>
        </w:numPr>
        <w:spacing w:before="0" w:beforeAutospacing="0" w:line="360" w:lineRule="auto"/>
        <w:ind w:left="0" w:firstLine="284"/>
        <w:jc w:val="left"/>
        <w:rPr>
          <w:rFonts w:asciiTheme="majorBidi" w:hAnsiTheme="majorBidi" w:cstheme="majorBidi"/>
          <w:sz w:val="22"/>
          <w:szCs w:val="22"/>
        </w:rPr>
      </w:pPr>
      <w:r w:rsidRPr="00E2052F">
        <w:rPr>
          <w:rStyle w:val="lev"/>
          <w:rFonts w:asciiTheme="majorBidi" w:hAnsiTheme="majorBidi" w:cstheme="majorBidi"/>
          <w:sz w:val="22"/>
          <w:szCs w:val="22"/>
        </w:rPr>
        <w:t xml:space="preserve">Une approche mondiale : </w:t>
      </w:r>
      <w:r w:rsidRPr="00E2052F">
        <w:rPr>
          <w:rFonts w:asciiTheme="majorBidi" w:hAnsiTheme="majorBidi" w:cstheme="majorBidi"/>
          <w:sz w:val="22"/>
          <w:szCs w:val="22"/>
        </w:rPr>
        <w:t>Le développement durable adopte une vision globale dépassant le clivage Nord-Sud, en reconnaissant le caractère planétaire des problèmes environnementaux et la nécessité de réponses différenciées, notamment la réduction des pollutions au Nord et la maîtrise de la croissance démographique au Sud, ce qui implique une transformation des modes de production et de consommation.</w:t>
      </w:r>
    </w:p>
    <w:p w14:paraId="6D424224" w14:textId="77777777" w:rsidR="007C5DB8" w:rsidRPr="00E2052F" w:rsidRDefault="007C5DB8" w:rsidP="00F36332">
      <w:pPr>
        <w:pStyle w:val="NormalWeb"/>
        <w:numPr>
          <w:ilvl w:val="0"/>
          <w:numId w:val="124"/>
        </w:numPr>
        <w:spacing w:before="0" w:beforeAutospacing="0" w:line="360" w:lineRule="auto"/>
        <w:ind w:left="0" w:firstLine="284"/>
        <w:jc w:val="left"/>
        <w:rPr>
          <w:rFonts w:asciiTheme="majorBidi" w:hAnsiTheme="majorBidi" w:cstheme="majorBidi"/>
          <w:sz w:val="22"/>
          <w:szCs w:val="22"/>
        </w:rPr>
      </w:pPr>
      <w:r w:rsidRPr="00E2052F">
        <w:rPr>
          <w:rStyle w:val="lev"/>
          <w:rFonts w:asciiTheme="majorBidi" w:hAnsiTheme="majorBidi" w:cstheme="majorBidi"/>
          <w:sz w:val="22"/>
          <w:szCs w:val="22"/>
        </w:rPr>
        <w:t xml:space="preserve">Une gestion écologique : </w:t>
      </w:r>
      <w:r w:rsidRPr="00E2052F">
        <w:rPr>
          <w:rFonts w:asciiTheme="majorBidi" w:hAnsiTheme="majorBidi" w:cstheme="majorBidi"/>
          <w:sz w:val="22"/>
          <w:szCs w:val="22"/>
        </w:rPr>
        <w:t>Il vise la préservation et la transmission intergénérationnelle du capital naturel, tout en valorisant les ressources naturelles comme sources de bien-être et en cherchant à limiter les impacts irréversibles sur les écosystèmes.</w:t>
      </w:r>
    </w:p>
    <w:p w14:paraId="21F06248" w14:textId="77777777" w:rsidR="007C5DB8" w:rsidRPr="00E2052F" w:rsidRDefault="007C5DB8" w:rsidP="00F36332">
      <w:pPr>
        <w:pStyle w:val="NormalWeb"/>
        <w:numPr>
          <w:ilvl w:val="0"/>
          <w:numId w:val="124"/>
        </w:numPr>
        <w:spacing w:before="0" w:beforeAutospacing="0" w:line="360" w:lineRule="auto"/>
        <w:ind w:left="0" w:firstLine="284"/>
        <w:jc w:val="left"/>
        <w:rPr>
          <w:rFonts w:asciiTheme="majorBidi" w:hAnsiTheme="majorBidi" w:cstheme="majorBidi"/>
          <w:sz w:val="22"/>
          <w:szCs w:val="22"/>
        </w:rPr>
      </w:pPr>
      <w:r w:rsidRPr="00E2052F">
        <w:rPr>
          <w:rStyle w:val="lev"/>
          <w:rFonts w:asciiTheme="majorBidi" w:hAnsiTheme="majorBidi" w:cstheme="majorBidi"/>
          <w:sz w:val="22"/>
          <w:szCs w:val="22"/>
        </w:rPr>
        <w:t xml:space="preserve">Une dimension sociale et éthique : </w:t>
      </w:r>
      <w:r w:rsidRPr="00E2052F">
        <w:rPr>
          <w:rFonts w:asciiTheme="majorBidi" w:hAnsiTheme="majorBidi" w:cstheme="majorBidi"/>
          <w:sz w:val="22"/>
          <w:szCs w:val="22"/>
        </w:rPr>
        <w:t>Il repose sur la réduction des inégalités et la garantie de choix économiques libres et non contraints, afin de renforcer la justice sociale et de légitimer le développement durable.</w:t>
      </w:r>
    </w:p>
    <w:p w14:paraId="1DF719BB" w14:textId="77777777" w:rsidR="007C5DB8" w:rsidRPr="00E2052F" w:rsidRDefault="007C5DB8" w:rsidP="00F36332">
      <w:pPr>
        <w:pStyle w:val="Titre3"/>
        <w:numPr>
          <w:ilvl w:val="2"/>
          <w:numId w:val="186"/>
        </w:numPr>
        <w:rPr>
          <w:rFonts w:asciiTheme="majorBidi" w:hAnsiTheme="majorBidi"/>
          <w:b w:val="0"/>
          <w:bCs w:val="0"/>
          <w:color w:val="auto"/>
          <w:sz w:val="22"/>
        </w:rPr>
      </w:pPr>
      <w:bookmarkStart w:id="1061" w:name="_Toc231746922"/>
      <w:bookmarkStart w:id="1062" w:name="_Toc231752328"/>
      <w:bookmarkStart w:id="1063" w:name="_Toc231810631"/>
      <w:bookmarkStart w:id="1064" w:name="_Toc231811974"/>
      <w:bookmarkStart w:id="1065" w:name="_Toc231812252"/>
      <w:bookmarkStart w:id="1066" w:name="_Toc231815136"/>
      <w:r w:rsidRPr="00E2052F">
        <w:rPr>
          <w:rStyle w:val="Titre3Car"/>
          <w:rFonts w:asciiTheme="majorBidi" w:hAnsiTheme="majorBidi"/>
          <w:b/>
          <w:bCs/>
          <w:color w:val="auto"/>
          <w:sz w:val="22"/>
        </w:rPr>
        <w:t>Objectifs du développement durable</w:t>
      </w:r>
      <w:r w:rsidRPr="00E2052F">
        <w:rPr>
          <w:rFonts w:asciiTheme="majorBidi" w:hAnsiTheme="majorBidi"/>
          <w:b w:val="0"/>
          <w:bCs w:val="0"/>
          <w:color w:val="auto"/>
          <w:sz w:val="22"/>
        </w:rPr>
        <w:t xml:space="preserve"> :</w:t>
      </w:r>
      <w:bookmarkEnd w:id="1061"/>
      <w:bookmarkEnd w:id="1062"/>
      <w:bookmarkEnd w:id="1063"/>
      <w:bookmarkEnd w:id="1064"/>
      <w:bookmarkEnd w:id="1065"/>
      <w:bookmarkEnd w:id="1066"/>
    </w:p>
    <w:p w14:paraId="2BA2EFE7"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 conseil de direction du nouveau « réseau des connaissances », à savoir le Réseau des solutions pour le développement durable (SDSN), créé par </w:t>
      </w:r>
      <w:r w:rsidRPr="00E2052F">
        <w:rPr>
          <w:rStyle w:val="whitespace-normal"/>
          <w:rFonts w:asciiTheme="majorBidi" w:hAnsiTheme="majorBidi" w:cstheme="majorBidi"/>
          <w:sz w:val="22"/>
          <w:szCs w:val="22"/>
        </w:rPr>
        <w:t>Ban Ki-moon</w:t>
      </w:r>
      <w:r w:rsidRPr="00E2052F">
        <w:rPr>
          <w:rFonts w:asciiTheme="majorBidi" w:hAnsiTheme="majorBidi" w:cstheme="majorBidi"/>
          <w:sz w:val="22"/>
          <w:szCs w:val="22"/>
        </w:rPr>
        <w:t xml:space="preserve">, ancien Secrétaire général de l’ONU, a récemment publié un rapport intitulé </w:t>
      </w:r>
      <w:r w:rsidRPr="00E2052F">
        <w:rPr>
          <w:rStyle w:val="Accentuation"/>
          <w:rFonts w:asciiTheme="majorBidi" w:hAnsiTheme="majorBidi" w:cstheme="majorBidi"/>
          <w:sz w:val="22"/>
          <w:szCs w:val="22"/>
        </w:rPr>
        <w:t>An Action Agenda for Sustainable Development</w:t>
      </w:r>
      <w:r w:rsidRPr="00E2052F">
        <w:rPr>
          <w:rFonts w:asciiTheme="majorBidi" w:hAnsiTheme="majorBidi" w:cstheme="majorBidi"/>
          <w:sz w:val="22"/>
          <w:szCs w:val="22"/>
        </w:rPr>
        <w:t xml:space="preserve"> (Programme d’action pour un développement durable), dans lequel sont identifiés dix objectifs prioritaires</w:t>
      </w:r>
      <w:r w:rsidRPr="00E2052F">
        <w:rPr>
          <w:rStyle w:val="Appelnotedebasdep"/>
          <w:rFonts w:asciiTheme="majorBidi" w:hAnsiTheme="majorBidi" w:cstheme="majorBidi"/>
          <w:sz w:val="22"/>
          <w:szCs w:val="22"/>
        </w:rPr>
        <w:footnoteReference w:id="243"/>
      </w:r>
      <w:r w:rsidRPr="00E2052F">
        <w:rPr>
          <w:rFonts w:asciiTheme="majorBidi" w:hAnsiTheme="majorBidi" w:cstheme="majorBidi"/>
          <w:sz w:val="22"/>
          <w:szCs w:val="22"/>
        </w:rPr>
        <w:t> :</w:t>
      </w:r>
    </w:p>
    <w:p w14:paraId="24DA4A02"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Mettre fin à l’extrême pauvreté et à la fin.</w:t>
      </w:r>
    </w:p>
    <w:p w14:paraId="65560771"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Parvenir au développement et à la prospérité sans détruire l’environnement.</w:t>
      </w:r>
    </w:p>
    <w:p w14:paraId="3068564A"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Veiller à ce que tous les enfants et adolescents aient accès à l’éducation.</w:t>
      </w:r>
    </w:p>
    <w:p w14:paraId="2DC31F5D"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Parvenir à l’égalité entre les hommes et les femmes et réduire les inégalités.</w:t>
      </w:r>
    </w:p>
    <w:p w14:paraId="3196FB64"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Parvenir à la santé et au bien-être à tous les âges de la vie.</w:t>
      </w:r>
    </w:p>
    <w:p w14:paraId="0837058C"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Augmenter la production agricole dans le respect de l’environnement de manière à parvenir à la sécurité alimentaire et à la prospérité dans les zones rurales.</w:t>
      </w:r>
    </w:p>
    <w:p w14:paraId="41DC73A6"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Développer le potentiel des villes dans un cadre de durabilité environnementale.</w:t>
      </w:r>
    </w:p>
    <w:p w14:paraId="414D6C17"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lastRenderedPageBreak/>
        <w:t>Diminuer le changement climatique dû à l’activité humaine en ayant recours à des sources d’énergies durables.</w:t>
      </w:r>
    </w:p>
    <w:p w14:paraId="52387E74"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Protéger l’écosystème et assurer une bonne gestion des ressources naturelles.</w:t>
      </w:r>
    </w:p>
    <w:p w14:paraId="5C5808A6" w14:textId="77777777" w:rsidR="007C5DB8" w:rsidRPr="00E2052F" w:rsidRDefault="007C5DB8" w:rsidP="00F36332">
      <w:pPr>
        <w:pStyle w:val="NormalWeb"/>
        <w:numPr>
          <w:ilvl w:val="0"/>
          <w:numId w:val="188"/>
        </w:numPr>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Améliorer la gouvernance et mettre le comportement des entreprises en conformité avec ses objectifs.</w:t>
      </w:r>
    </w:p>
    <w:p w14:paraId="3850A059" w14:textId="77777777" w:rsidR="007C5DB8" w:rsidRPr="00E2052F" w:rsidRDefault="007C5DB8" w:rsidP="00F36332">
      <w:pPr>
        <w:pStyle w:val="Titre3"/>
        <w:numPr>
          <w:ilvl w:val="0"/>
          <w:numId w:val="187"/>
        </w:numPr>
        <w:rPr>
          <w:rFonts w:asciiTheme="majorBidi" w:hAnsiTheme="majorBidi"/>
          <w:b w:val="0"/>
          <w:bCs w:val="0"/>
          <w:color w:val="auto"/>
          <w:sz w:val="22"/>
        </w:rPr>
      </w:pPr>
      <w:bookmarkStart w:id="1067" w:name="_Toc231746923"/>
      <w:bookmarkStart w:id="1068" w:name="_Toc231752329"/>
      <w:bookmarkStart w:id="1069" w:name="_Toc231810632"/>
      <w:bookmarkStart w:id="1070" w:name="_Toc231811975"/>
      <w:bookmarkStart w:id="1071" w:name="_Toc231812253"/>
      <w:bookmarkStart w:id="1072" w:name="_Toc231815137"/>
      <w:r w:rsidRPr="00E2052F">
        <w:rPr>
          <w:rStyle w:val="Titre3Car"/>
          <w:rFonts w:asciiTheme="majorBidi" w:hAnsiTheme="majorBidi"/>
          <w:b/>
          <w:bCs/>
          <w:color w:val="auto"/>
          <w:sz w:val="22"/>
        </w:rPr>
        <w:t>Lien entre la responsabilité sociale des entreprises et le développement durable</w:t>
      </w:r>
      <w:r w:rsidRPr="00E2052F">
        <w:rPr>
          <w:rStyle w:val="Appelnotedebasdep"/>
          <w:rFonts w:asciiTheme="majorBidi" w:hAnsiTheme="majorBidi"/>
          <w:b w:val="0"/>
          <w:bCs w:val="0"/>
          <w:color w:val="auto"/>
          <w:sz w:val="22"/>
        </w:rPr>
        <w:footnoteReference w:id="244"/>
      </w:r>
      <w:r w:rsidRPr="00E2052F">
        <w:rPr>
          <w:rFonts w:asciiTheme="majorBidi" w:hAnsiTheme="majorBidi"/>
          <w:b w:val="0"/>
          <w:bCs w:val="0"/>
          <w:color w:val="auto"/>
          <w:sz w:val="22"/>
        </w:rPr>
        <w:t> :</w:t>
      </w:r>
      <w:bookmarkEnd w:id="1067"/>
      <w:bookmarkEnd w:id="1068"/>
      <w:bookmarkEnd w:id="1069"/>
      <w:bookmarkEnd w:id="1070"/>
      <w:bookmarkEnd w:id="1071"/>
      <w:bookmarkEnd w:id="1072"/>
    </w:p>
    <w:p w14:paraId="08243A39"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responsabilité sociale des entreprises (RSE) peut être appréhendée comme la traduction opérationnelle du développement durable dans le contexte organisationnel. Elle constitue un cadre de référence permettant aux entreprises d’intégrer, dans leurs stratégies et leurs pratiques, les mêmes enjeux fondamentaux que ceux du développement durable. En effet, les dimensions de la RSE correspondent directement aux trois enjeux du développement durable, économiques, sociaux et environnementaux, ce qui traduit une forte cohérence conceptuelle entre les deux notions.</w:t>
      </w:r>
    </w:p>
    <w:p w14:paraId="70DA3F8C"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b/>
          <w:bCs/>
          <w:sz w:val="22"/>
          <w:szCs w:val="22"/>
        </w:rPr>
      </w:pPr>
      <w:r w:rsidRPr="00F562CA">
        <w:rPr>
          <w:rFonts w:asciiTheme="majorBidi" w:hAnsiTheme="majorBidi" w:cstheme="majorBidi"/>
          <w:b/>
          <w:bCs/>
          <w:sz w:val="22"/>
          <w:szCs w:val="22"/>
          <w:u w:val="single"/>
        </w:rPr>
        <w:t>Figure </w:t>
      </w:r>
      <w:r w:rsidR="00F562CA" w:rsidRPr="00F562CA">
        <w:rPr>
          <w:rFonts w:asciiTheme="majorBidi" w:hAnsiTheme="majorBidi" w:cstheme="majorBidi"/>
          <w:b/>
          <w:bCs/>
          <w:sz w:val="22"/>
          <w:szCs w:val="22"/>
          <w:u w:val="single"/>
        </w:rPr>
        <w:t>06 :</w:t>
      </w:r>
      <w:r w:rsidRPr="00E2052F">
        <w:rPr>
          <w:rFonts w:asciiTheme="majorBidi" w:hAnsiTheme="majorBidi" w:cstheme="majorBidi"/>
          <w:sz w:val="22"/>
          <w:szCs w:val="22"/>
        </w:rPr>
        <w:t xml:space="preserve"> </w:t>
      </w:r>
      <w:r w:rsidR="00F562CA">
        <w:rPr>
          <w:rFonts w:asciiTheme="majorBidi" w:hAnsiTheme="majorBidi" w:cstheme="majorBidi"/>
          <w:b/>
          <w:bCs/>
          <w:sz w:val="22"/>
          <w:szCs w:val="22"/>
        </w:rPr>
        <w:t>L</w:t>
      </w:r>
      <w:r w:rsidR="00F562CA" w:rsidRPr="00E2052F">
        <w:rPr>
          <w:rFonts w:asciiTheme="majorBidi" w:hAnsiTheme="majorBidi" w:cstheme="majorBidi"/>
          <w:b/>
          <w:bCs/>
          <w:sz w:val="22"/>
          <w:szCs w:val="22"/>
        </w:rPr>
        <w:t>a</w:t>
      </w:r>
      <w:r w:rsidRPr="00E2052F">
        <w:rPr>
          <w:rFonts w:asciiTheme="majorBidi" w:hAnsiTheme="majorBidi" w:cstheme="majorBidi"/>
          <w:b/>
          <w:bCs/>
          <w:sz w:val="22"/>
          <w:szCs w:val="22"/>
        </w:rPr>
        <w:t xml:space="preserve"> durabilité.</w:t>
      </w:r>
    </w:p>
    <w:p w14:paraId="7FC4C974" w14:textId="77777777" w:rsidR="007C5DB8" w:rsidRPr="00E2052F" w:rsidRDefault="007C5DB8" w:rsidP="003D28B1">
      <w:pPr>
        <w:pStyle w:val="NormalWeb"/>
        <w:tabs>
          <w:tab w:val="left" w:pos="8043"/>
        </w:tabs>
        <w:spacing w:before="0" w:beforeAutospacing="0" w:line="360" w:lineRule="auto"/>
        <w:jc w:val="center"/>
        <w:rPr>
          <w:rFonts w:asciiTheme="majorBidi" w:hAnsiTheme="majorBidi" w:cstheme="majorBidi"/>
          <w:b/>
          <w:bCs/>
          <w:sz w:val="22"/>
          <w:szCs w:val="22"/>
        </w:rPr>
      </w:pPr>
      <w:r w:rsidRPr="00E2052F">
        <w:rPr>
          <w:rFonts w:asciiTheme="majorBidi" w:hAnsiTheme="majorBidi" w:cstheme="majorBidi"/>
          <w:b/>
          <w:bCs/>
          <w:noProof/>
          <w:sz w:val="22"/>
          <w:szCs w:val="22"/>
        </w:rPr>
        <w:drawing>
          <wp:inline distT="0" distB="0" distL="0" distR="0" wp14:anchorId="7C83BB86" wp14:editId="64BE06BA">
            <wp:extent cx="3156612" cy="1771650"/>
            <wp:effectExtent l="0" t="0" r="0" b="0"/>
            <wp:docPr id="453" name="Image 3" descr="Comm_IllustrationPilierDD_19052017-Fond_transparent-re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_IllustrationPilierDD_19052017-Fond_transparent-resize.png"/>
                    <pic:cNvPicPr/>
                  </pic:nvPicPr>
                  <pic:blipFill>
                    <a:blip r:embed="rId33"/>
                    <a:stretch>
                      <a:fillRect/>
                    </a:stretch>
                  </pic:blipFill>
                  <pic:spPr>
                    <a:xfrm>
                      <a:off x="0" y="0"/>
                      <a:ext cx="3157850" cy="1772345"/>
                    </a:xfrm>
                    <a:prstGeom prst="rect">
                      <a:avLst/>
                    </a:prstGeom>
                  </pic:spPr>
                </pic:pic>
              </a:graphicData>
            </a:graphic>
          </wp:inline>
        </w:drawing>
      </w:r>
    </w:p>
    <w:p w14:paraId="3B71610D" w14:textId="77777777" w:rsidR="007C5DB8" w:rsidRPr="00605782" w:rsidRDefault="007C5DB8" w:rsidP="003D28B1">
      <w:pPr>
        <w:pStyle w:val="NormalWeb"/>
        <w:tabs>
          <w:tab w:val="left" w:pos="8043"/>
        </w:tabs>
        <w:spacing w:before="0" w:beforeAutospacing="0" w:line="360" w:lineRule="auto"/>
        <w:jc w:val="center"/>
        <w:rPr>
          <w:rFonts w:asciiTheme="majorBidi" w:hAnsiTheme="majorBidi" w:cstheme="majorBidi"/>
          <w:b/>
          <w:bCs/>
          <w:sz w:val="20"/>
          <w:szCs w:val="20"/>
        </w:rPr>
      </w:pPr>
      <w:r w:rsidRPr="00605782">
        <w:rPr>
          <w:rFonts w:asciiTheme="majorBidi" w:hAnsiTheme="majorBidi" w:cstheme="majorBidi"/>
          <w:b/>
          <w:bCs/>
          <w:sz w:val="20"/>
          <w:szCs w:val="20"/>
        </w:rPr>
        <w:t>Source :</w:t>
      </w:r>
      <w:r w:rsidRPr="00605782">
        <w:rPr>
          <w:rFonts w:asciiTheme="majorBidi" w:hAnsiTheme="majorBidi" w:cstheme="majorBidi"/>
          <w:sz w:val="20"/>
          <w:szCs w:val="20"/>
        </w:rPr>
        <w:t xml:space="preserve"> </w:t>
      </w:r>
      <w:hyperlink r:id="rId34" w:tgtFrame="_new" w:history="1">
        <w:r w:rsidRPr="00605782">
          <w:rPr>
            <w:rStyle w:val="Lienhypertexte"/>
            <w:rFonts w:asciiTheme="majorBidi" w:hAnsiTheme="majorBidi" w:cstheme="majorBidi"/>
            <w:sz w:val="20"/>
            <w:szCs w:val="20"/>
          </w:rPr>
          <w:t>https://fr.scribd.com/document/556491212/cours-DD-RSE-ispp2</w:t>
        </w:r>
      </w:hyperlink>
      <w:r w:rsidRPr="00605782">
        <w:rPr>
          <w:rFonts w:asciiTheme="majorBidi" w:hAnsiTheme="majorBidi" w:cstheme="majorBidi"/>
          <w:sz w:val="20"/>
          <w:szCs w:val="20"/>
        </w:rPr>
        <w:t>, consulté le 25 avril 2026.</w:t>
      </w:r>
    </w:p>
    <w:p w14:paraId="07A4F795"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Dans cette perspective, la RSE ne constitue pas un concept distinct du développement durable, mais plutôt son prolongement appliqué au monde des entreprises, en traduisant ses principes généraux en actions concrètes et mesurables au sein des organisations.</w:t>
      </w:r>
    </w:p>
    <w:p w14:paraId="5EBACA05"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 ailleurs, cette relation peut être analysée à travers la notion de responsabilité élargie de l’entreprise. Celle-ci s’étend à une contribution active aux objectifs de développement durable, tant au niveau local que global. L’entreprise devient ainsi un acteur engagé dans la régulation des impacts sociaux et environnementaux de ses activités.Cette complémentarité traduit une logique d’interdépendance dynamique entre les deux concepts, où chacun renforce la portée de l’autre.</w:t>
      </w:r>
    </w:p>
    <w:p w14:paraId="3EE5192D" w14:textId="77777777" w:rsidR="007C5DB8" w:rsidRPr="00E2052F" w:rsidRDefault="007C5DB8" w:rsidP="00F36332">
      <w:pPr>
        <w:pStyle w:val="NormalWeb"/>
        <w:numPr>
          <w:ilvl w:val="0"/>
          <w:numId w:val="187"/>
        </w:numPr>
        <w:tabs>
          <w:tab w:val="left" w:pos="8043"/>
        </w:tabs>
        <w:spacing w:before="0" w:beforeAutospacing="0" w:line="360" w:lineRule="auto"/>
        <w:rPr>
          <w:rFonts w:asciiTheme="majorBidi" w:hAnsiTheme="majorBidi" w:cstheme="majorBidi"/>
          <w:b/>
          <w:bCs/>
          <w:sz w:val="22"/>
          <w:szCs w:val="22"/>
        </w:rPr>
      </w:pPr>
      <w:bookmarkStart w:id="1073" w:name="_Toc231746924"/>
      <w:bookmarkStart w:id="1074" w:name="_Toc231752330"/>
      <w:bookmarkStart w:id="1075" w:name="_Toc231810633"/>
      <w:bookmarkStart w:id="1076" w:name="_Toc231811976"/>
      <w:bookmarkStart w:id="1077" w:name="_Toc231812254"/>
      <w:bookmarkStart w:id="1078" w:name="_Toc231815138"/>
      <w:r w:rsidRPr="00E2052F">
        <w:rPr>
          <w:rStyle w:val="Titre3Car"/>
          <w:rFonts w:asciiTheme="majorBidi" w:hAnsiTheme="majorBidi"/>
          <w:color w:val="auto"/>
          <w:sz w:val="22"/>
          <w:szCs w:val="22"/>
        </w:rPr>
        <w:lastRenderedPageBreak/>
        <w:t>Bénéfices et limites de l’intégration du développement durable dans la stratégie de la RSE</w:t>
      </w:r>
      <w:bookmarkEnd w:id="1073"/>
      <w:bookmarkEnd w:id="1074"/>
      <w:bookmarkEnd w:id="1075"/>
      <w:bookmarkEnd w:id="1076"/>
      <w:bookmarkEnd w:id="1077"/>
      <w:bookmarkEnd w:id="1078"/>
      <w:r w:rsidRPr="00E2052F">
        <w:rPr>
          <w:rStyle w:val="Appelnotedebasdep"/>
          <w:rFonts w:asciiTheme="majorBidi" w:eastAsiaTheme="majorEastAsia" w:hAnsiTheme="majorBidi" w:cstheme="majorBidi"/>
          <w:b/>
          <w:bCs/>
          <w:sz w:val="22"/>
          <w:szCs w:val="22"/>
        </w:rPr>
        <w:footnoteReference w:id="245"/>
      </w:r>
      <w:r w:rsidRPr="00E2052F">
        <w:rPr>
          <w:rFonts w:asciiTheme="majorBidi" w:hAnsiTheme="majorBidi" w:cstheme="majorBidi"/>
          <w:b/>
          <w:bCs/>
          <w:sz w:val="22"/>
          <w:szCs w:val="22"/>
        </w:rPr>
        <w:t> :</w:t>
      </w:r>
    </w:p>
    <w:p w14:paraId="7603BABF" w14:textId="77777777" w:rsidR="007C5DB8" w:rsidRPr="00E2052F" w:rsidRDefault="007C5DB8" w:rsidP="00F36332">
      <w:pPr>
        <w:pStyle w:val="NormalWeb"/>
        <w:numPr>
          <w:ilvl w:val="0"/>
          <w:numId w:val="189"/>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b/>
          <w:bCs/>
          <w:sz w:val="22"/>
          <w:szCs w:val="22"/>
        </w:rPr>
        <w:t>Les bénéfices :</w:t>
      </w:r>
      <w:r w:rsidR="00105D52" w:rsidRPr="00E2052F">
        <w:rPr>
          <w:rFonts w:asciiTheme="majorBidi" w:hAnsiTheme="majorBidi" w:cstheme="majorBidi"/>
          <w:b/>
          <w:bCs/>
          <w:sz w:val="22"/>
          <w:szCs w:val="22"/>
        </w:rPr>
        <w:t xml:space="preserve"> </w:t>
      </w:r>
      <w:r w:rsidRPr="00E2052F">
        <w:rPr>
          <w:rFonts w:asciiTheme="majorBidi" w:hAnsiTheme="majorBidi" w:cstheme="majorBidi"/>
          <w:sz w:val="22"/>
          <w:szCs w:val="22"/>
        </w:rPr>
        <w:t>L’intégration du développement durable dans la RSE apporte plusieurs avantages :</w:t>
      </w:r>
    </w:p>
    <w:p w14:paraId="082024B5" w14:textId="77777777" w:rsidR="007C5DB8" w:rsidRPr="00E2052F" w:rsidRDefault="007C5DB8" w:rsidP="00F36332">
      <w:pPr>
        <w:pStyle w:val="Paragraphedeliste"/>
        <w:numPr>
          <w:ilvl w:val="0"/>
          <w:numId w:val="121"/>
        </w:numPr>
        <w:spacing w:before="0" w:beforeAutospacing="0"/>
        <w:ind w:left="851" w:hanging="284"/>
        <w:jc w:val="left"/>
        <w:rPr>
          <w:rFonts w:eastAsia="Times New Roman" w:cstheme="majorBidi"/>
          <w:sz w:val="22"/>
          <w:lang w:eastAsia="fr-FR"/>
        </w:rPr>
      </w:pPr>
      <w:r w:rsidRPr="00E2052F">
        <w:rPr>
          <w:rFonts w:cstheme="majorBidi"/>
          <w:sz w:val="22"/>
        </w:rPr>
        <w:t>A</w:t>
      </w:r>
      <w:r w:rsidRPr="00E2052F">
        <w:rPr>
          <w:rFonts w:eastAsia="Times New Roman" w:cstheme="majorBidi"/>
          <w:sz w:val="22"/>
          <w:lang w:eastAsia="fr-FR"/>
        </w:rPr>
        <w:t>mélioration de l’image et de la réputation de l’entreprise,</w:t>
      </w:r>
    </w:p>
    <w:p w14:paraId="542CD5D8" w14:textId="77777777" w:rsidR="007C5DB8" w:rsidRPr="00E2052F" w:rsidRDefault="007C5DB8" w:rsidP="00F36332">
      <w:pPr>
        <w:pStyle w:val="Paragraphedeliste"/>
        <w:numPr>
          <w:ilvl w:val="0"/>
          <w:numId w:val="121"/>
        </w:numPr>
        <w:spacing w:before="0" w:beforeAutospacing="0"/>
        <w:ind w:left="851" w:hanging="284"/>
        <w:jc w:val="left"/>
        <w:rPr>
          <w:rFonts w:eastAsia="Times New Roman" w:cstheme="majorBidi"/>
          <w:sz w:val="22"/>
          <w:lang w:eastAsia="fr-FR"/>
        </w:rPr>
      </w:pPr>
      <w:r w:rsidRPr="00E2052F">
        <w:rPr>
          <w:rFonts w:eastAsia="Times New Roman" w:cstheme="majorBidi"/>
          <w:sz w:val="22"/>
          <w:lang w:eastAsia="fr-FR"/>
        </w:rPr>
        <w:t xml:space="preserve">Réduction des risques environnementaux et sociaux, </w:t>
      </w:r>
    </w:p>
    <w:p w14:paraId="5714B21C" w14:textId="77777777" w:rsidR="007C5DB8" w:rsidRPr="00E2052F" w:rsidRDefault="007C5DB8" w:rsidP="00F36332">
      <w:pPr>
        <w:pStyle w:val="Paragraphedeliste"/>
        <w:numPr>
          <w:ilvl w:val="0"/>
          <w:numId w:val="121"/>
        </w:numPr>
        <w:spacing w:before="0" w:beforeAutospacing="0"/>
        <w:ind w:left="851" w:hanging="284"/>
        <w:jc w:val="left"/>
        <w:rPr>
          <w:rFonts w:eastAsia="Times New Roman" w:cstheme="majorBidi"/>
          <w:sz w:val="22"/>
          <w:lang w:eastAsia="fr-FR"/>
        </w:rPr>
      </w:pPr>
      <w:r w:rsidRPr="00E2052F">
        <w:rPr>
          <w:rFonts w:eastAsia="Times New Roman" w:cstheme="majorBidi"/>
          <w:sz w:val="22"/>
          <w:lang w:eastAsia="fr-FR"/>
        </w:rPr>
        <w:t xml:space="preserve">Meilleure efficacité opérationnelle (réduction des coûts énergétiques et des déchets), </w:t>
      </w:r>
    </w:p>
    <w:p w14:paraId="5001B290" w14:textId="77777777" w:rsidR="007C5DB8" w:rsidRPr="00E2052F" w:rsidRDefault="007C5DB8" w:rsidP="00F36332">
      <w:pPr>
        <w:pStyle w:val="Paragraphedeliste"/>
        <w:numPr>
          <w:ilvl w:val="0"/>
          <w:numId w:val="121"/>
        </w:numPr>
        <w:spacing w:before="0" w:beforeAutospacing="0"/>
        <w:ind w:left="851" w:hanging="284"/>
        <w:jc w:val="left"/>
        <w:rPr>
          <w:rFonts w:eastAsia="Times New Roman" w:cstheme="majorBidi"/>
          <w:sz w:val="22"/>
          <w:lang w:eastAsia="fr-FR"/>
        </w:rPr>
      </w:pPr>
      <w:r w:rsidRPr="00E2052F">
        <w:rPr>
          <w:rFonts w:eastAsia="Times New Roman" w:cstheme="majorBidi"/>
          <w:sz w:val="22"/>
          <w:lang w:eastAsia="fr-FR"/>
        </w:rPr>
        <w:t xml:space="preserve">Renforcement de la confiance des parties prenantes, </w:t>
      </w:r>
    </w:p>
    <w:p w14:paraId="6C2C28B5" w14:textId="77777777" w:rsidR="007C5DB8" w:rsidRPr="00E2052F" w:rsidRDefault="007C5DB8" w:rsidP="00F36332">
      <w:pPr>
        <w:pStyle w:val="Paragraphedeliste"/>
        <w:numPr>
          <w:ilvl w:val="0"/>
          <w:numId w:val="121"/>
        </w:numPr>
        <w:spacing w:before="0" w:beforeAutospacing="0"/>
        <w:ind w:left="851" w:hanging="284"/>
        <w:jc w:val="left"/>
        <w:rPr>
          <w:rFonts w:eastAsia="Times New Roman" w:cstheme="majorBidi"/>
          <w:sz w:val="22"/>
          <w:lang w:eastAsia="fr-FR"/>
        </w:rPr>
      </w:pPr>
      <w:r w:rsidRPr="00E2052F">
        <w:rPr>
          <w:rFonts w:cstheme="majorBidi"/>
          <w:sz w:val="22"/>
        </w:rPr>
        <w:t>Avantage concurrentiel à long terme.</w:t>
      </w:r>
    </w:p>
    <w:p w14:paraId="7522A542" w14:textId="77777777" w:rsidR="007C5DB8" w:rsidRPr="00E2052F" w:rsidRDefault="007C5DB8" w:rsidP="00F36332">
      <w:pPr>
        <w:pStyle w:val="Paragraphedeliste"/>
        <w:numPr>
          <w:ilvl w:val="0"/>
          <w:numId w:val="120"/>
        </w:numPr>
        <w:spacing w:before="0" w:beforeAutospacing="0"/>
        <w:ind w:left="0" w:firstLine="284"/>
        <w:jc w:val="left"/>
        <w:rPr>
          <w:rFonts w:eastAsia="Times New Roman" w:cstheme="majorBidi"/>
          <w:b/>
          <w:bCs/>
          <w:sz w:val="22"/>
          <w:lang w:eastAsia="fr-FR"/>
        </w:rPr>
      </w:pPr>
      <w:r w:rsidRPr="00E2052F">
        <w:rPr>
          <w:rFonts w:eastAsia="Times New Roman" w:cstheme="majorBidi"/>
          <w:b/>
          <w:bCs/>
          <w:sz w:val="22"/>
          <w:lang w:eastAsia="fr-FR"/>
        </w:rPr>
        <w:t>Les limites :</w:t>
      </w:r>
      <w:r w:rsidR="007D56A9" w:rsidRPr="00E2052F">
        <w:rPr>
          <w:rFonts w:eastAsia="Times New Roman" w:cstheme="majorBidi"/>
          <w:b/>
          <w:bCs/>
          <w:sz w:val="22"/>
          <w:lang w:eastAsia="fr-FR"/>
        </w:rPr>
        <w:t xml:space="preserve"> </w:t>
      </w:r>
      <w:r w:rsidRPr="00E2052F">
        <w:rPr>
          <w:rFonts w:eastAsia="Times New Roman" w:cstheme="majorBidi"/>
          <w:sz w:val="22"/>
          <w:lang w:eastAsia="fr-FR"/>
        </w:rPr>
        <w:t>Malgré ses avantages, cette intégration fait face à certains défis :</w:t>
      </w:r>
    </w:p>
    <w:p w14:paraId="4D2AB868" w14:textId="77777777" w:rsidR="007C5DB8" w:rsidRPr="00E2052F" w:rsidRDefault="007C5DB8" w:rsidP="00F36332">
      <w:pPr>
        <w:pStyle w:val="Paragraphedeliste"/>
        <w:numPr>
          <w:ilvl w:val="0"/>
          <w:numId w:val="122"/>
        </w:numPr>
        <w:spacing w:before="0" w:beforeAutospacing="0"/>
        <w:ind w:left="907" w:hanging="340"/>
        <w:jc w:val="left"/>
        <w:rPr>
          <w:rFonts w:eastAsia="Times New Roman" w:cstheme="majorBidi"/>
          <w:sz w:val="22"/>
          <w:lang w:eastAsia="fr-FR"/>
        </w:rPr>
      </w:pPr>
      <w:r w:rsidRPr="00E2052F">
        <w:rPr>
          <w:rFonts w:eastAsia="Times New Roman" w:cstheme="majorBidi"/>
          <w:sz w:val="22"/>
          <w:lang w:eastAsia="fr-FR"/>
        </w:rPr>
        <w:t>Difficulté de mesurer précisément les impacts extra-financiers,</w:t>
      </w:r>
    </w:p>
    <w:p w14:paraId="7AF1491E" w14:textId="77777777" w:rsidR="007C5DB8" w:rsidRPr="00E2052F" w:rsidRDefault="007C5DB8" w:rsidP="00F36332">
      <w:pPr>
        <w:pStyle w:val="Paragraphedeliste"/>
        <w:numPr>
          <w:ilvl w:val="0"/>
          <w:numId w:val="122"/>
        </w:numPr>
        <w:spacing w:before="0" w:beforeAutospacing="0"/>
        <w:ind w:left="907" w:hanging="340"/>
        <w:jc w:val="left"/>
        <w:rPr>
          <w:rFonts w:eastAsia="Times New Roman" w:cstheme="majorBidi"/>
          <w:sz w:val="22"/>
          <w:lang w:eastAsia="fr-FR"/>
        </w:rPr>
      </w:pPr>
      <w:r w:rsidRPr="00E2052F">
        <w:rPr>
          <w:rFonts w:eastAsia="Times New Roman" w:cstheme="majorBidi"/>
          <w:sz w:val="22"/>
          <w:lang w:eastAsia="fr-FR"/>
        </w:rPr>
        <w:t>Risque de greenwashing (communication sans actions réelles),</w:t>
      </w:r>
    </w:p>
    <w:p w14:paraId="158EEDDA" w14:textId="77777777" w:rsidR="007C5DB8" w:rsidRPr="00E2052F" w:rsidRDefault="007C5DB8" w:rsidP="00F36332">
      <w:pPr>
        <w:pStyle w:val="Paragraphedeliste"/>
        <w:numPr>
          <w:ilvl w:val="0"/>
          <w:numId w:val="122"/>
        </w:numPr>
        <w:spacing w:before="0" w:beforeAutospacing="0"/>
        <w:ind w:left="907" w:hanging="340"/>
        <w:jc w:val="left"/>
        <w:rPr>
          <w:rFonts w:eastAsia="Times New Roman" w:cstheme="majorBidi"/>
          <w:sz w:val="22"/>
          <w:lang w:eastAsia="fr-FR"/>
        </w:rPr>
      </w:pPr>
      <w:r w:rsidRPr="00E2052F">
        <w:rPr>
          <w:rFonts w:eastAsia="Times New Roman" w:cstheme="majorBidi"/>
          <w:sz w:val="22"/>
          <w:lang w:eastAsia="fr-FR"/>
        </w:rPr>
        <w:t>Coûts initiaux élevés des politiques durables,</w:t>
      </w:r>
    </w:p>
    <w:p w14:paraId="274771AE" w14:textId="77777777" w:rsidR="007C5DB8" w:rsidRPr="00E2052F" w:rsidRDefault="007C5DB8" w:rsidP="00F36332">
      <w:pPr>
        <w:pStyle w:val="Paragraphedeliste"/>
        <w:numPr>
          <w:ilvl w:val="0"/>
          <w:numId w:val="122"/>
        </w:numPr>
        <w:spacing w:before="0" w:beforeAutospacing="0"/>
        <w:ind w:left="907" w:hanging="340"/>
        <w:jc w:val="left"/>
        <w:rPr>
          <w:rFonts w:eastAsia="Times New Roman" w:cstheme="majorBidi"/>
          <w:sz w:val="22"/>
          <w:lang w:eastAsia="fr-FR"/>
        </w:rPr>
      </w:pPr>
      <w:r w:rsidRPr="00E2052F">
        <w:rPr>
          <w:rFonts w:eastAsia="Times New Roman" w:cstheme="majorBidi"/>
          <w:sz w:val="22"/>
          <w:lang w:eastAsia="fr-FR"/>
        </w:rPr>
        <w:t>Nécessité d’un changement profond de culture organisationnelle.</w:t>
      </w:r>
    </w:p>
    <w:p w14:paraId="7AE0DD80"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L’intégration du développement durable dans la stratégie de la RSE représente une évolution majeure du management contemporain. Elle transforme l’entreprise en acteur responsable, capable de concilier performance économique et contribution au bien-être social et environnemental. Cette approche devient aujourd’hui indispensable face aux exigences croissantes des consommateurs, des investisseurs et des régulateurs.</w:t>
      </w:r>
    </w:p>
    <w:p w14:paraId="1F9E67AC" w14:textId="77777777" w:rsidR="007C5DB8" w:rsidRPr="00E2052F" w:rsidRDefault="007C5DB8" w:rsidP="00222658">
      <w:pPr>
        <w:pStyle w:val="Titre1"/>
        <w:rPr>
          <w:rFonts w:eastAsia="Times New Roman"/>
          <w:lang w:eastAsia="fr-FR"/>
        </w:rPr>
      </w:pPr>
      <w:bookmarkStart w:id="1079" w:name="_Toc231742171"/>
      <w:bookmarkStart w:id="1080" w:name="_Toc231746925"/>
      <w:bookmarkStart w:id="1081" w:name="_Toc231752331"/>
      <w:bookmarkStart w:id="1082" w:name="_Toc231810634"/>
      <w:bookmarkStart w:id="1083" w:name="_Toc231811429"/>
      <w:bookmarkStart w:id="1084" w:name="_Toc231811977"/>
      <w:bookmarkStart w:id="1085" w:name="_Toc231812255"/>
      <w:bookmarkStart w:id="1086" w:name="_Toc231815139"/>
      <w:r w:rsidRPr="00E2052F">
        <w:t xml:space="preserve">Section 03 : </w:t>
      </w:r>
      <w:r w:rsidR="00222658">
        <w:t xml:space="preserve">Aspects additionnels </w:t>
      </w:r>
      <w:r w:rsidRPr="00E2052F">
        <w:t>de la responsabilité sociale des entreprises :</w:t>
      </w:r>
      <w:bookmarkEnd w:id="1079"/>
      <w:bookmarkEnd w:id="1080"/>
      <w:bookmarkEnd w:id="1081"/>
      <w:bookmarkEnd w:id="1082"/>
      <w:bookmarkEnd w:id="1083"/>
      <w:bookmarkEnd w:id="1084"/>
      <w:bookmarkEnd w:id="1085"/>
      <w:bookmarkEnd w:id="1086"/>
    </w:p>
    <w:p w14:paraId="1AFBE1D1" w14:textId="77777777" w:rsidR="007C5DB8" w:rsidRPr="00E2052F" w:rsidRDefault="007C5DB8" w:rsidP="00F36332">
      <w:pPr>
        <w:pStyle w:val="Titre2"/>
        <w:numPr>
          <w:ilvl w:val="0"/>
          <w:numId w:val="224"/>
        </w:numPr>
      </w:pPr>
      <w:bookmarkStart w:id="1087" w:name="_Toc231746926"/>
      <w:bookmarkStart w:id="1088" w:name="_Toc231752332"/>
      <w:bookmarkStart w:id="1089" w:name="_Toc231810635"/>
      <w:bookmarkStart w:id="1090" w:name="_Toc231811978"/>
      <w:bookmarkStart w:id="1091" w:name="_Toc231812256"/>
      <w:bookmarkStart w:id="1092" w:name="_Toc231815140"/>
      <w:r w:rsidRPr="00C8480E">
        <w:rPr>
          <w:rStyle w:val="Titre2Car"/>
          <w:b/>
          <w:bCs/>
        </w:rPr>
        <w:t>Les motivations de l’intégration de la RSE dans la gestion des entreprises</w:t>
      </w:r>
      <w:r w:rsidRPr="00E2052F">
        <w:t> :</w:t>
      </w:r>
      <w:bookmarkEnd w:id="1087"/>
      <w:bookmarkEnd w:id="1088"/>
      <w:bookmarkEnd w:id="1089"/>
      <w:bookmarkEnd w:id="1090"/>
      <w:bookmarkEnd w:id="1091"/>
      <w:bookmarkEnd w:id="1092"/>
    </w:p>
    <w:p w14:paraId="4C12C878"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responsabilité sociale des entreprises n’est plus seulement une obligation morale ou légale, mais devient un outil stratégique intégré qui contribue à l’amélioration de la performance de l’entreprise et au renforcement de sa compétitivité. Le degré d’adoption des pratiques de RSE varie selon la nature de l’environnement interne et externe de l’entreprise, mais les motivations de son intégration convergent autour de plusieurs axes principaux : stratégique, juridique, économique, organisationnel et communicationnel.</w:t>
      </w:r>
    </w:p>
    <w:p w14:paraId="07A1909E" w14:textId="77777777" w:rsidR="007C5DB8" w:rsidRPr="00E2052F" w:rsidRDefault="007C5DB8" w:rsidP="00F36332">
      <w:pPr>
        <w:pStyle w:val="Titre3"/>
        <w:numPr>
          <w:ilvl w:val="0"/>
          <w:numId w:val="190"/>
        </w:numPr>
        <w:spacing w:before="100"/>
        <w:ind w:left="568" w:hanging="284"/>
        <w:rPr>
          <w:rFonts w:asciiTheme="majorBidi" w:hAnsiTheme="majorBidi"/>
          <w:b w:val="0"/>
          <w:bCs w:val="0"/>
          <w:color w:val="auto"/>
          <w:sz w:val="22"/>
        </w:rPr>
      </w:pPr>
      <w:bookmarkStart w:id="1093" w:name="_Toc231746927"/>
      <w:bookmarkStart w:id="1094" w:name="_Toc231752333"/>
      <w:bookmarkStart w:id="1095" w:name="_Toc231810636"/>
      <w:bookmarkStart w:id="1096" w:name="_Toc231811979"/>
      <w:bookmarkStart w:id="1097" w:name="_Toc231812257"/>
      <w:bookmarkStart w:id="1098" w:name="_Toc231815141"/>
      <w:r w:rsidRPr="00E2052F">
        <w:rPr>
          <w:rStyle w:val="Titre3Car"/>
          <w:rFonts w:asciiTheme="majorBidi" w:hAnsiTheme="majorBidi"/>
          <w:b/>
          <w:bCs/>
          <w:color w:val="auto"/>
          <w:sz w:val="22"/>
        </w:rPr>
        <w:lastRenderedPageBreak/>
        <w:t>Les motivations stratégiques : construire un avantage concurrentiel durable </w:t>
      </w:r>
      <w:r w:rsidRPr="00E2052F">
        <w:rPr>
          <w:rStyle w:val="Appelnotedebasdep"/>
          <w:rFonts w:asciiTheme="majorBidi" w:hAnsiTheme="majorBidi"/>
          <w:b w:val="0"/>
          <w:bCs w:val="0"/>
          <w:color w:val="auto"/>
          <w:sz w:val="22"/>
        </w:rPr>
        <w:footnoteReference w:id="246"/>
      </w:r>
      <w:r w:rsidRPr="00E2052F">
        <w:rPr>
          <w:rStyle w:val="Titre3Car"/>
          <w:rFonts w:asciiTheme="majorBidi" w:hAnsiTheme="majorBidi"/>
          <w:b/>
          <w:bCs/>
          <w:color w:val="auto"/>
          <w:sz w:val="22"/>
        </w:rPr>
        <w:t>:</w:t>
      </w:r>
      <w:bookmarkEnd w:id="1093"/>
      <w:bookmarkEnd w:id="1094"/>
      <w:bookmarkEnd w:id="1095"/>
      <w:bookmarkEnd w:id="1096"/>
      <w:bookmarkEnd w:id="1097"/>
      <w:bookmarkEnd w:id="1098"/>
    </w:p>
    <w:p w14:paraId="5C35BBE3"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Les motivations stratégiques figurent parmi les principales raisons qui poussent les entreprises à adopter la RSE, notamment dans un contexte de mondialisation et d’intensification de la concurrence.</w:t>
      </w:r>
    </w:p>
    <w:p w14:paraId="1475E00A" w14:textId="77777777" w:rsidR="007D56A9" w:rsidRPr="00E2052F" w:rsidRDefault="007C5DB8" w:rsidP="00F36332">
      <w:pPr>
        <w:pStyle w:val="NormalWeb"/>
        <w:numPr>
          <w:ilvl w:val="0"/>
          <w:numId w:val="120"/>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Atteindre l’excellence et la différenciation sur le marché :</w:t>
      </w:r>
    </w:p>
    <w:p w14:paraId="09209AAE" w14:textId="77777777" w:rsidR="007C5DB8" w:rsidRPr="00E2052F" w:rsidRDefault="007C5DB8" w:rsidP="007D56A9">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Les entreprises adopte  la RSE afin de se distinguer de leurs concurrents grâce à des pratiques socialement et environnementalement responsables, d’améliorer leur image de marque auprès des consommateurs et de renforcer leur position sur les marchés local et international.</w:t>
      </w:r>
    </w:p>
    <w:p w14:paraId="42DABDC8" w14:textId="77777777" w:rsidR="007D56A9" w:rsidRPr="00E2052F" w:rsidRDefault="007C5DB8" w:rsidP="00F36332">
      <w:pPr>
        <w:pStyle w:val="NormalWeb"/>
        <w:numPr>
          <w:ilvl w:val="0"/>
          <w:numId w:val="120"/>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Renforcer la compétitivité :</w:t>
      </w:r>
      <w:r w:rsidRPr="00E2052F">
        <w:rPr>
          <w:rFonts w:asciiTheme="majorBidi" w:hAnsiTheme="majorBidi" w:cstheme="majorBidi"/>
          <w:sz w:val="22"/>
          <w:szCs w:val="22"/>
        </w:rPr>
        <w:t xml:space="preserve"> </w:t>
      </w:r>
    </w:p>
    <w:p w14:paraId="5CAF80D0" w14:textId="77777777" w:rsidR="007C5DB8" w:rsidRPr="00E2052F" w:rsidRDefault="007C5DB8" w:rsidP="007D56A9">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la RSE contribue au renforcement de la compétitivité en améliorant la qualité des produits et des services, en répondant aux attentes croissantes des consommateurs en matière de responsabilité et en créant une valeur ajoutée non liée au prix.</w:t>
      </w:r>
    </w:p>
    <w:p w14:paraId="53ED9FA0" w14:textId="77777777" w:rsidR="007D56A9" w:rsidRPr="00E2052F" w:rsidRDefault="007C5DB8" w:rsidP="00F36332">
      <w:pPr>
        <w:pStyle w:val="NormalWeb"/>
        <w:numPr>
          <w:ilvl w:val="0"/>
          <w:numId w:val="120"/>
        </w:numPr>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b/>
          <w:bCs/>
          <w:sz w:val="22"/>
          <w:szCs w:val="22"/>
        </w:rPr>
        <w:t>Soutenir la durabilité à long terme :</w:t>
      </w:r>
      <w:r w:rsidRPr="00E2052F">
        <w:rPr>
          <w:rFonts w:asciiTheme="majorBidi" w:hAnsiTheme="majorBidi" w:cstheme="majorBidi"/>
          <w:sz w:val="22"/>
          <w:szCs w:val="22"/>
        </w:rPr>
        <w:t xml:space="preserve"> </w:t>
      </w:r>
    </w:p>
    <w:p w14:paraId="5E11A4D3" w14:textId="77777777" w:rsidR="007C5DB8" w:rsidRPr="00E2052F" w:rsidRDefault="007D56A9" w:rsidP="007D56A9">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Les</w:t>
      </w:r>
      <w:r w:rsidR="007C5DB8" w:rsidRPr="00E2052F">
        <w:rPr>
          <w:rFonts w:asciiTheme="majorBidi" w:hAnsiTheme="majorBidi" w:cstheme="majorBidi"/>
          <w:sz w:val="22"/>
          <w:szCs w:val="22"/>
        </w:rPr>
        <w:t xml:space="preserve"> entreprises cherchent à assurer leur pérennité en réduisant les risques environnementaux et sociaux, en optimisant la gestion des ressources et en construisant un modèle économique durable et viable sur le long terme.</w:t>
      </w:r>
    </w:p>
    <w:p w14:paraId="65ED1B7A" w14:textId="77777777" w:rsidR="007C5DB8" w:rsidRPr="00E2052F" w:rsidRDefault="007C5DB8" w:rsidP="00F36332">
      <w:pPr>
        <w:pStyle w:val="NormalWeb"/>
        <w:numPr>
          <w:ilvl w:val="0"/>
          <w:numId w:val="190"/>
        </w:numPr>
        <w:tabs>
          <w:tab w:val="left" w:pos="8043"/>
        </w:tabs>
        <w:spacing w:before="0" w:beforeAutospacing="0" w:line="360" w:lineRule="auto"/>
        <w:rPr>
          <w:rFonts w:asciiTheme="majorBidi" w:hAnsiTheme="majorBidi" w:cstheme="majorBidi"/>
          <w:b/>
          <w:bCs/>
          <w:sz w:val="22"/>
          <w:szCs w:val="22"/>
        </w:rPr>
      </w:pPr>
      <w:bookmarkStart w:id="1099" w:name="_Toc231746928"/>
      <w:bookmarkStart w:id="1100" w:name="_Toc231752334"/>
      <w:bookmarkStart w:id="1101" w:name="_Toc231810637"/>
      <w:bookmarkStart w:id="1102" w:name="_Toc231811980"/>
      <w:bookmarkStart w:id="1103" w:name="_Toc231812258"/>
      <w:bookmarkStart w:id="1104" w:name="_Toc231815142"/>
      <w:r w:rsidRPr="00E2052F">
        <w:rPr>
          <w:rStyle w:val="Titre3Car"/>
          <w:rFonts w:asciiTheme="majorBidi" w:hAnsiTheme="majorBidi"/>
          <w:color w:val="auto"/>
          <w:sz w:val="22"/>
          <w:szCs w:val="22"/>
        </w:rPr>
        <w:t>Les motivations juridiques et organisationnelles : La conformité comme fondement essentiel :</w:t>
      </w:r>
      <w:bookmarkEnd w:id="1099"/>
      <w:bookmarkEnd w:id="1100"/>
      <w:bookmarkEnd w:id="1101"/>
      <w:bookmarkEnd w:id="1102"/>
      <w:bookmarkEnd w:id="1103"/>
      <w:bookmarkEnd w:id="1104"/>
    </w:p>
    <w:p w14:paraId="5443F594" w14:textId="77777777" w:rsidR="007C5DB8" w:rsidRPr="00E2052F" w:rsidRDefault="007C5DB8" w:rsidP="003D28B1">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Dans certaines entreprises, l’intégration de la RSE est directement liée au cadre légal et réglementaire.</w:t>
      </w:r>
    </w:p>
    <w:p w14:paraId="4E311BF0" w14:textId="77777777" w:rsidR="00684EA9" w:rsidRPr="00E2052F" w:rsidRDefault="007C5DB8" w:rsidP="00F36332">
      <w:pPr>
        <w:pStyle w:val="NormalWeb"/>
        <w:numPr>
          <w:ilvl w:val="0"/>
          <w:numId w:val="120"/>
        </w:numPr>
        <w:tabs>
          <w:tab w:val="left" w:pos="8043"/>
        </w:tabs>
        <w:spacing w:before="0" w:beforeAutospacing="0" w:line="360" w:lineRule="auto"/>
        <w:ind w:left="568" w:hanging="284"/>
        <w:rPr>
          <w:rFonts w:asciiTheme="majorBidi" w:hAnsiTheme="majorBidi" w:cstheme="majorBidi"/>
          <w:b/>
          <w:bCs/>
          <w:sz w:val="22"/>
          <w:szCs w:val="22"/>
        </w:rPr>
      </w:pPr>
      <w:r w:rsidRPr="00E2052F">
        <w:rPr>
          <w:rFonts w:asciiTheme="majorBidi" w:hAnsiTheme="majorBidi" w:cstheme="majorBidi"/>
          <w:b/>
          <w:bCs/>
          <w:sz w:val="22"/>
          <w:szCs w:val="22"/>
        </w:rPr>
        <w:t xml:space="preserve">Le respect des lois et des réglementations </w:t>
      </w:r>
      <w:r w:rsidR="007D56A9" w:rsidRPr="00E2052F">
        <w:rPr>
          <w:rFonts w:asciiTheme="majorBidi" w:hAnsiTheme="majorBidi" w:cstheme="majorBidi"/>
          <w:b/>
          <w:bCs/>
          <w:sz w:val="22"/>
          <w:szCs w:val="22"/>
        </w:rPr>
        <w:t>:</w:t>
      </w:r>
    </w:p>
    <w:p w14:paraId="4D09929D" w14:textId="77777777" w:rsidR="007C5DB8" w:rsidRPr="00E2052F" w:rsidRDefault="007D56A9" w:rsidP="00684EA9">
      <w:pPr>
        <w:pStyle w:val="NormalWeb"/>
        <w:tabs>
          <w:tab w:val="left" w:pos="8043"/>
        </w:tabs>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 xml:space="preserve"> Les</w:t>
      </w:r>
      <w:r w:rsidR="007C5DB8" w:rsidRPr="00E2052F">
        <w:rPr>
          <w:rFonts w:asciiTheme="majorBidi" w:hAnsiTheme="majorBidi" w:cstheme="majorBidi"/>
          <w:sz w:val="22"/>
          <w:szCs w:val="22"/>
        </w:rPr>
        <w:t xml:space="preserve"> principales obligations concernent le droit du travail (droits des employés, salaires et conditions de travail), les législations environnementales (réduction de la pollution et gestion des déchets) ainsi que les normes de santé et de sécurité au travail.</w:t>
      </w:r>
    </w:p>
    <w:p w14:paraId="034A755E" w14:textId="77777777" w:rsidR="007C5DB8" w:rsidRPr="00E2052F" w:rsidRDefault="007C5DB8" w:rsidP="00F36332">
      <w:pPr>
        <w:pStyle w:val="Paragraphedeliste"/>
        <w:numPr>
          <w:ilvl w:val="0"/>
          <w:numId w:val="125"/>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La réduction des risques juridiques </w:t>
      </w:r>
      <w:r w:rsidR="007D56A9" w:rsidRPr="00E2052F">
        <w:rPr>
          <w:rFonts w:eastAsia="Times New Roman" w:cstheme="majorBidi"/>
          <w:b/>
          <w:bCs/>
          <w:sz w:val="22"/>
          <w:lang w:eastAsia="fr-FR"/>
        </w:rPr>
        <w:t>:</w:t>
      </w:r>
      <w:r w:rsidR="007D56A9" w:rsidRPr="00E2052F">
        <w:rPr>
          <w:rFonts w:eastAsia="Times New Roman" w:cstheme="majorBidi"/>
          <w:sz w:val="22"/>
          <w:lang w:eastAsia="fr-FR"/>
        </w:rPr>
        <w:t xml:space="preserve"> L’engagement</w:t>
      </w:r>
      <w:r w:rsidRPr="00E2052F">
        <w:rPr>
          <w:rFonts w:eastAsia="Times New Roman" w:cstheme="majorBidi"/>
          <w:sz w:val="22"/>
          <w:lang w:eastAsia="fr-FR"/>
        </w:rPr>
        <w:t xml:space="preserve"> dans la RSE permet d’éviter les sanctions et les amendes, de limiter les litiges juridiques et de renforcer la conformité institutionnelle.</w:t>
      </w:r>
    </w:p>
    <w:p w14:paraId="5A8552F1" w14:textId="77777777" w:rsidR="007C5DB8" w:rsidRPr="00E2052F" w:rsidRDefault="007C5DB8" w:rsidP="00F36332">
      <w:pPr>
        <w:pStyle w:val="Titre3"/>
        <w:numPr>
          <w:ilvl w:val="0"/>
          <w:numId w:val="190"/>
        </w:numPr>
        <w:spacing w:before="0" w:beforeAutospacing="0" w:after="160"/>
        <w:jc w:val="left"/>
        <w:rPr>
          <w:rFonts w:asciiTheme="majorBidi" w:eastAsia="Times New Roman" w:hAnsiTheme="majorBidi"/>
          <w:color w:val="auto"/>
          <w:sz w:val="22"/>
          <w:lang w:eastAsia="fr-FR"/>
        </w:rPr>
      </w:pPr>
      <w:bookmarkStart w:id="1105" w:name="_Toc231746929"/>
      <w:bookmarkStart w:id="1106" w:name="_Toc231752335"/>
      <w:bookmarkStart w:id="1107" w:name="_Toc231810638"/>
      <w:bookmarkStart w:id="1108" w:name="_Toc231811981"/>
      <w:bookmarkStart w:id="1109" w:name="_Toc231812259"/>
      <w:bookmarkStart w:id="1110" w:name="_Toc231815143"/>
      <w:r w:rsidRPr="00E2052F">
        <w:rPr>
          <w:rFonts w:asciiTheme="majorBidi" w:eastAsia="Times New Roman" w:hAnsiTheme="majorBidi"/>
          <w:color w:val="auto"/>
          <w:sz w:val="22"/>
          <w:lang w:eastAsia="fr-FR"/>
        </w:rPr>
        <w:t>Les motivations économiques et financières : améliorer la performance et la rentabilité de l’entreprise :</w:t>
      </w:r>
      <w:bookmarkEnd w:id="1105"/>
      <w:bookmarkEnd w:id="1106"/>
      <w:bookmarkEnd w:id="1107"/>
      <w:bookmarkEnd w:id="1108"/>
      <w:bookmarkEnd w:id="1109"/>
      <w:bookmarkEnd w:id="1110"/>
      <w:r w:rsidRPr="00E2052F">
        <w:rPr>
          <w:rFonts w:asciiTheme="majorBidi" w:eastAsia="Times New Roman" w:hAnsiTheme="majorBidi"/>
          <w:color w:val="auto"/>
          <w:sz w:val="22"/>
          <w:lang w:eastAsia="fr-FR"/>
        </w:rPr>
        <w:t xml:space="preserve"> </w:t>
      </w:r>
    </w:p>
    <w:p w14:paraId="47CBBF72" w14:textId="77777777" w:rsidR="007C5DB8" w:rsidRPr="00E2052F" w:rsidRDefault="007C5DB8" w:rsidP="003D28B1">
      <w:pPr>
        <w:spacing w:before="0" w:beforeAutospacing="0"/>
        <w:rPr>
          <w:rFonts w:eastAsia="Times New Roman" w:cstheme="majorBidi"/>
          <w:b/>
          <w:bCs/>
          <w:sz w:val="22"/>
          <w:lang w:eastAsia="fr-FR"/>
        </w:rPr>
      </w:pPr>
      <w:r w:rsidRPr="00E2052F">
        <w:rPr>
          <w:rFonts w:eastAsia="Times New Roman" w:cstheme="majorBidi"/>
          <w:sz w:val="22"/>
          <w:lang w:eastAsia="fr-FR"/>
        </w:rPr>
        <w:t>Les considérations économiques jouent un rôle central dans l’adoption de la RSE.</w:t>
      </w:r>
    </w:p>
    <w:p w14:paraId="6E7C455D" w14:textId="77777777" w:rsidR="007C5DB8" w:rsidRPr="00E2052F" w:rsidRDefault="007C5DB8" w:rsidP="00F36332">
      <w:pPr>
        <w:pStyle w:val="Paragraphedeliste"/>
        <w:numPr>
          <w:ilvl w:val="0"/>
          <w:numId w:val="126"/>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lastRenderedPageBreak/>
        <w:t xml:space="preserve">L’amélioration de la performance financière : </w:t>
      </w:r>
      <w:r w:rsidRPr="00E2052F">
        <w:rPr>
          <w:rFonts w:eastAsia="Times New Roman" w:cstheme="majorBidi"/>
          <w:sz w:val="22"/>
          <w:lang w:eastAsia="fr-FR"/>
        </w:rPr>
        <w:t>Les entreprises estiment que la mise en œuvre de la RSE permet d’augmenter la productivité interne, de réduire les coûts opérationnels à long terme et d’améliorer l’efficacité dans l’utilisation des ressources.</w:t>
      </w:r>
    </w:p>
    <w:p w14:paraId="307DEF88" w14:textId="77777777" w:rsidR="007C5DB8" w:rsidRPr="00E2052F" w:rsidRDefault="007C5DB8" w:rsidP="00F36332">
      <w:pPr>
        <w:pStyle w:val="Paragraphedeliste"/>
        <w:numPr>
          <w:ilvl w:val="0"/>
          <w:numId w:val="126"/>
        </w:numPr>
        <w:spacing w:before="0" w:beforeAutospacing="0"/>
        <w:ind w:left="0" w:firstLine="284"/>
        <w:rPr>
          <w:rFonts w:eastAsia="Times New Roman" w:cstheme="majorBidi"/>
          <w:sz w:val="22"/>
          <w:lang w:eastAsia="fr-FR"/>
        </w:rPr>
      </w:pPr>
      <w:r w:rsidRPr="00E2052F">
        <w:rPr>
          <w:rFonts w:eastAsia="Times New Roman" w:cstheme="majorBidi"/>
          <w:b/>
          <w:bCs/>
          <w:sz w:val="22"/>
          <w:lang w:eastAsia="fr-FR"/>
        </w:rPr>
        <w:t xml:space="preserve">L’augmentation des ventes et le renforcement de la demande </w:t>
      </w:r>
      <w:r w:rsidRPr="00E2052F">
        <w:rPr>
          <w:rFonts w:eastAsia="Times New Roman" w:cstheme="majorBidi"/>
          <w:sz w:val="22"/>
          <w:lang w:eastAsia="fr-FR"/>
        </w:rPr>
        <w:t>: La RSE contribue à attirer de nouveaux clients qui privilégient les produits responsables, à renforcer la fidélité des clients existants et à accroître indirectement le volume des ventes.</w:t>
      </w:r>
    </w:p>
    <w:p w14:paraId="6A5AF9DD" w14:textId="77777777" w:rsidR="007C5DB8" w:rsidRPr="00E2052F" w:rsidRDefault="007C5DB8" w:rsidP="00F36332">
      <w:pPr>
        <w:pStyle w:val="Paragraphedeliste"/>
        <w:numPr>
          <w:ilvl w:val="0"/>
          <w:numId w:val="126"/>
        </w:numPr>
        <w:spacing w:before="0" w:beforeAutospacing="0"/>
        <w:ind w:left="0" w:firstLine="284"/>
        <w:rPr>
          <w:rFonts w:eastAsia="Times New Roman" w:cstheme="majorBidi"/>
          <w:sz w:val="22"/>
          <w:lang w:eastAsia="fr-FR"/>
        </w:rPr>
      </w:pPr>
      <w:r w:rsidRPr="00E2052F">
        <w:rPr>
          <w:rFonts w:eastAsia="Times New Roman" w:cstheme="majorBidi"/>
          <w:b/>
          <w:bCs/>
          <w:sz w:val="22"/>
          <w:lang w:eastAsia="fr-FR"/>
        </w:rPr>
        <w:t xml:space="preserve">L’attraction des investisseurs : </w:t>
      </w:r>
      <w:r w:rsidRPr="00E2052F">
        <w:rPr>
          <w:rFonts w:eastAsia="Times New Roman" w:cstheme="majorBidi"/>
          <w:sz w:val="22"/>
          <w:lang w:eastAsia="fr-FR"/>
        </w:rPr>
        <w:t>Les entreprises socialement engagées sont plus attractives pour les investisseurs, moins exposées aux risques non financiers et perçues comme plus stables sur les marchés.</w:t>
      </w:r>
      <w:r w:rsidR="00571AAB">
        <w:rPr>
          <w:rStyle w:val="Appelnotedebasdep"/>
          <w:rFonts w:eastAsia="Times New Roman" w:cstheme="majorBidi"/>
          <w:sz w:val="22"/>
          <w:lang w:eastAsia="fr-FR"/>
        </w:rPr>
        <w:footnoteReference w:id="247"/>
      </w:r>
    </w:p>
    <w:p w14:paraId="3F307BBC" w14:textId="77777777" w:rsidR="007C5DB8" w:rsidRPr="00E2052F" w:rsidRDefault="007C5DB8" w:rsidP="00F36332">
      <w:pPr>
        <w:pStyle w:val="Paragraphedeliste"/>
        <w:numPr>
          <w:ilvl w:val="1"/>
          <w:numId w:val="123"/>
        </w:numPr>
        <w:spacing w:before="0" w:beforeAutospacing="0"/>
        <w:rPr>
          <w:rFonts w:eastAsia="Times New Roman" w:cstheme="majorBidi"/>
          <w:b/>
          <w:bCs/>
          <w:sz w:val="22"/>
          <w:lang w:eastAsia="fr-FR"/>
        </w:rPr>
      </w:pPr>
      <w:bookmarkStart w:id="1111" w:name="_Toc231746930"/>
      <w:bookmarkStart w:id="1112" w:name="_Toc231752336"/>
      <w:bookmarkStart w:id="1113" w:name="_Toc231810639"/>
      <w:bookmarkStart w:id="1114" w:name="_Toc231811982"/>
      <w:bookmarkStart w:id="1115" w:name="_Toc231812260"/>
      <w:bookmarkStart w:id="1116" w:name="_Toc231815144"/>
      <w:r w:rsidRPr="00E2052F">
        <w:rPr>
          <w:rStyle w:val="Titre3Car"/>
          <w:rFonts w:asciiTheme="majorBidi" w:hAnsiTheme="majorBidi"/>
          <w:color w:val="auto"/>
          <w:sz w:val="22"/>
        </w:rPr>
        <w:t>Les motivations communicationnelles et l’image de l’entreprise (Corporate Image)</w:t>
      </w:r>
      <w:bookmarkEnd w:id="1111"/>
      <w:bookmarkEnd w:id="1112"/>
      <w:bookmarkEnd w:id="1113"/>
      <w:bookmarkEnd w:id="1114"/>
      <w:bookmarkEnd w:id="1115"/>
      <w:bookmarkEnd w:id="1116"/>
      <w:r w:rsidRPr="00E2052F">
        <w:rPr>
          <w:rFonts w:eastAsia="Times New Roman" w:cstheme="majorBidi"/>
          <w:b/>
          <w:bCs/>
          <w:sz w:val="22"/>
          <w:lang w:eastAsia="fr-FR"/>
        </w:rPr>
        <w:t xml:space="preserve"> :</w:t>
      </w:r>
    </w:p>
    <w:p w14:paraId="4207BD14" w14:textId="77777777" w:rsidR="007C5DB8" w:rsidRPr="00E2052F" w:rsidRDefault="007C5DB8" w:rsidP="003D28B1">
      <w:pPr>
        <w:spacing w:before="0" w:beforeAutospacing="0"/>
        <w:rPr>
          <w:rFonts w:eastAsia="Times New Roman" w:cstheme="majorBidi"/>
          <w:b/>
          <w:bCs/>
          <w:sz w:val="22"/>
          <w:lang w:eastAsia="fr-FR"/>
        </w:rPr>
      </w:pPr>
      <w:r w:rsidRPr="00E2052F">
        <w:rPr>
          <w:rFonts w:cstheme="majorBidi"/>
          <w:sz w:val="22"/>
        </w:rPr>
        <w:t>L’image perçue de l’entreprise constitue un levier essentiel dans l’adoption de la RSE.</w:t>
      </w:r>
    </w:p>
    <w:p w14:paraId="3DED83AE" w14:textId="77777777" w:rsidR="007C5DB8" w:rsidRPr="00E2052F" w:rsidRDefault="007C5DB8" w:rsidP="00F36332">
      <w:pPr>
        <w:pStyle w:val="Paragraphedeliste"/>
        <w:numPr>
          <w:ilvl w:val="0"/>
          <w:numId w:val="127"/>
        </w:numPr>
        <w:spacing w:before="0" w:beforeAutospacing="0"/>
        <w:ind w:left="0" w:firstLine="284"/>
        <w:rPr>
          <w:rFonts w:eastAsia="Times New Roman" w:cstheme="majorBidi"/>
          <w:sz w:val="22"/>
          <w:lang w:eastAsia="fr-FR"/>
        </w:rPr>
      </w:pPr>
      <w:r w:rsidRPr="00E2052F">
        <w:rPr>
          <w:rFonts w:eastAsia="Times New Roman" w:cstheme="majorBidi"/>
          <w:b/>
          <w:bCs/>
          <w:sz w:val="22"/>
          <w:lang w:eastAsia="fr-FR"/>
        </w:rPr>
        <w:t>L’amélioration de la réputation institutionnelle :</w:t>
      </w:r>
      <w:r w:rsidRPr="00E2052F">
        <w:rPr>
          <w:rFonts w:eastAsia="Times New Roman" w:cstheme="majorBidi"/>
          <w:sz w:val="22"/>
          <w:lang w:eastAsia="fr-FR"/>
        </w:rPr>
        <w:t xml:space="preserve"> la RSE permet de renforcer la confiance de la société, de construire une image positive auprès des consommateurs et d’améliorer les relations avec les médias.</w:t>
      </w:r>
    </w:p>
    <w:p w14:paraId="5BE174C3" w14:textId="77777777" w:rsidR="007C5DB8" w:rsidRPr="00E2052F" w:rsidRDefault="007C5DB8" w:rsidP="00F36332">
      <w:pPr>
        <w:pStyle w:val="Paragraphedeliste"/>
        <w:numPr>
          <w:ilvl w:val="0"/>
          <w:numId w:val="127"/>
        </w:numPr>
        <w:spacing w:before="0" w:beforeAutospacing="0"/>
        <w:ind w:left="0" w:firstLine="284"/>
        <w:rPr>
          <w:rFonts w:eastAsia="Times New Roman" w:cstheme="majorBidi"/>
          <w:sz w:val="22"/>
          <w:lang w:eastAsia="fr-FR"/>
        </w:rPr>
      </w:pPr>
      <w:r w:rsidRPr="00E2052F">
        <w:rPr>
          <w:rFonts w:eastAsia="Times New Roman" w:cstheme="majorBidi"/>
          <w:b/>
          <w:bCs/>
          <w:sz w:val="22"/>
          <w:lang w:eastAsia="fr-FR"/>
        </w:rPr>
        <w:t>La communication avec les parties prenantes :</w:t>
      </w:r>
      <w:r w:rsidRPr="00E2052F">
        <w:rPr>
          <w:rFonts w:eastAsia="Times New Roman" w:cstheme="majorBidi"/>
          <w:sz w:val="22"/>
          <w:lang w:eastAsia="fr-FR"/>
        </w:rPr>
        <w:t xml:space="preserve"> les parties prenantes incluent les clients, les employés, les fournisseurs et la société civile, et la RSE est utilisée comme un outil pour gérer efficacement ces relations.</w:t>
      </w:r>
    </w:p>
    <w:p w14:paraId="734952C6" w14:textId="77777777" w:rsidR="007C5DB8" w:rsidRPr="00E2052F" w:rsidRDefault="007C5DB8" w:rsidP="00F36332">
      <w:pPr>
        <w:pStyle w:val="Paragraphedeliste"/>
        <w:numPr>
          <w:ilvl w:val="1"/>
          <w:numId w:val="123"/>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Les </w:t>
      </w:r>
      <w:r w:rsidRPr="00E2052F">
        <w:rPr>
          <w:rStyle w:val="Titre3Car"/>
          <w:rFonts w:asciiTheme="majorBidi" w:hAnsiTheme="majorBidi"/>
          <w:color w:val="auto"/>
          <w:sz w:val="22"/>
        </w:rPr>
        <w:t>motivations organisationnelles internes : le rôle du management et de la culture d’entre</w:t>
      </w:r>
      <w:r w:rsidRPr="00E2052F">
        <w:rPr>
          <w:rFonts w:eastAsia="Times New Roman" w:cstheme="majorBidi"/>
          <w:b/>
          <w:bCs/>
          <w:sz w:val="22"/>
          <w:lang w:eastAsia="fr-FR"/>
        </w:rPr>
        <w:t xml:space="preserve"> :</w:t>
      </w:r>
    </w:p>
    <w:p w14:paraId="5EF97262" w14:textId="77777777" w:rsidR="007C5DB8" w:rsidRPr="00E2052F" w:rsidRDefault="007C5DB8" w:rsidP="00F36332">
      <w:pPr>
        <w:pStyle w:val="Paragraphedeliste"/>
        <w:numPr>
          <w:ilvl w:val="0"/>
          <w:numId w:val="128"/>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Le rôle de la direction générale : </w:t>
      </w:r>
      <w:r w:rsidRPr="00E2052F">
        <w:rPr>
          <w:rFonts w:eastAsia="Times New Roman" w:cstheme="majorBidi"/>
          <w:sz w:val="22"/>
          <w:lang w:eastAsia="fr-FR"/>
        </w:rPr>
        <w:t>L’engagement de la direction en faveur de la responsabilité sociale, l’intégration de la RSE dans la stratégie globale de l’entreprise et le soutien aux initiatives sociales et environnementales constituent des leviers essentiels.</w:t>
      </w:r>
    </w:p>
    <w:p w14:paraId="22A60E91" w14:textId="77777777" w:rsidR="007C5DB8" w:rsidRPr="00E2052F" w:rsidRDefault="007C5DB8" w:rsidP="00F36332">
      <w:pPr>
        <w:pStyle w:val="Paragraphedeliste"/>
        <w:numPr>
          <w:ilvl w:val="0"/>
          <w:numId w:val="128"/>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La culture organisationnelle : </w:t>
      </w:r>
      <w:r w:rsidRPr="00E2052F">
        <w:rPr>
          <w:rFonts w:eastAsia="Times New Roman" w:cstheme="majorBidi"/>
          <w:sz w:val="22"/>
          <w:lang w:eastAsia="fr-FR"/>
        </w:rPr>
        <w:t>La RSE favorise la diffusion des valeurs de responsabilité au sein de l’entreprise, encourage les employés à adopter des comportements responsables et s’intègre dans les programmes de formation interne.</w:t>
      </w:r>
    </w:p>
    <w:p w14:paraId="578998E8" w14:textId="77777777" w:rsidR="007C5DB8" w:rsidRPr="00E2052F" w:rsidRDefault="007C5DB8" w:rsidP="00F36332">
      <w:pPr>
        <w:pStyle w:val="Paragraphedeliste"/>
        <w:numPr>
          <w:ilvl w:val="0"/>
          <w:numId w:val="128"/>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L’amélioration continue : </w:t>
      </w:r>
      <w:r w:rsidRPr="00E2052F">
        <w:rPr>
          <w:rFonts w:eastAsia="Times New Roman" w:cstheme="majorBidi"/>
          <w:sz w:val="22"/>
          <w:lang w:eastAsia="fr-FR"/>
        </w:rPr>
        <w:t>Les entreprises adoptent des systèmes d’évaluation et de suivi afin d’améliorer progressivement leur performance sociale et environnementale.</w:t>
      </w:r>
    </w:p>
    <w:p w14:paraId="54BBDA04" w14:textId="77777777" w:rsidR="007C5DB8" w:rsidRPr="00E2052F" w:rsidRDefault="007C5DB8" w:rsidP="00F36332">
      <w:pPr>
        <w:pStyle w:val="Paragraphedeliste"/>
        <w:numPr>
          <w:ilvl w:val="0"/>
          <w:numId w:val="123"/>
        </w:numPr>
        <w:spacing w:before="0" w:beforeAutospacing="0"/>
        <w:ind w:left="0" w:firstLine="284"/>
        <w:rPr>
          <w:rFonts w:eastAsia="Times New Roman" w:cstheme="majorBidi"/>
          <w:b/>
          <w:bCs/>
          <w:sz w:val="22"/>
          <w:lang w:eastAsia="fr-FR"/>
        </w:rPr>
      </w:pPr>
      <w:bookmarkStart w:id="1117" w:name="_Toc231746931"/>
      <w:bookmarkStart w:id="1118" w:name="_Toc231752337"/>
      <w:bookmarkStart w:id="1119" w:name="_Toc231810640"/>
      <w:bookmarkStart w:id="1120" w:name="_Toc231811983"/>
      <w:bookmarkStart w:id="1121" w:name="_Toc231812261"/>
      <w:bookmarkStart w:id="1122" w:name="_Toc231815145"/>
      <w:r w:rsidRPr="00E2052F">
        <w:rPr>
          <w:rStyle w:val="Titre2Car"/>
          <w:sz w:val="22"/>
        </w:rPr>
        <w:t>De la responsabilité sociale a une responsabilité socio-sociétale</w:t>
      </w:r>
      <w:bookmarkEnd w:id="1117"/>
      <w:bookmarkEnd w:id="1118"/>
      <w:bookmarkEnd w:id="1119"/>
      <w:bookmarkEnd w:id="1120"/>
      <w:bookmarkEnd w:id="1121"/>
      <w:bookmarkEnd w:id="1122"/>
      <w:r w:rsidRPr="00E2052F">
        <w:rPr>
          <w:rFonts w:eastAsia="Times New Roman" w:cstheme="majorBidi"/>
          <w:b/>
          <w:bCs/>
          <w:sz w:val="22"/>
          <w:lang w:eastAsia="fr-FR"/>
        </w:rPr>
        <w:t> :</w:t>
      </w:r>
    </w:p>
    <w:p w14:paraId="45A7AE35"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Cette étude vise à mettre en évidence la distinction entre les </w:t>
      </w:r>
      <w:r w:rsidR="00C53AA1">
        <w:rPr>
          <w:rFonts w:asciiTheme="majorBidi" w:hAnsiTheme="majorBidi" w:cstheme="majorBidi"/>
          <w:sz w:val="22"/>
          <w:szCs w:val="22"/>
        </w:rPr>
        <w:t>volés</w:t>
      </w:r>
      <w:r w:rsidRPr="00E2052F">
        <w:rPr>
          <w:rFonts w:asciiTheme="majorBidi" w:hAnsiTheme="majorBidi" w:cstheme="majorBidi"/>
          <w:sz w:val="22"/>
          <w:szCs w:val="22"/>
        </w:rPr>
        <w:t xml:space="preserve"> de la responsabilité. Donc ici elle dépasse une simple vision vers une autre approche plus large </w:t>
      </w:r>
      <w:r w:rsidRPr="00E2052F">
        <w:rPr>
          <w:rStyle w:val="fontstyle01"/>
          <w:rFonts w:asciiTheme="majorBidi" w:hAnsiTheme="majorBidi" w:cstheme="majorBidi"/>
          <w:sz w:val="22"/>
          <w:szCs w:val="22"/>
        </w:rPr>
        <w:t xml:space="preserve">porte sur trois prismes en premier lieu la responsabilité sociale, en deuxième lieu la responsabilité sociétale et en troisième et dernier lieu la responsabilité intégralement socio sociétale de l’entreprise. </w:t>
      </w:r>
      <w:r w:rsidRPr="00E2052F">
        <w:rPr>
          <w:rFonts w:asciiTheme="majorBidi" w:eastAsiaTheme="minorHAnsi" w:hAnsiTheme="majorBidi" w:cstheme="majorBidi"/>
          <w:color w:val="1F1F1F"/>
          <w:sz w:val="22"/>
          <w:szCs w:val="22"/>
          <w:shd w:val="clear" w:color="auto" w:fill="FFFFFF"/>
          <w:lang w:eastAsia="en-US"/>
        </w:rPr>
        <w:t xml:space="preserve">Cette </w:t>
      </w:r>
      <w:r w:rsidRPr="00E2052F">
        <w:rPr>
          <w:rFonts w:asciiTheme="majorBidi" w:hAnsiTheme="majorBidi" w:cstheme="majorBidi"/>
          <w:color w:val="000000"/>
          <w:sz w:val="22"/>
          <w:szCs w:val="22"/>
        </w:rPr>
        <w:t xml:space="preserve">transition est portée par une </w:t>
      </w:r>
      <w:r w:rsidRPr="00E2052F">
        <w:rPr>
          <w:rFonts w:asciiTheme="majorBidi" w:hAnsiTheme="majorBidi" w:cstheme="majorBidi"/>
          <w:color w:val="000000"/>
          <w:sz w:val="22"/>
          <w:szCs w:val="22"/>
        </w:rPr>
        <w:lastRenderedPageBreak/>
        <w:t xml:space="preserve">conscience accrue de la gravité inhérente aux actes de l'organisation. Ici, </w:t>
      </w:r>
      <w:r w:rsidRPr="00E2052F">
        <w:rPr>
          <w:rFonts w:asciiTheme="majorBidi" w:hAnsiTheme="majorBidi" w:cstheme="majorBidi"/>
          <w:sz w:val="22"/>
          <w:szCs w:val="22"/>
        </w:rPr>
        <w:t>«</w:t>
      </w:r>
      <w:r w:rsidRPr="00E2052F">
        <w:rPr>
          <w:rFonts w:asciiTheme="majorBidi" w:hAnsiTheme="majorBidi" w:cstheme="majorBidi"/>
          <w:color w:val="000000"/>
          <w:sz w:val="22"/>
          <w:szCs w:val="22"/>
        </w:rPr>
        <w:t>le centre de gravité</w:t>
      </w:r>
      <w:r w:rsidRPr="00E2052F">
        <w:rPr>
          <w:rFonts w:asciiTheme="majorBidi" w:hAnsiTheme="majorBidi" w:cstheme="majorBidi"/>
          <w:sz w:val="22"/>
          <w:szCs w:val="22"/>
        </w:rPr>
        <w:t>»</w:t>
      </w:r>
      <w:r w:rsidRPr="00E2052F">
        <w:rPr>
          <w:rStyle w:val="Appelnotedebasdep"/>
          <w:rFonts w:asciiTheme="majorBidi" w:hAnsiTheme="majorBidi" w:cstheme="majorBidi"/>
          <w:sz w:val="22"/>
          <w:szCs w:val="22"/>
        </w:rPr>
        <w:footnoteReference w:id="248"/>
      </w:r>
      <w:r w:rsidRPr="00E2052F">
        <w:rPr>
          <w:rFonts w:asciiTheme="majorBidi" w:hAnsiTheme="majorBidi" w:cstheme="majorBidi"/>
          <w:color w:val="000000"/>
          <w:sz w:val="22"/>
          <w:szCs w:val="22"/>
        </w:rPr>
        <w:t xml:space="preserve"> dépasse la simple métaphore physique pour devenir un point focal normatif et stratégique </w:t>
      </w:r>
      <w:r w:rsidRPr="00E2052F">
        <w:rPr>
          <w:rFonts w:asciiTheme="majorBidi" w:hAnsiTheme="majorBidi" w:cstheme="majorBidi"/>
          <w:sz w:val="22"/>
          <w:szCs w:val="22"/>
        </w:rPr>
        <w:t>autour duquel s’organisent l’ensemble des obligations et des engagements. Parler de centre de gravité signifie alors identifier précisément où se situe le noyau principal de cette responsabilité :</w:t>
      </w:r>
    </w:p>
    <w:p w14:paraId="4CD31087" w14:textId="77777777" w:rsidR="007C5DB8" w:rsidRPr="00E2052F" w:rsidRDefault="007C5DB8" w:rsidP="00D61875">
      <w:pPr>
        <w:pStyle w:val="NormalWeb"/>
        <w:numPr>
          <w:ilvl w:val="0"/>
          <w:numId w:val="10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Est-il concentré sur l’interne (salariés, conformité juridique, performance économique) ?</w:t>
      </w:r>
    </w:p>
    <w:p w14:paraId="582DECC0" w14:textId="77777777" w:rsidR="007C5DB8" w:rsidRPr="00E2052F" w:rsidRDefault="007C5DB8" w:rsidP="00D61875">
      <w:pPr>
        <w:pStyle w:val="NormalWeb"/>
        <w:numPr>
          <w:ilvl w:val="0"/>
          <w:numId w:val="10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Est-il élargi aux parties prenantes et aux impacts externes ?</w:t>
      </w:r>
    </w:p>
    <w:p w14:paraId="74E05631" w14:textId="77777777" w:rsidR="007C5DB8" w:rsidRPr="00E2052F" w:rsidRDefault="007C5DB8" w:rsidP="00D61875">
      <w:pPr>
        <w:pStyle w:val="NormalWeb"/>
        <w:numPr>
          <w:ilvl w:val="0"/>
          <w:numId w:val="104"/>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Ou bien s’étend-il aux équilibres globaux et aux enjeux systémiques ?</w:t>
      </w:r>
    </w:p>
    <w:p w14:paraId="5D578AD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pandémie de Covid-19 constitue, jusqu’à ce jour, une succession d’enseignements visant la maîtrise d’une crise triple, dite crise SES (sanitaire, économique et sociale). Depuis la période de confinement, le recours au télétravail, le respect des protocoles sanitaires ainsi que l’adaptation de la recherche scientifique aux conditions de la crise ont été fortement encouragés. Durant cette période de confinement, il a également été possible de mettre en évidence une branche conceptuelle particulière au-delà de la notion de RSE, il s’agit dans notre cas d’une responsabilité socio-sociétale intégrée au sein de l’entreprise.</w:t>
      </w:r>
    </w:p>
    <w:p w14:paraId="02762975" w14:textId="77777777" w:rsidR="007C5DB8" w:rsidRPr="00E2052F" w:rsidRDefault="007C5DB8" w:rsidP="00F36332">
      <w:pPr>
        <w:pStyle w:val="Titre3"/>
        <w:numPr>
          <w:ilvl w:val="1"/>
          <w:numId w:val="219"/>
        </w:numPr>
        <w:spacing w:before="0" w:beforeAutospacing="0" w:after="160"/>
        <w:jc w:val="left"/>
        <w:rPr>
          <w:rFonts w:asciiTheme="majorBidi" w:hAnsiTheme="majorBidi"/>
          <w:color w:val="auto"/>
          <w:sz w:val="22"/>
        </w:rPr>
      </w:pPr>
      <w:bookmarkStart w:id="1123" w:name="_Toc231746932"/>
      <w:bookmarkStart w:id="1124" w:name="_Toc231752338"/>
      <w:bookmarkStart w:id="1125" w:name="_Toc231810641"/>
      <w:bookmarkStart w:id="1126" w:name="_Toc231811984"/>
      <w:bookmarkStart w:id="1127" w:name="_Toc231812262"/>
      <w:bookmarkStart w:id="1128" w:name="_Toc231815146"/>
      <w:r w:rsidRPr="00E2052F">
        <w:rPr>
          <w:rFonts w:asciiTheme="majorBidi" w:hAnsiTheme="majorBidi"/>
          <w:color w:val="auto"/>
          <w:sz w:val="22"/>
        </w:rPr>
        <w:t>L’émergence de la dimension sociétale (</w:t>
      </w:r>
      <w:r w:rsidRPr="00E2052F">
        <w:rPr>
          <w:rFonts w:asciiTheme="majorBidi" w:eastAsiaTheme="minorHAnsi" w:hAnsiTheme="majorBidi"/>
          <w:color w:val="auto"/>
          <w:sz w:val="22"/>
        </w:rPr>
        <w:t>RSTE</w:t>
      </w:r>
      <w:bookmarkEnd w:id="1123"/>
      <w:bookmarkEnd w:id="1124"/>
      <w:bookmarkEnd w:id="1125"/>
      <w:bookmarkEnd w:id="1126"/>
      <w:bookmarkEnd w:id="1127"/>
      <w:bookmarkEnd w:id="1128"/>
      <w:r w:rsidR="005A6182" w:rsidRPr="00E2052F">
        <w:rPr>
          <w:rFonts w:asciiTheme="majorBidi" w:eastAsiaTheme="minorHAnsi" w:hAnsiTheme="majorBidi"/>
          <w:color w:val="auto"/>
          <w:sz w:val="22"/>
        </w:rPr>
        <w:t>)</w:t>
      </w:r>
      <w:r w:rsidR="005A6182" w:rsidRPr="00E2052F">
        <w:rPr>
          <w:rFonts w:asciiTheme="majorBidi" w:hAnsiTheme="majorBidi"/>
          <w:color w:val="auto"/>
          <w:sz w:val="22"/>
        </w:rPr>
        <w:t> :</w:t>
      </w:r>
    </w:p>
    <w:p w14:paraId="0A212EB2"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RSTE se présente dans des conditions similaires à celles de la responsabilité sociale des entreprises, mais elle se distingue par l’élargissement de son champ d’action et d’intervention vers la société dans son ensemble. Dans cette perspective, l’entreprise mobilise des principes comparables, tout en les orientant vers des préoccupations davantage citoyennes</w:t>
      </w:r>
      <w:r w:rsidRPr="00E2052F">
        <w:rPr>
          <w:rStyle w:val="Appelnotedebasdep"/>
          <w:rFonts w:asciiTheme="majorBidi" w:hAnsiTheme="majorBidi" w:cstheme="majorBidi"/>
          <w:sz w:val="22"/>
          <w:szCs w:val="22"/>
        </w:rPr>
        <w:footnoteReference w:id="249"/>
      </w:r>
      <w:r w:rsidRPr="00E2052F">
        <w:rPr>
          <w:rFonts w:asciiTheme="majorBidi" w:hAnsiTheme="majorBidi" w:cstheme="majorBidi"/>
          <w:sz w:val="22"/>
          <w:szCs w:val="22"/>
        </w:rPr>
        <w:t xml:space="preserve">inscrites dans un cadre sociétal où les valeurs peuvent entrer en interaction et en compétition. Il s’agit ainsi d’actions visant l’amélioration de la vie extra-entreprise au sein du milieu sociétal, en mettant l’accent sur la vie en groupes et en communauté, alors que la RSE accorde principalement une importance à l’individu au sein de la société à laquelle il appartient. On se retrouve ainsi face à une double responsabilité de l’entreprise, à la fois sociale et sociétale, ce qui permet de parler d’une dyade responsable au sein des organisations, laquelle, malgré sa dimension concurrentielle, met en évidence les marqueurs de la DRE (dyade responsable dans l’entreprise). Ce dernier met en avant les marqueurs </w:t>
      </w:r>
      <w:r w:rsidR="005A6182" w:rsidRPr="00E2052F">
        <w:rPr>
          <w:rFonts w:asciiTheme="majorBidi" w:hAnsiTheme="majorBidi" w:cstheme="majorBidi"/>
          <w:sz w:val="22"/>
          <w:szCs w:val="22"/>
        </w:rPr>
        <w:t>de </w:t>
      </w:r>
      <w:r w:rsidRPr="00E2052F">
        <w:rPr>
          <w:rStyle w:val="Appelnotedebasdep"/>
          <w:rFonts w:asciiTheme="majorBidi" w:hAnsiTheme="majorBidi" w:cstheme="majorBidi"/>
          <w:sz w:val="22"/>
          <w:szCs w:val="22"/>
        </w:rPr>
        <w:footnoteReference w:id="250"/>
      </w:r>
      <w:r w:rsidRPr="00E2052F">
        <w:rPr>
          <w:rFonts w:asciiTheme="majorBidi" w:hAnsiTheme="majorBidi" w:cstheme="majorBidi"/>
          <w:sz w:val="22"/>
          <w:szCs w:val="22"/>
        </w:rPr>
        <w:t>:</w:t>
      </w:r>
    </w:p>
    <w:p w14:paraId="36091731" w14:textId="77777777" w:rsidR="007C5DB8" w:rsidRPr="00E2052F" w:rsidRDefault="007C5DB8" w:rsidP="00F36332">
      <w:pPr>
        <w:pStyle w:val="NormalWeb"/>
        <w:numPr>
          <w:ilvl w:val="0"/>
          <w:numId w:val="158"/>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b/>
          <w:bCs/>
          <w:sz w:val="22"/>
          <w:szCs w:val="22"/>
        </w:rPr>
        <w:t>Laconcurrence :</w:t>
      </w:r>
      <w:r w:rsidRPr="00E2052F">
        <w:rPr>
          <w:rFonts w:asciiTheme="majorBidi" w:hAnsiTheme="majorBidi" w:cstheme="majorBidi"/>
          <w:sz w:val="22"/>
          <w:szCs w:val="22"/>
        </w:rPr>
        <w:t xml:space="preserve"> La concurrence, en structurant les relations entre entreprises à travers la comparaison, la différenciation et la distinction, influence leurs stratégies et les pousse à évoluer au-delà </w:t>
      </w:r>
      <w:r w:rsidRPr="00E2052F">
        <w:rPr>
          <w:rFonts w:asciiTheme="majorBidi" w:hAnsiTheme="majorBidi" w:cstheme="majorBidi"/>
          <w:sz w:val="22"/>
          <w:szCs w:val="22"/>
        </w:rPr>
        <w:lastRenderedPageBreak/>
        <w:t>d’une logique purement économique vers des pratiques plus responsables, ce qui fait de la responsabilité sociétale une réponse adaptative permettant à la fois de répondre aux pressions concurrentielles et de se différencier durablement dans leur environnement.</w:t>
      </w:r>
    </w:p>
    <w:p w14:paraId="15CB89F0" w14:textId="77777777" w:rsidR="007C5DB8" w:rsidRPr="00E2052F" w:rsidRDefault="007C5DB8" w:rsidP="00F36332">
      <w:pPr>
        <w:pStyle w:val="NormalWeb"/>
        <w:numPr>
          <w:ilvl w:val="0"/>
          <w:numId w:val="158"/>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b/>
          <w:bCs/>
          <w:sz w:val="22"/>
          <w:szCs w:val="22"/>
        </w:rPr>
        <w:t>la compétition :</w:t>
      </w:r>
      <w:r w:rsidRPr="00E2052F">
        <w:rPr>
          <w:rFonts w:asciiTheme="majorBidi" w:hAnsiTheme="majorBidi" w:cstheme="majorBidi"/>
          <w:sz w:val="22"/>
          <w:szCs w:val="22"/>
        </w:rPr>
        <w:t>La compétition</w:t>
      </w:r>
      <w:r w:rsidRPr="00E2052F">
        <w:rPr>
          <w:rStyle w:val="Appelnotedebasdep"/>
          <w:rFonts w:asciiTheme="majorBidi" w:hAnsiTheme="majorBidi" w:cstheme="majorBidi"/>
          <w:sz w:val="22"/>
          <w:szCs w:val="22"/>
        </w:rPr>
        <w:footnoteReference w:id="251"/>
      </w:r>
      <w:r w:rsidRPr="00E2052F">
        <w:rPr>
          <w:rFonts w:asciiTheme="majorBidi" w:hAnsiTheme="majorBidi" w:cstheme="majorBidi"/>
          <w:sz w:val="22"/>
          <w:szCs w:val="22"/>
        </w:rPr>
        <w:t>correspond à une forme de rivalité orientée vers l’atteinte d’objectifs, qui se développe à partir des mécanismes de la concurrence et implique une interaction entre acteurs en situation de rivalité, tout en intégrant une dimension morale et relationnelle qui favorise la distinction et l’interdépendance entre les parties engagées, révélant ainsi la complémentarité entre compétition et concurrence.</w:t>
      </w:r>
    </w:p>
    <w:p w14:paraId="3C7769E5" w14:textId="77777777" w:rsidR="007C5DB8" w:rsidRPr="00E2052F" w:rsidRDefault="007C5DB8" w:rsidP="00F36332">
      <w:pPr>
        <w:pStyle w:val="NormalWeb"/>
        <w:numPr>
          <w:ilvl w:val="0"/>
          <w:numId w:val="158"/>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la complémentarité :</w:t>
      </w:r>
      <w:r w:rsidRPr="00E2052F">
        <w:rPr>
          <w:rFonts w:asciiTheme="majorBidi" w:hAnsiTheme="majorBidi" w:cstheme="majorBidi"/>
          <w:sz w:val="22"/>
          <w:szCs w:val="22"/>
        </w:rPr>
        <w:t>La complémentarité, résultant de l’interaction entre la concurrence et la compétition, s’inscrit dans une dynamique de reproduction et de structuration des pratiques organisationnelles, pouvant être analysée à la lumière de la théorie des rites de passage</w:t>
      </w:r>
      <w:r w:rsidRPr="00E2052F">
        <w:rPr>
          <w:rStyle w:val="Appelnotedebasdep"/>
          <w:rFonts w:asciiTheme="majorBidi" w:hAnsiTheme="majorBidi" w:cstheme="majorBidi"/>
          <w:sz w:val="22"/>
          <w:szCs w:val="22"/>
        </w:rPr>
        <w:footnoteReference w:id="252"/>
      </w:r>
      <w:r w:rsidRPr="00E2052F">
        <w:rPr>
          <w:rFonts w:asciiTheme="majorBidi" w:hAnsiTheme="majorBidi" w:cstheme="majorBidi"/>
          <w:sz w:val="22"/>
          <w:szCs w:val="22"/>
        </w:rPr>
        <w:t xml:space="preserve"> dans la mesure où elle accompagne le passage vers des formes plus élaborées d’organisation des responsabilités. Elle favorise ainsi le développement progressif des responsabilités sociale et sociétale, en permettant leur articulation au sein d’une responsabilité intégrée et combinée. Cette complémentarité réunit ces deux dimensions pour former une dyade constitutive des responsabilités de l’entreprise, fondée sur une relation d’interdépendance. Cette articulation conduit à l’émergence d’une troisième forme de responsabilité, de nature socio-sociétale, désignée comme la responsabilité intégralement socio-sociétale de l’entreprise, laquelle est représentée par un modèle triangulaire appelé TIJRISSE :</w:t>
      </w:r>
    </w:p>
    <w:p w14:paraId="4C264863" w14:textId="77777777" w:rsidR="007C5DB8" w:rsidRPr="00E2052F" w:rsidRDefault="007C5DB8" w:rsidP="003D28B1">
      <w:pPr>
        <w:pStyle w:val="NormalWeb"/>
        <w:spacing w:before="0" w:beforeAutospacing="0" w:line="360" w:lineRule="auto"/>
        <w:rPr>
          <w:rFonts w:asciiTheme="majorBidi" w:hAnsiTheme="majorBidi" w:cstheme="majorBidi"/>
          <w:b/>
          <w:bCs/>
          <w:sz w:val="22"/>
          <w:szCs w:val="22"/>
        </w:rPr>
      </w:pPr>
    </w:p>
    <w:p w14:paraId="73B3E1C4" w14:textId="77777777" w:rsidR="007C5DB8" w:rsidRPr="00E2052F" w:rsidRDefault="007C5DB8" w:rsidP="003D28B1">
      <w:pPr>
        <w:spacing w:before="0" w:beforeAutospacing="0"/>
        <w:rPr>
          <w:rFonts w:eastAsia="Times New Roman" w:cstheme="majorBidi"/>
          <w:b/>
          <w:bCs/>
          <w:color w:val="000000"/>
          <w:sz w:val="22"/>
          <w:lang w:eastAsia="fr-FR"/>
        </w:rPr>
      </w:pPr>
      <w:r w:rsidRPr="00E2052F">
        <w:rPr>
          <w:rFonts w:eastAsia="Times New Roman" w:cstheme="majorBidi"/>
          <w:b/>
          <w:bCs/>
          <w:color w:val="000000"/>
          <w:sz w:val="22"/>
          <w:u w:val="single"/>
          <w:lang w:eastAsia="fr-FR"/>
        </w:rPr>
        <w:t>Figure 07 :</w:t>
      </w:r>
      <w:r w:rsidR="00F562CA">
        <w:rPr>
          <w:rFonts w:eastAsia="Times New Roman" w:cstheme="majorBidi"/>
          <w:b/>
          <w:bCs/>
          <w:color w:val="000000"/>
          <w:sz w:val="22"/>
          <w:u w:val="single"/>
          <w:lang w:eastAsia="fr-FR"/>
        </w:rPr>
        <w:t xml:space="preserve"> </w:t>
      </w:r>
      <w:r w:rsidRPr="00E2052F">
        <w:rPr>
          <w:rFonts w:cstheme="majorBidi"/>
          <w:b/>
          <w:bCs/>
          <w:color w:val="000000"/>
          <w:sz w:val="22"/>
        </w:rPr>
        <w:t>La représentation des responsabilités Socio-sociétales des entreprises</w:t>
      </w:r>
      <w:r w:rsidR="00684EA9" w:rsidRPr="00E2052F">
        <w:rPr>
          <w:rFonts w:cstheme="majorBidi"/>
          <w:b/>
          <w:bCs/>
          <w:color w:val="000000"/>
          <w:sz w:val="22"/>
        </w:rPr>
        <w:t>.</w:t>
      </w:r>
    </w:p>
    <w:p w14:paraId="56E91A4E" w14:textId="77777777" w:rsidR="007C5DB8" w:rsidRPr="00E2052F" w:rsidRDefault="007C5DB8" w:rsidP="003D28B1">
      <w:pPr>
        <w:pStyle w:val="NormalWeb"/>
        <w:spacing w:before="0" w:beforeAutospacing="0" w:line="360" w:lineRule="auto"/>
        <w:jc w:val="center"/>
        <w:rPr>
          <w:rFonts w:asciiTheme="majorBidi" w:hAnsiTheme="majorBidi" w:cstheme="majorBidi"/>
          <w:b/>
          <w:bCs/>
          <w:sz w:val="22"/>
          <w:szCs w:val="22"/>
        </w:rPr>
      </w:pPr>
      <w:r w:rsidRPr="00E2052F">
        <w:rPr>
          <w:rFonts w:asciiTheme="majorBidi" w:hAnsiTheme="majorBidi" w:cstheme="majorBidi"/>
          <w:b/>
          <w:bCs/>
          <w:noProof/>
          <w:sz w:val="22"/>
          <w:szCs w:val="22"/>
        </w:rPr>
        <w:drawing>
          <wp:inline distT="0" distB="0" distL="0" distR="0" wp14:anchorId="691501EF" wp14:editId="65F80B08">
            <wp:extent cx="2895281" cy="1872343"/>
            <wp:effectExtent l="19050" t="0" r="319" b="0"/>
            <wp:docPr id="454" name="Image 7" descr="3a67ed08-f609-4ff3-9e2c-3400cd290f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67ed08-f609-4ff3-9e2c-3400cd290f60.jpg"/>
                    <pic:cNvPicPr/>
                  </pic:nvPicPr>
                  <pic:blipFill>
                    <a:blip r:embed="rId35" cstate="print"/>
                    <a:stretch>
                      <a:fillRect/>
                    </a:stretch>
                  </pic:blipFill>
                  <pic:spPr>
                    <a:xfrm>
                      <a:off x="0" y="0"/>
                      <a:ext cx="2898490" cy="1874418"/>
                    </a:xfrm>
                    <a:prstGeom prst="rect">
                      <a:avLst/>
                    </a:prstGeom>
                  </pic:spPr>
                </pic:pic>
              </a:graphicData>
            </a:graphic>
          </wp:inline>
        </w:drawing>
      </w:r>
    </w:p>
    <w:p w14:paraId="47A31726" w14:textId="77777777" w:rsidR="007C5DB8" w:rsidRPr="004B4489" w:rsidRDefault="007C5DB8" w:rsidP="00684EA9">
      <w:pPr>
        <w:pStyle w:val="NormalWeb"/>
        <w:spacing w:before="0" w:beforeAutospacing="0" w:line="360" w:lineRule="auto"/>
        <w:jc w:val="center"/>
        <w:rPr>
          <w:rFonts w:asciiTheme="majorBidi" w:hAnsiTheme="majorBidi" w:cstheme="majorBidi"/>
          <w:b/>
          <w:bCs/>
          <w:sz w:val="20"/>
          <w:szCs w:val="20"/>
        </w:rPr>
      </w:pPr>
      <w:r w:rsidRPr="004B4489">
        <w:rPr>
          <w:rFonts w:asciiTheme="majorBidi" w:hAnsiTheme="majorBidi" w:cstheme="majorBidi"/>
          <w:b/>
          <w:bCs/>
          <w:sz w:val="20"/>
          <w:szCs w:val="20"/>
        </w:rPr>
        <w:lastRenderedPageBreak/>
        <w:t>Source :</w:t>
      </w:r>
      <w:r w:rsidR="004B4489">
        <w:rPr>
          <w:rFonts w:asciiTheme="majorBidi" w:hAnsiTheme="majorBidi" w:cstheme="majorBidi"/>
          <w:sz w:val="20"/>
          <w:szCs w:val="20"/>
        </w:rPr>
        <w:t xml:space="preserve"> GUENAOU</w:t>
      </w:r>
      <w:r w:rsidRPr="004B4489">
        <w:rPr>
          <w:rFonts w:asciiTheme="majorBidi" w:hAnsiTheme="majorBidi" w:cstheme="majorBidi"/>
          <w:sz w:val="20"/>
          <w:szCs w:val="20"/>
        </w:rPr>
        <w:t xml:space="preserve"> Mustapha, « De la responsabilité sociale à la responsabilité sociétale : la responsabilité intégralement socio-sociétale de l’entreprise, définition et principes », </w:t>
      </w:r>
      <w:r w:rsidRPr="004B4489">
        <w:rPr>
          <w:rStyle w:val="Accentuation"/>
          <w:rFonts w:asciiTheme="majorBidi" w:hAnsiTheme="majorBidi" w:cstheme="majorBidi"/>
          <w:i w:val="0"/>
          <w:iCs w:val="0"/>
          <w:sz w:val="20"/>
          <w:szCs w:val="20"/>
        </w:rPr>
        <w:t>AfaqFikriya</w:t>
      </w:r>
      <w:r w:rsidR="005A6182" w:rsidRPr="004B4489">
        <w:rPr>
          <w:rFonts w:asciiTheme="majorBidi" w:hAnsiTheme="majorBidi" w:cstheme="majorBidi"/>
          <w:sz w:val="20"/>
          <w:szCs w:val="20"/>
        </w:rPr>
        <w:t>, vol.12, n°2</w:t>
      </w:r>
      <w:r w:rsidRPr="004B4489">
        <w:rPr>
          <w:rFonts w:asciiTheme="majorBidi" w:hAnsiTheme="majorBidi" w:cstheme="majorBidi"/>
          <w:sz w:val="20"/>
          <w:szCs w:val="20"/>
        </w:rPr>
        <w:t xml:space="preserve"> p. 373.</w:t>
      </w:r>
    </w:p>
    <w:p w14:paraId="56BBED76" w14:textId="77777777" w:rsidR="007C5DB8" w:rsidRPr="00E2052F" w:rsidRDefault="007C5DB8" w:rsidP="00F36332">
      <w:pPr>
        <w:pStyle w:val="Titre3"/>
        <w:numPr>
          <w:ilvl w:val="1"/>
          <w:numId w:val="219"/>
        </w:numPr>
        <w:spacing w:before="0" w:beforeAutospacing="0" w:after="160"/>
        <w:ind w:left="0" w:firstLine="284"/>
        <w:jc w:val="left"/>
        <w:rPr>
          <w:rFonts w:asciiTheme="majorBidi" w:eastAsia="Times New Roman" w:hAnsiTheme="majorBidi"/>
          <w:color w:val="auto"/>
          <w:sz w:val="22"/>
          <w:lang w:eastAsia="fr-FR"/>
        </w:rPr>
      </w:pPr>
      <w:bookmarkStart w:id="1129" w:name="_Toc231746933"/>
      <w:bookmarkStart w:id="1130" w:name="_Toc231752339"/>
      <w:bookmarkStart w:id="1131" w:name="_Toc231810642"/>
      <w:bookmarkStart w:id="1132" w:name="_Toc231811985"/>
      <w:bookmarkStart w:id="1133" w:name="_Toc231812263"/>
      <w:bookmarkStart w:id="1134" w:name="_Toc231815147"/>
      <w:r w:rsidRPr="00E2052F">
        <w:rPr>
          <w:rFonts w:asciiTheme="majorBidi" w:eastAsia="Times New Roman" w:hAnsiTheme="majorBidi"/>
          <w:color w:val="auto"/>
          <w:sz w:val="22"/>
          <w:lang w:eastAsia="fr-FR"/>
        </w:rPr>
        <w:t>La responsabilité</w:t>
      </w:r>
      <w:r w:rsidR="00684EA9" w:rsidRPr="00E2052F">
        <w:rPr>
          <w:rFonts w:asciiTheme="majorBidi" w:eastAsia="Times New Roman" w:hAnsiTheme="majorBidi"/>
          <w:color w:val="auto"/>
          <w:sz w:val="22"/>
          <w:lang w:eastAsia="fr-FR"/>
        </w:rPr>
        <w:t xml:space="preserve"> </w:t>
      </w:r>
      <w:r w:rsidRPr="00E2052F">
        <w:rPr>
          <w:rFonts w:asciiTheme="majorBidi" w:eastAsia="Times New Roman" w:hAnsiTheme="majorBidi"/>
          <w:color w:val="auto"/>
          <w:sz w:val="22"/>
          <w:lang w:eastAsia="fr-FR"/>
        </w:rPr>
        <w:t>Intégralement socio-sociétale (RISSE) :</w:t>
      </w:r>
      <w:bookmarkEnd w:id="1129"/>
      <w:bookmarkEnd w:id="1130"/>
      <w:bookmarkEnd w:id="1131"/>
      <w:bookmarkEnd w:id="1132"/>
      <w:bookmarkEnd w:id="1133"/>
      <w:bookmarkEnd w:id="1134"/>
    </w:p>
    <w:p w14:paraId="0291ADD9"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La responsabilité intégralement socio-sociétale des entreprises (RISSE), conçue comme une responsabilité combinée, repose sur des éléments qui mobilisent simultanément la responsabilité sociale en premier lieu et la responsabilité sociétale en second lieu de l’entreprise. Elle s’organise selon une logique chronologique autour de</w:t>
      </w:r>
      <w:r w:rsidR="005A6182">
        <w:rPr>
          <w:rStyle w:val="Appelnotedebasdep"/>
          <w:rFonts w:eastAsia="Times New Roman" w:cstheme="majorBidi"/>
          <w:sz w:val="22"/>
          <w:lang w:eastAsia="fr-FR"/>
        </w:rPr>
        <w:footnoteReference w:id="253"/>
      </w:r>
      <w:r w:rsidRPr="00E2052F">
        <w:rPr>
          <w:rFonts w:eastAsia="Times New Roman" w:cstheme="majorBidi"/>
          <w:sz w:val="22"/>
          <w:lang w:eastAsia="fr-FR"/>
        </w:rPr>
        <w:t xml:space="preserve"> :</w:t>
      </w:r>
    </w:p>
    <w:p w14:paraId="29C7197A" w14:textId="77777777" w:rsidR="007C5DB8" w:rsidRPr="00E2052F" w:rsidRDefault="007C5DB8" w:rsidP="00F36332">
      <w:pPr>
        <w:pStyle w:val="Paragraphedeliste"/>
        <w:numPr>
          <w:ilvl w:val="0"/>
          <w:numId w:val="159"/>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les engagements ;</w:t>
      </w:r>
    </w:p>
    <w:p w14:paraId="56292747" w14:textId="77777777" w:rsidR="007C5DB8" w:rsidRPr="00E2052F" w:rsidRDefault="007C5DB8" w:rsidP="00F36332">
      <w:pPr>
        <w:pStyle w:val="Paragraphedeliste"/>
        <w:numPr>
          <w:ilvl w:val="0"/>
          <w:numId w:val="159"/>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les préoccupations.</w:t>
      </w:r>
    </w:p>
    <w:p w14:paraId="03D4A3FE" w14:textId="77777777" w:rsidR="007C5DB8" w:rsidRPr="00E2052F" w:rsidRDefault="007C5DB8" w:rsidP="005A6182">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Ces éléments regroupent l’ensemble des pratiques sociales et sociétales orientées vers un développement pérenne, considéré comme une forme avancée du développement durable. À cela s’ajoutent les compétences numériques (Digital Skills), qui reposent sur le capital humain et contribuent aux objectifs du développement durable (Degron, 2020). Le premier bénéficiaire est l’être humain, à travers son bien-être social, sociétal et mental, ce qui forme le triptyque de l’environnement humain. Vient ensuite l’environnement animal, lié au bien-être des animaux et à l’équilibre des écosystèmes. Enfin, l’environnement naturel représente la dimension essentielle de la préservation de la nature, indispensable à la pérennité de l’Homme et des systèmes </w:t>
      </w:r>
      <w:r w:rsidR="005A6182" w:rsidRPr="00E2052F">
        <w:rPr>
          <w:rFonts w:asciiTheme="majorBidi" w:hAnsiTheme="majorBidi" w:cstheme="majorBidi"/>
          <w:sz w:val="22"/>
          <w:szCs w:val="22"/>
        </w:rPr>
        <w:t>écologiques. Vient</w:t>
      </w:r>
      <w:r w:rsidRPr="00E2052F">
        <w:rPr>
          <w:rFonts w:asciiTheme="majorBidi" w:hAnsiTheme="majorBidi" w:cstheme="majorBidi"/>
          <w:sz w:val="22"/>
          <w:szCs w:val="22"/>
        </w:rPr>
        <w:t xml:space="preserve"> ensuite l’environnement animal, lié au bien-être des animaux et à l’équilibre des écosystèmes. Enfin, l’environnement naturel représente la dimension essentielle de la préservation de la nature, indispensable à la pérennité de l’Homme et des systèmes écologiques.</w:t>
      </w:r>
    </w:p>
    <w:p w14:paraId="0FA3E88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RISSE repose sur une transmission de trois éléments :</w:t>
      </w:r>
    </w:p>
    <w:p w14:paraId="1E1CE8DA" w14:textId="77777777" w:rsidR="007C5DB8" w:rsidRPr="00E2052F" w:rsidRDefault="007C5DB8" w:rsidP="00F36332">
      <w:pPr>
        <w:pStyle w:val="Paragraphedeliste"/>
        <w:numPr>
          <w:ilvl w:val="0"/>
          <w:numId w:val="159"/>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les connaissances ;</w:t>
      </w:r>
    </w:p>
    <w:p w14:paraId="561DAA31" w14:textId="77777777" w:rsidR="007C5DB8" w:rsidRPr="00E2052F" w:rsidRDefault="007C5DB8" w:rsidP="00F36332">
      <w:pPr>
        <w:pStyle w:val="Paragraphedeliste"/>
        <w:numPr>
          <w:ilvl w:val="0"/>
          <w:numId w:val="159"/>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les principes.</w:t>
      </w:r>
    </w:p>
    <w:p w14:paraId="4B170014" w14:textId="77777777" w:rsidR="007C5DB8" w:rsidRPr="00E2052F" w:rsidRDefault="007C5DB8" w:rsidP="00F36332">
      <w:pPr>
        <w:pStyle w:val="Paragraphedeliste"/>
        <w:numPr>
          <w:ilvl w:val="0"/>
          <w:numId w:val="159"/>
        </w:numPr>
        <w:spacing w:before="0" w:beforeAutospacing="0"/>
        <w:ind w:left="0" w:firstLine="284"/>
        <w:jc w:val="left"/>
        <w:rPr>
          <w:rFonts w:eastAsia="Times New Roman" w:cstheme="majorBidi"/>
          <w:sz w:val="22"/>
          <w:lang w:eastAsia="fr-FR"/>
        </w:rPr>
      </w:pPr>
      <w:r w:rsidRPr="00E2052F">
        <w:rPr>
          <w:rFonts w:eastAsia="Times New Roman" w:cstheme="majorBidi"/>
          <w:sz w:val="22"/>
          <w:lang w:eastAsia="fr-FR"/>
        </w:rPr>
        <w:t>Les valeurs humaines,sociales et culturelles.</w:t>
      </w:r>
    </w:p>
    <w:p w14:paraId="4C6AD6C8"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Elle insiste sur le respect de toute forme de vie (humaine, animale et naturelle) dans un système fondé sur l’interdépendance, l’interrelation et l’interaction. L’objectif est un impact positif global sur l’Homme, la société et la nature, dans une logique de bien-être durable.</w:t>
      </w:r>
    </w:p>
    <w:p w14:paraId="39BE967E" w14:textId="77777777" w:rsidR="007C5DB8" w:rsidRPr="00E2052F" w:rsidRDefault="007C5DB8" w:rsidP="00F36332">
      <w:pPr>
        <w:pStyle w:val="Titre4"/>
        <w:numPr>
          <w:ilvl w:val="0"/>
          <w:numId w:val="191"/>
        </w:numPr>
        <w:spacing w:before="100"/>
        <w:ind w:left="1134" w:hanging="567"/>
        <w:rPr>
          <w:rFonts w:asciiTheme="majorBidi" w:hAnsiTheme="majorBidi"/>
          <w:b w:val="0"/>
          <w:bCs w:val="0"/>
          <w:color w:val="auto"/>
          <w:sz w:val="22"/>
        </w:rPr>
      </w:pPr>
      <w:bookmarkStart w:id="1135" w:name="_Toc231746934"/>
      <w:bookmarkStart w:id="1136" w:name="_Toc231752340"/>
      <w:bookmarkStart w:id="1137" w:name="_Toc231810643"/>
      <w:bookmarkStart w:id="1138" w:name="_Toc231811986"/>
      <w:bookmarkStart w:id="1139" w:name="_Toc231812264"/>
      <w:bookmarkStart w:id="1140" w:name="_Toc231815148"/>
      <w:r w:rsidRPr="00E2052F">
        <w:rPr>
          <w:rStyle w:val="Titre4Car"/>
          <w:rFonts w:asciiTheme="majorBidi" w:hAnsiTheme="majorBidi"/>
          <w:b/>
          <w:bCs/>
          <w:color w:val="auto"/>
          <w:sz w:val="22"/>
        </w:rPr>
        <w:t>Les obligations et engagements de l’entreprise</w:t>
      </w:r>
      <w:r w:rsidRPr="00E2052F">
        <w:rPr>
          <w:rFonts w:asciiTheme="majorBidi" w:hAnsiTheme="majorBidi"/>
          <w:b w:val="0"/>
          <w:bCs w:val="0"/>
          <w:color w:val="auto"/>
          <w:sz w:val="22"/>
        </w:rPr>
        <w:t> :</w:t>
      </w:r>
      <w:bookmarkEnd w:id="1135"/>
      <w:bookmarkEnd w:id="1136"/>
      <w:bookmarkEnd w:id="1137"/>
      <w:bookmarkEnd w:id="1138"/>
      <w:bookmarkEnd w:id="1139"/>
      <w:bookmarkEnd w:id="1140"/>
    </w:p>
    <w:p w14:paraId="5FA01F7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responsabilité socio-sociétale implique le respect de plusieurs obligations :</w:t>
      </w:r>
    </w:p>
    <w:p w14:paraId="1CE3DAD8" w14:textId="77777777" w:rsidR="007C5DB8" w:rsidRPr="00E2052F" w:rsidRDefault="007C5DB8" w:rsidP="00F36332">
      <w:pPr>
        <w:pStyle w:val="NormalWeb"/>
        <w:numPr>
          <w:ilvl w:val="0"/>
          <w:numId w:val="160"/>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lastRenderedPageBreak/>
        <w:t>Obligations juridique</w:t>
      </w:r>
      <w:r w:rsidRPr="00E2052F">
        <w:rPr>
          <w:rStyle w:val="Appelnotedebasdep"/>
          <w:rFonts w:asciiTheme="majorBidi" w:hAnsiTheme="majorBidi" w:cstheme="majorBidi"/>
          <w:sz w:val="22"/>
          <w:szCs w:val="22"/>
        </w:rPr>
        <w:footnoteReference w:id="254"/>
      </w:r>
      <w:r w:rsidRPr="00E2052F">
        <w:rPr>
          <w:rFonts w:asciiTheme="majorBidi" w:hAnsiTheme="majorBidi" w:cstheme="majorBidi"/>
          <w:sz w:val="22"/>
          <w:szCs w:val="22"/>
        </w:rPr>
        <w:t>s ;</w:t>
      </w:r>
    </w:p>
    <w:p w14:paraId="6C4F564D" w14:textId="77777777" w:rsidR="007C5DB8" w:rsidRPr="00E2052F" w:rsidRDefault="007C5DB8" w:rsidP="005A6182">
      <w:pPr>
        <w:pStyle w:val="NormalWeb"/>
        <w:numPr>
          <w:ilvl w:val="0"/>
          <w:numId w:val="160"/>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Obligations sociales ;</w:t>
      </w:r>
    </w:p>
    <w:p w14:paraId="3AAEACE7" w14:textId="77777777" w:rsidR="007C5DB8" w:rsidRPr="00E2052F" w:rsidRDefault="007C5DB8" w:rsidP="00F36332">
      <w:pPr>
        <w:pStyle w:val="NormalWeb"/>
        <w:numPr>
          <w:ilvl w:val="0"/>
          <w:numId w:val="160"/>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Obligations sociétales</w:t>
      </w:r>
      <w:r w:rsidRPr="00E2052F">
        <w:rPr>
          <w:rStyle w:val="Appelnotedebasdep"/>
          <w:rFonts w:asciiTheme="majorBidi" w:hAnsiTheme="majorBidi" w:cstheme="majorBidi"/>
          <w:sz w:val="22"/>
          <w:szCs w:val="22"/>
        </w:rPr>
        <w:footnoteReference w:id="255"/>
      </w:r>
      <w:r w:rsidRPr="00E2052F">
        <w:rPr>
          <w:rFonts w:asciiTheme="majorBidi" w:hAnsiTheme="majorBidi" w:cstheme="majorBidi"/>
          <w:sz w:val="22"/>
          <w:szCs w:val="22"/>
        </w:rPr>
        <w:t> ;</w:t>
      </w:r>
    </w:p>
    <w:p w14:paraId="5A2BE72B" w14:textId="77777777" w:rsidR="007C5DB8" w:rsidRPr="00E2052F" w:rsidRDefault="007C5DB8" w:rsidP="00F36332">
      <w:pPr>
        <w:pStyle w:val="NormalWeb"/>
        <w:numPr>
          <w:ilvl w:val="0"/>
          <w:numId w:val="160"/>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Investissement dans le capital humain ;</w:t>
      </w:r>
    </w:p>
    <w:p w14:paraId="615040E0" w14:textId="77777777" w:rsidR="007C5DB8" w:rsidRPr="00E2052F" w:rsidRDefault="007C5DB8" w:rsidP="00F36332">
      <w:pPr>
        <w:pStyle w:val="NormalWeb"/>
        <w:numPr>
          <w:ilvl w:val="0"/>
          <w:numId w:val="160"/>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Investissement dans les valeurs</w:t>
      </w:r>
      <w:r w:rsidRPr="00E2052F">
        <w:rPr>
          <w:rStyle w:val="Appelnotedebasdep"/>
          <w:rFonts w:asciiTheme="majorBidi" w:hAnsiTheme="majorBidi" w:cstheme="majorBidi"/>
          <w:sz w:val="22"/>
          <w:szCs w:val="22"/>
        </w:rPr>
        <w:footnoteReference w:id="256"/>
      </w:r>
      <w:r w:rsidRPr="00E2052F">
        <w:rPr>
          <w:rFonts w:asciiTheme="majorBidi" w:hAnsiTheme="majorBidi" w:cstheme="majorBidi"/>
          <w:sz w:val="22"/>
          <w:szCs w:val="22"/>
        </w:rPr>
        <w:t>.</w:t>
      </w:r>
    </w:p>
    <w:p w14:paraId="5ED5AC9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Elle repose aussi sur un investissement pérenne basé sur trois types de capital :</w:t>
      </w:r>
    </w:p>
    <w:p w14:paraId="4649EC53" w14:textId="77777777" w:rsidR="007C5DB8" w:rsidRPr="00E2052F" w:rsidRDefault="007C5DB8" w:rsidP="00F36332">
      <w:pPr>
        <w:pStyle w:val="NormalWeb"/>
        <w:numPr>
          <w:ilvl w:val="0"/>
          <w:numId w:val="161"/>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Capital humain ;</w:t>
      </w:r>
    </w:p>
    <w:p w14:paraId="1CFC0818" w14:textId="77777777" w:rsidR="007C5DB8" w:rsidRPr="00E2052F" w:rsidRDefault="007C5DB8" w:rsidP="00F36332">
      <w:pPr>
        <w:pStyle w:val="NormalWeb"/>
        <w:numPr>
          <w:ilvl w:val="0"/>
          <w:numId w:val="161"/>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Capital matériel ;</w:t>
      </w:r>
    </w:p>
    <w:p w14:paraId="0BCF2F54" w14:textId="77777777" w:rsidR="007C5DB8" w:rsidRPr="00E2052F" w:rsidRDefault="007C5DB8" w:rsidP="00F36332">
      <w:pPr>
        <w:pStyle w:val="NormalWeb"/>
        <w:numPr>
          <w:ilvl w:val="0"/>
          <w:numId w:val="161"/>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Capital immatériel.</w:t>
      </w:r>
    </w:p>
    <w:p w14:paraId="26575C3E" w14:textId="77777777" w:rsidR="007C5DB8" w:rsidRPr="00E2052F" w:rsidRDefault="007C5DB8" w:rsidP="00F36332">
      <w:pPr>
        <w:pStyle w:val="Titre4"/>
        <w:numPr>
          <w:ilvl w:val="0"/>
          <w:numId w:val="191"/>
        </w:numPr>
        <w:spacing w:before="100"/>
        <w:ind w:left="924" w:hanging="357"/>
        <w:rPr>
          <w:rFonts w:asciiTheme="majorBidi" w:hAnsiTheme="majorBidi"/>
          <w:b w:val="0"/>
          <w:bCs w:val="0"/>
          <w:color w:val="auto"/>
          <w:sz w:val="22"/>
        </w:rPr>
      </w:pPr>
      <w:bookmarkStart w:id="1141" w:name="_Toc231746935"/>
      <w:bookmarkStart w:id="1142" w:name="_Toc231752341"/>
      <w:bookmarkStart w:id="1143" w:name="_Toc231810644"/>
      <w:bookmarkStart w:id="1144" w:name="_Toc231811987"/>
      <w:bookmarkStart w:id="1145" w:name="_Toc231812265"/>
      <w:bookmarkStart w:id="1146" w:name="_Toc231815149"/>
      <w:r w:rsidRPr="00E2052F">
        <w:rPr>
          <w:rStyle w:val="Titre4Car"/>
          <w:rFonts w:asciiTheme="majorBidi" w:hAnsiTheme="majorBidi"/>
          <w:b/>
          <w:bCs/>
          <w:color w:val="auto"/>
          <w:sz w:val="22"/>
        </w:rPr>
        <w:t>Les principes fondamentaux de la RISSE</w:t>
      </w:r>
      <w:r w:rsidRPr="00E2052F">
        <w:rPr>
          <w:rFonts w:asciiTheme="majorBidi" w:hAnsiTheme="majorBidi"/>
          <w:b w:val="0"/>
          <w:bCs w:val="0"/>
          <w:color w:val="auto"/>
          <w:sz w:val="22"/>
        </w:rPr>
        <w:t> :</w:t>
      </w:r>
      <w:bookmarkEnd w:id="1141"/>
      <w:bookmarkEnd w:id="1142"/>
      <w:bookmarkEnd w:id="1143"/>
      <w:bookmarkEnd w:id="1144"/>
      <w:bookmarkEnd w:id="1145"/>
      <w:bookmarkEnd w:id="1146"/>
    </w:p>
    <w:p w14:paraId="007A8F3E"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mise en œuvre de la RISSE repose sur trois principes essentiel. Ces principes expliquent la coopération entre l’entreprise et ses parties prenantes dans la réalisation de la responsabilité socio-</w:t>
      </w:r>
      <w:r w:rsidR="00684EA9" w:rsidRPr="00E2052F">
        <w:rPr>
          <w:rFonts w:asciiTheme="majorBidi" w:hAnsiTheme="majorBidi" w:cstheme="majorBidi"/>
          <w:sz w:val="22"/>
          <w:szCs w:val="22"/>
        </w:rPr>
        <w:t>sociétale :</w:t>
      </w:r>
    </w:p>
    <w:p w14:paraId="78D5F365" w14:textId="77777777" w:rsidR="007C5DB8" w:rsidRPr="00E2052F" w:rsidRDefault="007C5DB8" w:rsidP="00F36332">
      <w:pPr>
        <w:pStyle w:val="NormalWeb"/>
        <w:numPr>
          <w:ilvl w:val="0"/>
          <w:numId w:val="162"/>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L’interrelation ;</w:t>
      </w:r>
    </w:p>
    <w:p w14:paraId="42E75A89" w14:textId="77777777" w:rsidR="007C5DB8" w:rsidRPr="00E2052F" w:rsidRDefault="007C5DB8" w:rsidP="00F36332">
      <w:pPr>
        <w:pStyle w:val="NormalWeb"/>
        <w:numPr>
          <w:ilvl w:val="0"/>
          <w:numId w:val="162"/>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L’interaction ;</w:t>
      </w:r>
    </w:p>
    <w:p w14:paraId="40890DEA" w14:textId="77777777" w:rsidR="007C5DB8" w:rsidRPr="00E2052F" w:rsidRDefault="007C5DB8" w:rsidP="00F36332">
      <w:pPr>
        <w:pStyle w:val="NormalWeb"/>
        <w:numPr>
          <w:ilvl w:val="0"/>
          <w:numId w:val="162"/>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sz w:val="22"/>
          <w:szCs w:val="22"/>
        </w:rPr>
        <w:t>l’interdépendance.</w:t>
      </w:r>
    </w:p>
    <w:p w14:paraId="64E7A32C" w14:textId="77777777" w:rsidR="007C5DB8" w:rsidRPr="00E2052F" w:rsidRDefault="007C5DB8" w:rsidP="00F36332">
      <w:pPr>
        <w:pStyle w:val="Titre4"/>
        <w:numPr>
          <w:ilvl w:val="0"/>
          <w:numId w:val="191"/>
        </w:numPr>
        <w:spacing w:before="100"/>
        <w:ind w:left="1134" w:hanging="567"/>
        <w:rPr>
          <w:rFonts w:asciiTheme="majorBidi" w:hAnsiTheme="majorBidi"/>
          <w:b w:val="0"/>
          <w:bCs w:val="0"/>
          <w:color w:val="auto"/>
          <w:sz w:val="22"/>
        </w:rPr>
      </w:pPr>
      <w:bookmarkStart w:id="1147" w:name="_Toc231746936"/>
      <w:bookmarkStart w:id="1148" w:name="_Toc231752342"/>
      <w:bookmarkStart w:id="1149" w:name="_Toc231810645"/>
      <w:bookmarkStart w:id="1150" w:name="_Toc231811988"/>
      <w:bookmarkStart w:id="1151" w:name="_Toc231812266"/>
      <w:bookmarkStart w:id="1152" w:name="_Toc231815150"/>
      <w:r w:rsidRPr="00E2052F">
        <w:rPr>
          <w:rStyle w:val="Titre4Car"/>
          <w:rFonts w:asciiTheme="majorBidi" w:hAnsiTheme="majorBidi"/>
          <w:b/>
          <w:bCs/>
          <w:color w:val="auto"/>
          <w:sz w:val="22"/>
        </w:rPr>
        <w:t>Les objectifs de la RISSE</w:t>
      </w:r>
      <w:r w:rsidRPr="00E2052F">
        <w:rPr>
          <w:rFonts w:asciiTheme="majorBidi" w:hAnsiTheme="majorBidi"/>
          <w:b w:val="0"/>
          <w:bCs w:val="0"/>
          <w:color w:val="auto"/>
          <w:sz w:val="22"/>
        </w:rPr>
        <w:t> :</w:t>
      </w:r>
      <w:bookmarkEnd w:id="1147"/>
      <w:bookmarkEnd w:id="1148"/>
      <w:bookmarkEnd w:id="1149"/>
      <w:bookmarkEnd w:id="1150"/>
      <w:bookmarkEnd w:id="1151"/>
      <w:bookmarkEnd w:id="1152"/>
    </w:p>
    <w:p w14:paraId="256BAEA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Les objectifs de la RISSE s’inscrivent dans une logique de développement pérenne et concernent trois grands domaines : l’humain, l’animal et la nature. Ils reposent sur :</w:t>
      </w:r>
    </w:p>
    <w:p w14:paraId="2F18AE3D"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Le respect de l’environnement global</w:t>
      </w:r>
      <w:r w:rsidRPr="00E2052F">
        <w:rPr>
          <w:rStyle w:val="Appelnotedebasdep"/>
          <w:rFonts w:asciiTheme="majorBidi" w:hAnsiTheme="majorBidi" w:cstheme="majorBidi"/>
          <w:sz w:val="22"/>
          <w:szCs w:val="22"/>
        </w:rPr>
        <w:footnoteReference w:id="257"/>
      </w:r>
      <w:r w:rsidRPr="00E2052F">
        <w:rPr>
          <w:rFonts w:asciiTheme="majorBidi" w:hAnsiTheme="majorBidi" w:cstheme="majorBidi"/>
          <w:sz w:val="22"/>
          <w:szCs w:val="22"/>
        </w:rPr>
        <w:t> ;</w:t>
      </w:r>
    </w:p>
    <w:p w14:paraId="60E12503"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Le respect des étapes du développement pérenne</w:t>
      </w:r>
      <w:r w:rsidRPr="00E2052F">
        <w:rPr>
          <w:rStyle w:val="Appelnotedebasdep"/>
          <w:rFonts w:asciiTheme="majorBidi" w:hAnsiTheme="majorBidi" w:cstheme="majorBidi"/>
          <w:sz w:val="22"/>
          <w:szCs w:val="22"/>
        </w:rPr>
        <w:footnoteReference w:id="258"/>
      </w:r>
      <w:r w:rsidRPr="00E2052F">
        <w:rPr>
          <w:rFonts w:asciiTheme="majorBidi" w:hAnsiTheme="majorBidi" w:cstheme="majorBidi"/>
          <w:sz w:val="22"/>
          <w:szCs w:val="22"/>
        </w:rPr>
        <w:t> ;</w:t>
      </w:r>
    </w:p>
    <w:p w14:paraId="3855CF8A"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lastRenderedPageBreak/>
        <w:t>Le respect des conditions de vie socio-sociétales ;</w:t>
      </w:r>
    </w:p>
    <w:p w14:paraId="4F07A6BE"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Le respect du triptyque acceptabilité – adaptation – considération ;</w:t>
      </w:r>
    </w:p>
    <w:p w14:paraId="7394970B"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Le respect des objectifs du développement durable ;</w:t>
      </w:r>
    </w:p>
    <w:p w14:paraId="267380E7"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La promotion de l’humain, de l’écologie et de la durabilité.</w:t>
      </w:r>
    </w:p>
    <w:p w14:paraId="3824D3C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Enfin, selon la norme ISO 26000, la RISSE couvre plusieurs domaines essentiels :</w:t>
      </w:r>
    </w:p>
    <w:p w14:paraId="77DDDD39"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Environnement social et sociétal ;</w:t>
      </w:r>
    </w:p>
    <w:p w14:paraId="157CC2AE"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Gouvernance de l’entreprise ;</w:t>
      </w:r>
    </w:p>
    <w:p w14:paraId="6E454122"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Pratiques de gestion responsables ;</w:t>
      </w:r>
    </w:p>
    <w:p w14:paraId="71E0B0D5"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Développement des communautés ;</w:t>
      </w:r>
    </w:p>
    <w:p w14:paraId="53ECC268"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Droits de l’Homme ;</w:t>
      </w:r>
    </w:p>
    <w:p w14:paraId="3CEAE054"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Relations et conditions de travail ;</w:t>
      </w:r>
    </w:p>
    <w:p w14:paraId="19ACDA79" w14:textId="77777777" w:rsidR="007C5DB8" w:rsidRPr="00E2052F" w:rsidRDefault="007C5DB8" w:rsidP="00F36332">
      <w:pPr>
        <w:pStyle w:val="NormalWeb"/>
        <w:numPr>
          <w:ilvl w:val="0"/>
          <w:numId w:val="163"/>
        </w:numPr>
        <w:spacing w:before="0" w:beforeAutospacing="0" w:line="360" w:lineRule="auto"/>
        <w:ind w:left="0" w:firstLine="284"/>
        <w:rPr>
          <w:rFonts w:asciiTheme="majorBidi" w:hAnsiTheme="majorBidi" w:cstheme="majorBidi"/>
          <w:sz w:val="22"/>
          <w:szCs w:val="22"/>
        </w:rPr>
      </w:pPr>
      <w:r w:rsidRPr="00E2052F">
        <w:rPr>
          <w:rFonts w:asciiTheme="majorBidi" w:hAnsiTheme="majorBidi" w:cstheme="majorBidi"/>
          <w:sz w:val="22"/>
          <w:szCs w:val="22"/>
        </w:rPr>
        <w:t>Relations avec les consommateurs.</w:t>
      </w:r>
    </w:p>
    <w:p w14:paraId="1746134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RISSE constitue une approche intégrée de la responsabilité des entreprises, combinant dimensions sociale, sociétale et environnementale dans une logique de développement pérenne. Elle repose sur l’engagement actif des entreprises et de leurs parties prenantes, fondé sur des principes d’interdépendance, d’interaction et de motivation. À travers cette dynamique, elle vise à garantir le bien-être de l’Homme, de l’animal et de la nature. Ainsi, la RISSE s’impose comme un cadre global orienté vers une performance durable et responsable.</w:t>
      </w:r>
    </w:p>
    <w:p w14:paraId="765E2A8F" w14:textId="77777777" w:rsidR="007C5DB8" w:rsidRPr="00E2052F" w:rsidRDefault="007C5DB8" w:rsidP="00F36332">
      <w:pPr>
        <w:pStyle w:val="Titre2"/>
        <w:numPr>
          <w:ilvl w:val="0"/>
          <w:numId w:val="219"/>
        </w:numPr>
        <w:rPr>
          <w:rFonts w:eastAsia="Times New Roman"/>
          <w:lang w:eastAsia="fr-FR"/>
        </w:rPr>
      </w:pPr>
      <w:bookmarkStart w:id="1153" w:name="_Toc231746937"/>
      <w:bookmarkStart w:id="1154" w:name="_Toc231752343"/>
      <w:bookmarkStart w:id="1155" w:name="_Toc231810646"/>
      <w:bookmarkStart w:id="1156" w:name="_Toc231811989"/>
      <w:bookmarkStart w:id="1157" w:name="_Toc231812267"/>
      <w:bookmarkStart w:id="1158" w:name="_Toc231815151"/>
      <w:r w:rsidRPr="00E2052F">
        <w:t>La responsabilité sociale des entreprises entre adhésion et constatation</w:t>
      </w:r>
      <w:r w:rsidRPr="00E2052F">
        <w:rPr>
          <w:rFonts w:eastAsia="Times New Roman"/>
          <w:lang w:eastAsia="fr-FR"/>
        </w:rPr>
        <w:t> :</w:t>
      </w:r>
      <w:bookmarkEnd w:id="1153"/>
      <w:bookmarkEnd w:id="1154"/>
      <w:bookmarkEnd w:id="1155"/>
      <w:bookmarkEnd w:id="1156"/>
      <w:bookmarkEnd w:id="1157"/>
      <w:bookmarkEnd w:id="1158"/>
    </w:p>
    <w:p w14:paraId="1593B0C1" w14:textId="77777777" w:rsidR="007C5DB8" w:rsidRPr="00E2052F" w:rsidRDefault="007C5DB8" w:rsidP="00F36332">
      <w:pPr>
        <w:pStyle w:val="Titre3"/>
        <w:numPr>
          <w:ilvl w:val="1"/>
          <w:numId w:val="219"/>
        </w:numPr>
        <w:spacing w:before="0" w:beforeAutospacing="0" w:after="160"/>
        <w:ind w:left="0" w:firstLine="284"/>
        <w:jc w:val="left"/>
        <w:rPr>
          <w:rFonts w:asciiTheme="majorBidi" w:eastAsia="Times New Roman" w:hAnsiTheme="majorBidi"/>
          <w:color w:val="auto"/>
          <w:sz w:val="22"/>
          <w:lang w:eastAsia="fr-FR"/>
        </w:rPr>
      </w:pPr>
      <w:bookmarkStart w:id="1159" w:name="_Toc231746938"/>
      <w:bookmarkStart w:id="1160" w:name="_Toc231752344"/>
      <w:bookmarkStart w:id="1161" w:name="_Toc231810647"/>
      <w:bookmarkStart w:id="1162" w:name="_Toc231811990"/>
      <w:bookmarkStart w:id="1163" w:name="_Toc231812268"/>
      <w:bookmarkStart w:id="1164" w:name="_Toc231815152"/>
      <w:r w:rsidRPr="00E2052F">
        <w:rPr>
          <w:rFonts w:asciiTheme="majorBidi" w:eastAsia="Times New Roman" w:hAnsiTheme="majorBidi"/>
          <w:color w:val="auto"/>
          <w:sz w:val="22"/>
          <w:lang w:eastAsia="fr-FR"/>
        </w:rPr>
        <w:t>La responsabilité sociale des entreprises comme adhésion volontaire :</w:t>
      </w:r>
      <w:bookmarkEnd w:id="1159"/>
      <w:bookmarkEnd w:id="1160"/>
      <w:bookmarkEnd w:id="1161"/>
      <w:bookmarkEnd w:id="1162"/>
      <w:bookmarkEnd w:id="1163"/>
      <w:bookmarkEnd w:id="1164"/>
    </w:p>
    <w:p w14:paraId="5DF098E1"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RSE est souvent considérée comme une démarche d’adhésion volontaire des entreprises à des valeurs sociales et environnementales. Elle traduit une volonté stratégique et éthique d’intégrer des préoccupations sociétales dans la gestion de l’entreprise. Dans cette logique, Porter et Kramer affirment que certaines entreprises adoptent la RSE afin de créer de la valeur partagée entre performance économique et progrès social</w:t>
      </w:r>
      <w:r w:rsidRPr="00E2052F">
        <w:rPr>
          <w:rStyle w:val="Appelnotedebasdep"/>
          <w:rFonts w:asciiTheme="majorBidi" w:hAnsiTheme="majorBidi" w:cstheme="majorBidi"/>
          <w:sz w:val="22"/>
          <w:szCs w:val="22"/>
        </w:rPr>
        <w:footnoteReference w:id="259"/>
      </w:r>
      <w:r w:rsidRPr="00E2052F">
        <w:rPr>
          <w:rFonts w:asciiTheme="majorBidi" w:hAnsiTheme="majorBidi" w:cstheme="majorBidi"/>
          <w:sz w:val="22"/>
          <w:szCs w:val="22"/>
        </w:rPr>
        <w:t xml:space="preserve">. Cette approche montre que la RSE peut être un choix volontaire et stratégique. De même, Carroll souligne que la dimension éthique de la RSE repose sur des </w:t>
      </w:r>
      <w:r w:rsidRPr="00E2052F">
        <w:rPr>
          <w:rFonts w:asciiTheme="majorBidi" w:hAnsiTheme="majorBidi" w:cstheme="majorBidi"/>
          <w:sz w:val="22"/>
          <w:szCs w:val="22"/>
        </w:rPr>
        <w:lastRenderedPageBreak/>
        <w:t>responsabilités morales qui dépassent les obligations légales. Cela renforce l’idée d’une adhésion volontaire fondée sur des valeurs.</w:t>
      </w:r>
    </w:p>
    <w:p w14:paraId="7225D57D" w14:textId="77777777" w:rsidR="007C5DB8" w:rsidRPr="00E2052F" w:rsidRDefault="007C5DB8" w:rsidP="00F36332">
      <w:pPr>
        <w:pStyle w:val="Titre3"/>
        <w:numPr>
          <w:ilvl w:val="1"/>
          <w:numId w:val="219"/>
        </w:numPr>
        <w:spacing w:before="0" w:beforeAutospacing="0" w:after="160"/>
        <w:ind w:left="0" w:firstLine="284"/>
        <w:jc w:val="left"/>
        <w:rPr>
          <w:rFonts w:asciiTheme="majorBidi" w:hAnsiTheme="majorBidi"/>
          <w:color w:val="auto"/>
          <w:sz w:val="22"/>
        </w:rPr>
      </w:pPr>
      <w:bookmarkStart w:id="1165" w:name="_Toc231746939"/>
      <w:bookmarkStart w:id="1166" w:name="_Toc231752345"/>
      <w:bookmarkStart w:id="1167" w:name="_Toc231810648"/>
      <w:bookmarkStart w:id="1168" w:name="_Toc231811991"/>
      <w:bookmarkStart w:id="1169" w:name="_Toc231812269"/>
      <w:bookmarkStart w:id="1170" w:name="_Toc231815153"/>
      <w:r w:rsidRPr="00E2052F">
        <w:rPr>
          <w:rFonts w:asciiTheme="majorBidi" w:hAnsiTheme="majorBidi"/>
          <w:color w:val="auto"/>
          <w:sz w:val="22"/>
        </w:rPr>
        <w:t>La responsabilité sociale des entreprises comme constatation de pressions externes :</w:t>
      </w:r>
      <w:bookmarkEnd w:id="1165"/>
      <w:bookmarkEnd w:id="1166"/>
      <w:bookmarkEnd w:id="1167"/>
      <w:bookmarkEnd w:id="1168"/>
      <w:bookmarkEnd w:id="1169"/>
      <w:bookmarkEnd w:id="1170"/>
    </w:p>
    <w:p w14:paraId="307C0FE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À l’inverse, la RSE peut être interprétée comme une réponse aux pressions de l’environnement institutionnel plutôt que comme un choix libre. Selon DiMaggio et Powell, les entreprises adoptent certaines pratiques, dont la RSE, sous l’effet de pressions coercitives, normatives et mimétique</w:t>
      </w:r>
      <w:r w:rsidRPr="00E2052F">
        <w:rPr>
          <w:rStyle w:val="Appelnotedebasdep"/>
          <w:rFonts w:asciiTheme="majorBidi" w:hAnsiTheme="majorBidi" w:cstheme="majorBidi"/>
          <w:sz w:val="22"/>
          <w:szCs w:val="22"/>
        </w:rPr>
        <w:footnoteReference w:id="260"/>
      </w:r>
      <w:r w:rsidRPr="00E2052F">
        <w:rPr>
          <w:rFonts w:asciiTheme="majorBidi" w:hAnsiTheme="majorBidi" w:cstheme="majorBidi"/>
          <w:sz w:val="22"/>
          <w:szCs w:val="22"/>
        </w:rPr>
        <w:t>. Ainsi, la RSE peut être une adaptation aux exigences du contexte plutôt qu’une initiative volontaire. Matten et Moon montrent également que dans certains pays, la RSE est « implicite », c’est-à-dire intégrée indirectement à travers les institutions et les normes sociales</w:t>
      </w:r>
      <w:r w:rsidRPr="00E2052F">
        <w:rPr>
          <w:rStyle w:val="Appelnotedebasdep"/>
          <w:rFonts w:asciiTheme="majorBidi" w:hAnsiTheme="majorBidi" w:cstheme="majorBidi"/>
          <w:sz w:val="22"/>
          <w:szCs w:val="22"/>
        </w:rPr>
        <w:footnoteReference w:id="261"/>
      </w:r>
      <w:r w:rsidRPr="00E2052F">
        <w:rPr>
          <w:rFonts w:asciiTheme="majorBidi" w:hAnsiTheme="majorBidi" w:cstheme="majorBidi"/>
          <w:sz w:val="22"/>
          <w:szCs w:val="22"/>
        </w:rPr>
        <w:t>. Par ailleurs, le phénomène de greenwashing illustre le fait que certaines entreprises utilisent la RSE comme outil de communication sans transformation réelle de leurs pratiques</w:t>
      </w:r>
      <w:r w:rsidRPr="00E2052F">
        <w:rPr>
          <w:rStyle w:val="Appelnotedebasdep"/>
          <w:rFonts w:asciiTheme="majorBidi" w:hAnsiTheme="majorBidi" w:cstheme="majorBidi"/>
          <w:sz w:val="22"/>
          <w:szCs w:val="22"/>
        </w:rPr>
        <w:footnoteReference w:id="262"/>
      </w:r>
      <w:r w:rsidRPr="00E2052F">
        <w:rPr>
          <w:rFonts w:asciiTheme="majorBidi" w:hAnsiTheme="majorBidi" w:cstheme="majorBidi"/>
          <w:sz w:val="22"/>
          <w:szCs w:val="22"/>
        </w:rPr>
        <w:t>.</w:t>
      </w:r>
    </w:p>
    <w:p w14:paraId="2279DAC5" w14:textId="77777777" w:rsidR="007C5DB8" w:rsidRPr="00E2052F" w:rsidRDefault="007C5DB8" w:rsidP="00F36332">
      <w:pPr>
        <w:pStyle w:val="NormalWeb"/>
        <w:numPr>
          <w:ilvl w:val="1"/>
          <w:numId w:val="219"/>
        </w:numPr>
        <w:spacing w:before="0" w:beforeAutospacing="0" w:line="360" w:lineRule="auto"/>
        <w:ind w:left="0" w:firstLine="284"/>
        <w:rPr>
          <w:rFonts w:asciiTheme="majorBidi" w:hAnsiTheme="majorBidi" w:cstheme="majorBidi"/>
          <w:b/>
          <w:bCs/>
          <w:sz w:val="22"/>
          <w:szCs w:val="22"/>
        </w:rPr>
      </w:pPr>
      <w:bookmarkStart w:id="1171" w:name="_Toc231746940"/>
      <w:bookmarkStart w:id="1172" w:name="_Toc231752346"/>
      <w:bookmarkStart w:id="1173" w:name="_Toc231810649"/>
      <w:bookmarkStart w:id="1174" w:name="_Toc231811992"/>
      <w:bookmarkStart w:id="1175" w:name="_Toc231812270"/>
      <w:bookmarkStart w:id="1176" w:name="_Toc231815154"/>
      <w:r w:rsidRPr="00E2052F">
        <w:rPr>
          <w:rStyle w:val="Titre3Car"/>
          <w:rFonts w:asciiTheme="majorBidi" w:hAnsiTheme="majorBidi"/>
          <w:color w:val="auto"/>
          <w:sz w:val="22"/>
          <w:szCs w:val="22"/>
        </w:rPr>
        <w:t>Une réalité hybride entre adhésion et constatation</w:t>
      </w:r>
      <w:bookmarkEnd w:id="1171"/>
      <w:bookmarkEnd w:id="1172"/>
      <w:bookmarkEnd w:id="1173"/>
      <w:bookmarkEnd w:id="1174"/>
      <w:bookmarkEnd w:id="1175"/>
      <w:bookmarkEnd w:id="1176"/>
      <w:r w:rsidRPr="00E2052F">
        <w:rPr>
          <w:rFonts w:asciiTheme="majorBidi" w:hAnsiTheme="majorBidi" w:cstheme="majorBidi"/>
          <w:b/>
          <w:bCs/>
          <w:sz w:val="22"/>
          <w:szCs w:val="22"/>
        </w:rPr>
        <w:t> :</w:t>
      </w:r>
    </w:p>
    <w:p w14:paraId="37CA7B9A"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RSE ne peut être réduite à une seule logique. Elle résulte souvent d’une combinaison entre engagement volontaire et pressWion externe. Aguilera et al. </w:t>
      </w:r>
      <w:r w:rsidR="00684EA9" w:rsidRPr="00E2052F">
        <w:rPr>
          <w:rFonts w:asciiTheme="majorBidi" w:hAnsiTheme="majorBidi" w:cstheme="majorBidi"/>
          <w:sz w:val="22"/>
          <w:szCs w:val="22"/>
        </w:rPr>
        <w:t>Montrent</w:t>
      </w:r>
      <w:r w:rsidRPr="00E2052F">
        <w:rPr>
          <w:rFonts w:asciiTheme="majorBidi" w:hAnsiTheme="majorBidi" w:cstheme="majorBidi"/>
          <w:sz w:val="22"/>
          <w:szCs w:val="22"/>
        </w:rPr>
        <w:t xml:space="preserve"> que les motivations des entreprises sont multiples : économiques, relationnelles et normatives</w:t>
      </w:r>
      <w:r w:rsidRPr="00E2052F">
        <w:rPr>
          <w:rStyle w:val="Appelnotedebasdep"/>
          <w:rFonts w:asciiTheme="majorBidi" w:hAnsiTheme="majorBidi" w:cstheme="majorBidi"/>
          <w:sz w:val="22"/>
          <w:szCs w:val="22"/>
        </w:rPr>
        <w:footnoteReference w:id="263"/>
      </w:r>
      <w:r w:rsidRPr="00E2052F">
        <w:rPr>
          <w:rFonts w:asciiTheme="majorBidi" w:hAnsiTheme="majorBidi" w:cstheme="majorBidi"/>
          <w:sz w:val="22"/>
          <w:szCs w:val="22"/>
        </w:rPr>
        <w:t>. Cette diversité explique pourquoi la RSE évolue d’une simple conformité vers une véritable intégration stratégique.</w:t>
      </w:r>
    </w:p>
    <w:p w14:paraId="6DF49A16"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RSE se situe entre deux dynamiques : une adhésion volontaire basée sur des valeurs et une constatation des pressions institutionnelles et sociales. En réalité, elle représente un processus évolutif où les entreprises passent progressivement de la contrainte à l’engagement stratégique.</w:t>
      </w:r>
    </w:p>
    <w:p w14:paraId="5BC82159" w14:textId="77777777" w:rsidR="007C5DB8" w:rsidRPr="00E2052F" w:rsidRDefault="007C5DB8" w:rsidP="00F36332">
      <w:pPr>
        <w:pStyle w:val="Titre2"/>
        <w:numPr>
          <w:ilvl w:val="0"/>
          <w:numId w:val="219"/>
        </w:numPr>
      </w:pPr>
      <w:bookmarkStart w:id="1177" w:name="_Toc231746941"/>
      <w:bookmarkStart w:id="1178" w:name="_Toc231752347"/>
      <w:bookmarkStart w:id="1179" w:name="_Toc231810650"/>
      <w:bookmarkStart w:id="1180" w:name="_Toc231811993"/>
      <w:bookmarkStart w:id="1181" w:name="_Toc231812271"/>
      <w:bookmarkStart w:id="1182" w:name="_Toc231815155"/>
      <w:r w:rsidRPr="00E2052F">
        <w:t>La relation entre la responsabilité sociale des entreprises et la gouvernance d’entreprise :</w:t>
      </w:r>
      <w:bookmarkEnd w:id="1177"/>
      <w:bookmarkEnd w:id="1178"/>
      <w:bookmarkEnd w:id="1179"/>
      <w:bookmarkEnd w:id="1180"/>
      <w:bookmarkEnd w:id="1181"/>
      <w:bookmarkEnd w:id="1182"/>
    </w:p>
    <w:p w14:paraId="27B427C7"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La relation entre la Responsabilité Sociale des Entreprises et la gouvernance d’entreprise est aujourd’hui un enjeu central dans l’évolution des organisations, car ces deux concepts autrefois distincts sont désormais étroitement liés. La gouvernance, initialement centrée sur le contrôle et la maximisation de la valeur pour les actionnaires, s’est élargie sous l’influence de la RSE qui introduit des dimensions sociales, environnementales et économiques dans la prise de décision. Ainsi, une gouvernance efficace ne se limite plus à la conformité réglementaire, mais permet aussi d’anticiper les évolutions législatives liées à la RSE et de l’intégrer dans la stratégie globale de l’entreprise, tout en favorisant l’innovation </w:t>
      </w:r>
      <w:r w:rsidRPr="00E2052F">
        <w:rPr>
          <w:rFonts w:asciiTheme="majorBidi" w:hAnsiTheme="majorBidi" w:cstheme="majorBidi"/>
          <w:sz w:val="22"/>
          <w:szCs w:val="22"/>
        </w:rPr>
        <w:lastRenderedPageBreak/>
        <w:t>durable et la création de produits et services responsables. Par ailleurs, l’évolution des approches de gouvernance montre que l’approche actionnariale tend à marginaliser la RSE, tandis que l’approche partenariale, de plus en plus dominante, valorise la prise en compte des parties prenantes pour assurer une création de valeur durable. Dans ce contexte, la RSE devient un élément essentiel de la gouvernance, influençant le rôle et la composition du conseil d’administration, ce qui confirme leur complémentarité et leur forte interdépendance.</w:t>
      </w:r>
    </w:p>
    <w:p w14:paraId="4566CBF8" w14:textId="77777777" w:rsidR="007C5DB8" w:rsidRPr="00E2052F" w:rsidRDefault="007C5DB8" w:rsidP="00F36332">
      <w:pPr>
        <w:pStyle w:val="NormalWeb"/>
        <w:numPr>
          <w:ilvl w:val="1"/>
          <w:numId w:val="219"/>
        </w:numPr>
        <w:spacing w:before="0" w:beforeAutospacing="0" w:line="360" w:lineRule="auto"/>
        <w:ind w:left="0" w:firstLine="284"/>
        <w:rPr>
          <w:rFonts w:asciiTheme="majorBidi" w:hAnsiTheme="majorBidi" w:cstheme="majorBidi"/>
          <w:b/>
          <w:bCs/>
          <w:sz w:val="22"/>
          <w:szCs w:val="22"/>
        </w:rPr>
      </w:pPr>
      <w:bookmarkStart w:id="1183" w:name="_Toc231746942"/>
      <w:bookmarkStart w:id="1184" w:name="_Toc231752348"/>
      <w:bookmarkStart w:id="1185" w:name="_Toc231810651"/>
      <w:bookmarkStart w:id="1186" w:name="_Toc231811994"/>
      <w:bookmarkStart w:id="1187" w:name="_Toc231812272"/>
      <w:bookmarkStart w:id="1188" w:name="_Toc231815156"/>
      <w:r w:rsidRPr="00E2052F">
        <w:rPr>
          <w:rStyle w:val="Titre3Car"/>
          <w:rFonts w:asciiTheme="majorBidi" w:hAnsiTheme="majorBidi"/>
          <w:color w:val="auto"/>
          <w:sz w:val="22"/>
          <w:szCs w:val="22"/>
        </w:rPr>
        <w:t>La convergence conceptuelle entre La responsabilité sociale et gouvernance d’entreprise</w:t>
      </w:r>
      <w:bookmarkEnd w:id="1183"/>
      <w:bookmarkEnd w:id="1184"/>
      <w:bookmarkEnd w:id="1185"/>
      <w:bookmarkEnd w:id="1186"/>
      <w:bookmarkEnd w:id="1187"/>
      <w:bookmarkEnd w:id="1188"/>
      <w:r w:rsidRPr="00E2052F">
        <w:rPr>
          <w:rFonts w:asciiTheme="majorBidi" w:hAnsiTheme="majorBidi" w:cstheme="majorBidi"/>
          <w:b/>
          <w:bCs/>
          <w:sz w:val="22"/>
          <w:szCs w:val="22"/>
        </w:rPr>
        <w:t> :</w:t>
      </w:r>
    </w:p>
    <w:p w14:paraId="13ABB84C" w14:textId="77777777" w:rsidR="007C5DB8" w:rsidRPr="00E2052F" w:rsidRDefault="007C5DB8" w:rsidP="00F36332">
      <w:pPr>
        <w:pStyle w:val="Titre4"/>
        <w:numPr>
          <w:ilvl w:val="3"/>
          <w:numId w:val="192"/>
        </w:numPr>
        <w:spacing w:before="100"/>
        <w:ind w:left="1134" w:hanging="567"/>
        <w:rPr>
          <w:rFonts w:asciiTheme="majorBidi" w:hAnsiTheme="majorBidi"/>
          <w:b w:val="0"/>
          <w:bCs w:val="0"/>
          <w:sz w:val="22"/>
        </w:rPr>
      </w:pPr>
      <w:bookmarkStart w:id="1189" w:name="_Toc231746943"/>
      <w:bookmarkStart w:id="1190" w:name="_Toc231752349"/>
      <w:bookmarkStart w:id="1191" w:name="_Toc231810652"/>
      <w:bookmarkStart w:id="1192" w:name="_Toc231811995"/>
      <w:bookmarkStart w:id="1193" w:name="_Toc231812273"/>
      <w:bookmarkStart w:id="1194" w:name="_Toc231815157"/>
      <w:r w:rsidRPr="00E2052F">
        <w:rPr>
          <w:rStyle w:val="Titre4Car"/>
          <w:rFonts w:asciiTheme="majorBidi" w:hAnsiTheme="majorBidi"/>
          <w:b/>
          <w:bCs/>
          <w:color w:val="auto"/>
          <w:sz w:val="22"/>
        </w:rPr>
        <w:t>Du modèle actionnarial au modèle partenarial</w:t>
      </w:r>
      <w:r w:rsidRPr="00E2052F">
        <w:rPr>
          <w:rFonts w:asciiTheme="majorBidi" w:hAnsiTheme="majorBidi"/>
          <w:b w:val="0"/>
          <w:bCs w:val="0"/>
          <w:color w:val="auto"/>
          <w:sz w:val="22"/>
        </w:rPr>
        <w:t> :</w:t>
      </w:r>
      <w:bookmarkEnd w:id="1189"/>
      <w:bookmarkEnd w:id="1190"/>
      <w:bookmarkEnd w:id="1191"/>
      <w:bookmarkEnd w:id="1192"/>
      <w:bookmarkEnd w:id="1193"/>
      <w:bookmarkEnd w:id="1194"/>
    </w:p>
    <w:p w14:paraId="3DC9EEDC" w14:textId="77777777" w:rsidR="007C5DB8" w:rsidRPr="00E2052F" w:rsidRDefault="007C5DB8" w:rsidP="00F36332">
      <w:pPr>
        <w:pStyle w:val="Titre5"/>
        <w:numPr>
          <w:ilvl w:val="3"/>
          <w:numId w:val="169"/>
        </w:numPr>
        <w:spacing w:before="0" w:after="160" w:line="360" w:lineRule="auto"/>
        <w:ind w:left="1702" w:hanging="851"/>
        <w:rPr>
          <w:rFonts w:asciiTheme="majorBidi" w:hAnsiTheme="majorBidi"/>
          <w:b/>
          <w:bCs/>
          <w:color w:val="auto"/>
        </w:rPr>
      </w:pPr>
      <w:bookmarkStart w:id="1195" w:name="_Toc231746944"/>
      <w:bookmarkStart w:id="1196" w:name="_Toc231752350"/>
      <w:bookmarkStart w:id="1197" w:name="_Toc231810653"/>
      <w:bookmarkStart w:id="1198" w:name="_Toc231811996"/>
      <w:bookmarkStart w:id="1199" w:name="_Toc231812274"/>
      <w:bookmarkStart w:id="1200" w:name="_Toc231815158"/>
      <w:r w:rsidRPr="00E2052F">
        <w:rPr>
          <w:rFonts w:asciiTheme="majorBidi" w:hAnsiTheme="majorBidi"/>
          <w:b/>
          <w:bCs/>
          <w:color w:val="auto"/>
        </w:rPr>
        <w:t xml:space="preserve">La responsabilité sociale des entreprises et </w:t>
      </w:r>
      <w:r w:rsidR="00684EA9" w:rsidRPr="00E2052F">
        <w:rPr>
          <w:rFonts w:asciiTheme="majorBidi" w:hAnsiTheme="majorBidi"/>
          <w:b/>
          <w:bCs/>
          <w:color w:val="auto"/>
        </w:rPr>
        <w:t>la gouvernance</w:t>
      </w:r>
      <w:r w:rsidRPr="00E2052F">
        <w:rPr>
          <w:rFonts w:asciiTheme="majorBidi" w:hAnsiTheme="majorBidi"/>
          <w:b/>
          <w:bCs/>
          <w:color w:val="auto"/>
        </w:rPr>
        <w:t xml:space="preserve"> actionnariale :</w:t>
      </w:r>
      <w:bookmarkEnd w:id="1195"/>
      <w:bookmarkEnd w:id="1196"/>
      <w:bookmarkEnd w:id="1197"/>
      <w:bookmarkEnd w:id="1198"/>
      <w:bookmarkEnd w:id="1199"/>
      <w:bookmarkEnd w:id="1200"/>
    </w:p>
    <w:p w14:paraId="06DD510E" w14:textId="77777777" w:rsidR="007C5DB8" w:rsidRPr="00E2052F" w:rsidRDefault="007C5DB8" w:rsidP="003D28B1">
      <w:pPr>
        <w:pStyle w:val="NormalWeb"/>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Le modèle actionnarial de la gouvernance d’entreprise repose sur l’objectif principal de maximisation de la richesse des actionnaires, conformément à la théorie de Friedman (1962, 1970). Dans cette perspective, la mission des dirigeants est de réduire les coûts d’agence et de limiter les comportements opportunistes afin de protéger les intérêts des propriétaires du capital. La RSE est alors souvent perçue comme secondaire, voire risquée, car elle peut engendrer des coûts supplémentaires et détourner l’entreprise de sa finalité principale de profit. Toutefois, cette vision a évolué, car il apparaît que des pratiques responsables peuvent aussi être intégrées dans une logique de performance, notamment à travers des codes d’éthique et des mécanismes de bonne gouvernance. Ainsi, même dans le modèle actionnarial, la RSE peut être mobilisée comme un outil permettant de renforcer la confiance, de réduire les conflits d’intérêts et d’améliorer l’image de l’entreprise, tout en restant alignée avec l’objectif de création de valeur pour les actionnaires.</w:t>
      </w:r>
    </w:p>
    <w:p w14:paraId="737B4579" w14:textId="77777777" w:rsidR="007C5DB8" w:rsidRPr="00E2052F" w:rsidRDefault="007C5DB8" w:rsidP="00F36332">
      <w:pPr>
        <w:pStyle w:val="NormalWeb"/>
        <w:numPr>
          <w:ilvl w:val="3"/>
          <w:numId w:val="169"/>
        </w:numPr>
        <w:spacing w:before="0" w:beforeAutospacing="0" w:line="360" w:lineRule="auto"/>
        <w:ind w:left="1702" w:hanging="851"/>
        <w:rPr>
          <w:rFonts w:asciiTheme="majorBidi" w:hAnsiTheme="majorBidi" w:cstheme="majorBidi"/>
          <w:b/>
          <w:bCs/>
          <w:sz w:val="22"/>
          <w:szCs w:val="22"/>
        </w:rPr>
      </w:pPr>
      <w:bookmarkStart w:id="1201" w:name="_Toc231746945"/>
      <w:bookmarkStart w:id="1202" w:name="_Toc231752351"/>
      <w:bookmarkStart w:id="1203" w:name="_Toc231810654"/>
      <w:bookmarkStart w:id="1204" w:name="_Toc231811997"/>
      <w:bookmarkStart w:id="1205" w:name="_Toc231812275"/>
      <w:bookmarkStart w:id="1206" w:name="_Toc231815159"/>
      <w:r w:rsidRPr="00E2052F">
        <w:rPr>
          <w:rStyle w:val="Titre5Car"/>
          <w:rFonts w:asciiTheme="majorBidi" w:hAnsiTheme="majorBidi"/>
          <w:b/>
          <w:bCs/>
          <w:color w:val="auto"/>
          <w:sz w:val="22"/>
          <w:szCs w:val="22"/>
        </w:rPr>
        <w:t>La responsabilité</w:t>
      </w:r>
      <w:r w:rsidR="00684EA9" w:rsidRPr="00E2052F">
        <w:rPr>
          <w:rStyle w:val="Titre5Car"/>
          <w:rFonts w:asciiTheme="majorBidi" w:hAnsiTheme="majorBidi"/>
          <w:b/>
          <w:bCs/>
          <w:color w:val="auto"/>
          <w:sz w:val="22"/>
          <w:szCs w:val="22"/>
        </w:rPr>
        <w:t xml:space="preserve"> sociale des entreprises et la </w:t>
      </w:r>
      <w:r w:rsidRPr="00E2052F">
        <w:rPr>
          <w:rStyle w:val="Titre5Car"/>
          <w:rFonts w:asciiTheme="majorBidi" w:hAnsiTheme="majorBidi"/>
          <w:b/>
          <w:bCs/>
          <w:color w:val="auto"/>
          <w:sz w:val="22"/>
          <w:szCs w:val="22"/>
        </w:rPr>
        <w:t>gouvernance partenariale</w:t>
      </w:r>
      <w:bookmarkEnd w:id="1201"/>
      <w:bookmarkEnd w:id="1202"/>
      <w:bookmarkEnd w:id="1203"/>
      <w:bookmarkEnd w:id="1204"/>
      <w:bookmarkEnd w:id="1205"/>
      <w:bookmarkEnd w:id="1206"/>
      <w:r w:rsidRPr="00E2052F">
        <w:rPr>
          <w:rFonts w:asciiTheme="majorBidi" w:hAnsiTheme="majorBidi" w:cstheme="majorBidi"/>
          <w:b/>
          <w:bCs/>
          <w:sz w:val="22"/>
          <w:szCs w:val="22"/>
        </w:rPr>
        <w:t> :</w:t>
      </w:r>
    </w:p>
    <w:p w14:paraId="5B25266C"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Le modèle partenarial de la gouvernance élargit considérablement la vision traditionnelle de l’entreprise en intégrant l’ensemble des parties prenantes (Freeman, 1984), telles que les employés, clients, fournisseurs et la société civile. Dans ce cadre, la RSE devient un élément central de la stratégie organisationnelle, puisqu’elle vise à concilier performance économique, sociale et environnementale. La gouvernance ne se limite plus à la maximisation du profit, mais cherche à assurer la pérennité de l’entreprise à travers la satisfaction des attentes multiples des parties prenantes. Ainsi, la RSE contribue à renforcer la légitimité de l’entreprise, à améliorer sa réputation et à soutenir sa performance à long terme. Elle agit également comme un levier de régulation des décisions managériales, favorisant une entreprise plus responsable, durable et intégrée dans son environnement socio-économique.</w:t>
      </w:r>
    </w:p>
    <w:p w14:paraId="3B3FD3A1" w14:textId="77777777" w:rsidR="007C5DB8" w:rsidRPr="00E2052F" w:rsidRDefault="007C5DB8" w:rsidP="00F36332">
      <w:pPr>
        <w:pStyle w:val="Titre4"/>
        <w:numPr>
          <w:ilvl w:val="3"/>
          <w:numId w:val="192"/>
        </w:numPr>
        <w:spacing w:before="100"/>
        <w:ind w:left="1134" w:hanging="567"/>
        <w:rPr>
          <w:rFonts w:asciiTheme="majorBidi" w:hAnsiTheme="majorBidi"/>
          <w:b w:val="0"/>
          <w:bCs w:val="0"/>
          <w:color w:val="auto"/>
          <w:sz w:val="22"/>
        </w:rPr>
      </w:pPr>
      <w:bookmarkStart w:id="1207" w:name="_Toc231746946"/>
      <w:bookmarkStart w:id="1208" w:name="_Toc231752352"/>
      <w:bookmarkStart w:id="1209" w:name="_Toc231810655"/>
      <w:bookmarkStart w:id="1210" w:name="_Toc231811998"/>
      <w:bookmarkStart w:id="1211" w:name="_Toc231812276"/>
      <w:bookmarkStart w:id="1212" w:name="_Toc231815160"/>
      <w:r w:rsidRPr="00E2052F">
        <w:rPr>
          <w:rStyle w:val="Titre4Car"/>
          <w:rFonts w:asciiTheme="majorBidi" w:hAnsiTheme="majorBidi"/>
          <w:b/>
          <w:bCs/>
          <w:color w:val="auto"/>
          <w:sz w:val="22"/>
        </w:rPr>
        <w:t>La responsabilité sociale des entreprises comme extension des principes de gouvernance</w:t>
      </w:r>
      <w:r w:rsidRPr="00E2052F">
        <w:rPr>
          <w:rFonts w:asciiTheme="majorBidi" w:hAnsiTheme="majorBidi"/>
          <w:b w:val="0"/>
          <w:bCs w:val="0"/>
          <w:color w:val="auto"/>
          <w:sz w:val="22"/>
        </w:rPr>
        <w:t> :</w:t>
      </w:r>
      <w:bookmarkEnd w:id="1207"/>
      <w:bookmarkEnd w:id="1208"/>
      <w:bookmarkEnd w:id="1209"/>
      <w:bookmarkEnd w:id="1210"/>
      <w:bookmarkEnd w:id="1211"/>
      <w:bookmarkEnd w:id="1212"/>
    </w:p>
    <w:p w14:paraId="1AA68B87" w14:textId="77777777" w:rsidR="007C5DB8" w:rsidRPr="00E2052F" w:rsidRDefault="007C5DB8" w:rsidP="003D28B1">
      <w:pPr>
        <w:pStyle w:val="NormalWeb"/>
        <w:spacing w:before="0" w:beforeAutospacing="0" w:line="360" w:lineRule="auto"/>
        <w:rPr>
          <w:rFonts w:asciiTheme="majorBidi" w:hAnsiTheme="majorBidi" w:cstheme="majorBidi"/>
          <w:b/>
          <w:bCs/>
          <w:sz w:val="22"/>
          <w:szCs w:val="22"/>
        </w:rPr>
      </w:pPr>
      <w:r w:rsidRPr="00E2052F">
        <w:rPr>
          <w:rFonts w:asciiTheme="majorBidi" w:hAnsiTheme="majorBidi" w:cstheme="majorBidi"/>
          <w:sz w:val="22"/>
          <w:szCs w:val="22"/>
        </w:rPr>
        <w:t xml:space="preserve">La gouvernance d’entreprise repose sur des principes fondamentaux qui se retrouvent également au cœur de la RSE, ce qui traduit une forte complémentarité entre les deux </w:t>
      </w:r>
      <w:r w:rsidR="00E854FE" w:rsidRPr="00E2052F">
        <w:rPr>
          <w:rFonts w:asciiTheme="majorBidi" w:hAnsiTheme="majorBidi" w:cstheme="majorBidi"/>
          <w:sz w:val="22"/>
          <w:szCs w:val="22"/>
        </w:rPr>
        <w:t>concepts :</w:t>
      </w:r>
    </w:p>
    <w:p w14:paraId="02436AD3" w14:textId="77777777" w:rsidR="007C5DB8" w:rsidRPr="00E2052F" w:rsidRDefault="007C5DB8" w:rsidP="00F36332">
      <w:pPr>
        <w:pStyle w:val="Paragraphedeliste"/>
        <w:numPr>
          <w:ilvl w:val="0"/>
          <w:numId w:val="150"/>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lastRenderedPageBreak/>
        <w:t xml:space="preserve">La transparence : </w:t>
      </w:r>
      <w:r w:rsidRPr="00E2052F">
        <w:rPr>
          <w:rFonts w:eastAsia="Times New Roman" w:cstheme="majorBidi"/>
          <w:sz w:val="22"/>
          <w:lang w:eastAsia="fr-FR"/>
        </w:rPr>
        <w:t>Elle consiste à assurer une communication claire et fiable des informations. Dans le cadre de la RSE, elle se manifeste notamment par la publication de rapports extra-financiers (environnementaux, sociaux et sociétaux), permettant de réduire l’asymétrie d’information entre l’entreprise et ses parties prenantes</w:t>
      </w:r>
      <w:r w:rsidRPr="00E2052F">
        <w:rPr>
          <w:rStyle w:val="Appelnotedebasdep"/>
          <w:rFonts w:eastAsia="Times New Roman" w:cstheme="majorBidi"/>
          <w:sz w:val="22"/>
          <w:lang w:eastAsia="fr-FR"/>
        </w:rPr>
        <w:footnoteReference w:id="264"/>
      </w:r>
      <w:r w:rsidRPr="00E2052F">
        <w:rPr>
          <w:rFonts w:eastAsia="Times New Roman" w:cstheme="majorBidi"/>
          <w:sz w:val="22"/>
          <w:lang w:eastAsia="fr-FR"/>
        </w:rPr>
        <w:t>.</w:t>
      </w:r>
    </w:p>
    <w:p w14:paraId="6F65DDA4" w14:textId="77777777" w:rsidR="007C5DB8" w:rsidRPr="00E2052F" w:rsidRDefault="007C5DB8" w:rsidP="00F36332">
      <w:pPr>
        <w:pStyle w:val="Paragraphedeliste"/>
        <w:numPr>
          <w:ilvl w:val="0"/>
          <w:numId w:val="150"/>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La responsabilité : </w:t>
      </w:r>
      <w:r w:rsidRPr="00E2052F">
        <w:rPr>
          <w:rFonts w:eastAsia="Times New Roman" w:cstheme="majorBidi"/>
          <w:sz w:val="22"/>
          <w:lang w:eastAsia="fr-FR"/>
        </w:rPr>
        <w:t>Elle renvoie à l’obligation pour les dirigeants de répondre de leurs décisions. La RSE élargit cette responsabilité en intégrant les impacts sociaux, environnementaux et économiques des activités de l’entreprise, dépassant ainsi la seule logique financière.</w:t>
      </w:r>
    </w:p>
    <w:p w14:paraId="31F4D73D" w14:textId="77777777" w:rsidR="007C5DB8" w:rsidRPr="00E2052F" w:rsidRDefault="007C5DB8" w:rsidP="00F36332">
      <w:pPr>
        <w:pStyle w:val="Paragraphedeliste"/>
        <w:numPr>
          <w:ilvl w:val="0"/>
          <w:numId w:val="150"/>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L’équité : </w:t>
      </w:r>
      <w:r w:rsidRPr="00E2052F">
        <w:rPr>
          <w:rFonts w:eastAsia="Times New Roman" w:cstheme="majorBidi"/>
          <w:sz w:val="22"/>
          <w:lang w:eastAsia="fr-FR"/>
        </w:rPr>
        <w:t>Elle implique un traitement juste et équilibré des différentes parties prenantes. Dans une logique RSE, l’entreprise cherche à créer de la valeur partagée entre actionnaires, salariés, clients, fournisseurs et société civile, et non uniquement à privilégier les actionnaires.</w:t>
      </w:r>
    </w:p>
    <w:p w14:paraId="18F216E7" w14:textId="77777777" w:rsidR="007C5DB8" w:rsidRPr="00E2052F" w:rsidRDefault="007C5DB8" w:rsidP="00F36332">
      <w:pPr>
        <w:pStyle w:val="Paragraphedeliste"/>
        <w:numPr>
          <w:ilvl w:val="0"/>
          <w:numId w:val="150"/>
        </w:numPr>
        <w:spacing w:before="0" w:beforeAutospacing="0"/>
        <w:ind w:left="0" w:firstLine="284"/>
        <w:rPr>
          <w:rFonts w:eastAsia="Times New Roman" w:cstheme="majorBidi"/>
          <w:b/>
          <w:bCs/>
          <w:sz w:val="22"/>
          <w:lang w:eastAsia="fr-FR"/>
        </w:rPr>
      </w:pPr>
      <w:r w:rsidRPr="00E2052F">
        <w:rPr>
          <w:rFonts w:eastAsia="Times New Roman" w:cstheme="majorBidi"/>
          <w:b/>
          <w:bCs/>
          <w:sz w:val="22"/>
          <w:lang w:eastAsia="fr-FR"/>
        </w:rPr>
        <w:t xml:space="preserve">L’indépendance : </w:t>
      </w:r>
      <w:r w:rsidRPr="00E2052F">
        <w:rPr>
          <w:rFonts w:eastAsia="Times New Roman" w:cstheme="majorBidi"/>
          <w:sz w:val="22"/>
          <w:lang w:eastAsia="fr-FR"/>
        </w:rPr>
        <w:t>elle vise à limiter les influences externes ou les conflits d’intérêts dans la prise de décision. Dans une perspective RSE, elle permet aux dirigeants d’intégrer des considérations éthiques et sociétales dans leurs choix stratégiques, sans être uniquement guidés par des objectifs financiers à court terme</w:t>
      </w:r>
      <w:r w:rsidRPr="00E2052F">
        <w:rPr>
          <w:rStyle w:val="Appelnotedebasdep"/>
          <w:rFonts w:eastAsia="Times New Roman" w:cstheme="majorBidi"/>
          <w:sz w:val="22"/>
          <w:lang w:eastAsia="fr-FR"/>
        </w:rPr>
        <w:footnoteReference w:id="265"/>
      </w:r>
      <w:r w:rsidRPr="00E2052F">
        <w:rPr>
          <w:rFonts w:eastAsia="Times New Roman" w:cstheme="majorBidi"/>
          <w:sz w:val="22"/>
          <w:lang w:eastAsia="fr-FR"/>
        </w:rPr>
        <w:t>.</w:t>
      </w:r>
    </w:p>
    <w:p w14:paraId="1A656A4C" w14:textId="77777777" w:rsidR="007C5DB8" w:rsidRPr="00E2052F" w:rsidRDefault="007C5DB8" w:rsidP="003D28B1">
      <w:pPr>
        <w:spacing w:before="0" w:beforeAutospacing="0"/>
        <w:rPr>
          <w:rFonts w:eastAsia="Times New Roman" w:cstheme="majorBidi"/>
          <w:sz w:val="22"/>
          <w:lang w:eastAsia="fr-FR"/>
        </w:rPr>
      </w:pPr>
      <w:r w:rsidRPr="00E2052F">
        <w:rPr>
          <w:rFonts w:eastAsia="Times New Roman" w:cstheme="majorBidi"/>
          <w:sz w:val="22"/>
          <w:lang w:eastAsia="fr-FR"/>
        </w:rPr>
        <w:t>Ainsi, la RSE apparaît comme une extension naturelle de la gouvernance d’entreprise, puisqu’elle renforce ses principes fondamentaux tout en élargissant le champ de responsabilité de l’entreprise vers ses parties prenantes et son environnement global.</w:t>
      </w:r>
    </w:p>
    <w:p w14:paraId="3FAB98F0" w14:textId="77777777" w:rsidR="007C5DB8" w:rsidRPr="00E2052F" w:rsidRDefault="007C5DB8" w:rsidP="00F36332">
      <w:pPr>
        <w:pStyle w:val="Paragraphedeliste"/>
        <w:numPr>
          <w:ilvl w:val="1"/>
          <w:numId w:val="219"/>
        </w:numPr>
        <w:spacing w:before="0" w:beforeAutospacing="0"/>
        <w:ind w:left="0" w:firstLine="284"/>
        <w:rPr>
          <w:rFonts w:eastAsia="Times New Roman" w:cstheme="majorBidi"/>
          <w:b/>
          <w:bCs/>
          <w:sz w:val="22"/>
          <w:rtl/>
          <w:lang w:eastAsia="fr-FR"/>
        </w:rPr>
      </w:pPr>
      <w:bookmarkStart w:id="1213" w:name="_Toc231746947"/>
      <w:bookmarkStart w:id="1214" w:name="_Toc231752353"/>
      <w:bookmarkStart w:id="1215" w:name="_Toc231810656"/>
      <w:bookmarkStart w:id="1216" w:name="_Toc231811999"/>
      <w:bookmarkStart w:id="1217" w:name="_Toc231812277"/>
      <w:bookmarkStart w:id="1218" w:name="_Toc231815161"/>
      <w:r w:rsidRPr="00E2052F">
        <w:rPr>
          <w:rStyle w:val="Titre3Car"/>
          <w:rFonts w:asciiTheme="majorBidi" w:hAnsiTheme="majorBidi"/>
          <w:color w:val="auto"/>
          <w:sz w:val="22"/>
        </w:rPr>
        <w:t>L’intégration de la responsabilité sociale dans les diapositives de la gouvernance</w:t>
      </w:r>
      <w:bookmarkEnd w:id="1213"/>
      <w:bookmarkEnd w:id="1214"/>
      <w:bookmarkEnd w:id="1215"/>
      <w:bookmarkEnd w:id="1216"/>
      <w:bookmarkEnd w:id="1217"/>
      <w:bookmarkEnd w:id="1218"/>
      <w:r w:rsidRPr="00E2052F">
        <w:rPr>
          <w:rFonts w:eastAsia="Times New Roman" w:cstheme="majorBidi"/>
          <w:b/>
          <w:bCs/>
          <w:sz w:val="22"/>
          <w:lang w:eastAsia="fr-FR"/>
        </w:rPr>
        <w:t> :</w:t>
      </w:r>
    </w:p>
    <w:p w14:paraId="3516F2EC" w14:textId="77777777" w:rsidR="007C5DB8" w:rsidRPr="00E2052F" w:rsidRDefault="007C5DB8" w:rsidP="003D28B1">
      <w:pPr>
        <w:spacing w:before="0" w:beforeAutospacing="0"/>
        <w:rPr>
          <w:rFonts w:cstheme="majorBidi"/>
          <w:sz w:val="22"/>
        </w:rPr>
      </w:pPr>
      <w:r w:rsidRPr="00E2052F">
        <w:rPr>
          <w:rFonts w:cstheme="majorBidi"/>
          <w:sz w:val="22"/>
        </w:rPr>
        <w:t>La gouvernance d’entreprise joue un rôle central dans l’intégration de la Responsabilité Sociétale des Entreprises (Elle constitue un cadre institutionnel qui permet d’orienter la stratégie de l’entreprise vers la prise en compte ces dimensions. Cette intégration repose principalement sur le rôle du conseil d’administration, les mécanismes de contrôle et de reporting, ainsi que les dispositifs de conformité et d’éthique.</w:t>
      </w:r>
    </w:p>
    <w:p w14:paraId="4C72295E" w14:textId="77777777" w:rsidR="007C5DB8" w:rsidRPr="00E2052F" w:rsidRDefault="007C5DB8" w:rsidP="00F36332">
      <w:pPr>
        <w:pStyle w:val="Paragraphedeliste"/>
        <w:numPr>
          <w:ilvl w:val="0"/>
          <w:numId w:val="151"/>
        </w:numPr>
        <w:spacing w:before="0" w:beforeAutospacing="0"/>
        <w:ind w:left="0" w:firstLine="284"/>
        <w:rPr>
          <w:rFonts w:cstheme="majorBidi"/>
          <w:b/>
          <w:bCs/>
          <w:sz w:val="22"/>
          <w:lang w:eastAsia="fr-FR"/>
        </w:rPr>
      </w:pPr>
      <w:r w:rsidRPr="00E2052F">
        <w:rPr>
          <w:rFonts w:cstheme="majorBidi"/>
          <w:b/>
          <w:bCs/>
          <w:sz w:val="22"/>
          <w:lang w:eastAsia="fr-FR"/>
        </w:rPr>
        <w:t>Le conseil d’administration et l’orientation RSE :</w:t>
      </w:r>
    </w:p>
    <w:p w14:paraId="52A9C8A0"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Le conseil d’administration représente l’instance clé de la gouvernance responsable. Il définit les orientations stratégiques de l’entreprise et veille à l’intégration de dimension extra-financière dans la création de valeur. Son rôle ne se limite plus à la protection des intérêts des actionnaires, mais s’élargit à la prise en compte de l’ensemble des parties prenantes .Le CA devient un espace de décision stratégique intégrant les enjeux de durabilité. Afin de renforcer cette mission, plusieurs entreprises mettent en place des comités spécialisés (RSE, éthique ou développement durable), chargés du suivi des </w:t>
      </w:r>
      <w:r w:rsidRPr="00E2052F">
        <w:rPr>
          <w:rFonts w:asciiTheme="majorBidi" w:hAnsiTheme="majorBidi" w:cstheme="majorBidi"/>
          <w:sz w:val="22"/>
          <w:szCs w:val="22"/>
        </w:rPr>
        <w:lastRenderedPageBreak/>
        <w:t>engagements responsables. Selon l’IFA, ces structures favorisent une meilleure intégration des préoccupations sociétales dans la gouvernance. Le rapport de l’AMF souligne également leur rôle dans le suivi des performances ESG. Certaines organisations introduisent des dispositifs innovants tels que des administrateurs éthiques ou des comités de parties prenantes, renforçant ainsi l’ouverture de la gouvernance vers l’environnement externe.</w:t>
      </w:r>
    </w:p>
    <w:p w14:paraId="568274EB" w14:textId="77777777" w:rsidR="007C5DB8" w:rsidRPr="00E2052F" w:rsidRDefault="007C5DB8" w:rsidP="00F36332">
      <w:pPr>
        <w:pStyle w:val="NormalWeb"/>
        <w:numPr>
          <w:ilvl w:val="0"/>
          <w:numId w:val="151"/>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Mécanismes de contrôle, reporting et conformité :</w:t>
      </w:r>
    </w:p>
    <w:p w14:paraId="65CC508F"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gouvernance moderne repose sur des mécanismes élargis de contrôle, notamment le reporting extra-financier. Celui-ci permet de mesurer et de communiquer les performances environnementales et sociales de l’entreprise, renforçant ainsi la transparence et réduisant les risques de greenwashing. En parallèle, les dispositifs de conformité et les codes d’éthique constituent des instruments essentiels de la gouvernance responsable. Ils encadrent les comportements organisationnels, luttent contre la corruption et assurent le respect des normes sociales et légales, en traduisant les engagements éthiques en règles opérationnelles.</w:t>
      </w:r>
    </w:p>
    <w:p w14:paraId="6A3B5B15" w14:textId="77777777" w:rsidR="007C5DB8" w:rsidRPr="00E2052F" w:rsidRDefault="007C5DB8" w:rsidP="00F36332">
      <w:pPr>
        <w:pStyle w:val="NormalWeb"/>
        <w:numPr>
          <w:ilvl w:val="0"/>
          <w:numId w:val="151"/>
        </w:numPr>
        <w:spacing w:before="0" w:beforeAutospacing="0" w:line="360" w:lineRule="auto"/>
        <w:ind w:left="0" w:firstLine="284"/>
        <w:rPr>
          <w:rFonts w:asciiTheme="majorBidi" w:hAnsiTheme="majorBidi" w:cstheme="majorBidi"/>
          <w:b/>
          <w:bCs/>
          <w:sz w:val="22"/>
          <w:szCs w:val="22"/>
        </w:rPr>
      </w:pPr>
      <w:r w:rsidRPr="00E2052F">
        <w:rPr>
          <w:rFonts w:asciiTheme="majorBidi" w:hAnsiTheme="majorBidi" w:cstheme="majorBidi"/>
          <w:b/>
          <w:bCs/>
          <w:sz w:val="22"/>
          <w:szCs w:val="22"/>
        </w:rPr>
        <w:t>Les attributs du conseil d’administration et leur impact sur la RSE</w:t>
      </w:r>
      <w:r w:rsidRPr="00E2052F">
        <w:rPr>
          <w:rStyle w:val="Appelnotedebasdep"/>
          <w:rFonts w:asciiTheme="majorBidi" w:hAnsiTheme="majorBidi" w:cstheme="majorBidi"/>
          <w:b/>
          <w:bCs/>
          <w:sz w:val="22"/>
          <w:szCs w:val="22"/>
        </w:rPr>
        <w:footnoteReference w:id="266"/>
      </w:r>
      <w:r w:rsidRPr="00E2052F">
        <w:rPr>
          <w:rFonts w:asciiTheme="majorBidi" w:hAnsiTheme="majorBidi" w:cstheme="majorBidi"/>
          <w:b/>
          <w:bCs/>
          <w:sz w:val="22"/>
          <w:szCs w:val="22"/>
        </w:rPr>
        <w:t> :</w:t>
      </w:r>
    </w:p>
    <w:p w14:paraId="02222C5E"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La structure et la composition du conseil d’administration influencent directement l’intégration de la RSE. Une taille importante du CA favorise la diversité des compétences et des points de vue, ce qui améliore la prise en compte des enjeux sociétaux. L’indépendance des administrateurs constitue également un facteur déterminant, car elle renforce l’objectivité des décisions stratégiques et encourage l’adoption de pratiques responsables, même si certains résultats empiriques restent nuancés. La diversité du CA, notamment en termes de genre et d’origine, améliore la qualité de la gouvernance RSE. La présence de femmes administratrices est souvent associée à une sensibilité accrue aux enjeux sociaux et environnementaux .De même, la représentation des salariés contribue à une meilleure prise en compte des intérêts internes et à une gouvernance plus équilibrée.</w:t>
      </w:r>
    </w:p>
    <w:p w14:paraId="740CCFA9" w14:textId="77777777" w:rsidR="007C5DB8" w:rsidRPr="00E2052F" w:rsidRDefault="007C5DB8" w:rsidP="003D28B1">
      <w:pPr>
        <w:spacing w:before="0" w:beforeAutospacing="0"/>
        <w:rPr>
          <w:rFonts w:cstheme="majorBidi"/>
          <w:sz w:val="22"/>
          <w:lang w:eastAsia="fr-FR"/>
        </w:rPr>
      </w:pPr>
      <w:r w:rsidRPr="00E2052F">
        <w:rPr>
          <w:rFonts w:cstheme="majorBidi"/>
          <w:sz w:val="22"/>
          <w:lang w:eastAsia="fr-FR"/>
        </w:rPr>
        <w:t>La gouvernance d’entreprise constitue un levier essentiel d’intégration de la RSE. À travers le rôle du conseil d’administration, les mécanismes de contrôle et la composition des organes de décision, elle permet de structurer une approche plus responsable, transparente et orientée vers la durabilité.</w:t>
      </w:r>
    </w:p>
    <w:p w14:paraId="2A878B79" w14:textId="77777777" w:rsidR="007C5DB8" w:rsidRPr="00E2052F" w:rsidRDefault="007C5DB8" w:rsidP="003D28B1">
      <w:pPr>
        <w:spacing w:before="0" w:beforeAutospacing="0"/>
        <w:rPr>
          <w:rFonts w:cstheme="majorBidi"/>
          <w:sz w:val="22"/>
          <w:lang w:eastAsia="fr-FR"/>
        </w:rPr>
      </w:pPr>
      <w:r w:rsidRPr="00E2052F">
        <w:rPr>
          <w:rFonts w:cstheme="majorBidi"/>
          <w:sz w:val="22"/>
          <w:lang w:eastAsia="fr-FR"/>
        </w:rPr>
        <w:br w:type="page"/>
      </w:r>
    </w:p>
    <w:p w14:paraId="2CFE5BED" w14:textId="77777777" w:rsidR="007C5DB8" w:rsidRPr="00E2052F" w:rsidRDefault="007C5DB8" w:rsidP="00BC1AEC">
      <w:pPr>
        <w:pStyle w:val="Titre1"/>
        <w:rPr>
          <w:lang w:eastAsia="fr-FR"/>
        </w:rPr>
      </w:pPr>
      <w:bookmarkStart w:id="1219" w:name="_Toc231742172"/>
      <w:bookmarkStart w:id="1220" w:name="_Toc231746948"/>
      <w:bookmarkStart w:id="1221" w:name="_Toc231752354"/>
      <w:bookmarkStart w:id="1222" w:name="_Toc231810657"/>
      <w:bookmarkStart w:id="1223" w:name="_Toc231811430"/>
      <w:bookmarkStart w:id="1224" w:name="_Toc231812000"/>
      <w:bookmarkStart w:id="1225" w:name="_Toc231812278"/>
      <w:bookmarkStart w:id="1226" w:name="_Toc231815162"/>
      <w:r w:rsidRPr="00E2052F">
        <w:rPr>
          <w:lang w:eastAsia="fr-FR"/>
        </w:rPr>
        <w:lastRenderedPageBreak/>
        <w:t>Conclusion </w:t>
      </w:r>
      <w:r w:rsidR="006C2407">
        <w:rPr>
          <w:lang w:eastAsia="fr-FR"/>
        </w:rPr>
        <w:t xml:space="preserve">du chapitre </w:t>
      </w:r>
      <w:r w:rsidRPr="00E2052F">
        <w:rPr>
          <w:lang w:eastAsia="fr-FR"/>
        </w:rPr>
        <w:t>:</w:t>
      </w:r>
      <w:bookmarkEnd w:id="1219"/>
      <w:bookmarkEnd w:id="1220"/>
      <w:bookmarkEnd w:id="1221"/>
      <w:bookmarkEnd w:id="1222"/>
      <w:bookmarkEnd w:id="1223"/>
      <w:bookmarkEnd w:id="1224"/>
      <w:bookmarkEnd w:id="1225"/>
      <w:bookmarkEnd w:id="1226"/>
    </w:p>
    <w:p w14:paraId="35196B11"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Ce chapitre a permis de mettre en évidence que la responsabilité sociale des entreprises s’inscrit désormais comme un cadre structurant du management contemporain, dépassant sa dimension initialement volontaire pour devenir un levier stratégique de performance et de durabilité. À travers l’analyse de ses fondements opérationnels, de ses dimensions, de ses principes et de ses outils, la RSE apparaît comme une approche intégrée visant à concilier les exigences économiques, sociales et environnementales dans une logique de création de valeur globale.</w:t>
      </w:r>
    </w:p>
    <w:p w14:paraId="2B2D2818"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Par ailleurs, l’évolution du concept vers une responsabilité socio-sociétale, illustrée par la RISSE, témoigne d’un élargissement du champ de responsabilité de l’entreprise, désormais étendu à l’ensemble des équilibres humains, sociétaux et environnementaux. Cette dynamique met en évidence une transformation profonde du rôle de l’entreprise, qui devient un acteur engagé dans le développement pérenne</w:t>
      </w:r>
      <w:r w:rsidRPr="00E2052F">
        <w:rPr>
          <w:rStyle w:val="Appelnotedebasdep"/>
          <w:rFonts w:asciiTheme="majorBidi" w:hAnsiTheme="majorBidi" w:cstheme="majorBidi"/>
          <w:sz w:val="22"/>
          <w:szCs w:val="22"/>
        </w:rPr>
        <w:footnoteReference w:id="267"/>
      </w:r>
      <w:r w:rsidRPr="00E2052F">
        <w:rPr>
          <w:rFonts w:asciiTheme="majorBidi" w:hAnsiTheme="majorBidi" w:cstheme="majorBidi"/>
          <w:sz w:val="22"/>
          <w:szCs w:val="22"/>
        </w:rPr>
        <w:t>.</w:t>
      </w:r>
    </w:p>
    <w:p w14:paraId="7E67EE0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En outre, l’analyse des motivations, des mécanismes d’adhésion et des pressions externes montre que la RSE s’inscrit dans une réalité hybride, combinant engagement volontaire et contraintes institutionnelles. Cette ambivalence renforce son intégration progressive dans les systèmes de gouvernance, où elle constitue aujourd’hui un élément central de la prise de décision stratégique.</w:t>
      </w:r>
    </w:p>
    <w:p w14:paraId="74240737" w14:textId="77777777" w:rsidR="004E7D6C" w:rsidRPr="00E2052F" w:rsidRDefault="007C5DB8" w:rsidP="003D28B1">
      <w:pPr>
        <w:pStyle w:val="NormalWeb"/>
        <w:spacing w:before="0" w:beforeAutospacing="0" w:line="360" w:lineRule="auto"/>
        <w:rPr>
          <w:rFonts w:asciiTheme="majorBidi" w:hAnsiTheme="majorBidi" w:cstheme="majorBidi"/>
          <w:sz w:val="22"/>
          <w:szCs w:val="22"/>
        </w:rPr>
        <w:sectPr w:rsidR="004E7D6C" w:rsidRPr="00E2052F" w:rsidSect="0065358E">
          <w:headerReference w:type="default" r:id="rId36"/>
          <w:headerReference w:type="first" r:id="rId37"/>
          <w:footerReference w:type="first" r:id="rId38"/>
          <w:pgSz w:w="11906" w:h="16838"/>
          <w:pgMar w:top="851" w:right="1418" w:bottom="1134" w:left="1418" w:header="709" w:footer="709" w:gutter="0"/>
          <w:pgNumType w:start="67"/>
          <w:cols w:space="708"/>
          <w:titlePg/>
          <w:docGrid w:linePitch="360"/>
        </w:sectPr>
      </w:pPr>
      <w:r w:rsidRPr="00E2052F">
        <w:rPr>
          <w:rFonts w:asciiTheme="majorBidi" w:hAnsiTheme="majorBidi" w:cstheme="majorBidi"/>
          <w:sz w:val="22"/>
          <w:szCs w:val="22"/>
        </w:rPr>
        <w:t>Ainsi, la convergence entre RSE et gouvernance d’entreprise confirme l’émergence d’un modèle organisationnel renouvelé, fondé sur la transparence, la responsabilité et la prise en compte des parties prenantes. Dans ce contexte, la RSE ne se limite plus à un outil de légitimation, mais s’impose comme un véritable vecteur de compétitivité durable et d’adaptation aux mutations de l’environnement économique et sociétal.</w:t>
      </w:r>
    </w:p>
    <w:p w14:paraId="2535C67D"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p>
    <w:p w14:paraId="1B0C667B" w14:textId="77777777" w:rsidR="007C5DB8" w:rsidRPr="00E2052F" w:rsidRDefault="007C5DB8" w:rsidP="003D28B1">
      <w:pPr>
        <w:pStyle w:val="NormalWeb"/>
        <w:spacing w:before="0" w:beforeAutospacing="0" w:line="360" w:lineRule="auto"/>
        <w:rPr>
          <w:rFonts w:asciiTheme="majorBidi" w:hAnsiTheme="majorBidi" w:cstheme="majorBidi"/>
          <w:sz w:val="22"/>
          <w:szCs w:val="22"/>
        </w:rPr>
      </w:pPr>
    </w:p>
    <w:p w14:paraId="45C43195" w14:textId="77777777" w:rsidR="007C5DB8" w:rsidRPr="00E2052F" w:rsidRDefault="007C5DB8" w:rsidP="007C5DB8">
      <w:pPr>
        <w:rPr>
          <w:rFonts w:cstheme="majorBidi"/>
          <w:sz w:val="22"/>
          <w:rtl/>
          <w:lang w:eastAsia="fr-FR"/>
        </w:rPr>
      </w:pPr>
    </w:p>
    <w:p w14:paraId="12AF041D" w14:textId="77777777" w:rsidR="00172C7A" w:rsidRPr="00E2052F" w:rsidRDefault="00172C7A" w:rsidP="00607B26">
      <w:pPr>
        <w:spacing w:after="100" w:afterAutospacing="1"/>
        <w:ind w:firstLine="709"/>
        <w:rPr>
          <w:rFonts w:cstheme="majorBidi"/>
          <w:sz w:val="22"/>
        </w:rPr>
      </w:pPr>
    </w:p>
    <w:p w14:paraId="5F3D7DFC" w14:textId="77777777" w:rsidR="00172C7A" w:rsidRPr="00E2052F" w:rsidRDefault="00172C7A" w:rsidP="000B51BB">
      <w:pPr>
        <w:spacing w:after="100" w:afterAutospacing="1"/>
        <w:rPr>
          <w:rFonts w:cstheme="majorBidi"/>
          <w:sz w:val="22"/>
          <w:rtl/>
        </w:rPr>
      </w:pPr>
    </w:p>
    <w:p w14:paraId="55172841" w14:textId="77777777" w:rsidR="00172C7A" w:rsidRPr="00E2052F" w:rsidRDefault="00172C7A" w:rsidP="00172C7A">
      <w:pPr>
        <w:ind w:firstLine="0"/>
        <w:rPr>
          <w:rFonts w:cstheme="majorBidi"/>
          <w:sz w:val="22"/>
        </w:rPr>
      </w:pPr>
    </w:p>
    <w:p w14:paraId="74701B2E" w14:textId="77777777" w:rsidR="00E2052F" w:rsidRPr="00E2052F" w:rsidRDefault="00E2052F" w:rsidP="00172C7A">
      <w:pPr>
        <w:ind w:firstLine="0"/>
        <w:rPr>
          <w:rFonts w:cstheme="majorBidi"/>
          <w:sz w:val="22"/>
        </w:rPr>
      </w:pPr>
    </w:p>
    <w:p w14:paraId="0BCF9E30" w14:textId="77777777" w:rsidR="00E2052F" w:rsidRPr="00E2052F" w:rsidRDefault="00E2052F" w:rsidP="00172C7A">
      <w:pPr>
        <w:ind w:firstLine="0"/>
        <w:rPr>
          <w:rFonts w:cstheme="majorBidi"/>
          <w:sz w:val="22"/>
        </w:rPr>
      </w:pPr>
    </w:p>
    <w:p w14:paraId="36F44F43" w14:textId="77777777" w:rsidR="00E2052F" w:rsidRPr="00E2052F" w:rsidRDefault="00F562CA" w:rsidP="00172C7A">
      <w:pPr>
        <w:ind w:firstLine="0"/>
        <w:rPr>
          <w:rFonts w:cstheme="majorBidi"/>
          <w:sz w:val="22"/>
        </w:rPr>
      </w:pPr>
      <w:r>
        <w:rPr>
          <w:rFonts w:ascii="Times New Roman" w:hAnsi="Times New Roman" w:cs="Times New Roman"/>
          <w:noProof/>
          <w:szCs w:val="24"/>
          <w:lang w:eastAsia="fr-FR"/>
        </w:rPr>
        <mc:AlternateContent>
          <mc:Choice Requires="wps">
            <w:drawing>
              <wp:anchor distT="0" distB="0" distL="114300" distR="114300" simplePos="0" relativeHeight="252128256" behindDoc="0" locked="0" layoutInCell="1" allowOverlap="1" wp14:anchorId="77CC309B" wp14:editId="6F71B06D">
                <wp:simplePos x="0" y="0"/>
                <wp:positionH relativeFrom="margin">
                  <wp:posOffset>0</wp:posOffset>
                </wp:positionH>
                <wp:positionV relativeFrom="paragraph">
                  <wp:posOffset>-635</wp:posOffset>
                </wp:positionV>
                <wp:extent cx="5772150" cy="2979682"/>
                <wp:effectExtent l="0" t="0" r="19050" b="11430"/>
                <wp:wrapNone/>
                <wp:docPr id="639" name="Ruban vers le bas 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79546CEE" w14:textId="77777777" w:rsidR="00A36231" w:rsidRDefault="00A36231" w:rsidP="00F562CA">
                            <w:pPr>
                              <w:jc w:val="center"/>
                              <w:rPr>
                                <w:b/>
                                <w:bCs/>
                                <w:sz w:val="56"/>
                                <w:szCs w:val="52"/>
                              </w:rPr>
                            </w:pPr>
                          </w:p>
                          <w:p w14:paraId="36E3CEB0" w14:textId="77777777" w:rsidR="00A36231" w:rsidRPr="004E0735" w:rsidRDefault="00A36231" w:rsidP="00F562CA">
                            <w:pPr>
                              <w:ind w:firstLine="0"/>
                              <w:jc w:val="center"/>
                              <w:rPr>
                                <w:b/>
                                <w:bCs/>
                                <w:sz w:val="56"/>
                                <w:szCs w:val="52"/>
                              </w:rPr>
                            </w:pPr>
                            <w:r>
                              <w:rPr>
                                <w:b/>
                                <w:bCs/>
                                <w:sz w:val="56"/>
                                <w:szCs w:val="52"/>
                              </w:rPr>
                              <w:t>CHAPITRE 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C309B" id="Ruban vers le bas 639" o:spid="_x0000_s1036" type="#_x0000_t53" style="position:absolute;left:0;text-align:left;margin-left:0;margin-top:-.05pt;width:454.5pt;height:234.6pt;z-index:25212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" fillcolor="#5b9bd5 [3208]" strokecolor="black [3213]">
                <v:textbox>
                  <w:txbxContent>
                    <w:p w14:paraId="79546CEE" w14:textId="77777777" w:rsidR="00A36231" w:rsidRDefault="00A36231" w:rsidP="00F562CA">
                      <w:pPr>
                        <w:jc w:val="center"/>
                        <w:rPr>
                          <w:b/>
                          <w:bCs/>
                          <w:sz w:val="56"/>
                          <w:szCs w:val="52"/>
                        </w:rPr>
                      </w:pPr>
                    </w:p>
                    <w:p w14:paraId="36E3CEB0" w14:textId="77777777" w:rsidR="00A36231" w:rsidRPr="004E0735" w:rsidRDefault="00A36231" w:rsidP="00F562CA">
                      <w:pPr>
                        <w:ind w:firstLine="0"/>
                        <w:jc w:val="center"/>
                        <w:rPr>
                          <w:b/>
                          <w:bCs/>
                          <w:sz w:val="56"/>
                          <w:szCs w:val="52"/>
                        </w:rPr>
                      </w:pPr>
                      <w:r>
                        <w:rPr>
                          <w:b/>
                          <w:bCs/>
                          <w:sz w:val="56"/>
                          <w:szCs w:val="52"/>
                        </w:rPr>
                        <w:t>CHAPITRE 03</w:t>
                      </w:r>
                    </w:p>
                  </w:txbxContent>
                </v:textbox>
                <w10:wrap anchorx="margin"/>
              </v:shape>
            </w:pict>
          </mc:Fallback>
        </mc:AlternateContent>
      </w:r>
    </w:p>
    <w:p w14:paraId="55917D2E" w14:textId="77777777" w:rsidR="00E2052F" w:rsidRPr="00E2052F" w:rsidRDefault="00E2052F" w:rsidP="00172C7A">
      <w:pPr>
        <w:ind w:firstLine="0"/>
        <w:rPr>
          <w:rFonts w:cstheme="majorBidi"/>
          <w:sz w:val="22"/>
        </w:rPr>
      </w:pPr>
    </w:p>
    <w:p w14:paraId="497C1E42" w14:textId="77777777" w:rsidR="00E2052F" w:rsidRPr="00E2052F" w:rsidRDefault="00E2052F" w:rsidP="00172C7A">
      <w:pPr>
        <w:ind w:firstLine="0"/>
        <w:rPr>
          <w:rFonts w:cstheme="majorBidi"/>
          <w:sz w:val="22"/>
        </w:rPr>
      </w:pPr>
    </w:p>
    <w:p w14:paraId="39A1ADEE" w14:textId="77777777" w:rsidR="00E2052F" w:rsidRPr="00E2052F" w:rsidRDefault="00E2052F" w:rsidP="00172C7A">
      <w:pPr>
        <w:ind w:firstLine="0"/>
        <w:rPr>
          <w:rFonts w:cstheme="majorBidi"/>
          <w:sz w:val="22"/>
        </w:rPr>
      </w:pPr>
    </w:p>
    <w:p w14:paraId="0A9A6924" w14:textId="77777777" w:rsidR="00E2052F" w:rsidRPr="00E2052F" w:rsidRDefault="00E2052F" w:rsidP="00172C7A">
      <w:pPr>
        <w:ind w:firstLine="0"/>
        <w:rPr>
          <w:rFonts w:cstheme="majorBidi"/>
          <w:sz w:val="22"/>
        </w:rPr>
      </w:pPr>
    </w:p>
    <w:p w14:paraId="60C05036" w14:textId="77777777" w:rsidR="00E2052F" w:rsidRPr="00E2052F" w:rsidRDefault="00E2052F" w:rsidP="00172C7A">
      <w:pPr>
        <w:ind w:firstLine="0"/>
        <w:rPr>
          <w:rFonts w:cstheme="majorBidi"/>
          <w:sz w:val="22"/>
        </w:rPr>
      </w:pPr>
    </w:p>
    <w:p w14:paraId="4CD2020E" w14:textId="77777777" w:rsidR="00E2052F" w:rsidRPr="00E2052F" w:rsidRDefault="00E2052F" w:rsidP="00172C7A">
      <w:pPr>
        <w:ind w:firstLine="0"/>
        <w:rPr>
          <w:rFonts w:cstheme="majorBidi"/>
          <w:sz w:val="22"/>
        </w:rPr>
      </w:pPr>
    </w:p>
    <w:p w14:paraId="2FA5B624" w14:textId="77777777" w:rsidR="00E2052F" w:rsidRPr="00E2052F" w:rsidRDefault="00E2052F" w:rsidP="00172C7A">
      <w:pPr>
        <w:ind w:firstLine="0"/>
        <w:rPr>
          <w:rFonts w:cstheme="majorBidi"/>
          <w:sz w:val="22"/>
        </w:rPr>
      </w:pPr>
    </w:p>
    <w:p w14:paraId="034961DE" w14:textId="77777777" w:rsidR="00E2052F" w:rsidRPr="00E2052F" w:rsidRDefault="00E2052F" w:rsidP="00172C7A">
      <w:pPr>
        <w:ind w:firstLine="0"/>
        <w:rPr>
          <w:rFonts w:cstheme="majorBidi"/>
          <w:sz w:val="22"/>
        </w:rPr>
      </w:pPr>
    </w:p>
    <w:p w14:paraId="313C2C82" w14:textId="77777777" w:rsidR="00E2052F" w:rsidRPr="00E2052F" w:rsidRDefault="00E2052F" w:rsidP="00172C7A">
      <w:pPr>
        <w:ind w:firstLine="0"/>
        <w:rPr>
          <w:rFonts w:cstheme="majorBidi"/>
          <w:sz w:val="22"/>
        </w:rPr>
      </w:pPr>
    </w:p>
    <w:p w14:paraId="6C844D2B" w14:textId="77777777" w:rsidR="00E2052F" w:rsidRPr="00E2052F" w:rsidRDefault="00E2052F" w:rsidP="00172C7A">
      <w:pPr>
        <w:ind w:firstLine="0"/>
        <w:rPr>
          <w:rFonts w:cstheme="majorBidi"/>
          <w:sz w:val="22"/>
        </w:rPr>
      </w:pPr>
    </w:p>
    <w:p w14:paraId="2A916894" w14:textId="77777777" w:rsidR="00E2052F" w:rsidRDefault="00E2052F" w:rsidP="00172C7A">
      <w:pPr>
        <w:ind w:firstLine="0"/>
        <w:rPr>
          <w:rFonts w:cstheme="majorBidi"/>
          <w:sz w:val="22"/>
        </w:rPr>
      </w:pPr>
    </w:p>
    <w:p w14:paraId="2765B648" w14:textId="77777777" w:rsidR="00842A2D" w:rsidRPr="00E2052F" w:rsidRDefault="00842A2D" w:rsidP="00172C7A">
      <w:pPr>
        <w:ind w:firstLine="0"/>
        <w:rPr>
          <w:rFonts w:cstheme="majorBidi"/>
          <w:sz w:val="22"/>
        </w:rPr>
      </w:pPr>
    </w:p>
    <w:p w14:paraId="040EAAB2" w14:textId="77777777" w:rsidR="00F176D9" w:rsidRPr="00E2052F" w:rsidRDefault="00F176D9" w:rsidP="00BC1AEC">
      <w:pPr>
        <w:pStyle w:val="Titre1"/>
        <w:rPr>
          <w:rFonts w:eastAsia="Times New Roman"/>
        </w:rPr>
      </w:pPr>
      <w:bookmarkStart w:id="1227" w:name="_Toc231742173"/>
      <w:bookmarkStart w:id="1228" w:name="_Toc231746949"/>
      <w:bookmarkStart w:id="1229" w:name="_Toc231752355"/>
      <w:bookmarkStart w:id="1230" w:name="_Toc231810658"/>
      <w:bookmarkStart w:id="1231" w:name="_Toc231811431"/>
      <w:bookmarkStart w:id="1232" w:name="_Toc231812001"/>
      <w:bookmarkStart w:id="1233" w:name="_Toc231812279"/>
      <w:bookmarkStart w:id="1234" w:name="_Toc231815163"/>
      <w:r w:rsidRPr="00E2052F">
        <w:rPr>
          <w:rFonts w:eastAsia="Times New Roman"/>
        </w:rPr>
        <w:lastRenderedPageBreak/>
        <w:t>Chapitre 03 : Etude de cas « L’Algérienne des Industries Textiles : TAYAL SPA »</w:t>
      </w:r>
      <w:bookmarkEnd w:id="2"/>
      <w:bookmarkEnd w:id="1"/>
      <w:bookmarkEnd w:id="1227"/>
      <w:bookmarkEnd w:id="1228"/>
      <w:bookmarkEnd w:id="1229"/>
      <w:bookmarkEnd w:id="1230"/>
      <w:r w:rsidR="003B6F7B">
        <w:rPr>
          <w:rFonts w:eastAsia="Times New Roman"/>
        </w:rPr>
        <w:t> :</w:t>
      </w:r>
      <w:bookmarkEnd w:id="1231"/>
      <w:bookmarkEnd w:id="1232"/>
      <w:bookmarkEnd w:id="1233"/>
      <w:bookmarkEnd w:id="1234"/>
    </w:p>
    <w:p w14:paraId="41B72D87" w14:textId="77777777" w:rsidR="0082042E" w:rsidRPr="00E2052F" w:rsidRDefault="0082042E" w:rsidP="00BC1AEC">
      <w:pPr>
        <w:pStyle w:val="Titre1"/>
      </w:pPr>
      <w:bookmarkStart w:id="1235" w:name="_Toc229155952"/>
      <w:bookmarkStart w:id="1236" w:name="_Toc231742174"/>
      <w:bookmarkStart w:id="1237" w:name="_Toc231746950"/>
      <w:bookmarkStart w:id="1238" w:name="_Toc231752356"/>
      <w:bookmarkStart w:id="1239" w:name="_Toc231810659"/>
      <w:bookmarkStart w:id="1240" w:name="_Toc231811432"/>
      <w:bookmarkStart w:id="1241" w:name="_Toc231812002"/>
      <w:bookmarkStart w:id="1242" w:name="_Toc231812280"/>
      <w:bookmarkStart w:id="1243" w:name="_Toc231815164"/>
      <w:r w:rsidRPr="00E2052F">
        <w:t xml:space="preserve">Introduction du </w:t>
      </w:r>
      <w:r w:rsidR="001B1E6C" w:rsidRPr="00E2052F">
        <w:t>chapitre :</w:t>
      </w:r>
      <w:bookmarkEnd w:id="1235"/>
      <w:bookmarkEnd w:id="1236"/>
      <w:bookmarkEnd w:id="1237"/>
      <w:bookmarkEnd w:id="1238"/>
      <w:bookmarkEnd w:id="1239"/>
      <w:bookmarkEnd w:id="1240"/>
      <w:bookmarkEnd w:id="1241"/>
      <w:bookmarkEnd w:id="1242"/>
      <w:bookmarkEnd w:id="1243"/>
    </w:p>
    <w:p w14:paraId="2B5A7D18" w14:textId="77777777" w:rsidR="00F176D9" w:rsidRPr="00E2052F" w:rsidRDefault="00F176D9" w:rsidP="00572BDE">
      <w:pPr>
        <w:spacing w:before="0" w:beforeAutospacing="0"/>
        <w:rPr>
          <w:rFonts w:eastAsia="Times New Roman" w:cstheme="majorBidi"/>
          <w:bCs/>
          <w:sz w:val="22"/>
        </w:rPr>
      </w:pPr>
      <w:r w:rsidRPr="00E2052F">
        <w:rPr>
          <w:rFonts w:eastAsia="Times New Roman" w:cstheme="majorBidi"/>
          <w:bCs/>
          <w:sz w:val="22"/>
        </w:rPr>
        <w:t>Les chapitres initiaux ont défini un cadre théorique pour deux concepts : la gouvernance d'entreprise et la responsabilité sociétale des entreprises. Ces sections visent à clarifier les concepts clés associés à ces deux termes, ainsi que leur interprétation et mesure de ces deux variables, dans le cadre de l'examen de la question centrale de cette étude.</w:t>
      </w:r>
    </w:p>
    <w:p w14:paraId="497DCE85" w14:textId="77777777" w:rsidR="007C4605" w:rsidRPr="00E2052F" w:rsidRDefault="00F176D9" w:rsidP="00D23BF3">
      <w:pPr>
        <w:spacing w:before="0" w:beforeAutospacing="0"/>
        <w:rPr>
          <w:rFonts w:eastAsia="Times New Roman" w:cstheme="majorBidi"/>
          <w:sz w:val="22"/>
          <w:lang w:eastAsia="fr-FR"/>
        </w:rPr>
      </w:pPr>
      <w:r w:rsidRPr="00E2052F">
        <w:rPr>
          <w:rFonts w:eastAsia="Times New Roman" w:cstheme="majorBidi"/>
          <w:sz w:val="22"/>
          <w:lang w:eastAsia="fr-FR"/>
        </w:rPr>
        <w:t xml:space="preserve">Dans ce chapitre, nous aborderons la partie empirique. À cette fin, nous avons divisé ce chapitre en trois sections : tout d'abord, nous présenterons la société par actions TAYAL, puis nous décrirons la méthode d'étude en présentant un échantillon à l'aide de SPSS, et enfin, nous discuterons de nos résultats et testerons nos hypothèses. </w:t>
      </w:r>
    </w:p>
    <w:p w14:paraId="7A68A51F" w14:textId="77777777" w:rsidR="00F176D9" w:rsidRPr="00E2052F" w:rsidRDefault="00F176D9" w:rsidP="00BC1AEC">
      <w:pPr>
        <w:pStyle w:val="Titre1"/>
        <w:rPr>
          <w:rFonts w:eastAsia="Times New Roman"/>
        </w:rPr>
      </w:pPr>
      <w:bookmarkStart w:id="1244" w:name="_Toc223451371"/>
      <w:bookmarkStart w:id="1245" w:name="_Toc229155953"/>
      <w:bookmarkStart w:id="1246" w:name="_Toc231742175"/>
      <w:bookmarkStart w:id="1247" w:name="_Toc231746951"/>
      <w:bookmarkStart w:id="1248" w:name="_Toc231752357"/>
      <w:bookmarkStart w:id="1249" w:name="_Toc231810660"/>
      <w:bookmarkStart w:id="1250" w:name="_Toc231811433"/>
      <w:bookmarkStart w:id="1251" w:name="_Toc231812003"/>
      <w:bookmarkStart w:id="1252" w:name="_Toc231812281"/>
      <w:bookmarkStart w:id="1253" w:name="_Toc231815165"/>
      <w:r w:rsidRPr="00E2052F">
        <w:rPr>
          <w:rFonts w:eastAsia="Times New Roman"/>
        </w:rPr>
        <w:t>Section 01 : Profil institutionnel de la société « TAYAL SPA »</w:t>
      </w:r>
      <w:bookmarkEnd w:id="1244"/>
      <w:bookmarkEnd w:id="1245"/>
      <w:bookmarkEnd w:id="1246"/>
      <w:bookmarkEnd w:id="1247"/>
      <w:bookmarkEnd w:id="1248"/>
      <w:bookmarkEnd w:id="1249"/>
      <w:r w:rsidR="003B6F7B">
        <w:rPr>
          <w:rFonts w:eastAsia="Times New Roman"/>
        </w:rPr>
        <w:t> :</w:t>
      </w:r>
      <w:bookmarkEnd w:id="1250"/>
      <w:bookmarkEnd w:id="1251"/>
      <w:bookmarkEnd w:id="1252"/>
      <w:bookmarkEnd w:id="1253"/>
    </w:p>
    <w:p w14:paraId="1B938A2E" w14:textId="77777777" w:rsidR="00F176D9" w:rsidRPr="00E2052F" w:rsidRDefault="00F176D9" w:rsidP="00D23BF3">
      <w:pPr>
        <w:spacing w:before="0" w:beforeAutospacing="0"/>
        <w:rPr>
          <w:rFonts w:cstheme="majorBidi"/>
          <w:sz w:val="22"/>
        </w:rPr>
      </w:pPr>
      <w:r w:rsidRPr="00E2052F">
        <w:rPr>
          <w:rFonts w:cstheme="majorBidi"/>
          <w:sz w:val="22"/>
        </w:rPr>
        <w:t>L'essor du secteur textile en Algérie, marqué par une fusion entre tradition et modernité, témoigne d'une riche histoire artisanale qui remonte à l'époque précoloniale, où le coton et la laine étaient largement cultivés et tissés. Malgré un déclin durant la période coloniale, l'indépendance a permis une revitalisation grâce à des initiatives gouvernementales, telles que la création de la SONAC et de la SONITEX, qui ont propulsé l'industrie vers un âge d'or entre 1960 et 1980. Les réformes des années 1980 ont abouti à la formation de consortiums comme Texmaco, tandis que des projets récents comme TEXALG et le complexe Tayal à Relizane illustrent une volonté d'intégration industrielle et d'exportation, tout en mettant en avant le savoir-faire local et l'innovation technologique.</w:t>
      </w:r>
    </w:p>
    <w:p w14:paraId="0628BA31" w14:textId="77777777" w:rsidR="00F176D9" w:rsidRPr="00E2052F" w:rsidRDefault="00F176D9" w:rsidP="00F36332">
      <w:pPr>
        <w:pStyle w:val="Titre2"/>
        <w:numPr>
          <w:ilvl w:val="0"/>
          <w:numId w:val="225"/>
        </w:numPr>
      </w:pPr>
      <w:bookmarkStart w:id="1254" w:name="_Toc223451372"/>
      <w:bookmarkStart w:id="1255" w:name="_Toc229155954"/>
      <w:bookmarkStart w:id="1256" w:name="_Toc231746952"/>
      <w:bookmarkStart w:id="1257" w:name="_Toc231752358"/>
      <w:bookmarkStart w:id="1258" w:name="_Toc231810661"/>
      <w:bookmarkStart w:id="1259" w:name="_Toc231812004"/>
      <w:bookmarkStart w:id="1260" w:name="_Toc231812282"/>
      <w:bookmarkStart w:id="1261" w:name="_Toc231815166"/>
      <w:r w:rsidRPr="00E2052F">
        <w:t>Historique et création de l’entreprise :</w:t>
      </w:r>
      <w:bookmarkEnd w:id="1254"/>
      <w:bookmarkEnd w:id="1255"/>
      <w:bookmarkEnd w:id="1256"/>
      <w:bookmarkEnd w:id="1257"/>
      <w:bookmarkEnd w:id="1258"/>
      <w:bookmarkEnd w:id="1259"/>
      <w:bookmarkEnd w:id="1260"/>
      <w:bookmarkEnd w:id="1261"/>
    </w:p>
    <w:p w14:paraId="637B951C" w14:textId="77777777" w:rsidR="00F176D9" w:rsidRPr="00E2052F" w:rsidRDefault="00F176D9" w:rsidP="00D23BF3">
      <w:pPr>
        <w:spacing w:before="0" w:beforeAutospacing="0"/>
        <w:rPr>
          <w:rFonts w:cstheme="majorBidi"/>
          <w:sz w:val="22"/>
        </w:rPr>
      </w:pPr>
      <w:r w:rsidRPr="00E2052F">
        <w:rPr>
          <w:rFonts w:cstheme="majorBidi"/>
          <w:sz w:val="22"/>
        </w:rPr>
        <w:t xml:space="preserve">La création de TAYAL S.P.A s’inscrit dans la stratégie nationale de relance de l’industrie textile en Algérie et de réduction de la dépendance aux importations. La société a été constituée en novembre 2013 sous forme de joint-venture entre des partenaires algériens </w:t>
      </w:r>
      <w:r w:rsidRPr="00E2052F">
        <w:rPr>
          <w:rFonts w:cstheme="majorBidi"/>
          <w:b/>
          <w:bCs/>
          <w:sz w:val="22"/>
        </w:rPr>
        <w:t>C&amp;H</w:t>
      </w:r>
      <w:r w:rsidRPr="00E2052F">
        <w:rPr>
          <w:rFonts w:cstheme="majorBidi"/>
          <w:sz w:val="22"/>
        </w:rPr>
        <w:t xml:space="preserve"> Group, </w:t>
      </w:r>
      <w:r w:rsidRPr="00E2052F">
        <w:rPr>
          <w:rFonts w:cstheme="majorBidi"/>
          <w:b/>
          <w:bCs/>
          <w:sz w:val="22"/>
        </w:rPr>
        <w:t>E.P.E TEXALG</w:t>
      </w:r>
      <w:r w:rsidRPr="00E2052F">
        <w:rPr>
          <w:rFonts w:cstheme="majorBidi"/>
          <w:sz w:val="22"/>
        </w:rPr>
        <w:t xml:space="preserve"> et </w:t>
      </w:r>
      <w:r w:rsidRPr="00E2052F">
        <w:rPr>
          <w:rFonts w:cstheme="majorBidi"/>
          <w:b/>
          <w:bCs/>
          <w:sz w:val="22"/>
        </w:rPr>
        <w:t>MADAR Holding</w:t>
      </w:r>
      <w:r w:rsidRPr="00E2052F">
        <w:rPr>
          <w:rFonts w:cstheme="majorBidi"/>
          <w:sz w:val="22"/>
        </w:rPr>
        <w:t xml:space="preserve"> et le partenaire turc </w:t>
      </w:r>
      <w:r w:rsidRPr="00E2052F">
        <w:rPr>
          <w:rFonts w:cstheme="majorBidi"/>
          <w:b/>
          <w:bCs/>
          <w:sz w:val="22"/>
        </w:rPr>
        <w:t>INTERTAY</w:t>
      </w:r>
      <w:r w:rsidRPr="00E2052F">
        <w:rPr>
          <w:rFonts w:cstheme="majorBidi"/>
          <w:sz w:val="22"/>
        </w:rPr>
        <w:t>, affilié au TAY Group, acteur international reconnu dans le textile et l’habillement.</w:t>
      </w:r>
      <w:r w:rsidR="000216D8">
        <w:rPr>
          <w:rStyle w:val="Appelnotedebasdep"/>
          <w:rFonts w:cstheme="majorBidi"/>
          <w:sz w:val="22"/>
        </w:rPr>
        <w:footnoteReference w:id="268"/>
      </w:r>
    </w:p>
    <w:p w14:paraId="17142C90" w14:textId="77777777" w:rsidR="00D23BF3" w:rsidRPr="00E2052F" w:rsidRDefault="00D23BF3" w:rsidP="00D23BF3">
      <w:pPr>
        <w:spacing w:before="0" w:beforeAutospacing="0"/>
        <w:ind w:firstLine="0"/>
        <w:rPr>
          <w:rFonts w:cstheme="majorBidi"/>
          <w:b/>
          <w:bCs/>
          <w:sz w:val="22"/>
          <w:u w:val="single"/>
        </w:rPr>
      </w:pPr>
    </w:p>
    <w:p w14:paraId="7BFE5E89" w14:textId="77777777" w:rsidR="00D23BF3" w:rsidRDefault="00D23BF3" w:rsidP="00D23BF3">
      <w:pPr>
        <w:spacing w:before="0" w:beforeAutospacing="0"/>
        <w:ind w:firstLine="0"/>
        <w:rPr>
          <w:rFonts w:cstheme="majorBidi"/>
          <w:b/>
          <w:bCs/>
          <w:sz w:val="22"/>
          <w:u w:val="single"/>
        </w:rPr>
      </w:pPr>
    </w:p>
    <w:p w14:paraId="687D9FE2" w14:textId="77777777" w:rsidR="00F562CA" w:rsidRDefault="00F562CA" w:rsidP="00D23BF3">
      <w:pPr>
        <w:spacing w:before="0" w:beforeAutospacing="0"/>
        <w:ind w:firstLine="0"/>
        <w:rPr>
          <w:rFonts w:cstheme="majorBidi"/>
          <w:b/>
          <w:bCs/>
          <w:sz w:val="22"/>
          <w:u w:val="single"/>
        </w:rPr>
      </w:pPr>
    </w:p>
    <w:p w14:paraId="366B9385" w14:textId="77777777" w:rsidR="00F562CA" w:rsidRDefault="00F562CA" w:rsidP="00D23BF3">
      <w:pPr>
        <w:spacing w:before="0" w:beforeAutospacing="0"/>
        <w:ind w:firstLine="0"/>
        <w:rPr>
          <w:rFonts w:cstheme="majorBidi"/>
          <w:b/>
          <w:bCs/>
          <w:sz w:val="22"/>
          <w:u w:val="single"/>
        </w:rPr>
      </w:pPr>
    </w:p>
    <w:p w14:paraId="580716CD" w14:textId="77777777" w:rsidR="00F562CA" w:rsidRPr="00E2052F" w:rsidRDefault="00F562CA" w:rsidP="00D23BF3">
      <w:pPr>
        <w:spacing w:before="0" w:beforeAutospacing="0"/>
        <w:ind w:firstLine="0"/>
        <w:rPr>
          <w:rFonts w:cstheme="majorBidi"/>
          <w:b/>
          <w:bCs/>
          <w:sz w:val="22"/>
          <w:u w:val="single"/>
        </w:rPr>
      </w:pPr>
    </w:p>
    <w:p w14:paraId="2302AD3C" w14:textId="77777777" w:rsidR="00D23BF3" w:rsidRPr="00E2052F" w:rsidRDefault="00D23BF3" w:rsidP="00D23BF3">
      <w:pPr>
        <w:spacing w:before="0" w:beforeAutospacing="0"/>
        <w:ind w:firstLine="0"/>
        <w:rPr>
          <w:rFonts w:cstheme="majorBidi"/>
          <w:b/>
          <w:bCs/>
          <w:sz w:val="22"/>
          <w:u w:val="single"/>
        </w:rPr>
      </w:pPr>
    </w:p>
    <w:p w14:paraId="38BCACD1" w14:textId="77777777" w:rsidR="00F176D9" w:rsidRPr="00E2052F" w:rsidRDefault="00B607C0" w:rsidP="00172C7A">
      <w:pPr>
        <w:spacing w:before="0" w:beforeAutospacing="0"/>
        <w:rPr>
          <w:rFonts w:cstheme="majorBidi"/>
          <w:sz w:val="22"/>
        </w:rPr>
      </w:pPr>
      <w:r w:rsidRPr="00E2052F">
        <w:rPr>
          <w:rFonts w:cstheme="majorBidi"/>
          <w:noProof/>
          <w:sz w:val="22"/>
          <w:lang w:eastAsia="fr-FR"/>
        </w:rPr>
        <w:drawing>
          <wp:anchor distT="0" distB="0" distL="114300" distR="114300" simplePos="0" relativeHeight="251658240" behindDoc="1" locked="0" layoutInCell="1" allowOverlap="1" wp14:anchorId="778A4B31" wp14:editId="0F7391E9">
            <wp:simplePos x="0" y="0"/>
            <wp:positionH relativeFrom="margin">
              <wp:align>center</wp:align>
            </wp:positionH>
            <wp:positionV relativeFrom="paragraph">
              <wp:posOffset>338019</wp:posOffset>
            </wp:positionV>
            <wp:extent cx="4863829" cy="1984443"/>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4863829" cy="1984443"/>
                    </a:xfrm>
                    <a:prstGeom prst="rect">
                      <a:avLst/>
                    </a:prstGeom>
                    <a:ln>
                      <a:noFill/>
                    </a:ln>
                  </pic:spPr>
                </pic:pic>
              </a:graphicData>
            </a:graphic>
          </wp:anchor>
        </w:drawing>
      </w:r>
      <w:r w:rsidR="007619C4" w:rsidRPr="00E2052F">
        <w:rPr>
          <w:rFonts w:cstheme="majorBidi"/>
          <w:b/>
          <w:bCs/>
          <w:sz w:val="22"/>
          <w:u w:val="single"/>
        </w:rPr>
        <w:t>Figure</w:t>
      </w:r>
      <w:r w:rsidR="00026E06" w:rsidRPr="00E2052F">
        <w:rPr>
          <w:rFonts w:cstheme="majorBidi"/>
          <w:b/>
          <w:bCs/>
          <w:sz w:val="22"/>
          <w:u w:val="single"/>
        </w:rPr>
        <w:t xml:space="preserve"> </w:t>
      </w:r>
      <w:r w:rsidR="007619C4" w:rsidRPr="00E2052F">
        <w:rPr>
          <w:rFonts w:cstheme="majorBidi"/>
          <w:b/>
          <w:bCs/>
          <w:sz w:val="22"/>
          <w:u w:val="single"/>
        </w:rPr>
        <w:t>08 :</w:t>
      </w:r>
      <w:r w:rsidR="007619C4" w:rsidRPr="00E2052F">
        <w:rPr>
          <w:rFonts w:cstheme="majorBidi"/>
          <w:sz w:val="22"/>
        </w:rPr>
        <w:t xml:space="preserve"> </w:t>
      </w:r>
      <w:r w:rsidR="007619C4" w:rsidRPr="00E2052F">
        <w:rPr>
          <w:rFonts w:cstheme="majorBidi"/>
          <w:b/>
          <w:bCs/>
          <w:sz w:val="22"/>
        </w:rPr>
        <w:t>PartenariatAlgero-turc.</w:t>
      </w:r>
    </w:p>
    <w:p w14:paraId="393E957C" w14:textId="77777777" w:rsidR="00F176D9" w:rsidRPr="00E2052F" w:rsidRDefault="00F176D9" w:rsidP="00D23BF3">
      <w:pPr>
        <w:spacing w:before="0" w:beforeAutospacing="0"/>
        <w:rPr>
          <w:rFonts w:cstheme="majorBidi"/>
          <w:sz w:val="22"/>
        </w:rPr>
      </w:pPr>
    </w:p>
    <w:p w14:paraId="30F97B6F" w14:textId="77777777" w:rsidR="00F176D9" w:rsidRPr="00E2052F" w:rsidRDefault="00F176D9" w:rsidP="00B607C0">
      <w:pPr>
        <w:spacing w:before="0" w:beforeAutospacing="0"/>
        <w:ind w:firstLine="0"/>
        <w:rPr>
          <w:rFonts w:cstheme="majorBidi"/>
          <w:sz w:val="22"/>
        </w:rPr>
      </w:pPr>
    </w:p>
    <w:p w14:paraId="6E010C71" w14:textId="77777777" w:rsidR="00B607C0" w:rsidRPr="00E2052F" w:rsidRDefault="00B607C0" w:rsidP="00B607C0">
      <w:pPr>
        <w:spacing w:before="0" w:beforeAutospacing="0"/>
        <w:ind w:firstLine="0"/>
        <w:rPr>
          <w:rFonts w:cstheme="majorBidi"/>
          <w:sz w:val="22"/>
        </w:rPr>
      </w:pPr>
    </w:p>
    <w:p w14:paraId="394730F4" w14:textId="77777777" w:rsidR="00B607C0" w:rsidRPr="00E2052F" w:rsidRDefault="00B607C0" w:rsidP="00B607C0">
      <w:pPr>
        <w:spacing w:before="0" w:beforeAutospacing="0"/>
        <w:ind w:firstLine="0"/>
        <w:rPr>
          <w:rFonts w:cstheme="majorBidi"/>
          <w:sz w:val="22"/>
        </w:rPr>
      </w:pPr>
    </w:p>
    <w:p w14:paraId="7B2DDBAD" w14:textId="77777777" w:rsidR="00F176D9" w:rsidRPr="00E2052F" w:rsidRDefault="00F176D9" w:rsidP="00D23BF3">
      <w:pPr>
        <w:spacing w:before="0" w:beforeAutospacing="0"/>
        <w:rPr>
          <w:rFonts w:cstheme="majorBidi"/>
          <w:sz w:val="22"/>
        </w:rPr>
      </w:pPr>
    </w:p>
    <w:p w14:paraId="2951704A" w14:textId="77777777" w:rsidR="00F176D9" w:rsidRPr="00E2052F" w:rsidRDefault="00F176D9" w:rsidP="00D23BF3">
      <w:pPr>
        <w:spacing w:before="0" w:beforeAutospacing="0"/>
        <w:rPr>
          <w:rFonts w:cstheme="majorBidi"/>
          <w:sz w:val="22"/>
        </w:rPr>
      </w:pPr>
    </w:p>
    <w:p w14:paraId="344D84D9" w14:textId="77777777" w:rsidR="008F0691" w:rsidRPr="00E2052F" w:rsidRDefault="008F0691" w:rsidP="00D23BF3">
      <w:pPr>
        <w:spacing w:before="0" w:beforeAutospacing="0"/>
        <w:ind w:firstLine="0"/>
        <w:jc w:val="center"/>
        <w:rPr>
          <w:rFonts w:cstheme="majorBidi"/>
          <w:sz w:val="22"/>
        </w:rPr>
      </w:pPr>
      <w:r w:rsidRPr="00E2052F">
        <w:rPr>
          <w:rFonts w:cstheme="majorBidi"/>
          <w:b/>
          <w:bCs/>
          <w:sz w:val="22"/>
        </w:rPr>
        <w:t xml:space="preserve">Source : </w:t>
      </w:r>
      <w:r w:rsidR="00D40B53" w:rsidRPr="00E2052F">
        <w:rPr>
          <w:rFonts w:cstheme="majorBidi"/>
          <w:sz w:val="22"/>
        </w:rPr>
        <w:t xml:space="preserve">Document interne de </w:t>
      </w:r>
      <w:r w:rsidRPr="00E2052F">
        <w:rPr>
          <w:rFonts w:cstheme="majorBidi"/>
          <w:sz w:val="22"/>
        </w:rPr>
        <w:t>TAYAL SPA</w:t>
      </w:r>
      <w:bookmarkStart w:id="1262" w:name="_Toc223451373"/>
    </w:p>
    <w:p w14:paraId="1CEE5AFE" w14:textId="77777777" w:rsidR="008F0691" w:rsidRPr="00E2052F" w:rsidRDefault="008F0691" w:rsidP="00D61875">
      <w:pPr>
        <w:pStyle w:val="Titre3"/>
        <w:numPr>
          <w:ilvl w:val="0"/>
          <w:numId w:val="16"/>
        </w:numPr>
        <w:spacing w:before="0" w:beforeAutospacing="0" w:after="160"/>
        <w:rPr>
          <w:rFonts w:asciiTheme="majorBidi" w:hAnsiTheme="majorBidi"/>
          <w:color w:val="auto"/>
          <w:sz w:val="22"/>
        </w:rPr>
      </w:pPr>
      <w:bookmarkStart w:id="1263" w:name="_Toc229155955"/>
      <w:bookmarkStart w:id="1264" w:name="_Toc231746953"/>
      <w:bookmarkStart w:id="1265" w:name="_Toc231752359"/>
      <w:bookmarkStart w:id="1266" w:name="_Toc231810662"/>
      <w:bookmarkStart w:id="1267" w:name="_Toc231812005"/>
      <w:bookmarkStart w:id="1268" w:name="_Toc231812283"/>
      <w:bookmarkStart w:id="1269" w:name="_Toc231815167"/>
      <w:r w:rsidRPr="00E2052F">
        <w:rPr>
          <w:rFonts w:asciiTheme="majorBidi" w:hAnsiTheme="majorBidi"/>
          <w:color w:val="auto"/>
          <w:sz w:val="22"/>
        </w:rPr>
        <w:t>Phase de conception et de planification (2013–2015) :</w:t>
      </w:r>
      <w:bookmarkEnd w:id="1262"/>
      <w:bookmarkEnd w:id="1263"/>
      <w:bookmarkEnd w:id="1264"/>
      <w:bookmarkEnd w:id="1265"/>
      <w:bookmarkEnd w:id="1266"/>
      <w:bookmarkEnd w:id="1267"/>
      <w:bookmarkEnd w:id="1268"/>
      <w:bookmarkEnd w:id="1269"/>
    </w:p>
    <w:p w14:paraId="7F2573CC" w14:textId="77777777" w:rsidR="008F0691" w:rsidRPr="00E2052F" w:rsidRDefault="008F0691" w:rsidP="00D23BF3">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Après la création juridique de la société, une phase d’études techniques, financières et stratégiques a été engagée afin de concevoir un </w:t>
      </w:r>
      <w:r w:rsidRPr="00E2052F">
        <w:rPr>
          <w:rStyle w:val="lev"/>
          <w:rFonts w:asciiTheme="majorBidi" w:hAnsiTheme="majorBidi" w:cstheme="majorBidi"/>
          <w:sz w:val="22"/>
          <w:szCs w:val="22"/>
        </w:rPr>
        <w:t>complexe textile intégré</w:t>
      </w:r>
      <w:r w:rsidRPr="00E2052F">
        <w:rPr>
          <w:rFonts w:asciiTheme="majorBidi" w:hAnsiTheme="majorBidi" w:cstheme="majorBidi"/>
          <w:sz w:val="22"/>
          <w:szCs w:val="22"/>
        </w:rPr>
        <w:t xml:space="preserve"> répondant aux standards internationaux. Implantée au cœur des marchés textiles du Maghreb, de l’Afrique et de l’Europe, elle bénéficie d’un emplacement géostratégique. Le projet s’étend sur 2 500 000 m² pour sa première phase, dont 1 000 000 m² sont déjà réalisés et fonctionnels, comprenant plus de 400 000 m² couverts répartis en 30 unités de production. Durant cette période, les partenariats technologiques ont été définis, les équipements sélectionnés et les premières étapes de structuration organisationnelle mises en place.</w:t>
      </w:r>
    </w:p>
    <w:p w14:paraId="5AD85BC8" w14:textId="77777777" w:rsidR="008F0691" w:rsidRPr="00E2052F" w:rsidRDefault="008F0691" w:rsidP="00D61875">
      <w:pPr>
        <w:pStyle w:val="Titre3"/>
        <w:numPr>
          <w:ilvl w:val="1"/>
          <w:numId w:val="1"/>
        </w:numPr>
        <w:spacing w:before="0" w:beforeAutospacing="0" w:after="160"/>
        <w:ind w:left="641" w:hanging="357"/>
        <w:rPr>
          <w:rFonts w:asciiTheme="majorBidi" w:hAnsiTheme="majorBidi"/>
          <w:b w:val="0"/>
          <w:bCs w:val="0"/>
          <w:color w:val="000000" w:themeColor="text1"/>
          <w:sz w:val="22"/>
        </w:rPr>
      </w:pPr>
      <w:bookmarkStart w:id="1270" w:name="_Toc223451374"/>
      <w:bookmarkStart w:id="1271" w:name="_Toc229155956"/>
      <w:bookmarkStart w:id="1272" w:name="_Toc231746954"/>
      <w:bookmarkStart w:id="1273" w:name="_Toc231752360"/>
      <w:bookmarkStart w:id="1274" w:name="_Toc231810663"/>
      <w:bookmarkStart w:id="1275" w:name="_Toc231812006"/>
      <w:bookmarkStart w:id="1276" w:name="_Toc231812284"/>
      <w:bookmarkStart w:id="1277" w:name="_Toc231815168"/>
      <w:r w:rsidRPr="00E2052F">
        <w:rPr>
          <w:rFonts w:asciiTheme="majorBidi" w:hAnsiTheme="majorBidi"/>
          <w:color w:val="000000" w:themeColor="text1"/>
          <w:sz w:val="22"/>
        </w:rPr>
        <w:t>Phase de lancement du projet industriel (2016) :</w:t>
      </w:r>
      <w:bookmarkEnd w:id="1270"/>
      <w:bookmarkEnd w:id="1271"/>
      <w:bookmarkEnd w:id="1272"/>
      <w:bookmarkEnd w:id="1273"/>
      <w:bookmarkEnd w:id="1274"/>
      <w:bookmarkEnd w:id="1275"/>
      <w:bookmarkEnd w:id="1276"/>
      <w:bookmarkEnd w:id="1277"/>
    </w:p>
    <w:p w14:paraId="3945FF78" w14:textId="77777777" w:rsidR="008F0691" w:rsidRPr="00E2052F" w:rsidRDefault="008F0691" w:rsidP="00D23BF3">
      <w:pPr>
        <w:spacing w:before="0" w:beforeAutospacing="0"/>
        <w:rPr>
          <w:rFonts w:cstheme="majorBidi"/>
          <w:sz w:val="22"/>
        </w:rPr>
      </w:pPr>
      <w:r w:rsidRPr="00E2052F">
        <w:rPr>
          <w:rFonts w:cstheme="majorBidi"/>
          <w:sz w:val="22"/>
        </w:rPr>
        <w:t xml:space="preserve">En avril 2016, les travaux de réalisation du complexe ont officiellement débuté. Le projet a été conçu comme l’un des rares pôles textiles verticalement intégrés au monde, couvrant toute la chaîne de transformation, du coton brut jusqu’au vêtement </w:t>
      </w:r>
      <w:r w:rsidR="00194123" w:rsidRPr="00E2052F">
        <w:rPr>
          <w:rFonts w:cstheme="majorBidi"/>
          <w:sz w:val="22"/>
        </w:rPr>
        <w:t>fini. Cette</w:t>
      </w:r>
      <w:r w:rsidRPr="00E2052F">
        <w:rPr>
          <w:rFonts w:cstheme="majorBidi"/>
          <w:sz w:val="22"/>
        </w:rPr>
        <w:t xml:space="preserve"> étape a mobilisé des investissements considérables destinés à la construction des infrastructures industrielles, à l’acquisition d’équipements modernes de filature, de tissage et de confection, ainsi qu’à la mise en place d’une unité énergétique autonome basée sur la tri-génération et d’une station de traitement des eaux usées, garantissant à la fois l’autonomie énergétique, la continuité de la production et le respect des normes environnementales.</w:t>
      </w:r>
      <w:r w:rsidR="000216D8">
        <w:rPr>
          <w:rStyle w:val="Appelnotedebasdep"/>
          <w:rFonts w:cstheme="majorBidi"/>
          <w:sz w:val="22"/>
        </w:rPr>
        <w:footnoteReference w:id="269"/>
      </w:r>
    </w:p>
    <w:p w14:paraId="4D666314" w14:textId="77777777" w:rsidR="008F0691" w:rsidRPr="00E2052F" w:rsidRDefault="008F0691" w:rsidP="00D61875">
      <w:pPr>
        <w:pStyle w:val="Titre3"/>
        <w:numPr>
          <w:ilvl w:val="1"/>
          <w:numId w:val="1"/>
        </w:numPr>
        <w:spacing w:before="0" w:beforeAutospacing="0" w:after="160"/>
        <w:ind w:left="641" w:hanging="357"/>
        <w:rPr>
          <w:rFonts w:asciiTheme="majorBidi" w:hAnsiTheme="majorBidi"/>
          <w:b w:val="0"/>
          <w:bCs w:val="0"/>
          <w:sz w:val="22"/>
        </w:rPr>
      </w:pPr>
      <w:bookmarkStart w:id="1278" w:name="_Toc223451375"/>
      <w:bookmarkStart w:id="1279" w:name="_Toc229155957"/>
      <w:bookmarkStart w:id="1280" w:name="_Toc231746955"/>
      <w:bookmarkStart w:id="1281" w:name="_Toc231752361"/>
      <w:bookmarkStart w:id="1282" w:name="_Toc231810664"/>
      <w:bookmarkStart w:id="1283" w:name="_Toc231812007"/>
      <w:bookmarkStart w:id="1284" w:name="_Toc231812285"/>
      <w:bookmarkStart w:id="1285" w:name="_Toc231815169"/>
      <w:r w:rsidRPr="00E2052F">
        <w:rPr>
          <w:rFonts w:asciiTheme="majorBidi" w:hAnsiTheme="majorBidi"/>
          <w:color w:val="000000" w:themeColor="text1"/>
          <w:sz w:val="22"/>
        </w:rPr>
        <w:t>Phase de mise en exploitation et début des activités (2018) :</w:t>
      </w:r>
      <w:bookmarkEnd w:id="1278"/>
      <w:bookmarkEnd w:id="1279"/>
      <w:bookmarkEnd w:id="1280"/>
      <w:bookmarkEnd w:id="1281"/>
      <w:bookmarkEnd w:id="1282"/>
      <w:bookmarkEnd w:id="1283"/>
      <w:bookmarkEnd w:id="1284"/>
      <w:bookmarkEnd w:id="1285"/>
    </w:p>
    <w:p w14:paraId="6BF3D0DA" w14:textId="77777777" w:rsidR="008F0691" w:rsidRPr="00E2052F" w:rsidRDefault="008F0691" w:rsidP="00D23BF3">
      <w:pPr>
        <w:spacing w:before="0" w:beforeAutospacing="0"/>
        <w:rPr>
          <w:rFonts w:cstheme="majorBidi"/>
          <w:sz w:val="22"/>
        </w:rPr>
      </w:pPr>
      <w:r w:rsidRPr="00E2052F">
        <w:rPr>
          <w:rFonts w:cstheme="majorBidi"/>
          <w:sz w:val="22"/>
        </w:rPr>
        <w:t xml:space="preserve">L’année 2018 marque un tournant décisif dans l’histoire de TAYAL S.P.A, avec le démarrage progressif de ses différentes unités de production, le lancement officiel de la commercialisation de ses produits sur le marché national et la réalisation de ses premières opérations d’exportation, notamment </w:t>
      </w:r>
      <w:r w:rsidRPr="00E2052F">
        <w:rPr>
          <w:rFonts w:cstheme="majorBidi"/>
          <w:sz w:val="22"/>
        </w:rPr>
        <w:lastRenderedPageBreak/>
        <w:t>dans le domaine du fil, consacrant ainsi son entrée effective et structurée sur les marchés national et international.</w:t>
      </w:r>
    </w:p>
    <w:p w14:paraId="03A02C31" w14:textId="77777777" w:rsidR="008F0691" w:rsidRPr="00E2052F" w:rsidRDefault="008F0691" w:rsidP="00D61875">
      <w:pPr>
        <w:pStyle w:val="Titre3"/>
        <w:numPr>
          <w:ilvl w:val="1"/>
          <w:numId w:val="1"/>
        </w:numPr>
        <w:spacing w:before="0" w:beforeAutospacing="0" w:after="160"/>
        <w:ind w:left="641" w:hanging="357"/>
        <w:rPr>
          <w:rFonts w:asciiTheme="majorBidi" w:hAnsiTheme="majorBidi"/>
          <w:b w:val="0"/>
          <w:bCs w:val="0"/>
          <w:color w:val="000000" w:themeColor="text1"/>
          <w:sz w:val="22"/>
        </w:rPr>
      </w:pPr>
      <w:bookmarkStart w:id="1286" w:name="_Toc223451376"/>
      <w:bookmarkStart w:id="1287" w:name="_Toc229155958"/>
      <w:bookmarkStart w:id="1288" w:name="_Toc231746956"/>
      <w:bookmarkStart w:id="1289" w:name="_Toc231752362"/>
      <w:bookmarkStart w:id="1290" w:name="_Toc231810665"/>
      <w:bookmarkStart w:id="1291" w:name="_Toc231812008"/>
      <w:bookmarkStart w:id="1292" w:name="_Toc231812286"/>
      <w:bookmarkStart w:id="1293" w:name="_Toc231815170"/>
      <w:r w:rsidRPr="00E2052F">
        <w:rPr>
          <w:rFonts w:asciiTheme="majorBidi" w:hAnsiTheme="majorBidi"/>
          <w:color w:val="000000" w:themeColor="text1"/>
          <w:sz w:val="22"/>
        </w:rPr>
        <w:t>Phase d’expansion et de consolidation (2019–2026) :</w:t>
      </w:r>
      <w:bookmarkEnd w:id="1286"/>
      <w:bookmarkEnd w:id="1287"/>
      <w:bookmarkEnd w:id="1288"/>
      <w:bookmarkEnd w:id="1289"/>
      <w:bookmarkEnd w:id="1290"/>
      <w:bookmarkEnd w:id="1291"/>
      <w:bookmarkEnd w:id="1292"/>
      <w:bookmarkEnd w:id="1293"/>
    </w:p>
    <w:p w14:paraId="32CC03FB" w14:textId="77777777" w:rsidR="00C26EA4" w:rsidRPr="00E2052F" w:rsidRDefault="00F562CA" w:rsidP="00D23BF3">
      <w:pPr>
        <w:spacing w:before="0" w:beforeAutospacing="0"/>
        <w:rPr>
          <w:rFonts w:cstheme="majorBidi"/>
          <w:b/>
          <w:bCs/>
          <w:sz w:val="22"/>
        </w:rPr>
      </w:pPr>
      <w:r w:rsidRPr="00E2052F">
        <w:rPr>
          <w:rFonts w:cstheme="majorBidi"/>
          <w:noProof/>
          <w:sz w:val="22"/>
          <w:lang w:eastAsia="fr-FR"/>
        </w:rPr>
        <mc:AlternateContent>
          <mc:Choice Requires="wps">
            <w:drawing>
              <wp:anchor distT="0" distB="0" distL="114300" distR="114300" simplePos="0" relativeHeight="251872256" behindDoc="0" locked="0" layoutInCell="1" allowOverlap="1" wp14:anchorId="5FB15BE7" wp14:editId="321F98F7">
                <wp:simplePos x="0" y="0"/>
                <wp:positionH relativeFrom="margin">
                  <wp:align>left</wp:align>
                </wp:positionH>
                <wp:positionV relativeFrom="paragraph">
                  <wp:posOffset>1758841</wp:posOffset>
                </wp:positionV>
                <wp:extent cx="4778734" cy="386080"/>
                <wp:effectExtent l="0" t="0" r="0" b="0"/>
                <wp:wrapNone/>
                <wp:docPr id="217"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734"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4AD36" w14:textId="77777777" w:rsidR="00A36231" w:rsidRPr="00D40B53" w:rsidRDefault="00A36231" w:rsidP="00172C7A">
                            <w:pPr>
                              <w:rPr>
                                <w:rFonts w:cstheme="majorBidi"/>
                                <w:szCs w:val="24"/>
                              </w:rPr>
                            </w:pPr>
                            <w:r w:rsidRPr="007619C4">
                              <w:rPr>
                                <w:rFonts w:cstheme="majorBidi"/>
                                <w:b/>
                                <w:bCs/>
                                <w:szCs w:val="24"/>
                                <w:u w:val="single"/>
                              </w:rPr>
                              <w:t>Figure 09 :</w:t>
                            </w:r>
                            <w:r>
                              <w:rPr>
                                <w:rFonts w:cstheme="majorBidi"/>
                                <w:b/>
                                <w:bCs/>
                                <w:szCs w:val="24"/>
                              </w:rPr>
                              <w:t xml:space="preserve"> </w:t>
                            </w:r>
                            <w:r w:rsidRPr="00E707AF">
                              <w:rPr>
                                <w:rFonts w:cstheme="majorBidi"/>
                                <w:b/>
                                <w:bCs/>
                                <w:szCs w:val="24"/>
                              </w:rPr>
                              <w:t>Les conventions de partenariat conclues par l’entreprise.</w:t>
                            </w:r>
                          </w:p>
                          <w:p w14:paraId="59D5B5ED" w14:textId="77777777" w:rsidR="00A36231" w:rsidRDefault="00A36231" w:rsidP="00493DAD">
                            <w:pPr>
                              <w:tabs>
                                <w:tab w:val="left" w:pos="3330"/>
                              </w:tabs>
                              <w:ind w:firstLine="0"/>
                              <w:rPr>
                                <w:rFonts w:cstheme="majorBidi"/>
                                <w:szCs w:val="24"/>
                              </w:rPr>
                            </w:pPr>
                            <w:r>
                              <w:rPr>
                                <w:rFonts w:cstheme="majorBidi"/>
                                <w:b/>
                                <w:bCs/>
                                <w:noProof/>
                                <w:sz w:val="28"/>
                                <w:szCs w:val="28"/>
                                <w:lang w:eastAsia="fr-FR"/>
                              </w:rPr>
                              <w:drawing>
                                <wp:inline distT="0" distB="0" distL="0" distR="0" wp14:anchorId="75CF949F" wp14:editId="37859C9C">
                                  <wp:extent cx="5760720" cy="2558415"/>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76B11F9C" w14:textId="77777777" w:rsidR="00A36231" w:rsidRDefault="00A36231" w:rsidP="00493D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15BE7" id="_x0000_t202" coordsize="21600,21600" o:spt="202" path="m,l,21600r21600,l21600,xe">
                <v:stroke joinstyle="miter"/>
                <v:path gradientshapeok="t" o:connecttype="rect"/>
              </v:shapetype>
              <v:shape id="Text Box 318" o:spid="_x0000_s1037" type="#_x0000_t202" style="position:absolute;left:0;text-align:left;margin-left:0;margin-top:138.5pt;width:376.3pt;height:30.4pt;z-index:251872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" filled="f" stroked="f">
                <v:textbox>
                  <w:txbxContent>
                    <w:p w14:paraId="42E4AD36" w14:textId="77777777" w:rsidR="00A36231" w:rsidRPr="00D40B53" w:rsidRDefault="00A36231" w:rsidP="00172C7A">
                      <w:pPr>
                        <w:rPr>
                          <w:rFonts w:cstheme="majorBidi"/>
                          <w:szCs w:val="24"/>
                        </w:rPr>
                      </w:pPr>
                      <w:r w:rsidRPr="007619C4">
                        <w:rPr>
                          <w:rFonts w:cstheme="majorBidi"/>
                          <w:b/>
                          <w:bCs/>
                          <w:szCs w:val="24"/>
                          <w:u w:val="single"/>
                        </w:rPr>
                        <w:t>Figure 09 :</w:t>
                      </w:r>
                      <w:r>
                        <w:rPr>
                          <w:rFonts w:cstheme="majorBidi"/>
                          <w:b/>
                          <w:bCs/>
                          <w:szCs w:val="24"/>
                        </w:rPr>
                        <w:t xml:space="preserve"> </w:t>
                      </w:r>
                      <w:r w:rsidRPr="00E707AF">
                        <w:rPr>
                          <w:rFonts w:cstheme="majorBidi"/>
                          <w:b/>
                          <w:bCs/>
                          <w:szCs w:val="24"/>
                        </w:rPr>
                        <w:t>Les conventions de partenariat conclues par l’entreprise.</w:t>
                      </w:r>
                    </w:p>
                    <w:p w14:paraId="59D5B5ED" w14:textId="77777777" w:rsidR="00A36231" w:rsidRDefault="00A36231" w:rsidP="00493DAD">
                      <w:pPr>
                        <w:tabs>
                          <w:tab w:val="left" w:pos="3330"/>
                        </w:tabs>
                        <w:ind w:firstLine="0"/>
                        <w:rPr>
                          <w:rFonts w:cstheme="majorBidi"/>
                          <w:szCs w:val="24"/>
                        </w:rPr>
                      </w:pPr>
                      <w:r>
                        <w:rPr>
                          <w:rFonts w:cstheme="majorBidi"/>
                          <w:b/>
                          <w:bCs/>
                          <w:noProof/>
                          <w:sz w:val="28"/>
                          <w:szCs w:val="28"/>
                          <w:lang w:eastAsia="fr-FR"/>
                        </w:rPr>
                        <w:drawing>
                          <wp:inline distT="0" distB="0" distL="0" distR="0" wp14:anchorId="75CF949F" wp14:editId="37859C9C">
                            <wp:extent cx="5760720" cy="2558415"/>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76B11F9C" w14:textId="77777777" w:rsidR="00A36231" w:rsidRDefault="00A36231" w:rsidP="00493DAD"/>
                  </w:txbxContent>
                </v:textbox>
                <w10:wrap anchorx="margin"/>
              </v:shape>
            </w:pict>
          </mc:Fallback>
        </mc:AlternateContent>
      </w:r>
      <w:r w:rsidR="008F0691" w:rsidRPr="00E2052F">
        <w:rPr>
          <w:rFonts w:cstheme="majorBidi"/>
          <w:sz w:val="22"/>
        </w:rPr>
        <w:t xml:space="preserve">À partir de 2019, </w:t>
      </w:r>
      <w:r w:rsidR="008F0691" w:rsidRPr="00E2052F">
        <w:rPr>
          <w:rStyle w:val="whitespace-normal"/>
          <w:rFonts w:cstheme="majorBidi"/>
          <w:sz w:val="22"/>
        </w:rPr>
        <w:t>TAYAL S.P.A</w:t>
      </w:r>
      <w:r w:rsidR="008F0691" w:rsidRPr="00E2052F">
        <w:rPr>
          <w:rFonts w:cstheme="majorBidi"/>
          <w:sz w:val="22"/>
        </w:rPr>
        <w:t xml:space="preserve"> a enregistré une montée en puissance progressive de ses capacités de production, traduite par l’optimisation de ses unités industrielles et l’augmentation de ses volumes de fabrication. L’entreprise a parallèlement renforcé ses effectifs, avec un objectif dépassant à terme les 10 000 emplois directs, tout en développant son centre de formation interne, la TAYAL Academy, afin d’assurer la qualification et le perfectionnement de sa main-d’œuvre. Elle a également consolidé ses partenariats avec des institutions universitaires et professionnelles, dans une logique de transfert de compétences et de structuration durable de la filière textile nationale.</w:t>
      </w:r>
    </w:p>
    <w:p w14:paraId="57C18627" w14:textId="77777777" w:rsidR="00F562CA" w:rsidRDefault="00F562CA" w:rsidP="00D23BF3">
      <w:pPr>
        <w:spacing w:before="0" w:beforeAutospacing="0"/>
        <w:rPr>
          <w:rFonts w:cstheme="majorBidi"/>
          <w:sz w:val="22"/>
        </w:rPr>
      </w:pPr>
    </w:p>
    <w:p w14:paraId="36447B6F" w14:textId="77777777" w:rsidR="008F0691" w:rsidRPr="00E2052F" w:rsidRDefault="00B607C0" w:rsidP="00D23BF3">
      <w:pPr>
        <w:spacing w:before="0" w:beforeAutospacing="0"/>
        <w:rPr>
          <w:rFonts w:cstheme="majorBidi"/>
          <w:sz w:val="22"/>
        </w:rPr>
      </w:pPr>
      <w:r w:rsidRPr="00E2052F">
        <w:rPr>
          <w:rFonts w:cstheme="majorBidi"/>
          <w:noProof/>
          <w:sz w:val="22"/>
          <w:lang w:eastAsia="fr-FR"/>
        </w:rPr>
        <w:drawing>
          <wp:anchor distT="0" distB="0" distL="114300" distR="114300" simplePos="0" relativeHeight="251661312" behindDoc="0" locked="0" layoutInCell="1" allowOverlap="1" wp14:anchorId="013C12BA" wp14:editId="78A7189F">
            <wp:simplePos x="0" y="0"/>
            <wp:positionH relativeFrom="margin">
              <wp:posOffset>441325</wp:posOffset>
            </wp:positionH>
            <wp:positionV relativeFrom="paragraph">
              <wp:posOffset>69106</wp:posOffset>
            </wp:positionV>
            <wp:extent cx="4871423" cy="1809345"/>
            <wp:effectExtent l="0" t="0" r="5715" b="635"/>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écran_24-2-2026_14503_.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871423" cy="1809345"/>
                    </a:xfrm>
                    <a:prstGeom prst="rect">
                      <a:avLst/>
                    </a:prstGeom>
                  </pic:spPr>
                </pic:pic>
              </a:graphicData>
            </a:graphic>
          </wp:anchor>
        </w:drawing>
      </w:r>
    </w:p>
    <w:p w14:paraId="7C400F10" w14:textId="77777777" w:rsidR="0090590F" w:rsidRPr="00E2052F" w:rsidRDefault="0090590F" w:rsidP="00D23BF3">
      <w:pPr>
        <w:spacing w:before="0" w:beforeAutospacing="0"/>
        <w:rPr>
          <w:rFonts w:cstheme="majorBidi"/>
          <w:sz w:val="22"/>
        </w:rPr>
      </w:pPr>
    </w:p>
    <w:p w14:paraId="408ECC6D" w14:textId="77777777" w:rsidR="002D49BD" w:rsidRPr="00E2052F" w:rsidRDefault="002D49BD" w:rsidP="00D23BF3">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 xml:space="preserve"> </w:t>
      </w:r>
    </w:p>
    <w:p w14:paraId="414555ED" w14:textId="77777777" w:rsidR="002D49BD" w:rsidRPr="00E2052F" w:rsidRDefault="002D49BD" w:rsidP="00D23BF3">
      <w:pPr>
        <w:pStyle w:val="NormalWeb"/>
        <w:spacing w:before="0" w:beforeAutospacing="0" w:line="360" w:lineRule="auto"/>
        <w:rPr>
          <w:rFonts w:asciiTheme="majorBidi" w:hAnsiTheme="majorBidi" w:cstheme="majorBidi"/>
          <w:sz w:val="22"/>
          <w:szCs w:val="22"/>
        </w:rPr>
      </w:pPr>
    </w:p>
    <w:p w14:paraId="1BFE4742" w14:textId="77777777" w:rsidR="002D49BD" w:rsidRPr="00E2052F" w:rsidRDefault="002D49BD" w:rsidP="00D23BF3">
      <w:pPr>
        <w:pStyle w:val="NormalWeb"/>
        <w:spacing w:before="0" w:beforeAutospacing="0" w:line="360" w:lineRule="auto"/>
        <w:rPr>
          <w:rFonts w:asciiTheme="majorBidi" w:hAnsiTheme="majorBidi" w:cstheme="majorBidi"/>
          <w:sz w:val="22"/>
          <w:szCs w:val="22"/>
        </w:rPr>
      </w:pPr>
    </w:p>
    <w:p w14:paraId="05006082" w14:textId="77777777" w:rsidR="002D49BD" w:rsidRPr="00E2052F" w:rsidRDefault="002D49BD" w:rsidP="00D23BF3">
      <w:pPr>
        <w:pStyle w:val="NormalWeb"/>
        <w:spacing w:before="0" w:beforeAutospacing="0" w:line="360" w:lineRule="auto"/>
        <w:rPr>
          <w:rFonts w:asciiTheme="majorBidi" w:hAnsiTheme="majorBidi" w:cstheme="majorBidi"/>
          <w:sz w:val="22"/>
          <w:szCs w:val="22"/>
        </w:rPr>
      </w:pPr>
    </w:p>
    <w:p w14:paraId="7A83112C" w14:textId="77777777" w:rsidR="00D40B53" w:rsidRPr="00E2052F" w:rsidRDefault="00493DAD" w:rsidP="00D23BF3">
      <w:pPr>
        <w:tabs>
          <w:tab w:val="left" w:pos="3330"/>
        </w:tabs>
        <w:spacing w:before="0" w:beforeAutospacing="0"/>
        <w:rPr>
          <w:rFonts w:cstheme="majorBidi"/>
          <w:sz w:val="22"/>
        </w:rPr>
      </w:pPr>
      <w:r w:rsidRPr="00E2052F">
        <w:rPr>
          <w:rFonts w:cstheme="majorBidi"/>
          <w:b/>
          <w:bCs/>
          <w:sz w:val="22"/>
        </w:rPr>
        <w:t xml:space="preserve">                                                     Source :</w:t>
      </w:r>
      <w:r w:rsidRPr="00E2052F">
        <w:rPr>
          <w:rFonts w:cstheme="majorBidi"/>
          <w:sz w:val="22"/>
        </w:rPr>
        <w:t xml:space="preserve"> </w:t>
      </w:r>
      <w:r w:rsidR="00D40B53" w:rsidRPr="00E2052F">
        <w:rPr>
          <w:rFonts w:cstheme="majorBidi"/>
          <w:sz w:val="22"/>
        </w:rPr>
        <w:t xml:space="preserve">Document interne de </w:t>
      </w:r>
      <w:r w:rsidRPr="00E2052F">
        <w:rPr>
          <w:rFonts w:cstheme="majorBidi"/>
          <w:sz w:val="22"/>
        </w:rPr>
        <w:t xml:space="preserve">TAYAL </w:t>
      </w:r>
      <w:bookmarkStart w:id="1294" w:name="_Toc223451377"/>
      <w:bookmarkStart w:id="1295" w:name="_Toc229155959"/>
      <w:r w:rsidR="00E707AF" w:rsidRPr="00E2052F">
        <w:rPr>
          <w:rFonts w:cstheme="majorBidi"/>
          <w:sz w:val="22"/>
        </w:rPr>
        <w:t>SPA.</w:t>
      </w:r>
    </w:p>
    <w:p w14:paraId="1136BCCC" w14:textId="77777777" w:rsidR="002D49BD" w:rsidRPr="00E2052F" w:rsidRDefault="002D49BD" w:rsidP="00C8480E">
      <w:pPr>
        <w:pStyle w:val="Titre2"/>
      </w:pPr>
      <w:bookmarkStart w:id="1296" w:name="_Toc231746957"/>
      <w:bookmarkStart w:id="1297" w:name="_Toc231752363"/>
      <w:bookmarkStart w:id="1298" w:name="_Toc231810666"/>
      <w:bookmarkStart w:id="1299" w:name="_Toc231812009"/>
      <w:bookmarkStart w:id="1300" w:name="_Toc231812287"/>
      <w:bookmarkStart w:id="1301" w:name="_Toc231815171"/>
      <w:r w:rsidRPr="00E2052F">
        <w:t>Aperçu générale sur l’entreprise :</w:t>
      </w:r>
      <w:bookmarkEnd w:id="1294"/>
      <w:bookmarkEnd w:id="1295"/>
      <w:bookmarkEnd w:id="1296"/>
      <w:bookmarkEnd w:id="1297"/>
      <w:bookmarkEnd w:id="1298"/>
      <w:bookmarkEnd w:id="1299"/>
      <w:bookmarkEnd w:id="1300"/>
      <w:bookmarkEnd w:id="1301"/>
    </w:p>
    <w:p w14:paraId="7BF5A2AA" w14:textId="77777777" w:rsidR="002D49BD" w:rsidRPr="00E2052F" w:rsidRDefault="002D49BD" w:rsidP="00D61875">
      <w:pPr>
        <w:pStyle w:val="Titre3"/>
        <w:numPr>
          <w:ilvl w:val="1"/>
          <w:numId w:val="2"/>
        </w:numPr>
        <w:spacing w:before="0" w:beforeAutospacing="0" w:after="160"/>
        <w:ind w:left="641" w:hanging="357"/>
        <w:rPr>
          <w:rFonts w:asciiTheme="majorBidi" w:hAnsiTheme="majorBidi"/>
          <w:b w:val="0"/>
          <w:bCs w:val="0"/>
          <w:color w:val="auto"/>
          <w:sz w:val="22"/>
        </w:rPr>
      </w:pPr>
      <w:bookmarkStart w:id="1302" w:name="_Toc223451378"/>
      <w:bookmarkStart w:id="1303" w:name="_Toc229155960"/>
      <w:bookmarkStart w:id="1304" w:name="_Toc231746958"/>
      <w:bookmarkStart w:id="1305" w:name="_Toc231752364"/>
      <w:bookmarkStart w:id="1306" w:name="_Toc231810667"/>
      <w:bookmarkStart w:id="1307" w:name="_Toc231812010"/>
      <w:bookmarkStart w:id="1308" w:name="_Toc231812288"/>
      <w:bookmarkStart w:id="1309" w:name="_Toc231815172"/>
      <w:r w:rsidRPr="00E2052F">
        <w:rPr>
          <w:rFonts w:asciiTheme="majorBidi" w:hAnsiTheme="majorBidi"/>
          <w:color w:val="auto"/>
          <w:sz w:val="22"/>
        </w:rPr>
        <w:t>Localisation :</w:t>
      </w:r>
      <w:bookmarkEnd w:id="1302"/>
      <w:bookmarkEnd w:id="1303"/>
      <w:bookmarkEnd w:id="1304"/>
      <w:bookmarkEnd w:id="1305"/>
      <w:bookmarkEnd w:id="1306"/>
      <w:bookmarkEnd w:id="1307"/>
      <w:bookmarkEnd w:id="1308"/>
      <w:bookmarkEnd w:id="1309"/>
    </w:p>
    <w:p w14:paraId="196E5BAE" w14:textId="77777777" w:rsidR="002D49BD" w:rsidRPr="00E2052F" w:rsidRDefault="002D49BD" w:rsidP="00D23BF3">
      <w:pPr>
        <w:pStyle w:val="Titre3"/>
        <w:spacing w:before="0" w:beforeAutospacing="0" w:after="160"/>
        <w:rPr>
          <w:rFonts w:asciiTheme="majorBidi" w:hAnsiTheme="majorBidi"/>
          <w:b w:val="0"/>
          <w:bCs w:val="0"/>
          <w:color w:val="auto"/>
          <w:sz w:val="22"/>
        </w:rPr>
      </w:pPr>
      <w:bookmarkStart w:id="1310" w:name="_Toc229155961"/>
      <w:bookmarkStart w:id="1311" w:name="_Toc231746959"/>
      <w:bookmarkStart w:id="1312" w:name="_Toc231752365"/>
      <w:bookmarkStart w:id="1313" w:name="_Toc231810668"/>
      <w:bookmarkStart w:id="1314" w:name="_Toc231812011"/>
      <w:bookmarkStart w:id="1315" w:name="_Toc231812289"/>
      <w:bookmarkStart w:id="1316" w:name="_Toc231815173"/>
      <w:r w:rsidRPr="00E2052F">
        <w:rPr>
          <w:rFonts w:asciiTheme="majorBidi" w:hAnsiTheme="majorBidi"/>
          <w:b w:val="0"/>
          <w:bCs w:val="0"/>
          <w:color w:val="auto"/>
          <w:sz w:val="22"/>
        </w:rPr>
        <w:t>Zone industrielle de Sidi Khettab</w:t>
      </w:r>
      <w:r w:rsidR="00194123" w:rsidRPr="00E2052F">
        <w:rPr>
          <w:rFonts w:asciiTheme="majorBidi" w:hAnsiTheme="majorBidi"/>
          <w:b w:val="0"/>
          <w:bCs w:val="0"/>
          <w:color w:val="auto"/>
          <w:sz w:val="22"/>
        </w:rPr>
        <w:t>) p</w:t>
      </w:r>
      <w:r w:rsidRPr="00E2052F">
        <w:rPr>
          <w:rFonts w:asciiTheme="majorBidi" w:hAnsiTheme="majorBidi"/>
          <w:b w:val="0"/>
          <w:bCs w:val="0"/>
          <w:color w:val="auto"/>
          <w:sz w:val="22"/>
        </w:rPr>
        <w:t>, Section 22 îlots, propriété 20, Relizane 48029, Algérie.</w:t>
      </w:r>
      <w:bookmarkEnd w:id="1310"/>
      <w:bookmarkEnd w:id="1311"/>
      <w:bookmarkEnd w:id="1312"/>
      <w:bookmarkEnd w:id="1313"/>
      <w:bookmarkEnd w:id="1314"/>
      <w:bookmarkEnd w:id="1315"/>
      <w:bookmarkEnd w:id="1316"/>
    </w:p>
    <w:p w14:paraId="39BFE8DE" w14:textId="77777777" w:rsidR="00F665B3" w:rsidRPr="00E2052F" w:rsidRDefault="002D49BD" w:rsidP="00D61875">
      <w:pPr>
        <w:pStyle w:val="Titre3"/>
        <w:numPr>
          <w:ilvl w:val="1"/>
          <w:numId w:val="2"/>
        </w:numPr>
        <w:spacing w:before="0" w:beforeAutospacing="0" w:after="160"/>
        <w:ind w:left="641" w:hanging="357"/>
        <w:rPr>
          <w:rFonts w:asciiTheme="majorBidi" w:hAnsiTheme="majorBidi"/>
          <w:color w:val="auto"/>
          <w:sz w:val="22"/>
        </w:rPr>
      </w:pPr>
      <w:bookmarkStart w:id="1317" w:name="_Toc223451379"/>
      <w:bookmarkStart w:id="1318" w:name="_Toc229155962"/>
      <w:bookmarkStart w:id="1319" w:name="_Toc231746960"/>
      <w:bookmarkStart w:id="1320" w:name="_Toc231752366"/>
      <w:bookmarkStart w:id="1321" w:name="_Toc231810669"/>
      <w:bookmarkStart w:id="1322" w:name="_Toc231812012"/>
      <w:bookmarkStart w:id="1323" w:name="_Toc231812290"/>
      <w:bookmarkStart w:id="1324" w:name="_Toc231815174"/>
      <w:r w:rsidRPr="00E2052F">
        <w:rPr>
          <w:rFonts w:asciiTheme="majorBidi" w:hAnsiTheme="majorBidi"/>
          <w:color w:val="auto"/>
          <w:sz w:val="22"/>
        </w:rPr>
        <w:t>Mission, Vision et Valeurs :</w:t>
      </w:r>
      <w:bookmarkEnd w:id="1317"/>
      <w:bookmarkEnd w:id="1318"/>
      <w:bookmarkEnd w:id="1319"/>
      <w:bookmarkEnd w:id="1320"/>
      <w:bookmarkEnd w:id="1321"/>
      <w:bookmarkEnd w:id="1322"/>
      <w:bookmarkEnd w:id="1323"/>
      <w:bookmarkEnd w:id="1324"/>
    </w:p>
    <w:p w14:paraId="12557181" w14:textId="77777777" w:rsidR="002D49BD" w:rsidRPr="00E2052F" w:rsidRDefault="002D49BD" w:rsidP="00D61875">
      <w:pPr>
        <w:pStyle w:val="Titre4"/>
        <w:numPr>
          <w:ilvl w:val="2"/>
          <w:numId w:val="2"/>
        </w:numPr>
        <w:spacing w:before="0" w:beforeAutospacing="0" w:after="160"/>
        <w:ind w:left="1287"/>
        <w:rPr>
          <w:rFonts w:asciiTheme="majorBidi" w:hAnsiTheme="majorBidi"/>
          <w:b w:val="0"/>
          <w:bCs w:val="0"/>
          <w:i w:val="0"/>
          <w:iCs w:val="0"/>
          <w:color w:val="000000" w:themeColor="text1"/>
          <w:sz w:val="22"/>
        </w:rPr>
      </w:pPr>
      <w:bookmarkStart w:id="1325" w:name="_Toc223451380"/>
      <w:bookmarkStart w:id="1326" w:name="_Toc229155963"/>
      <w:bookmarkStart w:id="1327" w:name="_Toc231746961"/>
      <w:bookmarkStart w:id="1328" w:name="_Toc231752367"/>
      <w:bookmarkStart w:id="1329" w:name="_Toc231810670"/>
      <w:bookmarkStart w:id="1330" w:name="_Toc231812013"/>
      <w:bookmarkStart w:id="1331" w:name="_Toc231812291"/>
      <w:bookmarkStart w:id="1332" w:name="_Toc231815175"/>
      <w:r w:rsidRPr="00E2052F">
        <w:rPr>
          <w:rFonts w:asciiTheme="majorBidi" w:hAnsiTheme="majorBidi"/>
          <w:i w:val="0"/>
          <w:iCs w:val="0"/>
          <w:color w:val="000000" w:themeColor="text1"/>
          <w:sz w:val="22"/>
        </w:rPr>
        <w:t>Mission :</w:t>
      </w:r>
      <w:bookmarkEnd w:id="1325"/>
      <w:bookmarkEnd w:id="1326"/>
      <w:bookmarkEnd w:id="1327"/>
      <w:bookmarkEnd w:id="1328"/>
      <w:bookmarkEnd w:id="1329"/>
      <w:bookmarkEnd w:id="1330"/>
      <w:bookmarkEnd w:id="1331"/>
      <w:bookmarkEnd w:id="1332"/>
    </w:p>
    <w:p w14:paraId="72F02811" w14:textId="77777777" w:rsidR="002D49BD" w:rsidRPr="00E2052F" w:rsidRDefault="002D49BD" w:rsidP="00D23BF3">
      <w:pPr>
        <w:tabs>
          <w:tab w:val="left" w:pos="3330"/>
        </w:tabs>
        <w:spacing w:before="0" w:beforeAutospacing="0"/>
        <w:rPr>
          <w:rFonts w:cstheme="majorBidi"/>
          <w:sz w:val="22"/>
        </w:rPr>
      </w:pPr>
      <w:r w:rsidRPr="00E2052F">
        <w:rPr>
          <w:rFonts w:cstheme="majorBidi"/>
          <w:sz w:val="22"/>
        </w:rPr>
        <w:t>Être un acteur industriel textile intégré capable de transformer le coton en produits finis de haute qualité, en assurant performance, innovation et création d’emplois, tout en contribuant au développement de l’industrie textile nationale.</w:t>
      </w:r>
      <w:r w:rsidR="000216D8">
        <w:rPr>
          <w:rStyle w:val="Appelnotedebasdep"/>
          <w:rFonts w:cstheme="majorBidi"/>
          <w:sz w:val="22"/>
        </w:rPr>
        <w:footnoteReference w:id="270"/>
      </w:r>
    </w:p>
    <w:p w14:paraId="023E1BF3" w14:textId="77777777" w:rsidR="002D49BD" w:rsidRPr="00E2052F" w:rsidRDefault="002D49BD" w:rsidP="00D61875">
      <w:pPr>
        <w:pStyle w:val="Titre4"/>
        <w:numPr>
          <w:ilvl w:val="2"/>
          <w:numId w:val="2"/>
        </w:numPr>
        <w:spacing w:before="0" w:beforeAutospacing="0" w:after="160"/>
        <w:ind w:left="1287"/>
        <w:rPr>
          <w:rFonts w:asciiTheme="majorBidi" w:hAnsiTheme="majorBidi"/>
          <w:b w:val="0"/>
          <w:bCs w:val="0"/>
          <w:i w:val="0"/>
          <w:iCs w:val="0"/>
          <w:color w:val="000000" w:themeColor="text1"/>
          <w:sz w:val="22"/>
        </w:rPr>
      </w:pPr>
      <w:bookmarkStart w:id="1333" w:name="_Toc223451381"/>
      <w:bookmarkStart w:id="1334" w:name="_Toc229155964"/>
      <w:bookmarkStart w:id="1335" w:name="_Toc231746962"/>
      <w:bookmarkStart w:id="1336" w:name="_Toc231752368"/>
      <w:bookmarkStart w:id="1337" w:name="_Toc231810671"/>
      <w:bookmarkStart w:id="1338" w:name="_Toc231812014"/>
      <w:bookmarkStart w:id="1339" w:name="_Toc231812292"/>
      <w:bookmarkStart w:id="1340" w:name="_Toc231815176"/>
      <w:r w:rsidRPr="00E2052F">
        <w:rPr>
          <w:rFonts w:asciiTheme="majorBidi" w:hAnsiTheme="majorBidi"/>
          <w:i w:val="0"/>
          <w:iCs w:val="0"/>
          <w:color w:val="000000" w:themeColor="text1"/>
          <w:sz w:val="22"/>
        </w:rPr>
        <w:lastRenderedPageBreak/>
        <w:t>Vision :</w:t>
      </w:r>
      <w:bookmarkEnd w:id="1333"/>
      <w:bookmarkEnd w:id="1334"/>
      <w:bookmarkEnd w:id="1335"/>
      <w:bookmarkEnd w:id="1336"/>
      <w:bookmarkEnd w:id="1337"/>
      <w:bookmarkEnd w:id="1338"/>
      <w:bookmarkEnd w:id="1339"/>
      <w:bookmarkEnd w:id="1340"/>
    </w:p>
    <w:p w14:paraId="23C2F1DA" w14:textId="77777777" w:rsidR="002D49BD" w:rsidRPr="00E2052F" w:rsidRDefault="002D49BD" w:rsidP="00D23BF3">
      <w:pPr>
        <w:tabs>
          <w:tab w:val="left" w:pos="3330"/>
        </w:tabs>
        <w:spacing w:before="0" w:beforeAutospacing="0"/>
        <w:rPr>
          <w:rFonts w:cstheme="majorBidi"/>
          <w:sz w:val="22"/>
        </w:rPr>
      </w:pPr>
      <w:r w:rsidRPr="00E2052F">
        <w:rPr>
          <w:rFonts w:cstheme="majorBidi"/>
          <w:sz w:val="22"/>
        </w:rPr>
        <w:t>Devenir une référence régionale et internationale dans le textile intégré, reconnue pour son excellence opérationnelle, sa compétitivité, son engagement durable et sa capacité à répondre aux standards mondiaux du marché.</w:t>
      </w:r>
    </w:p>
    <w:p w14:paraId="08C4F0FF" w14:textId="77777777" w:rsidR="002D49BD" w:rsidRPr="00E2052F" w:rsidRDefault="002D49BD" w:rsidP="00D61875">
      <w:pPr>
        <w:pStyle w:val="Titre4"/>
        <w:numPr>
          <w:ilvl w:val="2"/>
          <w:numId w:val="2"/>
        </w:numPr>
        <w:spacing w:before="0" w:beforeAutospacing="0" w:after="160"/>
        <w:ind w:left="1287"/>
        <w:rPr>
          <w:rFonts w:asciiTheme="majorBidi" w:hAnsiTheme="majorBidi"/>
          <w:b w:val="0"/>
          <w:bCs w:val="0"/>
          <w:i w:val="0"/>
          <w:iCs w:val="0"/>
          <w:color w:val="000000" w:themeColor="text1"/>
          <w:sz w:val="22"/>
        </w:rPr>
      </w:pPr>
      <w:bookmarkStart w:id="1341" w:name="_Toc223451382"/>
      <w:bookmarkStart w:id="1342" w:name="_Toc229155965"/>
      <w:bookmarkStart w:id="1343" w:name="_Toc231746963"/>
      <w:bookmarkStart w:id="1344" w:name="_Toc231752369"/>
      <w:bookmarkStart w:id="1345" w:name="_Toc231810672"/>
      <w:bookmarkStart w:id="1346" w:name="_Toc231812015"/>
      <w:bookmarkStart w:id="1347" w:name="_Toc231812293"/>
      <w:bookmarkStart w:id="1348" w:name="_Toc231815177"/>
      <w:r w:rsidRPr="00E2052F">
        <w:rPr>
          <w:rFonts w:asciiTheme="majorBidi" w:hAnsiTheme="majorBidi"/>
          <w:i w:val="0"/>
          <w:iCs w:val="0"/>
          <w:color w:val="000000" w:themeColor="text1"/>
          <w:sz w:val="22"/>
        </w:rPr>
        <w:t>Valeurs :</w:t>
      </w:r>
      <w:bookmarkEnd w:id="1341"/>
      <w:bookmarkEnd w:id="1342"/>
      <w:bookmarkEnd w:id="1343"/>
      <w:bookmarkEnd w:id="1344"/>
      <w:bookmarkEnd w:id="1345"/>
      <w:bookmarkEnd w:id="1346"/>
      <w:bookmarkEnd w:id="1347"/>
      <w:bookmarkEnd w:id="1348"/>
    </w:p>
    <w:p w14:paraId="065E24FB" w14:textId="77777777" w:rsidR="002D49BD"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Qualité et excellence dans tous les processus de production.</w:t>
      </w:r>
    </w:p>
    <w:p w14:paraId="64BD6974" w14:textId="77777777" w:rsidR="002D49BD"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Intégrité et transparence dans la gestion.</w:t>
      </w:r>
    </w:p>
    <w:p w14:paraId="518370CA" w14:textId="77777777" w:rsidR="002D49BD"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Innovation et amélioration continue.</w:t>
      </w:r>
    </w:p>
    <w:p w14:paraId="3A8AD391" w14:textId="77777777" w:rsidR="002D49BD"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Responsabilité sociale et environnementale.</w:t>
      </w:r>
    </w:p>
    <w:p w14:paraId="7AE347E0" w14:textId="77777777" w:rsidR="002D49BD"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Développement du capital humain.</w:t>
      </w:r>
    </w:p>
    <w:p w14:paraId="7C495348" w14:textId="77777777" w:rsidR="00F665B3" w:rsidRPr="00E2052F" w:rsidRDefault="002D49BD" w:rsidP="00D61875">
      <w:pPr>
        <w:pStyle w:val="Paragraphedeliste"/>
        <w:numPr>
          <w:ilvl w:val="0"/>
          <w:numId w:val="3"/>
        </w:numPr>
        <w:tabs>
          <w:tab w:val="left" w:pos="3330"/>
        </w:tabs>
        <w:spacing w:before="0" w:beforeAutospacing="0"/>
        <w:rPr>
          <w:rFonts w:cstheme="majorBidi"/>
          <w:sz w:val="22"/>
        </w:rPr>
      </w:pPr>
      <w:r w:rsidRPr="00E2052F">
        <w:rPr>
          <w:rFonts w:cstheme="majorBidi"/>
          <w:sz w:val="22"/>
        </w:rPr>
        <w:t>Esprit de partenariat et collaboration.</w:t>
      </w:r>
      <w:r w:rsidR="009375C6" w:rsidRPr="00E2052F">
        <w:rPr>
          <w:rStyle w:val="Appelnotedebasdep"/>
          <w:rFonts w:cstheme="majorBidi"/>
          <w:sz w:val="22"/>
        </w:rPr>
        <w:footnoteReference w:id="271"/>
      </w:r>
      <w:bookmarkStart w:id="1349" w:name="_Toc223451383"/>
    </w:p>
    <w:p w14:paraId="240CFB8D" w14:textId="77777777" w:rsidR="00F665B3" w:rsidRPr="00E2052F" w:rsidRDefault="00F665B3" w:rsidP="00D61875">
      <w:pPr>
        <w:pStyle w:val="Paragraphedeliste"/>
        <w:keepNext/>
        <w:keepLines/>
        <w:numPr>
          <w:ilvl w:val="0"/>
          <w:numId w:val="15"/>
        </w:numPr>
        <w:spacing w:before="0" w:beforeAutospacing="0"/>
        <w:contextualSpacing w:val="0"/>
        <w:outlineLvl w:val="2"/>
        <w:rPr>
          <w:rFonts w:eastAsiaTheme="majorEastAsia" w:cstheme="majorBidi"/>
          <w:b/>
          <w:bCs/>
          <w:vanish/>
          <w:sz w:val="22"/>
        </w:rPr>
      </w:pPr>
      <w:bookmarkStart w:id="1350" w:name="_Toc229054733"/>
      <w:bookmarkStart w:id="1351" w:name="_Toc229055216"/>
      <w:bookmarkStart w:id="1352" w:name="_Toc229155966"/>
      <w:bookmarkStart w:id="1353" w:name="_Toc231741648"/>
      <w:bookmarkStart w:id="1354" w:name="_Toc231744140"/>
      <w:bookmarkStart w:id="1355" w:name="_Toc231744491"/>
      <w:bookmarkStart w:id="1356" w:name="_Toc231744766"/>
      <w:bookmarkStart w:id="1357" w:name="_Toc231746964"/>
      <w:bookmarkStart w:id="1358" w:name="_Toc231751077"/>
      <w:bookmarkStart w:id="1359" w:name="_Toc231751366"/>
      <w:bookmarkStart w:id="1360" w:name="_Toc231752056"/>
      <w:bookmarkStart w:id="1361" w:name="_Toc231752370"/>
      <w:bookmarkStart w:id="1362" w:name="_Toc231810673"/>
      <w:bookmarkStart w:id="1363" w:name="_Toc231812016"/>
      <w:bookmarkStart w:id="1364" w:name="_Toc231812294"/>
      <w:bookmarkStart w:id="1365" w:name="_Toc231814906"/>
      <w:bookmarkStart w:id="1366" w:name="_Toc231815178"/>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14:paraId="211B1695" w14:textId="77777777" w:rsidR="00F665B3" w:rsidRPr="00E2052F" w:rsidRDefault="00F665B3" w:rsidP="00D61875">
      <w:pPr>
        <w:pStyle w:val="Paragraphedeliste"/>
        <w:keepNext/>
        <w:keepLines/>
        <w:numPr>
          <w:ilvl w:val="0"/>
          <w:numId w:val="15"/>
        </w:numPr>
        <w:spacing w:before="0" w:beforeAutospacing="0"/>
        <w:contextualSpacing w:val="0"/>
        <w:outlineLvl w:val="2"/>
        <w:rPr>
          <w:rFonts w:eastAsiaTheme="majorEastAsia" w:cstheme="majorBidi"/>
          <w:b/>
          <w:bCs/>
          <w:vanish/>
          <w:sz w:val="22"/>
        </w:rPr>
      </w:pPr>
      <w:bookmarkStart w:id="1367" w:name="_Toc229054734"/>
      <w:bookmarkStart w:id="1368" w:name="_Toc229055217"/>
      <w:bookmarkStart w:id="1369" w:name="_Toc229155967"/>
      <w:bookmarkStart w:id="1370" w:name="_Toc231741649"/>
      <w:bookmarkStart w:id="1371" w:name="_Toc231744141"/>
      <w:bookmarkStart w:id="1372" w:name="_Toc231744492"/>
      <w:bookmarkStart w:id="1373" w:name="_Toc231744767"/>
      <w:bookmarkStart w:id="1374" w:name="_Toc231746965"/>
      <w:bookmarkStart w:id="1375" w:name="_Toc231751078"/>
      <w:bookmarkStart w:id="1376" w:name="_Toc231751367"/>
      <w:bookmarkStart w:id="1377" w:name="_Toc231752057"/>
      <w:bookmarkStart w:id="1378" w:name="_Toc231752371"/>
      <w:bookmarkStart w:id="1379" w:name="_Toc231810674"/>
      <w:bookmarkStart w:id="1380" w:name="_Toc231812017"/>
      <w:bookmarkStart w:id="1381" w:name="_Toc231812295"/>
      <w:bookmarkStart w:id="1382" w:name="_Toc231814907"/>
      <w:bookmarkStart w:id="1383" w:name="_Toc231815179"/>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14:paraId="273E1B1C" w14:textId="77777777" w:rsidR="009375C6" w:rsidRPr="00E2052F" w:rsidRDefault="002D49BD" w:rsidP="000216D8">
      <w:pPr>
        <w:pStyle w:val="Titre3"/>
        <w:numPr>
          <w:ilvl w:val="0"/>
          <w:numId w:val="15"/>
        </w:numPr>
        <w:spacing w:before="0" w:beforeAutospacing="0" w:after="160"/>
        <w:ind w:left="641" w:hanging="357"/>
        <w:rPr>
          <w:rFonts w:asciiTheme="majorBidi" w:hAnsiTheme="majorBidi"/>
          <w:color w:val="auto"/>
          <w:sz w:val="22"/>
        </w:rPr>
      </w:pPr>
      <w:bookmarkStart w:id="1384" w:name="_Toc229155968"/>
      <w:bookmarkStart w:id="1385" w:name="_Toc231746966"/>
      <w:bookmarkStart w:id="1386" w:name="_Toc231752372"/>
      <w:bookmarkStart w:id="1387" w:name="_Toc231810675"/>
      <w:bookmarkStart w:id="1388" w:name="_Toc231812018"/>
      <w:bookmarkStart w:id="1389" w:name="_Toc231812296"/>
      <w:bookmarkStart w:id="1390" w:name="_Toc231815180"/>
      <w:r w:rsidRPr="00E2052F">
        <w:rPr>
          <w:rFonts w:asciiTheme="majorBidi" w:hAnsiTheme="majorBidi"/>
          <w:color w:val="auto"/>
          <w:sz w:val="22"/>
        </w:rPr>
        <w:t>Organisation et Structure de l’Entreprise :</w:t>
      </w:r>
      <w:bookmarkEnd w:id="1349"/>
      <w:bookmarkEnd w:id="1384"/>
      <w:bookmarkEnd w:id="1385"/>
      <w:bookmarkEnd w:id="1386"/>
      <w:bookmarkEnd w:id="1387"/>
      <w:bookmarkEnd w:id="1388"/>
      <w:bookmarkEnd w:id="1389"/>
      <w:bookmarkEnd w:id="1390"/>
    </w:p>
    <w:p w14:paraId="14A2D7DE" w14:textId="77777777" w:rsidR="00E2052F" w:rsidRPr="000216D8" w:rsidRDefault="002D49BD" w:rsidP="000216D8">
      <w:pPr>
        <w:spacing w:before="0" w:beforeAutospacing="0"/>
        <w:rPr>
          <w:rFonts w:cstheme="majorBidi"/>
          <w:sz w:val="22"/>
        </w:rPr>
      </w:pPr>
      <w:r w:rsidRPr="00E2052F">
        <w:rPr>
          <w:rFonts w:cstheme="majorBidi"/>
          <w:sz w:val="22"/>
        </w:rPr>
        <w:t>TAYAL SPA est organisée en diverses divisions spécialisées, chacune contribuant de manière essentielle à l'efficacité et à la gestion optimale de ses opérations industrielles. Son organisation se base sur un modèle intégré qui favorise une coordination efficace entre les différentes unités, assurant ainsi une production à la fois fluide et performante.</w:t>
      </w:r>
    </w:p>
    <w:p w14:paraId="46401931" w14:textId="77777777" w:rsidR="00493DAD" w:rsidRPr="00E2052F" w:rsidRDefault="00172C7A" w:rsidP="00B607C0">
      <w:pPr>
        <w:spacing w:before="0" w:beforeAutospacing="0"/>
        <w:rPr>
          <w:rFonts w:cstheme="majorBidi"/>
          <w:b/>
          <w:bCs/>
          <w:sz w:val="22"/>
        </w:rPr>
      </w:pPr>
      <w:r w:rsidRPr="00E2052F">
        <w:rPr>
          <w:rFonts w:cstheme="majorBidi"/>
          <w:noProof/>
          <w:sz w:val="22"/>
          <w:lang w:eastAsia="fr-FR"/>
        </w:rPr>
        <mc:AlternateContent>
          <mc:Choice Requires="wps">
            <w:drawing>
              <wp:anchor distT="0" distB="0" distL="114300" distR="114300" simplePos="0" relativeHeight="251873280" behindDoc="0" locked="0" layoutInCell="1" allowOverlap="1" wp14:anchorId="3D688EAA" wp14:editId="6F35DB5C">
                <wp:simplePos x="0" y="0"/>
                <wp:positionH relativeFrom="margin">
                  <wp:align>left</wp:align>
                </wp:positionH>
                <wp:positionV relativeFrom="paragraph">
                  <wp:posOffset>3175</wp:posOffset>
                </wp:positionV>
                <wp:extent cx="3443605" cy="386080"/>
                <wp:effectExtent l="0" t="0" r="0" b="0"/>
                <wp:wrapNone/>
                <wp:docPr id="216"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3605"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6C066" w14:textId="77777777" w:rsidR="00A36231" w:rsidRPr="00A37ECC" w:rsidRDefault="00A36231" w:rsidP="00172C7A">
                            <w:pPr>
                              <w:rPr>
                                <w:rFonts w:cstheme="majorBidi"/>
                                <w:szCs w:val="24"/>
                              </w:rPr>
                            </w:pPr>
                            <w:r w:rsidRPr="007619C4">
                              <w:rPr>
                                <w:rFonts w:cstheme="majorBidi"/>
                                <w:b/>
                                <w:bCs/>
                                <w:szCs w:val="24"/>
                                <w:u w:val="single"/>
                              </w:rPr>
                              <w:t>Figure 10 :</w:t>
                            </w:r>
                            <w:r>
                              <w:rPr>
                                <w:rFonts w:cstheme="majorBidi"/>
                                <w:b/>
                                <w:bCs/>
                                <w:szCs w:val="24"/>
                              </w:rPr>
                              <w:t xml:space="preserve"> </w:t>
                            </w:r>
                            <w:r w:rsidRPr="00E707AF">
                              <w:rPr>
                                <w:rFonts w:cstheme="majorBidi"/>
                                <w:b/>
                                <w:bCs/>
                                <w:szCs w:val="24"/>
                              </w:rPr>
                              <w:t>Plan de l’entreprise TAYAL.</w:t>
                            </w:r>
                          </w:p>
                          <w:p w14:paraId="655007FB" w14:textId="77777777" w:rsidR="00A36231" w:rsidRDefault="00A36231" w:rsidP="00B607C0">
                            <w:pPr>
                              <w:tabs>
                                <w:tab w:val="left" w:pos="3330"/>
                              </w:tabs>
                              <w:ind w:firstLine="0"/>
                              <w:rPr>
                                <w:rFonts w:cstheme="majorBidi"/>
                                <w:szCs w:val="24"/>
                              </w:rPr>
                            </w:pPr>
                            <w:r>
                              <w:rPr>
                                <w:rFonts w:cstheme="majorBidi"/>
                                <w:b/>
                                <w:bCs/>
                                <w:noProof/>
                                <w:sz w:val="28"/>
                                <w:szCs w:val="28"/>
                                <w:lang w:eastAsia="fr-FR"/>
                              </w:rPr>
                              <w:drawing>
                                <wp:inline distT="0" distB="0" distL="0" distR="0" wp14:anchorId="1BD5E876" wp14:editId="7843BDE5">
                                  <wp:extent cx="5760720" cy="2558415"/>
                                  <wp:effectExtent l="0" t="0" r="0" b="0"/>
                                  <wp:docPr id="5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4A4F1CFF" w14:textId="77777777" w:rsidR="00A36231" w:rsidRDefault="00A36231" w:rsidP="00B60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88EAA" id="Text Box 320" o:spid="_x0000_s1038" type="#_x0000_t202" style="position:absolute;left:0;text-align:left;margin-left:0;margin-top:.25pt;width:271.15pt;height:30.4pt;z-index:251873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i+wAIAAMUFAAAOAAAAZHJzL2Uyb0RvYy54bWysVNtunDAQfa/Uf7D8TrislwA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" filled="f" stroked="f">
                <v:textbox>
                  <w:txbxContent>
                    <w:p w14:paraId="7046C066" w14:textId="77777777" w:rsidR="00A36231" w:rsidRPr="00A37ECC" w:rsidRDefault="00A36231" w:rsidP="00172C7A">
                      <w:pPr>
                        <w:rPr>
                          <w:rFonts w:cstheme="majorBidi"/>
                          <w:szCs w:val="24"/>
                        </w:rPr>
                      </w:pPr>
                      <w:r w:rsidRPr="007619C4">
                        <w:rPr>
                          <w:rFonts w:cstheme="majorBidi"/>
                          <w:b/>
                          <w:bCs/>
                          <w:szCs w:val="24"/>
                          <w:u w:val="single"/>
                        </w:rPr>
                        <w:t>Figure 10 :</w:t>
                      </w:r>
                      <w:r>
                        <w:rPr>
                          <w:rFonts w:cstheme="majorBidi"/>
                          <w:b/>
                          <w:bCs/>
                          <w:szCs w:val="24"/>
                        </w:rPr>
                        <w:t xml:space="preserve"> </w:t>
                      </w:r>
                      <w:r w:rsidRPr="00E707AF">
                        <w:rPr>
                          <w:rFonts w:cstheme="majorBidi"/>
                          <w:b/>
                          <w:bCs/>
                          <w:szCs w:val="24"/>
                        </w:rPr>
                        <w:t>Plan de l’entreprise TAYAL.</w:t>
                      </w:r>
                    </w:p>
                    <w:p w14:paraId="655007FB" w14:textId="77777777" w:rsidR="00A36231" w:rsidRDefault="00A36231" w:rsidP="00B607C0">
                      <w:pPr>
                        <w:tabs>
                          <w:tab w:val="left" w:pos="3330"/>
                        </w:tabs>
                        <w:ind w:firstLine="0"/>
                        <w:rPr>
                          <w:rFonts w:cstheme="majorBidi"/>
                          <w:szCs w:val="24"/>
                        </w:rPr>
                      </w:pPr>
                      <w:r>
                        <w:rPr>
                          <w:rFonts w:cstheme="majorBidi"/>
                          <w:b/>
                          <w:bCs/>
                          <w:noProof/>
                          <w:sz w:val="28"/>
                          <w:szCs w:val="28"/>
                          <w:lang w:eastAsia="fr-FR"/>
                        </w:rPr>
                        <w:drawing>
                          <wp:inline distT="0" distB="0" distL="0" distR="0" wp14:anchorId="1BD5E876" wp14:editId="7843BDE5">
                            <wp:extent cx="5760720" cy="2558415"/>
                            <wp:effectExtent l="0" t="0" r="0" b="0"/>
                            <wp:docPr id="5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4A4F1CFF" w14:textId="77777777" w:rsidR="00A36231" w:rsidRDefault="00A36231" w:rsidP="00B607C0"/>
                  </w:txbxContent>
                </v:textbox>
                <w10:wrap anchorx="margin"/>
              </v:shape>
            </w:pict>
          </mc:Fallback>
        </mc:AlternateContent>
      </w:r>
      <w:r w:rsidR="00B607C0" w:rsidRPr="00E2052F">
        <w:rPr>
          <w:rFonts w:cstheme="majorBidi"/>
          <w:noProof/>
          <w:sz w:val="22"/>
          <w:lang w:eastAsia="fr-FR"/>
        </w:rPr>
        <w:drawing>
          <wp:anchor distT="0" distB="0" distL="114300" distR="114300" simplePos="0" relativeHeight="251663360" behindDoc="0" locked="0" layoutInCell="1" allowOverlap="1" wp14:anchorId="002D3CD4" wp14:editId="7E22F6FF">
            <wp:simplePos x="0" y="0"/>
            <wp:positionH relativeFrom="margin">
              <wp:align>center</wp:align>
            </wp:positionH>
            <wp:positionV relativeFrom="paragraph">
              <wp:posOffset>249223</wp:posOffset>
            </wp:positionV>
            <wp:extent cx="3930015" cy="2524836"/>
            <wp:effectExtent l="0" t="0" r="0" b="889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30015" cy="2524836"/>
                    </a:xfrm>
                    <a:prstGeom prst="rect">
                      <a:avLst/>
                    </a:prstGeom>
                  </pic:spPr>
                </pic:pic>
              </a:graphicData>
            </a:graphic>
            <wp14:sizeRelV relativeFrom="margin">
              <wp14:pctHeight>0</wp14:pctHeight>
            </wp14:sizeRelV>
          </wp:anchor>
        </w:drawing>
      </w:r>
      <w:r w:rsidR="006A5311" w:rsidRPr="00E2052F">
        <w:rPr>
          <w:rFonts w:cstheme="majorBidi"/>
          <w:sz w:val="22"/>
        </w:rPr>
        <w:t xml:space="preserve"> </w:t>
      </w:r>
      <w:r w:rsidR="00050B19" w:rsidRPr="00E2052F">
        <w:rPr>
          <w:rFonts w:cstheme="majorBidi"/>
          <w:sz w:val="22"/>
        </w:rPr>
        <w:t xml:space="preserve"> </w:t>
      </w:r>
    </w:p>
    <w:p w14:paraId="241359D3"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1569B225"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12E3FBA7"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4F39F0B6"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7CD4550C"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78CFB2E1"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530E55F4" w14:textId="77777777" w:rsidR="00050B19" w:rsidRPr="00E2052F" w:rsidRDefault="00050B19" w:rsidP="00D23BF3">
      <w:pPr>
        <w:pStyle w:val="NormalWeb"/>
        <w:spacing w:before="0" w:beforeAutospacing="0" w:line="360" w:lineRule="auto"/>
        <w:ind w:firstLine="0"/>
        <w:rPr>
          <w:rFonts w:asciiTheme="majorBidi" w:hAnsiTheme="majorBidi" w:cstheme="majorBidi"/>
          <w:sz w:val="22"/>
          <w:szCs w:val="22"/>
        </w:rPr>
      </w:pPr>
    </w:p>
    <w:p w14:paraId="680440FD" w14:textId="77777777" w:rsidR="00493DAD" w:rsidRPr="00E2052F" w:rsidRDefault="00493DAD" w:rsidP="00D23BF3">
      <w:pPr>
        <w:spacing w:before="0" w:beforeAutospacing="0"/>
        <w:jc w:val="center"/>
        <w:rPr>
          <w:rFonts w:cstheme="majorBidi"/>
          <w:b/>
          <w:bCs/>
          <w:sz w:val="22"/>
        </w:rPr>
      </w:pPr>
    </w:p>
    <w:p w14:paraId="063E1177" w14:textId="77777777" w:rsidR="00D40B53" w:rsidRPr="00E2052F" w:rsidRDefault="00493DAD" w:rsidP="00D23BF3">
      <w:pPr>
        <w:spacing w:before="0" w:beforeAutospacing="0"/>
        <w:jc w:val="center"/>
        <w:rPr>
          <w:rFonts w:cstheme="majorBidi"/>
          <w:sz w:val="22"/>
        </w:rPr>
      </w:pPr>
      <w:r w:rsidRPr="00E2052F">
        <w:rPr>
          <w:rFonts w:cstheme="majorBidi"/>
          <w:b/>
          <w:bCs/>
          <w:sz w:val="22"/>
        </w:rPr>
        <w:t>Source :</w:t>
      </w:r>
      <w:r w:rsidR="00D40B53" w:rsidRPr="00E2052F">
        <w:rPr>
          <w:rFonts w:cstheme="majorBidi"/>
          <w:sz w:val="22"/>
        </w:rPr>
        <w:t xml:space="preserve"> document interne de l’entreprise.</w:t>
      </w:r>
    </w:p>
    <w:p w14:paraId="1630B6C2" w14:textId="77777777" w:rsidR="00050B19" w:rsidRPr="00E2052F" w:rsidRDefault="00050B19" w:rsidP="00D61875">
      <w:pPr>
        <w:pStyle w:val="Paragraphedeliste"/>
        <w:numPr>
          <w:ilvl w:val="0"/>
          <w:numId w:val="4"/>
        </w:numPr>
        <w:spacing w:before="0" w:beforeAutospacing="0"/>
        <w:rPr>
          <w:rFonts w:cstheme="majorBidi"/>
          <w:color w:val="000000"/>
          <w:sz w:val="22"/>
        </w:rPr>
      </w:pPr>
      <w:r w:rsidRPr="00E2052F">
        <w:rPr>
          <w:rFonts w:cstheme="majorBidi"/>
          <w:b/>
          <w:bCs/>
          <w:color w:val="000000"/>
          <w:sz w:val="22"/>
        </w:rPr>
        <w:t>Bloc 02 -Entrepôt de coton :</w:t>
      </w:r>
      <w:r w:rsidRPr="00E2052F">
        <w:rPr>
          <w:rFonts w:cstheme="majorBidi"/>
          <w:color w:val="000000"/>
          <w:sz w:val="22"/>
        </w:rPr>
        <w:t xml:space="preserve"> zone réservée à l'entreposage du coton non transformé avant qu'il ne soit filé, garantissant ainsi un approvisionnement ininterrompu des lignes de production.</w:t>
      </w:r>
    </w:p>
    <w:p w14:paraId="65DFF09D"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lastRenderedPageBreak/>
        <w:t>Blocs 03 et 04 – Usines de filature :</w:t>
      </w:r>
      <w:r w:rsidRPr="00E2052F">
        <w:rPr>
          <w:rFonts w:cstheme="majorBidi"/>
          <w:sz w:val="22"/>
        </w:rPr>
        <w:t xml:space="preserve"> Ces installations réalisent la conversion du coton brut en fils par le biais de techniques telles que le cardage, l'étirage et le filage, représentant ainsi la première phase industrielle dans la chaîne de production textile. </w:t>
      </w:r>
    </w:p>
    <w:p w14:paraId="5B1EA374"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05 – Usine de teinture à l'indigo et préparation de chaîne :</w:t>
      </w:r>
      <w:r w:rsidRPr="00E2052F">
        <w:rPr>
          <w:rFonts w:cstheme="majorBidi"/>
          <w:sz w:val="22"/>
        </w:rPr>
        <w:t xml:space="preserve"> Ce segment se concentre sur la coloration des fils avec l'indigo et leur préparation en vue du tissage. Il est responsable de l'enroulement et de l'alignement des fils de la chaîne. </w:t>
      </w:r>
    </w:p>
    <w:p w14:paraId="417192F9"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06 - Usine de bonneterie :</w:t>
      </w:r>
      <w:r w:rsidRPr="00E2052F">
        <w:rPr>
          <w:rFonts w:cstheme="majorBidi"/>
          <w:sz w:val="22"/>
        </w:rPr>
        <w:t xml:space="preserve"> Cette installation fabrique des textiles tricotés, qui sont principalement utilisés pour des articles vestimentaires souples tels que les t-shirts ou les sous-vêtements. </w:t>
      </w:r>
    </w:p>
    <w:p w14:paraId="3D2041A2"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07 – Systèmes de tri-génération :</w:t>
      </w:r>
      <w:r w:rsidRPr="00E2052F">
        <w:rPr>
          <w:rFonts w:cstheme="majorBidi"/>
          <w:sz w:val="22"/>
        </w:rPr>
        <w:t xml:space="preserve"> Des infrastructures énergétiques capables de générer conjointement de l'électricité, de la chaleur et du froid pour fournir en énergie tout le complexe.</w:t>
      </w:r>
    </w:p>
    <w:p w14:paraId="1982C244"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Blocs 08 et 09 –Usine de tissage :</w:t>
      </w:r>
      <w:r w:rsidRPr="00E2052F">
        <w:rPr>
          <w:rFonts w:cstheme="majorBidi"/>
          <w:sz w:val="22"/>
        </w:rPr>
        <w:t xml:space="preserve"> Ces ateliers convertissent les fils en étoffes à l'aide de métiers à tisser, en entrelaçant les fils de chaîne et de trame selon divers motifs. </w:t>
      </w:r>
    </w:p>
    <w:p w14:paraId="48635915"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 xml:space="preserve">Bloc 10 – Cuisine et réfectoire : </w:t>
      </w:r>
      <w:r w:rsidRPr="00E2052F">
        <w:rPr>
          <w:rFonts w:cstheme="majorBidi"/>
          <w:sz w:val="22"/>
        </w:rPr>
        <w:t xml:space="preserve">Infrastructure dédiée à l'alimentation des employés, favorisant leur bien-être au quotidien. </w:t>
      </w:r>
      <w:r w:rsidR="000216D8">
        <w:rPr>
          <w:rStyle w:val="Appelnotedebasdep"/>
          <w:rFonts w:cstheme="majorBidi"/>
          <w:sz w:val="22"/>
        </w:rPr>
        <w:footnoteReference w:id="272"/>
      </w:r>
    </w:p>
    <w:p w14:paraId="265D652E"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11 – Usine de teinture et de finissage :</w:t>
      </w:r>
      <w:r w:rsidRPr="00E2052F">
        <w:rPr>
          <w:rFonts w:cstheme="majorBidi"/>
          <w:sz w:val="22"/>
        </w:rPr>
        <w:t xml:space="preserve"> Cette installation s'occupe des traitements finaux des tissus, y compris la teinture, le lavage, le séchage et les finitions particulières éventuelles (comme la douceur, l'imperméabilité, etc.). </w:t>
      </w:r>
    </w:p>
    <w:p w14:paraId="67FF546C"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 xml:space="preserve">Bloc 12 – Unité d’épuration des eaux usées </w:t>
      </w:r>
      <w:r w:rsidR="00194123" w:rsidRPr="00E2052F">
        <w:rPr>
          <w:rFonts w:cstheme="majorBidi"/>
          <w:b/>
          <w:bCs/>
          <w:sz w:val="22"/>
        </w:rPr>
        <w:t>:</w:t>
      </w:r>
      <w:r w:rsidR="00194123" w:rsidRPr="00E2052F">
        <w:rPr>
          <w:rFonts w:cstheme="majorBidi"/>
          <w:sz w:val="22"/>
        </w:rPr>
        <w:t xml:space="preserve"> Située</w:t>
      </w:r>
      <w:r w:rsidRPr="00E2052F">
        <w:rPr>
          <w:rFonts w:cstheme="majorBidi"/>
          <w:sz w:val="22"/>
        </w:rPr>
        <w:t xml:space="preserve"> hors du lieu principal, elle offre la possibilité de traiter les eaux industrielles avant leur rejet, conformément aux standards environnementaux. </w:t>
      </w:r>
    </w:p>
    <w:p w14:paraId="4956B4B6"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 xml:space="preserve">Blocs 21, 22 et 23 – Usines de confection </w:t>
      </w:r>
      <w:r w:rsidRPr="00E2052F">
        <w:rPr>
          <w:rFonts w:cstheme="majorBidi"/>
          <w:sz w:val="22"/>
        </w:rPr>
        <w:t>: Ces sections se concentrent sur le processus de coupe, d'assemblage et de couture des vêtements à partir des tissus fabriqués.</w:t>
      </w:r>
    </w:p>
    <w:p w14:paraId="1E5F7F2A"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25 – Logements :</w:t>
      </w:r>
      <w:r w:rsidRPr="00E2052F">
        <w:rPr>
          <w:rFonts w:cstheme="majorBidi"/>
          <w:sz w:val="22"/>
        </w:rPr>
        <w:t xml:space="preserve"> Hébergements destinés au personnel résident ou aux travailleurs en mobilité. </w:t>
      </w:r>
    </w:p>
    <w:p w14:paraId="509E27F4"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26 – Bâtiments administratifs :</w:t>
      </w:r>
      <w:r w:rsidRPr="00E2052F">
        <w:rPr>
          <w:rFonts w:cstheme="majorBidi"/>
          <w:sz w:val="22"/>
        </w:rPr>
        <w:t xml:space="preserve"> Ce bloc comprend les bureaux des services de gestion, des ressources humaines ainsi que de la direction de l'usine. </w:t>
      </w:r>
    </w:p>
    <w:p w14:paraId="5E6F903C" w14:textId="77777777" w:rsidR="00050B19"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 xml:space="preserve">Bloc 27 – Centre d’application confection : </w:t>
      </w:r>
      <w:r w:rsidRPr="00E2052F">
        <w:rPr>
          <w:rFonts w:cstheme="majorBidi"/>
          <w:sz w:val="22"/>
        </w:rPr>
        <w:t xml:space="preserve">Un espace consacré à l'innovation, aux tests de prototypes et à l'amélioration des méthodes de confection. </w:t>
      </w:r>
    </w:p>
    <w:p w14:paraId="78FD2A68" w14:textId="77777777" w:rsidR="00050B19" w:rsidRPr="00E2052F" w:rsidRDefault="00050B19" w:rsidP="00D61875">
      <w:pPr>
        <w:pStyle w:val="Paragraphedeliste"/>
        <w:numPr>
          <w:ilvl w:val="0"/>
          <w:numId w:val="4"/>
        </w:numPr>
        <w:spacing w:before="0" w:beforeAutospacing="0"/>
        <w:ind w:left="714" w:hanging="357"/>
        <w:rPr>
          <w:rFonts w:cstheme="majorBidi"/>
          <w:sz w:val="22"/>
        </w:rPr>
      </w:pPr>
      <w:r w:rsidRPr="00E2052F">
        <w:rPr>
          <w:rFonts w:cstheme="majorBidi"/>
          <w:b/>
          <w:bCs/>
          <w:sz w:val="22"/>
        </w:rPr>
        <w:t>Bloc 28 – Centre de formation :</w:t>
      </w:r>
      <w:r w:rsidRPr="00E2052F">
        <w:rPr>
          <w:rFonts w:cstheme="majorBidi"/>
          <w:sz w:val="22"/>
        </w:rPr>
        <w:t xml:space="preserve"> Établissement éducatif conçu pour former les travailleurs et techniciens dans les domaines du textile et de l'habillement. </w:t>
      </w:r>
    </w:p>
    <w:p w14:paraId="2350C51B" w14:textId="77777777" w:rsidR="00F57026" w:rsidRPr="00E2052F" w:rsidRDefault="00050B19" w:rsidP="00D61875">
      <w:pPr>
        <w:pStyle w:val="Paragraphedeliste"/>
        <w:numPr>
          <w:ilvl w:val="0"/>
          <w:numId w:val="4"/>
        </w:numPr>
        <w:spacing w:before="0" w:beforeAutospacing="0"/>
        <w:rPr>
          <w:rFonts w:cstheme="majorBidi"/>
          <w:sz w:val="22"/>
        </w:rPr>
      </w:pPr>
      <w:r w:rsidRPr="00E2052F">
        <w:rPr>
          <w:rFonts w:cstheme="majorBidi"/>
          <w:b/>
          <w:bCs/>
          <w:sz w:val="22"/>
        </w:rPr>
        <w:t>Bloc 29 – Vestiaires, sanitaires, infirmerie, mosquée :</w:t>
      </w:r>
      <w:r w:rsidRPr="00E2052F">
        <w:rPr>
          <w:rFonts w:cstheme="majorBidi"/>
          <w:sz w:val="22"/>
        </w:rPr>
        <w:t xml:space="preserve"> Installations d'appui au personnel, comprenant des installations pour l'hygiène et la santé ainsi qu'un lieu de prière.</w:t>
      </w:r>
    </w:p>
    <w:p w14:paraId="6CA650E2" w14:textId="77777777" w:rsidR="00F57026" w:rsidRPr="00E2052F" w:rsidRDefault="00624198" w:rsidP="00D61875">
      <w:pPr>
        <w:pStyle w:val="Titre3"/>
        <w:numPr>
          <w:ilvl w:val="0"/>
          <w:numId w:val="15"/>
        </w:numPr>
        <w:spacing w:before="0" w:beforeAutospacing="0" w:after="160"/>
        <w:ind w:left="641" w:hanging="357"/>
        <w:rPr>
          <w:rFonts w:asciiTheme="majorBidi" w:hAnsiTheme="majorBidi"/>
          <w:color w:val="auto"/>
          <w:sz w:val="22"/>
        </w:rPr>
      </w:pPr>
      <w:bookmarkStart w:id="1391" w:name="_Toc229155969"/>
      <w:bookmarkStart w:id="1392" w:name="_Toc231746967"/>
      <w:bookmarkStart w:id="1393" w:name="_Toc231752373"/>
      <w:bookmarkStart w:id="1394" w:name="_Toc231810676"/>
      <w:bookmarkStart w:id="1395" w:name="_Toc231812019"/>
      <w:bookmarkStart w:id="1396" w:name="_Toc231812297"/>
      <w:bookmarkStart w:id="1397" w:name="_Toc231815181"/>
      <w:bookmarkStart w:id="1398" w:name="_Toc223451384"/>
      <w:r w:rsidRPr="00E2052F">
        <w:rPr>
          <w:rFonts w:asciiTheme="majorBidi" w:hAnsiTheme="majorBidi"/>
          <w:color w:val="auto"/>
          <w:sz w:val="22"/>
        </w:rPr>
        <w:lastRenderedPageBreak/>
        <w:t xml:space="preserve">Ressources humaines </w:t>
      </w:r>
      <w:r w:rsidR="00F57026" w:rsidRPr="00E2052F">
        <w:rPr>
          <w:rFonts w:asciiTheme="majorBidi" w:hAnsiTheme="majorBidi"/>
          <w:color w:val="auto"/>
          <w:sz w:val="22"/>
        </w:rPr>
        <w:t>:</w:t>
      </w:r>
      <w:bookmarkEnd w:id="1391"/>
      <w:bookmarkEnd w:id="1392"/>
      <w:bookmarkEnd w:id="1393"/>
      <w:bookmarkEnd w:id="1394"/>
      <w:bookmarkEnd w:id="1395"/>
      <w:bookmarkEnd w:id="1396"/>
      <w:bookmarkEnd w:id="1397"/>
    </w:p>
    <w:p w14:paraId="4379D128" w14:textId="77777777" w:rsidR="00605D8E" w:rsidRPr="00E2052F" w:rsidRDefault="00605D8E" w:rsidP="00D23BF3">
      <w:pPr>
        <w:spacing w:before="0" w:beforeAutospacing="0"/>
        <w:rPr>
          <w:rFonts w:cstheme="majorBidi"/>
          <w:sz w:val="22"/>
        </w:rPr>
      </w:pPr>
      <w:r w:rsidRPr="00E2052F">
        <w:rPr>
          <w:rFonts w:cstheme="majorBidi"/>
          <w:sz w:val="22"/>
        </w:rPr>
        <w:t>L’importance accordée aux ressources humaines se traduit par des indicateurs significatifs au sein de TAYAL S.P.A. L’entreprise emploie plus de 4 000 salariés, avec un potentiel de création dépassant 10 000 emplois directs, ce qui reflète son impact socio-économique. Elle dispose également d’infrastructures dédiées au développement des compétences, notamment un centre de formation de 4 835 m² et un centre d’application de 1 100 m², permettant de former entre 150 et 200 personnes par mois.</w:t>
      </w:r>
    </w:p>
    <w:p w14:paraId="3359CA77" w14:textId="77777777" w:rsidR="00E2052F" w:rsidRPr="00E2052F" w:rsidRDefault="00605D8E" w:rsidP="000216D8">
      <w:pPr>
        <w:spacing w:before="0" w:beforeAutospacing="0"/>
        <w:rPr>
          <w:rFonts w:cstheme="majorBidi"/>
          <w:sz w:val="22"/>
        </w:rPr>
      </w:pPr>
      <w:r w:rsidRPr="00E2052F">
        <w:rPr>
          <w:rFonts w:cstheme="majorBidi"/>
          <w:sz w:val="22"/>
        </w:rPr>
        <w:t>Cette politique de gestion des ressources humaines s’inscrit pleinement dans une démarche de responsabilité sociale, à travers l’amélioration des conditions de travail, la formation continue et la valorisation du capital humain. Ainsi, les ressources humaines constituent non seulement une fonction opérationnelle, mais également un pilier fondamental de la gouvernance d’entrepri</w:t>
      </w:r>
      <w:r w:rsidR="000216D8">
        <w:rPr>
          <w:rFonts w:cstheme="majorBidi"/>
          <w:sz w:val="22"/>
        </w:rPr>
        <w:t>se et du développement durable.</w:t>
      </w:r>
    </w:p>
    <w:p w14:paraId="16B91664" w14:textId="77777777" w:rsidR="00624198" w:rsidRPr="00E2052F" w:rsidRDefault="00605D8E" w:rsidP="00172C7A">
      <w:pPr>
        <w:spacing w:before="0" w:beforeAutospacing="0"/>
        <w:rPr>
          <w:rFonts w:cstheme="majorBidi"/>
          <w:sz w:val="22"/>
        </w:rPr>
      </w:pPr>
      <w:r w:rsidRPr="00E2052F">
        <w:rPr>
          <w:rFonts w:cstheme="majorBidi"/>
          <w:noProof/>
          <w:sz w:val="22"/>
          <w:lang w:eastAsia="fr-FR"/>
        </w:rPr>
        <w:drawing>
          <wp:anchor distT="0" distB="0" distL="114300" distR="114300" simplePos="0" relativeHeight="252080128" behindDoc="0" locked="0" layoutInCell="1" allowOverlap="1" wp14:anchorId="6331CD10" wp14:editId="0894C9E4">
            <wp:simplePos x="0" y="0"/>
            <wp:positionH relativeFrom="margin">
              <wp:align>center</wp:align>
            </wp:positionH>
            <wp:positionV relativeFrom="paragraph">
              <wp:posOffset>345745</wp:posOffset>
            </wp:positionV>
            <wp:extent cx="4382770" cy="2431415"/>
            <wp:effectExtent l="0" t="0" r="0" b="6985"/>
            <wp:wrapNone/>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effectifs.jpg"/>
                    <pic:cNvPicPr/>
                  </pic:nvPicPr>
                  <pic:blipFill>
                    <a:blip r:embed="rId42">
                      <a:extLst>
                        <a:ext uri="{28A0092B-C50C-407E-A947-70E740481C1C}">
                          <a14:useLocalDpi xmlns:a14="http://schemas.microsoft.com/office/drawing/2010/main" val="0"/>
                        </a:ext>
                      </a:extLst>
                    </a:blip>
                    <a:stretch>
                      <a:fillRect/>
                    </a:stretch>
                  </pic:blipFill>
                  <pic:spPr>
                    <a:xfrm>
                      <a:off x="0" y="0"/>
                      <a:ext cx="4382770" cy="2431415"/>
                    </a:xfrm>
                    <a:prstGeom prst="rect">
                      <a:avLst/>
                    </a:prstGeom>
                  </pic:spPr>
                </pic:pic>
              </a:graphicData>
            </a:graphic>
            <wp14:sizeRelH relativeFrom="margin">
              <wp14:pctWidth>0</wp14:pctWidth>
            </wp14:sizeRelH>
            <wp14:sizeRelV relativeFrom="margin">
              <wp14:pctHeight>0</wp14:pctHeight>
            </wp14:sizeRelV>
          </wp:anchor>
        </w:drawing>
      </w:r>
      <w:r w:rsidR="007619C4" w:rsidRPr="00E2052F">
        <w:rPr>
          <w:rFonts w:cstheme="majorBidi"/>
          <w:b/>
          <w:bCs/>
          <w:sz w:val="22"/>
          <w:u w:val="single"/>
        </w:rPr>
        <w:t>Figure 11</w:t>
      </w:r>
      <w:r w:rsidRPr="00E2052F">
        <w:rPr>
          <w:rFonts w:cstheme="majorBidi"/>
          <w:b/>
          <w:bCs/>
          <w:sz w:val="22"/>
          <w:u w:val="single"/>
        </w:rPr>
        <w:t> :</w:t>
      </w:r>
      <w:r w:rsidRPr="00E2052F">
        <w:rPr>
          <w:rFonts w:cstheme="majorBidi"/>
          <w:sz w:val="22"/>
        </w:rPr>
        <w:t xml:space="preserve"> </w:t>
      </w:r>
      <w:r w:rsidRPr="00E2052F">
        <w:rPr>
          <w:rFonts w:cstheme="majorBidi"/>
          <w:b/>
          <w:bCs/>
          <w:sz w:val="22"/>
        </w:rPr>
        <w:t>Evolution des effectifs</w:t>
      </w:r>
      <w:r w:rsidR="007619C4" w:rsidRPr="00E2052F">
        <w:rPr>
          <w:rFonts w:cstheme="majorBidi"/>
          <w:b/>
          <w:bCs/>
          <w:sz w:val="22"/>
        </w:rPr>
        <w:t>.</w:t>
      </w:r>
    </w:p>
    <w:p w14:paraId="559CC807" w14:textId="77777777" w:rsidR="00624198" w:rsidRPr="00E2052F" w:rsidRDefault="00624198" w:rsidP="00D23BF3">
      <w:pPr>
        <w:spacing w:before="0" w:beforeAutospacing="0"/>
        <w:rPr>
          <w:rFonts w:cstheme="majorBidi"/>
          <w:sz w:val="22"/>
        </w:rPr>
      </w:pPr>
    </w:p>
    <w:p w14:paraId="7AB29C3E" w14:textId="77777777" w:rsidR="00624198" w:rsidRPr="00E2052F" w:rsidRDefault="00624198" w:rsidP="00D23BF3">
      <w:pPr>
        <w:spacing w:before="0" w:beforeAutospacing="0"/>
        <w:rPr>
          <w:rFonts w:cstheme="majorBidi"/>
          <w:sz w:val="22"/>
        </w:rPr>
      </w:pPr>
    </w:p>
    <w:p w14:paraId="3120DF59" w14:textId="77777777" w:rsidR="00624198" w:rsidRPr="00E2052F" w:rsidRDefault="00624198" w:rsidP="00D23BF3">
      <w:pPr>
        <w:spacing w:before="0" w:beforeAutospacing="0"/>
        <w:rPr>
          <w:rFonts w:cstheme="majorBidi"/>
          <w:sz w:val="22"/>
        </w:rPr>
      </w:pPr>
    </w:p>
    <w:p w14:paraId="552537AA" w14:textId="77777777" w:rsidR="00624198" w:rsidRPr="00E2052F" w:rsidRDefault="00624198" w:rsidP="00D23BF3">
      <w:pPr>
        <w:spacing w:before="0" w:beforeAutospacing="0"/>
        <w:rPr>
          <w:rFonts w:cstheme="majorBidi"/>
          <w:sz w:val="22"/>
        </w:rPr>
      </w:pPr>
    </w:p>
    <w:p w14:paraId="0FD568E6" w14:textId="77777777" w:rsidR="00624198" w:rsidRPr="00E2052F" w:rsidRDefault="00624198" w:rsidP="00D23BF3">
      <w:pPr>
        <w:spacing w:before="0" w:beforeAutospacing="0"/>
        <w:ind w:firstLine="0"/>
        <w:rPr>
          <w:rFonts w:cstheme="majorBidi"/>
          <w:sz w:val="22"/>
        </w:rPr>
      </w:pPr>
    </w:p>
    <w:p w14:paraId="092607DD" w14:textId="77777777" w:rsidR="00C26EA4" w:rsidRPr="00E2052F" w:rsidRDefault="00C26EA4" w:rsidP="00D23BF3">
      <w:pPr>
        <w:spacing w:before="0" w:beforeAutospacing="0"/>
        <w:ind w:firstLine="0"/>
        <w:rPr>
          <w:rFonts w:cstheme="majorBidi"/>
          <w:sz w:val="22"/>
        </w:rPr>
      </w:pPr>
    </w:p>
    <w:p w14:paraId="130867A1" w14:textId="77777777" w:rsidR="007619C4" w:rsidRPr="00E2052F" w:rsidRDefault="007619C4" w:rsidP="00D23BF3">
      <w:pPr>
        <w:spacing w:before="0" w:beforeAutospacing="0"/>
        <w:jc w:val="center"/>
        <w:rPr>
          <w:rFonts w:cstheme="majorBidi"/>
          <w:b/>
          <w:bCs/>
          <w:sz w:val="22"/>
        </w:rPr>
      </w:pPr>
    </w:p>
    <w:p w14:paraId="447C43C2" w14:textId="77777777" w:rsidR="0052058B" w:rsidRDefault="0052058B" w:rsidP="00D23BF3">
      <w:pPr>
        <w:spacing w:before="0" w:beforeAutospacing="0"/>
        <w:jc w:val="center"/>
        <w:rPr>
          <w:rFonts w:cstheme="majorBidi"/>
          <w:b/>
          <w:bCs/>
          <w:sz w:val="22"/>
        </w:rPr>
      </w:pPr>
    </w:p>
    <w:p w14:paraId="6E40531F" w14:textId="77777777" w:rsidR="00F57026" w:rsidRPr="00E2052F" w:rsidRDefault="00605D8E" w:rsidP="00D23BF3">
      <w:pPr>
        <w:spacing w:before="0" w:beforeAutospacing="0"/>
        <w:jc w:val="center"/>
        <w:rPr>
          <w:rFonts w:cstheme="majorBidi"/>
          <w:sz w:val="22"/>
        </w:rPr>
      </w:pPr>
      <w:r w:rsidRPr="00E2052F">
        <w:rPr>
          <w:rFonts w:cstheme="majorBidi"/>
          <w:b/>
          <w:bCs/>
          <w:sz w:val="22"/>
        </w:rPr>
        <w:t>Source :</w:t>
      </w:r>
      <w:r w:rsidRPr="00E2052F">
        <w:rPr>
          <w:rFonts w:cstheme="majorBidi"/>
          <w:sz w:val="22"/>
        </w:rPr>
        <w:t xml:space="preserve"> document interne de l’entreprise</w:t>
      </w:r>
      <w:r w:rsidR="00D40B53" w:rsidRPr="00E2052F">
        <w:rPr>
          <w:rFonts w:cstheme="majorBidi"/>
          <w:sz w:val="22"/>
        </w:rPr>
        <w:t>.</w:t>
      </w:r>
    </w:p>
    <w:p w14:paraId="34C1D0D0" w14:textId="77777777" w:rsidR="00050B19" w:rsidRPr="00E2052F" w:rsidRDefault="00050B19" w:rsidP="00D61875">
      <w:pPr>
        <w:pStyle w:val="Titre3"/>
        <w:numPr>
          <w:ilvl w:val="0"/>
          <w:numId w:val="15"/>
        </w:numPr>
        <w:spacing w:before="0" w:beforeAutospacing="0" w:after="160"/>
        <w:ind w:left="641" w:hanging="357"/>
        <w:rPr>
          <w:rFonts w:asciiTheme="majorBidi" w:hAnsiTheme="majorBidi"/>
          <w:b w:val="0"/>
          <w:bCs w:val="0"/>
          <w:color w:val="auto"/>
          <w:sz w:val="22"/>
        </w:rPr>
      </w:pPr>
      <w:bookmarkStart w:id="1399" w:name="_Toc229155970"/>
      <w:bookmarkStart w:id="1400" w:name="_Toc231746968"/>
      <w:bookmarkStart w:id="1401" w:name="_Toc231752374"/>
      <w:bookmarkStart w:id="1402" w:name="_Toc231810677"/>
      <w:bookmarkStart w:id="1403" w:name="_Toc231812020"/>
      <w:bookmarkStart w:id="1404" w:name="_Toc231812298"/>
      <w:bookmarkStart w:id="1405" w:name="_Toc231815182"/>
      <w:r w:rsidRPr="00E2052F">
        <w:rPr>
          <w:rFonts w:asciiTheme="majorBidi" w:hAnsiTheme="majorBidi"/>
          <w:color w:val="auto"/>
          <w:sz w:val="22"/>
        </w:rPr>
        <w:t>Gouvernance qualité et positionnement international :</w:t>
      </w:r>
      <w:bookmarkEnd w:id="1398"/>
      <w:r w:rsidRPr="00E2052F">
        <w:rPr>
          <w:rStyle w:val="Appelnotedebasdep"/>
          <w:rFonts w:asciiTheme="majorBidi" w:hAnsiTheme="majorBidi"/>
          <w:color w:val="auto"/>
          <w:sz w:val="22"/>
        </w:rPr>
        <w:footnoteReference w:id="273"/>
      </w:r>
      <w:bookmarkEnd w:id="1399"/>
      <w:bookmarkEnd w:id="1400"/>
      <w:bookmarkEnd w:id="1401"/>
      <w:bookmarkEnd w:id="1402"/>
      <w:bookmarkEnd w:id="1403"/>
      <w:bookmarkEnd w:id="1404"/>
      <w:bookmarkEnd w:id="1405"/>
    </w:p>
    <w:p w14:paraId="0A747B7B" w14:textId="77777777" w:rsidR="00050B19" w:rsidRPr="00E2052F" w:rsidRDefault="00050B19" w:rsidP="00D61875">
      <w:pPr>
        <w:pStyle w:val="Titre4"/>
        <w:numPr>
          <w:ilvl w:val="0"/>
          <w:numId w:val="14"/>
        </w:numPr>
        <w:spacing w:before="0" w:beforeAutospacing="0" w:after="160"/>
        <w:ind w:left="1287" w:hanging="720"/>
        <w:rPr>
          <w:rFonts w:asciiTheme="majorBidi" w:hAnsiTheme="majorBidi"/>
          <w:b w:val="0"/>
          <w:bCs w:val="0"/>
          <w:i w:val="0"/>
          <w:iCs w:val="0"/>
          <w:color w:val="000000" w:themeColor="text1"/>
          <w:sz w:val="22"/>
        </w:rPr>
      </w:pPr>
      <w:bookmarkStart w:id="1406" w:name="_Toc223451385"/>
      <w:bookmarkStart w:id="1407" w:name="_Toc229155971"/>
      <w:bookmarkStart w:id="1408" w:name="_Toc231746969"/>
      <w:bookmarkStart w:id="1409" w:name="_Toc231752375"/>
      <w:bookmarkStart w:id="1410" w:name="_Toc231810678"/>
      <w:bookmarkStart w:id="1411" w:name="_Toc231812021"/>
      <w:bookmarkStart w:id="1412" w:name="_Toc231812299"/>
      <w:bookmarkStart w:id="1413" w:name="_Toc231815183"/>
      <w:r w:rsidRPr="00E2052F">
        <w:rPr>
          <w:rFonts w:asciiTheme="majorBidi" w:hAnsiTheme="majorBidi"/>
          <w:i w:val="0"/>
          <w:iCs w:val="0"/>
          <w:color w:val="000000" w:themeColor="text1"/>
          <w:sz w:val="22"/>
        </w:rPr>
        <w:t>Certifications :</w:t>
      </w:r>
      <w:bookmarkEnd w:id="1406"/>
      <w:bookmarkEnd w:id="1407"/>
      <w:bookmarkEnd w:id="1408"/>
      <w:bookmarkEnd w:id="1409"/>
      <w:bookmarkEnd w:id="1410"/>
      <w:bookmarkEnd w:id="1411"/>
      <w:bookmarkEnd w:id="1412"/>
      <w:bookmarkEnd w:id="1413"/>
    </w:p>
    <w:p w14:paraId="31B1CED6" w14:textId="77777777" w:rsidR="00730341" w:rsidRPr="00E2052F" w:rsidRDefault="00050B19" w:rsidP="00730341">
      <w:pPr>
        <w:spacing w:before="0" w:beforeAutospacing="0"/>
        <w:rPr>
          <w:rFonts w:cstheme="majorBidi"/>
          <w:sz w:val="22"/>
          <w:lang w:eastAsia="fr-FR"/>
        </w:rPr>
      </w:pPr>
      <w:r w:rsidRPr="00E2052F">
        <w:rPr>
          <w:rFonts w:cstheme="majorBidi"/>
          <w:sz w:val="22"/>
          <w:lang w:eastAsia="fr-FR"/>
        </w:rPr>
        <w:t xml:space="preserve">TAYAL S.P.A s’appuie sur un système de management conforme aux standards internationaux, matérialisé par l’obtention et le déploiement de plusieurs certifications stratégiques. L’entreprise est certifiée Better Cotton Initiative (BCI) pour l’approvisionnement responsable en coton, ainsi que </w:t>
      </w:r>
      <w:r w:rsidRPr="00E2052F">
        <w:rPr>
          <w:rFonts w:cstheme="majorBidi"/>
          <w:sz w:val="22"/>
          <w:lang w:eastAsia="fr-FR"/>
        </w:rPr>
        <w:lastRenderedPageBreak/>
        <w:t>OEKO-TEX Standard 100 pour le fil et le tissu, garantissant la conformité aux exigences sanitaires et environnementales. Elle détient également les référentiels Global Recycled Standard (GRS), Recycled Claim Standard (RCS) et Organic Content Standard (OCS), assurant la traçabilité des fibres recyclées et biologiques. Sur le plan du management, TAYAL est certifiée ISO 9001 pour la qualité, et s’inscrit dans une démarche de renforcement continu à travers les normes ISO 14001 et ISO 45001 relatives à l’environnement et à la santé-sécurité, ainsi que ISO 37001 concernant le management anti-corruption. Par ailleurs, l’entreprise s’engage dans le référentiel ISO IEC 17025 relatif à la compétence des laboratoires d’essais et d’étalonnage. À travers cet ensemble de certifications, TAYAL confirme son engagement en faveur de la qualité, de la transparence, de la durabilité et de la conformité aux exigences internationales.</w:t>
      </w:r>
    </w:p>
    <w:p w14:paraId="0D58C794" w14:textId="77777777" w:rsidR="00050B19" w:rsidRPr="00E2052F" w:rsidRDefault="00E2052F" w:rsidP="00E2052F">
      <w:pPr>
        <w:spacing w:before="0" w:beforeAutospacing="0"/>
        <w:rPr>
          <w:rFonts w:cstheme="majorBidi"/>
          <w:sz w:val="22"/>
          <w:lang w:eastAsia="fr-FR"/>
        </w:rPr>
      </w:pPr>
      <w:r w:rsidRPr="00E2052F">
        <w:rPr>
          <w:rFonts w:cstheme="majorBidi"/>
          <w:noProof/>
          <w:sz w:val="22"/>
          <w:lang w:eastAsia="fr-FR"/>
        </w:rPr>
        <mc:AlternateContent>
          <mc:Choice Requires="wps">
            <w:drawing>
              <wp:anchor distT="0" distB="0" distL="114300" distR="114300" simplePos="0" relativeHeight="251874304" behindDoc="0" locked="0" layoutInCell="1" allowOverlap="1" wp14:anchorId="4F11D298" wp14:editId="79C8F5D8">
                <wp:simplePos x="0" y="0"/>
                <wp:positionH relativeFrom="margin">
                  <wp:align>left</wp:align>
                </wp:positionH>
                <wp:positionV relativeFrom="paragraph">
                  <wp:posOffset>-176984</wp:posOffset>
                </wp:positionV>
                <wp:extent cx="2122227" cy="386080"/>
                <wp:effectExtent l="0" t="0" r="0" b="0"/>
                <wp:wrapNone/>
                <wp:docPr id="215"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227"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A7A39" w14:textId="77777777" w:rsidR="00A36231" w:rsidRPr="00A37ECC" w:rsidRDefault="00A36231" w:rsidP="002C6B42">
                            <w:pPr>
                              <w:ind w:firstLine="0"/>
                              <w:rPr>
                                <w:rFonts w:cstheme="majorBidi"/>
                                <w:szCs w:val="24"/>
                              </w:rPr>
                            </w:pPr>
                            <w:r w:rsidRPr="007619C4">
                              <w:rPr>
                                <w:rFonts w:cstheme="majorBidi"/>
                                <w:b/>
                                <w:bCs/>
                                <w:szCs w:val="24"/>
                                <w:u w:val="single"/>
                              </w:rPr>
                              <w:t>Figure 12 :</w:t>
                            </w:r>
                            <w:r>
                              <w:rPr>
                                <w:rFonts w:cstheme="majorBidi"/>
                                <w:b/>
                                <w:bCs/>
                                <w:szCs w:val="24"/>
                              </w:rPr>
                              <w:t xml:space="preserve"> </w:t>
                            </w:r>
                            <w:r w:rsidRPr="00E707AF">
                              <w:rPr>
                                <w:rFonts w:cstheme="majorBidi"/>
                                <w:b/>
                                <w:bCs/>
                                <w:szCs w:val="24"/>
                              </w:rPr>
                              <w:t>Certifications.</w:t>
                            </w:r>
                            <w:r>
                              <w:rPr>
                                <w:rFonts w:cstheme="majorBidi"/>
                                <w:szCs w:val="24"/>
                              </w:rPr>
                              <w:t xml:space="preserve"> </w:t>
                            </w:r>
                          </w:p>
                          <w:p w14:paraId="198FBEB7" w14:textId="77777777" w:rsidR="00A36231" w:rsidRDefault="00A36231" w:rsidP="00493DAD">
                            <w:pPr>
                              <w:tabs>
                                <w:tab w:val="left" w:pos="3330"/>
                              </w:tabs>
                              <w:ind w:firstLine="0"/>
                              <w:rPr>
                                <w:rFonts w:cstheme="majorBidi"/>
                                <w:szCs w:val="24"/>
                              </w:rPr>
                            </w:pPr>
                            <w:r>
                              <w:rPr>
                                <w:rFonts w:cstheme="majorBidi"/>
                                <w:b/>
                                <w:bCs/>
                                <w:noProof/>
                                <w:sz w:val="28"/>
                                <w:szCs w:val="28"/>
                                <w:lang w:eastAsia="fr-FR"/>
                              </w:rPr>
                              <w:drawing>
                                <wp:inline distT="0" distB="0" distL="0" distR="0" wp14:anchorId="59D901E3" wp14:editId="752A3981">
                                  <wp:extent cx="5760720" cy="2558415"/>
                                  <wp:effectExtent l="0" t="0" r="0" b="0"/>
                                  <wp:docPr id="5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3A943C6F" w14:textId="77777777" w:rsidR="00A36231" w:rsidRDefault="00A36231" w:rsidP="00493D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1D298" id="Text Box 321" o:spid="_x0000_s1039" type="#_x0000_t202" style="position:absolute;left:0;text-align:left;margin-left:0;margin-top:-13.95pt;width:167.1pt;height:30.4pt;z-index:251874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3EvQIAAMU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" filled="f" stroked="f">
                <v:textbox>
                  <w:txbxContent>
                    <w:p w14:paraId="35DA7A39" w14:textId="77777777" w:rsidR="00A36231" w:rsidRPr="00A37ECC" w:rsidRDefault="00A36231" w:rsidP="002C6B42">
                      <w:pPr>
                        <w:ind w:firstLine="0"/>
                        <w:rPr>
                          <w:rFonts w:cstheme="majorBidi"/>
                          <w:szCs w:val="24"/>
                        </w:rPr>
                      </w:pPr>
                      <w:r w:rsidRPr="007619C4">
                        <w:rPr>
                          <w:rFonts w:cstheme="majorBidi"/>
                          <w:b/>
                          <w:bCs/>
                          <w:szCs w:val="24"/>
                          <w:u w:val="single"/>
                        </w:rPr>
                        <w:t>Figure 12 :</w:t>
                      </w:r>
                      <w:r>
                        <w:rPr>
                          <w:rFonts w:cstheme="majorBidi"/>
                          <w:b/>
                          <w:bCs/>
                          <w:szCs w:val="24"/>
                        </w:rPr>
                        <w:t xml:space="preserve"> </w:t>
                      </w:r>
                      <w:r w:rsidRPr="00E707AF">
                        <w:rPr>
                          <w:rFonts w:cstheme="majorBidi"/>
                          <w:b/>
                          <w:bCs/>
                          <w:szCs w:val="24"/>
                        </w:rPr>
                        <w:t>Certifications.</w:t>
                      </w:r>
                      <w:r>
                        <w:rPr>
                          <w:rFonts w:cstheme="majorBidi"/>
                          <w:szCs w:val="24"/>
                        </w:rPr>
                        <w:t xml:space="preserve"> </w:t>
                      </w:r>
                    </w:p>
                    <w:p w14:paraId="198FBEB7" w14:textId="77777777" w:rsidR="00A36231" w:rsidRDefault="00A36231" w:rsidP="00493DAD">
                      <w:pPr>
                        <w:tabs>
                          <w:tab w:val="left" w:pos="3330"/>
                        </w:tabs>
                        <w:ind w:firstLine="0"/>
                        <w:rPr>
                          <w:rFonts w:cstheme="majorBidi"/>
                          <w:szCs w:val="24"/>
                        </w:rPr>
                      </w:pPr>
                      <w:r>
                        <w:rPr>
                          <w:rFonts w:cstheme="majorBidi"/>
                          <w:b/>
                          <w:bCs/>
                          <w:noProof/>
                          <w:sz w:val="28"/>
                          <w:szCs w:val="28"/>
                          <w:lang w:eastAsia="fr-FR"/>
                        </w:rPr>
                        <w:drawing>
                          <wp:inline distT="0" distB="0" distL="0" distR="0" wp14:anchorId="59D901E3" wp14:editId="752A3981">
                            <wp:extent cx="5760720" cy="2558415"/>
                            <wp:effectExtent l="0" t="0" r="0" b="0"/>
                            <wp:docPr id="5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_22-2-2026_124826_.jpeg"/>
                                    <pic:cNvPicPr/>
                                  </pic:nvPicPr>
                                  <pic:blipFill>
                                    <a:blip r:embed="rId39">
                                      <a:extLst>
                                        <a:ext uri="{28A0092B-C50C-407E-A947-70E740481C1C}">
                                          <a14:useLocalDpi xmlns:a14="http://schemas.microsoft.com/office/drawing/2010/main" val="0"/>
                                        </a:ext>
                                      </a:extLst>
                                    </a:blip>
                                    <a:stretch>
                                      <a:fillRect/>
                                    </a:stretch>
                                  </pic:blipFill>
                                  <pic:spPr>
                                    <a:xfrm>
                                      <a:off x="0" y="0"/>
                                      <a:ext cx="5760720" cy="2558415"/>
                                    </a:xfrm>
                                    <a:prstGeom prst="rect">
                                      <a:avLst/>
                                    </a:prstGeom>
                                    <a:ln>
                                      <a:noFill/>
                                    </a:ln>
                                  </pic:spPr>
                                </pic:pic>
                              </a:graphicData>
                            </a:graphic>
                          </wp:inline>
                        </w:drawing>
                      </w:r>
                    </w:p>
                    <w:p w14:paraId="3A943C6F" w14:textId="77777777" w:rsidR="00A36231" w:rsidRDefault="00A36231" w:rsidP="00493DAD"/>
                  </w:txbxContent>
                </v:textbox>
                <w10:wrap anchorx="margin"/>
              </v:shape>
            </w:pict>
          </mc:Fallback>
        </mc:AlternateContent>
      </w:r>
      <w:r w:rsidR="00730341" w:rsidRPr="00E2052F">
        <w:rPr>
          <w:rFonts w:cstheme="majorBidi"/>
          <w:noProof/>
          <w:sz w:val="22"/>
          <w:lang w:eastAsia="fr-FR"/>
        </w:rPr>
        <w:drawing>
          <wp:anchor distT="0" distB="0" distL="114300" distR="114300" simplePos="0" relativeHeight="251665408" behindDoc="0" locked="0" layoutInCell="1" allowOverlap="1" wp14:anchorId="2D8C5D80" wp14:editId="7CEBBF0E">
            <wp:simplePos x="0" y="0"/>
            <wp:positionH relativeFrom="margin">
              <wp:align>left</wp:align>
            </wp:positionH>
            <wp:positionV relativeFrom="paragraph">
              <wp:posOffset>188756</wp:posOffset>
            </wp:positionV>
            <wp:extent cx="3570456" cy="259728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mini_Generated_Image_ue9omiue9omiue9o.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570456" cy="2597285"/>
                    </a:xfrm>
                    <a:prstGeom prst="rect">
                      <a:avLst/>
                    </a:prstGeom>
                  </pic:spPr>
                </pic:pic>
              </a:graphicData>
            </a:graphic>
          </wp:anchor>
        </w:drawing>
      </w:r>
      <w:r w:rsidR="00730341" w:rsidRPr="00E2052F">
        <w:rPr>
          <w:rFonts w:cstheme="majorBidi"/>
          <w:noProof/>
          <w:sz w:val="22"/>
          <w:lang w:eastAsia="fr-FR"/>
        </w:rPr>
        <w:drawing>
          <wp:anchor distT="0" distB="0" distL="114300" distR="114300" simplePos="0" relativeHeight="251666432" behindDoc="0" locked="0" layoutInCell="1" allowOverlap="1" wp14:anchorId="7B0D67D4" wp14:editId="46491E7A">
            <wp:simplePos x="0" y="0"/>
            <wp:positionH relativeFrom="margin">
              <wp:align>right</wp:align>
            </wp:positionH>
            <wp:positionV relativeFrom="paragraph">
              <wp:posOffset>189277</wp:posOffset>
            </wp:positionV>
            <wp:extent cx="3054350" cy="259715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ini_Generated_Image_mwedqmwedqmwedqm.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54350" cy="2597150"/>
                    </a:xfrm>
                    <a:prstGeom prst="rect">
                      <a:avLst/>
                    </a:prstGeom>
                  </pic:spPr>
                </pic:pic>
              </a:graphicData>
            </a:graphic>
          </wp:anchor>
        </w:drawing>
      </w:r>
    </w:p>
    <w:p w14:paraId="21ED3875" w14:textId="77777777" w:rsidR="00CD5D8F" w:rsidRPr="00E2052F" w:rsidRDefault="00CD5D8F" w:rsidP="00D23BF3">
      <w:pPr>
        <w:spacing w:before="0" w:beforeAutospacing="0"/>
        <w:ind w:left="360" w:firstLine="0"/>
        <w:rPr>
          <w:rFonts w:cstheme="majorBidi"/>
          <w:sz w:val="22"/>
        </w:rPr>
      </w:pPr>
    </w:p>
    <w:p w14:paraId="249BA31E" w14:textId="77777777" w:rsidR="00CD5D8F" w:rsidRPr="00E2052F" w:rsidRDefault="00CD5D8F" w:rsidP="00D23BF3">
      <w:pPr>
        <w:spacing w:before="0" w:beforeAutospacing="0"/>
        <w:ind w:left="360" w:firstLine="0"/>
        <w:rPr>
          <w:rFonts w:cstheme="majorBidi"/>
          <w:sz w:val="22"/>
        </w:rPr>
      </w:pPr>
    </w:p>
    <w:p w14:paraId="01CD7BBC" w14:textId="77777777" w:rsidR="00CD5D8F" w:rsidRPr="00E2052F" w:rsidRDefault="00CD5D8F" w:rsidP="00D23BF3">
      <w:pPr>
        <w:spacing w:before="0" w:beforeAutospacing="0"/>
        <w:ind w:left="360" w:firstLine="0"/>
        <w:rPr>
          <w:rFonts w:cstheme="majorBidi"/>
          <w:sz w:val="22"/>
        </w:rPr>
      </w:pPr>
    </w:p>
    <w:p w14:paraId="431099DD" w14:textId="77777777" w:rsidR="00CD5D8F" w:rsidRPr="00E2052F" w:rsidRDefault="00CD5D8F" w:rsidP="00D23BF3">
      <w:pPr>
        <w:spacing w:before="0" w:beforeAutospacing="0"/>
        <w:ind w:left="360" w:firstLine="0"/>
        <w:rPr>
          <w:rFonts w:cstheme="majorBidi"/>
          <w:sz w:val="22"/>
        </w:rPr>
      </w:pPr>
    </w:p>
    <w:p w14:paraId="6EEB8076" w14:textId="77777777" w:rsidR="00CD5D8F" w:rsidRPr="00E2052F" w:rsidRDefault="00CD5D8F" w:rsidP="00D23BF3">
      <w:pPr>
        <w:spacing w:before="0" w:beforeAutospacing="0"/>
        <w:ind w:left="360" w:firstLine="0"/>
        <w:rPr>
          <w:rFonts w:cstheme="majorBidi"/>
          <w:sz w:val="22"/>
        </w:rPr>
      </w:pPr>
    </w:p>
    <w:p w14:paraId="5BAC2328" w14:textId="77777777" w:rsidR="00CD5D8F" w:rsidRPr="00E2052F" w:rsidRDefault="00CD5D8F" w:rsidP="00D23BF3">
      <w:pPr>
        <w:spacing w:before="0" w:beforeAutospacing="0"/>
        <w:ind w:left="360" w:firstLine="0"/>
        <w:rPr>
          <w:rFonts w:cstheme="majorBidi"/>
          <w:sz w:val="22"/>
        </w:rPr>
      </w:pPr>
    </w:p>
    <w:p w14:paraId="75CD8BC5" w14:textId="77777777" w:rsidR="00CD5D8F" w:rsidRPr="00E2052F" w:rsidRDefault="00CD5D8F" w:rsidP="00D23BF3">
      <w:pPr>
        <w:spacing w:before="0" w:beforeAutospacing="0"/>
        <w:ind w:left="360" w:firstLine="0"/>
        <w:rPr>
          <w:rFonts w:cstheme="majorBidi"/>
          <w:sz w:val="22"/>
        </w:rPr>
      </w:pPr>
    </w:p>
    <w:p w14:paraId="69780764" w14:textId="77777777" w:rsidR="000216D8" w:rsidRDefault="000216D8" w:rsidP="000216D8">
      <w:pPr>
        <w:spacing w:before="0" w:beforeAutospacing="0"/>
        <w:ind w:firstLine="0"/>
        <w:rPr>
          <w:rFonts w:cstheme="majorBidi"/>
          <w:b/>
          <w:bCs/>
          <w:sz w:val="22"/>
        </w:rPr>
      </w:pPr>
    </w:p>
    <w:p w14:paraId="3CC066DD" w14:textId="77777777" w:rsidR="007B28F5" w:rsidRPr="00E2052F" w:rsidRDefault="002C6B42" w:rsidP="000216D8">
      <w:pPr>
        <w:spacing w:before="0" w:beforeAutospacing="0"/>
        <w:ind w:firstLine="0"/>
        <w:jc w:val="center"/>
        <w:rPr>
          <w:rFonts w:cstheme="majorBidi"/>
          <w:sz w:val="22"/>
        </w:rPr>
      </w:pPr>
      <w:r w:rsidRPr="00E2052F">
        <w:rPr>
          <w:rFonts w:cstheme="majorBidi"/>
          <w:b/>
          <w:bCs/>
          <w:sz w:val="22"/>
        </w:rPr>
        <w:t>Source </w:t>
      </w:r>
      <w:r w:rsidR="001B1E6C" w:rsidRPr="00E2052F">
        <w:rPr>
          <w:rFonts w:cstheme="majorBidi"/>
          <w:b/>
          <w:bCs/>
          <w:sz w:val="22"/>
        </w:rPr>
        <w:t>:</w:t>
      </w:r>
      <w:r w:rsidR="001B1E6C" w:rsidRPr="00E2052F">
        <w:rPr>
          <w:rFonts w:cstheme="majorBidi"/>
          <w:sz w:val="22"/>
        </w:rPr>
        <w:t xml:space="preserve"> </w:t>
      </w:r>
      <w:r w:rsidR="00D40B53" w:rsidRPr="00E2052F">
        <w:rPr>
          <w:rFonts w:cstheme="majorBidi"/>
          <w:sz w:val="22"/>
        </w:rPr>
        <w:t>document interne de l’entreprise.</w:t>
      </w:r>
    </w:p>
    <w:p w14:paraId="3C36F677" w14:textId="77777777" w:rsidR="007B28F5" w:rsidRPr="00E2052F" w:rsidRDefault="007B28F5" w:rsidP="00D61875">
      <w:pPr>
        <w:pStyle w:val="Titre4"/>
        <w:numPr>
          <w:ilvl w:val="2"/>
          <w:numId w:val="5"/>
        </w:numPr>
        <w:spacing w:before="0" w:beforeAutospacing="0" w:after="160"/>
        <w:ind w:left="1287"/>
        <w:rPr>
          <w:rFonts w:asciiTheme="majorBidi" w:hAnsiTheme="majorBidi"/>
          <w:b w:val="0"/>
          <w:bCs w:val="0"/>
          <w:i w:val="0"/>
          <w:iCs w:val="0"/>
          <w:color w:val="000000" w:themeColor="text1"/>
          <w:sz w:val="22"/>
        </w:rPr>
      </w:pPr>
      <w:bookmarkStart w:id="1414" w:name="_Toc223451386"/>
      <w:bookmarkStart w:id="1415" w:name="_Toc229155972"/>
      <w:bookmarkStart w:id="1416" w:name="_Toc231746970"/>
      <w:bookmarkStart w:id="1417" w:name="_Toc231752376"/>
      <w:bookmarkStart w:id="1418" w:name="_Toc231810679"/>
      <w:bookmarkStart w:id="1419" w:name="_Toc231812022"/>
      <w:bookmarkStart w:id="1420" w:name="_Toc231812300"/>
      <w:bookmarkStart w:id="1421" w:name="_Toc231815184"/>
      <w:r w:rsidRPr="00E2052F">
        <w:rPr>
          <w:rFonts w:asciiTheme="majorBidi" w:hAnsiTheme="majorBidi"/>
          <w:i w:val="0"/>
          <w:iCs w:val="0"/>
          <w:color w:val="000000" w:themeColor="text1"/>
          <w:sz w:val="22"/>
        </w:rPr>
        <w:t>Commerce internationale :</w:t>
      </w:r>
      <w:bookmarkEnd w:id="1414"/>
      <w:bookmarkEnd w:id="1415"/>
      <w:bookmarkEnd w:id="1416"/>
      <w:bookmarkEnd w:id="1417"/>
      <w:bookmarkEnd w:id="1418"/>
      <w:bookmarkEnd w:id="1419"/>
      <w:bookmarkEnd w:id="1420"/>
      <w:bookmarkEnd w:id="1421"/>
    </w:p>
    <w:p w14:paraId="239A0654" w14:textId="77777777" w:rsidR="00F562CA" w:rsidRDefault="007B28F5" w:rsidP="000216D8">
      <w:pPr>
        <w:tabs>
          <w:tab w:val="left" w:pos="2880"/>
        </w:tabs>
        <w:spacing w:before="0" w:beforeAutospacing="0"/>
        <w:rPr>
          <w:rFonts w:cstheme="majorBidi"/>
          <w:sz w:val="22"/>
        </w:rPr>
      </w:pPr>
      <w:r w:rsidRPr="00E2052F">
        <w:rPr>
          <w:rFonts w:cstheme="majorBidi"/>
          <w:sz w:val="22"/>
        </w:rPr>
        <w:t xml:space="preserve">Depuis sa première opération d’exportation de fil en juin 2018, TAYAL S.P.A a progressivement consolidé sa présence sur les marchés internationaux en exportant une large gamme de produits textiles, allant du fil aux tissus et articles d’habillement. L’entreprise a ainsi étendu ses activités commerciales vers plusieurs pays, notamment la Belgique, l’Égypte, la France, l’Italie, le Maroc, le Pérou, la Pologne, le Portugal, l’Espagne, la Tunisie et la Turquie. Cette dynamique d’internationalisation reflète la compétitivité de TAYAL, la conformité de ses produits aux standards internationaux et sa capacité à répondre aux exigences de clients opérant sur différents marchés. À travers cette expansion, l’entreprise participe activement à la promotion du textile algérien à l’échelle mondiale et au développement des </w:t>
      </w:r>
      <w:r w:rsidR="000216D8" w:rsidRPr="00E2052F">
        <w:rPr>
          <w:rFonts w:cstheme="majorBidi"/>
          <w:noProof/>
          <w:sz w:val="22"/>
          <w:lang w:eastAsia="fr-FR"/>
        </w:rPr>
        <mc:AlternateContent>
          <mc:Choice Requires="wps">
            <w:drawing>
              <wp:anchor distT="0" distB="0" distL="114300" distR="114300" simplePos="0" relativeHeight="251875328" behindDoc="0" locked="0" layoutInCell="1" allowOverlap="1" wp14:anchorId="7C5298A3" wp14:editId="07B6A559">
                <wp:simplePos x="0" y="0"/>
                <wp:positionH relativeFrom="margin">
                  <wp:posOffset>-113665</wp:posOffset>
                </wp:positionH>
                <wp:positionV relativeFrom="paragraph">
                  <wp:posOffset>593090</wp:posOffset>
                </wp:positionV>
                <wp:extent cx="2776855" cy="360045"/>
                <wp:effectExtent l="0" t="0" r="4445" b="1905"/>
                <wp:wrapNone/>
                <wp:docPr id="214"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B5271" w14:textId="77777777" w:rsidR="00A36231" w:rsidRPr="00E707AF" w:rsidRDefault="00A36231" w:rsidP="002C6B42">
                            <w:pPr>
                              <w:ind w:firstLine="0"/>
                              <w:rPr>
                                <w:rFonts w:cstheme="majorBidi"/>
                                <w:b/>
                                <w:bCs/>
                                <w:szCs w:val="24"/>
                              </w:rPr>
                            </w:pPr>
                            <w:r w:rsidRPr="007619C4">
                              <w:rPr>
                                <w:rFonts w:cstheme="majorBidi"/>
                                <w:b/>
                                <w:bCs/>
                                <w:szCs w:val="24"/>
                                <w:u w:val="single"/>
                              </w:rPr>
                              <w:t>Figure 13 :</w:t>
                            </w:r>
                            <w:r w:rsidRPr="002C6B42">
                              <w:rPr>
                                <w:rFonts w:cstheme="majorBidi"/>
                                <w:b/>
                                <w:bCs/>
                                <w:szCs w:val="24"/>
                              </w:rPr>
                              <w:t xml:space="preserve"> </w:t>
                            </w:r>
                            <w:r w:rsidRPr="00E707AF">
                              <w:rPr>
                                <w:rFonts w:cstheme="majorBidi"/>
                                <w:b/>
                                <w:bCs/>
                                <w:szCs w:val="24"/>
                              </w:rPr>
                              <w:t>les marchés internationaux.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298A3" id="Text Box 322" o:spid="_x0000_s1040" type="#_x0000_t202" style="position:absolute;left:0;text-align:left;margin-left:-8.95pt;margin-top:46.7pt;width:218.65pt;height:28.3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" stroked="f">
                <v:textbox>
                  <w:txbxContent>
                    <w:p w14:paraId="097B5271" w14:textId="77777777" w:rsidR="00A36231" w:rsidRPr="00E707AF" w:rsidRDefault="00A36231" w:rsidP="002C6B42">
                      <w:pPr>
                        <w:ind w:firstLine="0"/>
                        <w:rPr>
                          <w:rFonts w:cstheme="majorBidi"/>
                          <w:b/>
                          <w:bCs/>
                          <w:szCs w:val="24"/>
                        </w:rPr>
                      </w:pPr>
                      <w:r w:rsidRPr="007619C4">
                        <w:rPr>
                          <w:rFonts w:cstheme="majorBidi"/>
                          <w:b/>
                          <w:bCs/>
                          <w:szCs w:val="24"/>
                          <w:u w:val="single"/>
                        </w:rPr>
                        <w:t>Figure 13 :</w:t>
                      </w:r>
                      <w:r w:rsidRPr="002C6B42">
                        <w:rPr>
                          <w:rFonts w:cstheme="majorBidi"/>
                          <w:b/>
                          <w:bCs/>
                          <w:szCs w:val="24"/>
                        </w:rPr>
                        <w:t xml:space="preserve"> </w:t>
                      </w:r>
                      <w:r w:rsidRPr="00E707AF">
                        <w:rPr>
                          <w:rFonts w:cstheme="majorBidi"/>
                          <w:b/>
                          <w:bCs/>
                          <w:szCs w:val="24"/>
                        </w:rPr>
                        <w:t>les marchés internationaux.</w:t>
                      </w:r>
                    </w:p>
                  </w:txbxContent>
                </v:textbox>
                <w10:wrap anchorx="margin"/>
              </v:shape>
            </w:pict>
          </mc:Fallback>
        </mc:AlternateContent>
      </w:r>
      <w:r w:rsidRPr="00E2052F">
        <w:rPr>
          <w:rFonts w:cstheme="majorBidi"/>
          <w:sz w:val="22"/>
        </w:rPr>
        <w:t>exportations hors hydrocarbures.</w:t>
      </w:r>
      <w:r w:rsidR="000216D8">
        <w:rPr>
          <w:rStyle w:val="Appelnotedebasdep"/>
          <w:rFonts w:cstheme="majorBidi"/>
          <w:sz w:val="22"/>
        </w:rPr>
        <w:footnoteReference w:id="274"/>
      </w:r>
    </w:p>
    <w:p w14:paraId="66F188D9" w14:textId="77777777" w:rsidR="00F562CA" w:rsidRDefault="00F562CA" w:rsidP="00730341">
      <w:pPr>
        <w:tabs>
          <w:tab w:val="left" w:pos="2880"/>
        </w:tabs>
        <w:spacing w:before="0" w:beforeAutospacing="0"/>
        <w:rPr>
          <w:rFonts w:cstheme="majorBidi"/>
          <w:sz w:val="22"/>
        </w:rPr>
      </w:pPr>
    </w:p>
    <w:p w14:paraId="5B1BDFD8" w14:textId="77777777" w:rsidR="00F562CA" w:rsidRDefault="000216D8" w:rsidP="00730341">
      <w:pPr>
        <w:tabs>
          <w:tab w:val="left" w:pos="2880"/>
        </w:tabs>
        <w:spacing w:before="0" w:beforeAutospacing="0"/>
        <w:rPr>
          <w:rFonts w:cstheme="majorBidi"/>
          <w:sz w:val="22"/>
        </w:rPr>
      </w:pPr>
      <w:r w:rsidRPr="00E2052F">
        <w:rPr>
          <w:rFonts w:cstheme="majorBidi"/>
          <w:noProof/>
          <w:sz w:val="22"/>
          <w:lang w:eastAsia="fr-FR"/>
        </w:rPr>
        <w:drawing>
          <wp:anchor distT="0" distB="0" distL="114300" distR="114300" simplePos="0" relativeHeight="251668480" behindDoc="0" locked="0" layoutInCell="1" allowOverlap="1" wp14:anchorId="04F1EBD3" wp14:editId="4FF0C2BC">
            <wp:simplePos x="0" y="0"/>
            <wp:positionH relativeFrom="margin">
              <wp:align>center</wp:align>
            </wp:positionH>
            <wp:positionV relativeFrom="paragraph">
              <wp:posOffset>126483</wp:posOffset>
            </wp:positionV>
            <wp:extent cx="6031230" cy="2176780"/>
            <wp:effectExtent l="0" t="0" r="7620" b="0"/>
            <wp:wrapNone/>
            <wp:docPr id="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 d’écran_25-2-2026_112158_.jpeg"/>
                    <pic:cNvPicPr/>
                  </pic:nvPicPr>
                  <pic:blipFill>
                    <a:blip r:embed="rId45">
                      <a:extLst>
                        <a:ext uri="{28A0092B-C50C-407E-A947-70E740481C1C}">
                          <a14:useLocalDpi xmlns:a14="http://schemas.microsoft.com/office/drawing/2010/main" val="0"/>
                        </a:ext>
                      </a:extLst>
                    </a:blip>
                    <a:stretch>
                      <a:fillRect/>
                    </a:stretch>
                  </pic:blipFill>
                  <pic:spPr>
                    <a:xfrm>
                      <a:off x="0" y="0"/>
                      <a:ext cx="6031230" cy="2176780"/>
                    </a:xfrm>
                    <a:prstGeom prst="rect">
                      <a:avLst/>
                    </a:prstGeom>
                  </pic:spPr>
                </pic:pic>
              </a:graphicData>
            </a:graphic>
            <wp14:sizeRelV relativeFrom="margin">
              <wp14:pctHeight>0</wp14:pctHeight>
            </wp14:sizeRelV>
          </wp:anchor>
        </w:drawing>
      </w:r>
    </w:p>
    <w:p w14:paraId="57675AB4" w14:textId="77777777" w:rsidR="00F562CA" w:rsidRDefault="00F562CA" w:rsidP="00730341">
      <w:pPr>
        <w:tabs>
          <w:tab w:val="left" w:pos="2880"/>
        </w:tabs>
        <w:spacing w:before="0" w:beforeAutospacing="0"/>
        <w:rPr>
          <w:rFonts w:cstheme="majorBidi"/>
          <w:sz w:val="22"/>
        </w:rPr>
      </w:pPr>
    </w:p>
    <w:p w14:paraId="330F812F" w14:textId="77777777" w:rsidR="00F562CA" w:rsidRDefault="00F562CA" w:rsidP="00730341">
      <w:pPr>
        <w:tabs>
          <w:tab w:val="left" w:pos="2880"/>
        </w:tabs>
        <w:spacing w:before="0" w:beforeAutospacing="0"/>
        <w:rPr>
          <w:rFonts w:cstheme="majorBidi"/>
          <w:sz w:val="22"/>
        </w:rPr>
      </w:pPr>
    </w:p>
    <w:p w14:paraId="74DBC116" w14:textId="77777777" w:rsidR="00DC71D6" w:rsidRPr="00E2052F" w:rsidRDefault="00DC71D6" w:rsidP="00730341">
      <w:pPr>
        <w:tabs>
          <w:tab w:val="left" w:pos="2880"/>
        </w:tabs>
        <w:spacing w:before="0" w:beforeAutospacing="0"/>
        <w:rPr>
          <w:rFonts w:cstheme="majorBidi"/>
          <w:sz w:val="22"/>
        </w:rPr>
      </w:pPr>
    </w:p>
    <w:p w14:paraId="2D8B611B" w14:textId="77777777" w:rsidR="00DC71D6" w:rsidRPr="00E2052F" w:rsidRDefault="00DC71D6" w:rsidP="00D23BF3">
      <w:pPr>
        <w:pStyle w:val="NormalWeb"/>
        <w:spacing w:before="0" w:beforeAutospacing="0" w:line="360" w:lineRule="auto"/>
        <w:rPr>
          <w:rFonts w:asciiTheme="majorBidi" w:hAnsiTheme="majorBidi" w:cstheme="majorBidi"/>
          <w:sz w:val="22"/>
          <w:szCs w:val="22"/>
        </w:rPr>
      </w:pPr>
    </w:p>
    <w:p w14:paraId="571902E0" w14:textId="77777777" w:rsidR="00730341" w:rsidRDefault="00730341" w:rsidP="00F562CA">
      <w:pPr>
        <w:spacing w:before="0" w:beforeAutospacing="0"/>
        <w:ind w:firstLine="0"/>
        <w:rPr>
          <w:rFonts w:eastAsia="Times New Roman" w:cstheme="majorBidi"/>
          <w:sz w:val="22"/>
          <w:lang w:eastAsia="fr-FR"/>
        </w:rPr>
      </w:pPr>
    </w:p>
    <w:p w14:paraId="759042CF" w14:textId="77777777" w:rsidR="00F562CA" w:rsidRPr="00E2052F" w:rsidRDefault="00F562CA" w:rsidP="00F562CA">
      <w:pPr>
        <w:spacing w:before="0" w:beforeAutospacing="0"/>
        <w:ind w:firstLine="0"/>
        <w:rPr>
          <w:rFonts w:eastAsia="Times New Roman" w:cstheme="majorBidi"/>
          <w:sz w:val="22"/>
          <w:lang w:eastAsia="fr-FR"/>
        </w:rPr>
      </w:pPr>
    </w:p>
    <w:p w14:paraId="3A5FED92" w14:textId="77777777" w:rsidR="00AB640B" w:rsidRPr="00E2052F" w:rsidRDefault="002C6B42" w:rsidP="000216D8">
      <w:pPr>
        <w:spacing w:before="0" w:beforeAutospacing="0"/>
        <w:ind w:firstLine="0"/>
        <w:jc w:val="center"/>
        <w:rPr>
          <w:rFonts w:cstheme="majorBidi"/>
          <w:sz w:val="22"/>
        </w:rPr>
      </w:pPr>
      <w:r w:rsidRPr="00E2052F">
        <w:rPr>
          <w:rFonts w:cstheme="majorBidi"/>
          <w:b/>
          <w:bCs/>
          <w:sz w:val="22"/>
        </w:rPr>
        <w:t xml:space="preserve">Source : </w:t>
      </w:r>
      <w:r w:rsidR="00A01D7D" w:rsidRPr="00E2052F">
        <w:rPr>
          <w:rFonts w:cstheme="majorBidi"/>
          <w:sz w:val="22"/>
        </w:rPr>
        <w:t>document interne de l’entreprise.</w:t>
      </w:r>
    </w:p>
    <w:p w14:paraId="0D29C2F3" w14:textId="77777777" w:rsidR="00DC71D6" w:rsidRPr="00E2052F" w:rsidRDefault="00DC71D6" w:rsidP="00D61875">
      <w:pPr>
        <w:pStyle w:val="Titre4"/>
        <w:numPr>
          <w:ilvl w:val="2"/>
          <w:numId w:val="5"/>
        </w:numPr>
        <w:spacing w:before="0" w:beforeAutospacing="0" w:after="160"/>
        <w:ind w:left="1287"/>
        <w:rPr>
          <w:rFonts w:asciiTheme="majorBidi" w:hAnsiTheme="majorBidi"/>
          <w:b w:val="0"/>
          <w:bCs w:val="0"/>
          <w:i w:val="0"/>
          <w:iCs w:val="0"/>
          <w:color w:val="000000" w:themeColor="text1"/>
          <w:sz w:val="22"/>
        </w:rPr>
      </w:pPr>
      <w:bookmarkStart w:id="1422" w:name="_Toc223451387"/>
      <w:bookmarkStart w:id="1423" w:name="_Toc229155973"/>
      <w:bookmarkStart w:id="1424" w:name="_Toc231746971"/>
      <w:bookmarkStart w:id="1425" w:name="_Toc231752377"/>
      <w:bookmarkStart w:id="1426" w:name="_Toc231810680"/>
      <w:bookmarkStart w:id="1427" w:name="_Toc231812023"/>
      <w:bookmarkStart w:id="1428" w:name="_Toc231812301"/>
      <w:bookmarkStart w:id="1429" w:name="_Toc231815185"/>
      <w:r w:rsidRPr="00E2052F">
        <w:rPr>
          <w:rFonts w:asciiTheme="majorBidi" w:hAnsiTheme="majorBidi"/>
          <w:i w:val="0"/>
          <w:iCs w:val="0"/>
          <w:color w:val="000000" w:themeColor="text1"/>
          <w:sz w:val="22"/>
        </w:rPr>
        <w:t>Audits Clients :</w:t>
      </w:r>
      <w:bookmarkEnd w:id="1422"/>
      <w:bookmarkEnd w:id="1423"/>
      <w:bookmarkEnd w:id="1424"/>
      <w:bookmarkEnd w:id="1425"/>
      <w:bookmarkEnd w:id="1426"/>
      <w:bookmarkEnd w:id="1427"/>
      <w:bookmarkEnd w:id="1428"/>
      <w:bookmarkEnd w:id="1429"/>
    </w:p>
    <w:p w14:paraId="16288DA4" w14:textId="77777777" w:rsidR="00C26EA4" w:rsidRPr="00E2052F" w:rsidRDefault="00DC71D6" w:rsidP="00D23BF3">
      <w:pPr>
        <w:tabs>
          <w:tab w:val="left" w:pos="3306"/>
        </w:tabs>
        <w:spacing w:before="0" w:beforeAutospacing="0"/>
        <w:rPr>
          <w:rFonts w:cstheme="majorBidi"/>
          <w:sz w:val="22"/>
        </w:rPr>
      </w:pPr>
      <w:r w:rsidRPr="00E2052F">
        <w:rPr>
          <w:rFonts w:cstheme="majorBidi"/>
          <w:sz w:val="22"/>
        </w:rPr>
        <w:t xml:space="preserve">L'entreprise </w:t>
      </w:r>
      <w:r w:rsidRPr="00E2052F">
        <w:rPr>
          <w:rFonts w:cstheme="majorBidi"/>
          <w:b/>
          <w:bCs/>
          <w:sz w:val="22"/>
        </w:rPr>
        <w:t>TAYAL</w:t>
      </w:r>
      <w:r w:rsidRPr="00E2052F">
        <w:rPr>
          <w:rFonts w:cstheme="majorBidi"/>
          <w:sz w:val="22"/>
        </w:rPr>
        <w:t xml:space="preserve"> a fait l'objet de plusieurs audits rigoureux de la part de ses partenaires internationaux, attestant de la conformité de ses processus aux standards mondiaux. Parmi les audits clients réalisés, on note ceux de </w:t>
      </w:r>
      <w:r w:rsidRPr="00E2052F">
        <w:rPr>
          <w:rFonts w:cstheme="majorBidi"/>
          <w:b/>
          <w:bCs/>
          <w:sz w:val="22"/>
        </w:rPr>
        <w:t>Kontoor Brands</w:t>
      </w:r>
      <w:r w:rsidRPr="00E2052F">
        <w:rPr>
          <w:rFonts w:cstheme="majorBidi"/>
          <w:sz w:val="22"/>
        </w:rPr>
        <w:t xml:space="preserve"> (décembre 2022) et de </w:t>
      </w:r>
      <w:r w:rsidRPr="00E2052F">
        <w:rPr>
          <w:rFonts w:cstheme="majorBidi"/>
          <w:b/>
          <w:bCs/>
          <w:sz w:val="22"/>
        </w:rPr>
        <w:t>LEVIS</w:t>
      </w:r>
      <w:r w:rsidRPr="00E2052F">
        <w:rPr>
          <w:rFonts w:cstheme="majorBidi"/>
          <w:sz w:val="22"/>
        </w:rPr>
        <w:t xml:space="preserve"> (janvier 2022 et juin 2023). Le groupe </w:t>
      </w:r>
      <w:r w:rsidRPr="00E2052F">
        <w:rPr>
          <w:rFonts w:cstheme="majorBidi"/>
          <w:b/>
          <w:bCs/>
          <w:sz w:val="22"/>
        </w:rPr>
        <w:t>Decathlon</w:t>
      </w:r>
      <w:r w:rsidRPr="00E2052F">
        <w:rPr>
          <w:rFonts w:cstheme="majorBidi"/>
          <w:sz w:val="22"/>
        </w:rPr>
        <w:t xml:space="preserve"> a également mené des audits approfondis sur les volets HRP, qualité et environnemental entre 2020 et 2022, tandis qu'un audit social a été effectué par </w:t>
      </w:r>
      <w:r w:rsidRPr="00E2052F">
        <w:rPr>
          <w:rFonts w:cstheme="majorBidi"/>
          <w:b/>
          <w:bCs/>
          <w:sz w:val="22"/>
        </w:rPr>
        <w:t>INDITEX</w:t>
      </w:r>
      <w:r w:rsidRPr="00E2052F">
        <w:rPr>
          <w:rFonts w:cstheme="majorBidi"/>
          <w:sz w:val="22"/>
        </w:rPr>
        <w:t xml:space="preserve"> en avril 2023. Enfin, l'entreprise suit le standard "</w:t>
      </w:r>
      <w:r w:rsidRPr="00E2052F">
        <w:rPr>
          <w:rFonts w:cstheme="majorBidi"/>
          <w:b/>
          <w:bCs/>
          <w:sz w:val="22"/>
        </w:rPr>
        <w:t>Good Factory</w:t>
      </w:r>
      <w:r w:rsidRPr="00E2052F">
        <w:rPr>
          <w:rFonts w:cstheme="majorBidi"/>
          <w:sz w:val="22"/>
        </w:rPr>
        <w:t xml:space="preserve">" de </w:t>
      </w:r>
      <w:r w:rsidRPr="00E2052F">
        <w:rPr>
          <w:rFonts w:cstheme="majorBidi"/>
          <w:b/>
          <w:bCs/>
          <w:sz w:val="22"/>
        </w:rPr>
        <w:t>Carrefour</w:t>
      </w:r>
      <w:r w:rsidRPr="00E2052F">
        <w:rPr>
          <w:rFonts w:cstheme="majorBidi"/>
          <w:sz w:val="22"/>
        </w:rPr>
        <w:t xml:space="preserve"> et est engagée dans un processus d'audit </w:t>
      </w:r>
      <w:r w:rsidRPr="00E2052F">
        <w:rPr>
          <w:rFonts w:cstheme="majorBidi"/>
          <w:b/>
          <w:bCs/>
          <w:sz w:val="22"/>
        </w:rPr>
        <w:t>WRAP</w:t>
      </w:r>
      <w:r w:rsidRPr="00E2052F">
        <w:rPr>
          <w:rFonts w:cstheme="majorBidi"/>
          <w:sz w:val="22"/>
        </w:rPr>
        <w:t xml:space="preserve"> (Worldwide Responsible Accredited Production), renforçant ainsi son positionnement de fournisseur fiable et éthique pour les grandes enseignes texti</w:t>
      </w:r>
      <w:r w:rsidR="00C26EA4" w:rsidRPr="00E2052F">
        <w:rPr>
          <w:rFonts w:cstheme="majorBidi"/>
          <w:sz w:val="22"/>
        </w:rPr>
        <w:t>les.</w:t>
      </w:r>
      <w:r w:rsidR="000216D8">
        <w:rPr>
          <w:rStyle w:val="Appelnotedebasdep"/>
          <w:rFonts w:cstheme="majorBidi"/>
          <w:sz w:val="22"/>
        </w:rPr>
        <w:footnoteReference w:id="275"/>
      </w:r>
    </w:p>
    <w:p w14:paraId="2CCE8A3F" w14:textId="77777777" w:rsidR="007619C4" w:rsidRPr="00E2052F" w:rsidRDefault="000216D8" w:rsidP="00D23BF3">
      <w:pPr>
        <w:tabs>
          <w:tab w:val="left" w:pos="3306"/>
        </w:tabs>
        <w:spacing w:before="0" w:beforeAutospacing="0"/>
        <w:ind w:firstLine="0"/>
        <w:rPr>
          <w:rFonts w:cstheme="majorBidi"/>
          <w:sz w:val="22"/>
        </w:rPr>
      </w:pPr>
      <w:r w:rsidRPr="00E2052F">
        <w:rPr>
          <w:rFonts w:cstheme="majorBidi"/>
          <w:noProof/>
          <w:sz w:val="22"/>
          <w:lang w:eastAsia="fr-FR"/>
        </w:rPr>
        <w:drawing>
          <wp:anchor distT="0" distB="0" distL="114300" distR="114300" simplePos="0" relativeHeight="251670528" behindDoc="0" locked="0" layoutInCell="1" allowOverlap="1" wp14:anchorId="626B9244" wp14:editId="188876FA">
            <wp:simplePos x="0" y="0"/>
            <wp:positionH relativeFrom="margin">
              <wp:align>center</wp:align>
            </wp:positionH>
            <wp:positionV relativeFrom="paragraph">
              <wp:posOffset>316230</wp:posOffset>
            </wp:positionV>
            <wp:extent cx="4429125" cy="2689186"/>
            <wp:effectExtent l="0" t="0" r="0" b="0"/>
            <wp:wrapNone/>
            <wp:docPr id="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oto_2026-02-25_11-04-59.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429125" cy="2689186"/>
                    </a:xfrm>
                    <a:prstGeom prst="rect">
                      <a:avLst/>
                    </a:prstGeom>
                  </pic:spPr>
                </pic:pic>
              </a:graphicData>
            </a:graphic>
            <wp14:sizeRelH relativeFrom="margin">
              <wp14:pctWidth>0</wp14:pctWidth>
            </wp14:sizeRelH>
            <wp14:sizeRelV relativeFrom="margin">
              <wp14:pctHeight>0</wp14:pctHeight>
            </wp14:sizeRelV>
          </wp:anchor>
        </w:drawing>
      </w:r>
      <w:r w:rsidR="00333999" w:rsidRPr="00E2052F">
        <w:rPr>
          <w:rFonts w:cstheme="majorBidi"/>
          <w:noProof/>
          <w:sz w:val="22"/>
          <w:lang w:eastAsia="fr-FR"/>
        </w:rPr>
        <mc:AlternateContent>
          <mc:Choice Requires="wps">
            <w:drawing>
              <wp:anchor distT="0" distB="0" distL="114300" distR="114300" simplePos="0" relativeHeight="251876352" behindDoc="0" locked="0" layoutInCell="1" allowOverlap="1" wp14:anchorId="018318E6" wp14:editId="1D5EE55B">
                <wp:simplePos x="0" y="0"/>
                <wp:positionH relativeFrom="margin">
                  <wp:posOffset>88900</wp:posOffset>
                </wp:positionH>
                <wp:positionV relativeFrom="paragraph">
                  <wp:posOffset>-123190</wp:posOffset>
                </wp:positionV>
                <wp:extent cx="1828800" cy="408940"/>
                <wp:effectExtent l="0" t="0" r="0" b="0"/>
                <wp:wrapNone/>
                <wp:docPr id="21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9416C" w14:textId="77777777" w:rsidR="00A36231" w:rsidRPr="00172C7A" w:rsidRDefault="00A36231" w:rsidP="002C6B42">
                            <w:pPr>
                              <w:tabs>
                                <w:tab w:val="left" w:pos="3306"/>
                              </w:tabs>
                              <w:ind w:firstLine="0"/>
                              <w:rPr>
                                <w:rFonts w:cstheme="majorBidi"/>
                                <w:szCs w:val="24"/>
                              </w:rPr>
                            </w:pPr>
                            <w:r w:rsidRPr="00172C7A">
                              <w:rPr>
                                <w:rFonts w:cstheme="majorBidi"/>
                                <w:b/>
                                <w:bCs/>
                                <w:szCs w:val="24"/>
                                <w:u w:val="single"/>
                              </w:rPr>
                              <w:t>Figure 14 :</w:t>
                            </w:r>
                            <w:r w:rsidRPr="00172C7A">
                              <w:rPr>
                                <w:rFonts w:cstheme="majorBidi"/>
                                <w:szCs w:val="24"/>
                              </w:rPr>
                              <w:t xml:space="preserve"> </w:t>
                            </w:r>
                            <w:r w:rsidRPr="00172C7A">
                              <w:rPr>
                                <w:rFonts w:cstheme="majorBidi"/>
                                <w:b/>
                                <w:bCs/>
                                <w:szCs w:val="24"/>
                              </w:rPr>
                              <w:t>Audits clients.</w:t>
                            </w:r>
                          </w:p>
                          <w:p w14:paraId="3DBF6CC1" w14:textId="77777777" w:rsidR="00A36231" w:rsidRDefault="00A362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318E6" id="Text Box 323" o:spid="_x0000_s1041" type="#_x0000_t202" style="position:absolute;left:0;text-align:left;margin-left:7pt;margin-top:-9.7pt;width:2in;height:32.2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RSvwIAAMU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" filled="f" stroked="f">
                <v:textbox>
                  <w:txbxContent>
                    <w:p w14:paraId="0429416C" w14:textId="77777777" w:rsidR="00A36231" w:rsidRPr="00172C7A" w:rsidRDefault="00A36231" w:rsidP="002C6B42">
                      <w:pPr>
                        <w:tabs>
                          <w:tab w:val="left" w:pos="3306"/>
                        </w:tabs>
                        <w:ind w:firstLine="0"/>
                        <w:rPr>
                          <w:rFonts w:cstheme="majorBidi"/>
                          <w:szCs w:val="24"/>
                        </w:rPr>
                      </w:pPr>
                      <w:r w:rsidRPr="00172C7A">
                        <w:rPr>
                          <w:rFonts w:cstheme="majorBidi"/>
                          <w:b/>
                          <w:bCs/>
                          <w:szCs w:val="24"/>
                          <w:u w:val="single"/>
                        </w:rPr>
                        <w:t>Figure 14 :</w:t>
                      </w:r>
                      <w:r w:rsidRPr="00172C7A">
                        <w:rPr>
                          <w:rFonts w:cstheme="majorBidi"/>
                          <w:szCs w:val="24"/>
                        </w:rPr>
                        <w:t xml:space="preserve"> </w:t>
                      </w:r>
                      <w:r w:rsidRPr="00172C7A">
                        <w:rPr>
                          <w:rFonts w:cstheme="majorBidi"/>
                          <w:b/>
                          <w:bCs/>
                          <w:szCs w:val="24"/>
                        </w:rPr>
                        <w:t>Audits clients.</w:t>
                      </w:r>
                    </w:p>
                    <w:p w14:paraId="3DBF6CC1" w14:textId="77777777" w:rsidR="00A36231" w:rsidRDefault="00A36231"/>
                  </w:txbxContent>
                </v:textbox>
                <w10:wrap anchorx="margin"/>
              </v:shape>
            </w:pict>
          </mc:Fallback>
        </mc:AlternateContent>
      </w:r>
    </w:p>
    <w:p w14:paraId="0A9A592C" w14:textId="77777777" w:rsidR="007619C4" w:rsidRPr="00E2052F" w:rsidRDefault="007619C4" w:rsidP="00D23BF3">
      <w:pPr>
        <w:tabs>
          <w:tab w:val="left" w:pos="3306"/>
        </w:tabs>
        <w:spacing w:before="0" w:beforeAutospacing="0"/>
        <w:ind w:firstLine="0"/>
        <w:rPr>
          <w:rFonts w:cstheme="majorBidi"/>
          <w:sz w:val="22"/>
        </w:rPr>
      </w:pPr>
    </w:p>
    <w:p w14:paraId="5E5BAEFF" w14:textId="77777777" w:rsidR="007619C4" w:rsidRPr="00E2052F" w:rsidRDefault="007619C4" w:rsidP="00D23BF3">
      <w:pPr>
        <w:tabs>
          <w:tab w:val="left" w:pos="3306"/>
        </w:tabs>
        <w:spacing w:before="0" w:beforeAutospacing="0"/>
        <w:ind w:firstLine="0"/>
        <w:rPr>
          <w:rFonts w:cstheme="majorBidi"/>
          <w:sz w:val="22"/>
        </w:rPr>
      </w:pPr>
    </w:p>
    <w:p w14:paraId="7E554772" w14:textId="77777777" w:rsidR="007619C4" w:rsidRPr="00E2052F" w:rsidRDefault="007619C4" w:rsidP="00D23BF3">
      <w:pPr>
        <w:tabs>
          <w:tab w:val="left" w:pos="3306"/>
        </w:tabs>
        <w:spacing w:before="0" w:beforeAutospacing="0"/>
        <w:ind w:firstLine="0"/>
        <w:rPr>
          <w:rFonts w:cstheme="majorBidi"/>
          <w:sz w:val="22"/>
        </w:rPr>
      </w:pPr>
    </w:p>
    <w:p w14:paraId="28A2E650" w14:textId="77777777" w:rsidR="007619C4" w:rsidRPr="00E2052F" w:rsidRDefault="007619C4" w:rsidP="00D23BF3">
      <w:pPr>
        <w:tabs>
          <w:tab w:val="left" w:pos="3306"/>
        </w:tabs>
        <w:spacing w:before="0" w:beforeAutospacing="0"/>
        <w:ind w:firstLine="0"/>
        <w:rPr>
          <w:rFonts w:cstheme="majorBidi"/>
          <w:sz w:val="22"/>
        </w:rPr>
      </w:pPr>
    </w:p>
    <w:p w14:paraId="0C6A5552" w14:textId="77777777" w:rsidR="00481586" w:rsidRPr="00E2052F" w:rsidRDefault="00481586" w:rsidP="00D23BF3">
      <w:pPr>
        <w:tabs>
          <w:tab w:val="left" w:pos="3306"/>
        </w:tabs>
        <w:spacing w:before="0" w:beforeAutospacing="0"/>
        <w:ind w:firstLine="0"/>
        <w:rPr>
          <w:rFonts w:cstheme="majorBidi"/>
          <w:sz w:val="22"/>
        </w:rPr>
      </w:pPr>
    </w:p>
    <w:p w14:paraId="6657DE7D" w14:textId="77777777" w:rsidR="00481586" w:rsidRPr="00E2052F" w:rsidRDefault="00481586" w:rsidP="00D23BF3">
      <w:pPr>
        <w:pStyle w:val="NormalWeb"/>
        <w:spacing w:before="0" w:beforeAutospacing="0" w:line="360" w:lineRule="auto"/>
        <w:ind w:left="720"/>
        <w:rPr>
          <w:rFonts w:asciiTheme="majorBidi" w:hAnsiTheme="majorBidi" w:cstheme="majorBidi"/>
          <w:sz w:val="22"/>
          <w:szCs w:val="22"/>
        </w:rPr>
      </w:pPr>
    </w:p>
    <w:p w14:paraId="53FF47FC" w14:textId="77777777" w:rsidR="00481586" w:rsidRPr="00E2052F" w:rsidRDefault="00481586" w:rsidP="00D23BF3">
      <w:pPr>
        <w:pStyle w:val="NormalWeb"/>
        <w:spacing w:before="0" w:beforeAutospacing="0" w:line="360" w:lineRule="auto"/>
        <w:ind w:left="720"/>
        <w:rPr>
          <w:rFonts w:asciiTheme="majorBidi" w:hAnsiTheme="majorBidi" w:cstheme="majorBidi"/>
          <w:sz w:val="22"/>
          <w:szCs w:val="22"/>
        </w:rPr>
      </w:pPr>
    </w:p>
    <w:p w14:paraId="037981F1" w14:textId="77777777" w:rsidR="00481586" w:rsidRPr="00E2052F" w:rsidRDefault="00481586" w:rsidP="00D23BF3">
      <w:pPr>
        <w:pStyle w:val="NormalWeb"/>
        <w:spacing w:before="0" w:beforeAutospacing="0" w:line="360" w:lineRule="auto"/>
        <w:ind w:left="720"/>
        <w:rPr>
          <w:rFonts w:asciiTheme="majorBidi" w:hAnsiTheme="majorBidi" w:cstheme="majorBidi"/>
          <w:sz w:val="22"/>
          <w:szCs w:val="22"/>
        </w:rPr>
      </w:pPr>
    </w:p>
    <w:p w14:paraId="677AA389" w14:textId="77777777" w:rsidR="00F562CA" w:rsidRDefault="00F562CA" w:rsidP="00456526">
      <w:pPr>
        <w:spacing w:before="0" w:beforeAutospacing="0"/>
        <w:ind w:firstLine="0"/>
        <w:rPr>
          <w:rFonts w:cstheme="majorBidi"/>
          <w:b/>
          <w:bCs/>
          <w:sz w:val="22"/>
        </w:rPr>
      </w:pPr>
    </w:p>
    <w:p w14:paraId="66E0A652" w14:textId="77777777" w:rsidR="00481586" w:rsidRPr="00E2052F" w:rsidRDefault="002C6B42" w:rsidP="00730341">
      <w:pPr>
        <w:spacing w:before="0" w:beforeAutospacing="0"/>
        <w:ind w:firstLine="0"/>
        <w:jc w:val="center"/>
        <w:rPr>
          <w:rFonts w:cstheme="majorBidi"/>
          <w:sz w:val="22"/>
        </w:rPr>
      </w:pPr>
      <w:r w:rsidRPr="00E2052F">
        <w:rPr>
          <w:rFonts w:cstheme="majorBidi"/>
          <w:b/>
          <w:bCs/>
          <w:sz w:val="22"/>
        </w:rPr>
        <w:t>Source :</w:t>
      </w:r>
      <w:r w:rsidRPr="00E2052F">
        <w:rPr>
          <w:rFonts w:cstheme="majorBidi"/>
          <w:sz w:val="22"/>
        </w:rPr>
        <w:t xml:space="preserve"> </w:t>
      </w:r>
      <w:r w:rsidR="00A01D7D" w:rsidRPr="00E2052F">
        <w:rPr>
          <w:rFonts w:cstheme="majorBidi"/>
          <w:sz w:val="22"/>
        </w:rPr>
        <w:t>document interne de l’entreprise.</w:t>
      </w:r>
    </w:p>
    <w:p w14:paraId="535972AD" w14:textId="77777777" w:rsidR="00AB640B" w:rsidRPr="00E2052F" w:rsidRDefault="007C36B4" w:rsidP="00D61875">
      <w:pPr>
        <w:pStyle w:val="Titre3"/>
        <w:numPr>
          <w:ilvl w:val="0"/>
          <w:numId w:val="15"/>
        </w:numPr>
        <w:spacing w:before="0" w:beforeAutospacing="0" w:after="160"/>
        <w:ind w:left="641" w:hanging="357"/>
        <w:rPr>
          <w:rFonts w:asciiTheme="majorBidi" w:hAnsiTheme="majorBidi"/>
          <w:color w:val="auto"/>
          <w:sz w:val="22"/>
        </w:rPr>
      </w:pPr>
      <w:bookmarkStart w:id="1430" w:name="_Toc229155974"/>
      <w:bookmarkStart w:id="1431" w:name="_Toc231746972"/>
      <w:bookmarkStart w:id="1432" w:name="_Toc231752378"/>
      <w:bookmarkStart w:id="1433" w:name="_Toc231810681"/>
      <w:bookmarkStart w:id="1434" w:name="_Toc231812024"/>
      <w:bookmarkStart w:id="1435" w:name="_Toc231812302"/>
      <w:bookmarkStart w:id="1436" w:name="_Toc231815186"/>
      <w:r w:rsidRPr="00E2052F">
        <w:rPr>
          <w:rFonts w:asciiTheme="majorBidi" w:hAnsiTheme="majorBidi"/>
          <w:color w:val="auto"/>
          <w:sz w:val="22"/>
        </w:rPr>
        <w:t>Le développement durable :</w:t>
      </w:r>
      <w:bookmarkEnd w:id="1430"/>
      <w:bookmarkEnd w:id="1431"/>
      <w:bookmarkEnd w:id="1432"/>
      <w:bookmarkEnd w:id="1433"/>
      <w:bookmarkEnd w:id="1434"/>
      <w:bookmarkEnd w:id="1435"/>
      <w:bookmarkEnd w:id="1436"/>
    </w:p>
    <w:p w14:paraId="29913D5A" w14:textId="77777777" w:rsidR="007C36B4" w:rsidRPr="00E2052F" w:rsidRDefault="007C36B4" w:rsidP="00D23BF3">
      <w:pPr>
        <w:spacing w:before="0" w:beforeAutospacing="0"/>
        <w:rPr>
          <w:rFonts w:cstheme="majorBidi"/>
          <w:sz w:val="22"/>
        </w:rPr>
      </w:pPr>
      <w:r w:rsidRPr="00E2052F">
        <w:rPr>
          <w:rFonts w:cstheme="majorBidi"/>
          <w:sz w:val="22"/>
        </w:rPr>
        <w:t>Le développement durable constitue un axe stratégique majeur au sein de TAYAL S.P.A, se traduisant par l’intégration de solutions innovantes visant à concilier performance industrielle et respect de l’environnement. Parmi les aspects les plus importants de cet investissement figure l’unité de tri-génération énergétique, composée de huit (08) moteurs à gaz naturel générant chacun 4,3 MW d’électricité. Cette infrastructure permet d’assurer l’autonomie énergétique de l’entreprise, de maintenir la stabilité de la production et de garantir la haute qualité des produits, tout en optimisant la consommation des ressources énergétiques.</w:t>
      </w:r>
    </w:p>
    <w:p w14:paraId="43EB6BC1" w14:textId="77777777" w:rsidR="007C36B4" w:rsidRPr="00E2052F" w:rsidRDefault="007C36B4" w:rsidP="00D23BF3">
      <w:pPr>
        <w:spacing w:before="0" w:beforeAutospacing="0"/>
        <w:rPr>
          <w:rFonts w:cstheme="majorBidi"/>
          <w:sz w:val="22"/>
        </w:rPr>
      </w:pPr>
      <w:r w:rsidRPr="00E2052F">
        <w:rPr>
          <w:rFonts w:cstheme="majorBidi"/>
          <w:sz w:val="22"/>
        </w:rPr>
        <w:t xml:space="preserve">Par ailleurs, l’entreprise accorde une attention particulière à la gestion durable de l’eau à travers une </w:t>
      </w:r>
      <w:r w:rsidRPr="00E2052F">
        <w:rPr>
          <w:rStyle w:val="lev"/>
          <w:rFonts w:cstheme="majorBidi"/>
          <w:b w:val="0"/>
          <w:bCs w:val="0"/>
          <w:sz w:val="22"/>
        </w:rPr>
        <w:t>station d’épuration</w:t>
      </w:r>
      <w:r w:rsidRPr="00E2052F">
        <w:rPr>
          <w:rFonts w:cstheme="majorBidi"/>
          <w:sz w:val="22"/>
        </w:rPr>
        <w:t xml:space="preserve"> performante, capable de traiter jusqu’à </w:t>
      </w:r>
      <w:r w:rsidRPr="00E2052F">
        <w:rPr>
          <w:rStyle w:val="lev"/>
          <w:rFonts w:cstheme="majorBidi"/>
          <w:b w:val="0"/>
          <w:bCs w:val="0"/>
          <w:sz w:val="22"/>
        </w:rPr>
        <w:t>10 000 m³ d’eaux usées par jour</w:t>
      </w:r>
      <w:r w:rsidRPr="00E2052F">
        <w:rPr>
          <w:rFonts w:cstheme="majorBidi"/>
          <w:sz w:val="22"/>
        </w:rPr>
        <w:t xml:space="preserve">, ainsi qu’un système de </w:t>
      </w:r>
      <w:r w:rsidRPr="00E2052F">
        <w:rPr>
          <w:rStyle w:val="lev"/>
          <w:rFonts w:cstheme="majorBidi"/>
          <w:b w:val="0"/>
          <w:bCs w:val="0"/>
          <w:sz w:val="22"/>
        </w:rPr>
        <w:t>traitement de l’eau de processus</w:t>
      </w:r>
      <w:r w:rsidRPr="00E2052F">
        <w:rPr>
          <w:rFonts w:cstheme="majorBidi"/>
          <w:sz w:val="22"/>
        </w:rPr>
        <w:t xml:space="preserve"> d’une capacité de </w:t>
      </w:r>
      <w:r w:rsidRPr="00E2052F">
        <w:rPr>
          <w:rStyle w:val="lev"/>
          <w:rFonts w:cstheme="majorBidi"/>
          <w:b w:val="0"/>
          <w:bCs w:val="0"/>
          <w:sz w:val="22"/>
        </w:rPr>
        <w:t>300 m³/heure</w:t>
      </w:r>
      <w:r w:rsidRPr="00E2052F">
        <w:rPr>
          <w:rFonts w:cstheme="majorBidi"/>
          <w:sz w:val="22"/>
        </w:rPr>
        <w:t>. Ces installations reposent sur des procédés de traitement biologique et chimique, permettant de réduire l’impact environnemental des activités industrielles. Ainsi, ces initiatives témoignent de l’engagement de l’entreprise en faveur du développement durable, en contribuant à la protection de l’environnement et à la gestion responsable des ressources naturelles.</w:t>
      </w:r>
      <w:r w:rsidR="00A01D7D" w:rsidRPr="00E2052F">
        <w:rPr>
          <w:rStyle w:val="Appelnotedebasdep"/>
          <w:rFonts w:cstheme="majorBidi"/>
          <w:sz w:val="22"/>
        </w:rPr>
        <w:footnoteReference w:id="276"/>
      </w:r>
    </w:p>
    <w:p w14:paraId="39919E96" w14:textId="77777777" w:rsidR="00DC71D6" w:rsidRPr="00E2052F" w:rsidRDefault="00DC71D6" w:rsidP="00C8480E">
      <w:pPr>
        <w:pStyle w:val="Titre2"/>
      </w:pPr>
      <w:bookmarkStart w:id="1437" w:name="_Toc223451388"/>
      <w:bookmarkStart w:id="1438" w:name="_Toc229155975"/>
      <w:bookmarkStart w:id="1439" w:name="_Toc231746973"/>
      <w:bookmarkStart w:id="1440" w:name="_Toc231752379"/>
      <w:bookmarkStart w:id="1441" w:name="_Toc231810682"/>
      <w:bookmarkStart w:id="1442" w:name="_Toc231812025"/>
      <w:bookmarkStart w:id="1443" w:name="_Toc231812303"/>
      <w:bookmarkStart w:id="1444" w:name="_Toc231815187"/>
      <w:r w:rsidRPr="00E2052F">
        <w:t>L’organigramme de TAYAL SPA :</w:t>
      </w:r>
      <w:bookmarkEnd w:id="1437"/>
      <w:bookmarkEnd w:id="1438"/>
      <w:bookmarkEnd w:id="1439"/>
      <w:bookmarkEnd w:id="1440"/>
      <w:bookmarkEnd w:id="1441"/>
      <w:bookmarkEnd w:id="1442"/>
      <w:bookmarkEnd w:id="1443"/>
      <w:bookmarkEnd w:id="1444"/>
    </w:p>
    <w:p w14:paraId="227DA14F" w14:textId="77777777" w:rsidR="001B1E6C" w:rsidRPr="00E2052F" w:rsidRDefault="00A01D7D" w:rsidP="00172C7A">
      <w:pPr>
        <w:pStyle w:val="NormalWeb"/>
        <w:spacing w:before="0" w:beforeAutospacing="0"/>
        <w:rPr>
          <w:rFonts w:asciiTheme="majorBidi" w:hAnsiTheme="majorBidi" w:cstheme="majorBidi"/>
          <w:b/>
          <w:bCs/>
          <w:sz w:val="22"/>
          <w:szCs w:val="22"/>
        </w:rPr>
      </w:pPr>
      <w:r w:rsidRPr="00E2052F">
        <w:rPr>
          <w:rFonts w:asciiTheme="majorBidi" w:hAnsiTheme="majorBidi" w:cstheme="majorBidi"/>
          <w:b/>
          <w:bCs/>
          <w:sz w:val="22"/>
          <w:szCs w:val="22"/>
          <w:u w:val="single"/>
        </w:rPr>
        <w:t>Figure 15 :</w:t>
      </w:r>
      <w:r w:rsidRPr="00E2052F">
        <w:rPr>
          <w:rFonts w:asciiTheme="majorBidi" w:hAnsiTheme="majorBidi" w:cstheme="majorBidi"/>
          <w:b/>
          <w:bCs/>
          <w:sz w:val="22"/>
          <w:szCs w:val="22"/>
        </w:rPr>
        <w:t xml:space="preserve"> organigramme de l’entreprise TAYAL.</w:t>
      </w:r>
    </w:p>
    <w:p w14:paraId="48A20BBF" w14:textId="77777777" w:rsidR="001B1E6C" w:rsidRPr="00E2052F" w:rsidRDefault="001B1E6C" w:rsidP="005D7A03">
      <w:pPr>
        <w:pStyle w:val="NormalWeb"/>
        <w:spacing w:before="0" w:beforeAutospacing="0"/>
        <w:ind w:firstLine="0"/>
        <w:rPr>
          <w:rFonts w:asciiTheme="majorBidi" w:hAnsiTheme="majorBidi" w:cstheme="majorBidi"/>
          <w:b/>
          <w:bCs/>
          <w:sz w:val="22"/>
          <w:szCs w:val="22"/>
        </w:rPr>
      </w:pPr>
    </w:p>
    <w:p w14:paraId="0BA97322" w14:textId="77777777" w:rsidR="001B1E6C" w:rsidRPr="00E2052F" w:rsidRDefault="00B0230F" w:rsidP="005D7A03">
      <w:pPr>
        <w:pStyle w:val="NormalWeb"/>
        <w:spacing w:before="0" w:beforeAutospacing="0"/>
        <w:ind w:left="360" w:firstLine="0"/>
        <w:jc w:val="center"/>
        <w:rPr>
          <w:rFonts w:asciiTheme="majorBidi" w:hAnsiTheme="majorBidi" w:cstheme="majorBidi"/>
          <w:b/>
          <w:bCs/>
          <w:sz w:val="22"/>
          <w:szCs w:val="22"/>
        </w:rPr>
      </w:pPr>
      <w:r w:rsidRPr="00E2052F">
        <w:rPr>
          <w:rFonts w:asciiTheme="majorBidi" w:hAnsiTheme="majorBidi" w:cstheme="majorBidi"/>
          <w:b/>
          <w:bCs/>
          <w:noProof/>
          <w:sz w:val="22"/>
          <w:szCs w:val="22"/>
        </w:rPr>
        <mc:AlternateContent>
          <mc:Choice Requires="wps">
            <w:drawing>
              <wp:anchor distT="0" distB="0" distL="114300" distR="114300" simplePos="0" relativeHeight="251880448" behindDoc="0" locked="0" layoutInCell="1" allowOverlap="1" wp14:anchorId="5C919792" wp14:editId="58709444">
                <wp:simplePos x="0" y="0"/>
                <wp:positionH relativeFrom="column">
                  <wp:posOffset>2509520</wp:posOffset>
                </wp:positionH>
                <wp:positionV relativeFrom="paragraph">
                  <wp:posOffset>901700</wp:posOffset>
                </wp:positionV>
                <wp:extent cx="1497330" cy="492125"/>
                <wp:effectExtent l="11430" t="13970" r="5715" b="8255"/>
                <wp:wrapNone/>
                <wp:docPr id="212"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330" cy="492125"/>
                        </a:xfrm>
                        <a:prstGeom prst="rect">
                          <a:avLst/>
                        </a:prstGeom>
                        <a:solidFill>
                          <a:srgbClr val="00B050"/>
                        </a:solidFill>
                        <a:ln w="9525">
                          <a:solidFill>
                            <a:srgbClr val="000000"/>
                          </a:solidFill>
                          <a:miter lim="800000"/>
                          <a:headEnd/>
                          <a:tailEnd/>
                        </a:ln>
                      </wps:spPr>
                      <wps:txbx>
                        <w:txbxContent>
                          <w:p w14:paraId="0DAC8A70" w14:textId="77777777" w:rsidR="00A36231" w:rsidRPr="00106119" w:rsidRDefault="00A36231" w:rsidP="001B1E6C">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Direction</w:t>
                            </w:r>
                            <w:r>
                              <w:rPr>
                                <w:rFonts w:cstheme="majorBidi"/>
                                <w:b/>
                                <w:bCs/>
                                <w:color w:val="FFFFFF" w:themeColor="background1"/>
                                <w:sz w:val="16"/>
                                <w:szCs w:val="16"/>
                              </w:rPr>
                              <w:t xml:space="preserve">                    </w:t>
                            </w:r>
                            <w:r w:rsidRPr="00106119">
                              <w:rPr>
                                <w:rFonts w:cstheme="majorBidi"/>
                                <w:b/>
                                <w:bCs/>
                                <w:color w:val="FFFFFF" w:themeColor="background1"/>
                                <w:sz w:val="16"/>
                                <w:szCs w:val="16"/>
                              </w:rPr>
                              <w:t xml:space="preserve"> Générale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19792" id="Rectangle 327" o:spid="_x0000_s1042" style="position:absolute;left:0;text-align:left;margin-left:197.6pt;margin-top:71pt;width:117.9pt;height:38.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" fillcolor="#00b050">
                <v:textbox>
                  <w:txbxContent>
                    <w:p w14:paraId="0DAC8A70" w14:textId="77777777" w:rsidR="00A36231" w:rsidRPr="00106119" w:rsidRDefault="00A36231" w:rsidP="001B1E6C">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Direction</w:t>
                      </w:r>
                      <w:r>
                        <w:rPr>
                          <w:rFonts w:cstheme="majorBidi"/>
                          <w:b/>
                          <w:bCs/>
                          <w:color w:val="FFFFFF" w:themeColor="background1"/>
                          <w:sz w:val="16"/>
                          <w:szCs w:val="16"/>
                        </w:rPr>
                        <w:t xml:space="preserve">                    </w:t>
                      </w:r>
                      <w:r w:rsidRPr="00106119">
                        <w:rPr>
                          <w:rFonts w:cstheme="majorBidi"/>
                          <w:b/>
                          <w:bCs/>
                          <w:color w:val="FFFFFF" w:themeColor="background1"/>
                          <w:sz w:val="16"/>
                          <w:szCs w:val="16"/>
                        </w:rPr>
                        <w:t xml:space="preserve"> Générale</w:t>
                      </w:r>
                    </w:p>
                  </w:txbxContent>
                </v:textbox>
              </v:rect>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79424" behindDoc="0" locked="0" layoutInCell="1" allowOverlap="1" wp14:anchorId="71F4DD27" wp14:editId="59D502F3">
                <wp:simplePos x="0" y="0"/>
                <wp:positionH relativeFrom="column">
                  <wp:posOffset>3259455</wp:posOffset>
                </wp:positionH>
                <wp:positionV relativeFrom="paragraph">
                  <wp:posOffset>579755</wp:posOffset>
                </wp:positionV>
                <wp:extent cx="0" cy="281940"/>
                <wp:effectExtent l="56515" t="6350" r="57785" b="16510"/>
                <wp:wrapNone/>
                <wp:docPr id="211" name="Auto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CC1E6" id="AutoShape 326" o:spid="_x0000_s1026" type="#_x0000_t32" style="position:absolute;margin-left:256.65pt;margin-top:45.65pt;width:0;height:22.2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">
                <v:stroke endarrow="block"/>
              </v:shape>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9664" behindDoc="0" locked="0" layoutInCell="1" allowOverlap="1" wp14:anchorId="5BDEFFC3" wp14:editId="1506D3BA">
                <wp:simplePos x="0" y="0"/>
                <wp:positionH relativeFrom="column">
                  <wp:posOffset>4244340</wp:posOffset>
                </wp:positionH>
                <wp:positionV relativeFrom="paragraph">
                  <wp:posOffset>1243965</wp:posOffset>
                </wp:positionV>
                <wp:extent cx="1497330" cy="492125"/>
                <wp:effectExtent l="12700" t="13335" r="13970" b="8890"/>
                <wp:wrapNone/>
                <wp:docPr id="210"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330" cy="492125"/>
                        </a:xfrm>
                        <a:prstGeom prst="rect">
                          <a:avLst/>
                        </a:prstGeom>
                        <a:solidFill>
                          <a:schemeClr val="tx1">
                            <a:lumMod val="100000"/>
                            <a:lumOff val="0"/>
                          </a:schemeClr>
                        </a:solidFill>
                        <a:ln w="9525">
                          <a:solidFill>
                            <a:srgbClr val="000000"/>
                          </a:solidFill>
                          <a:miter lim="800000"/>
                          <a:headEnd/>
                          <a:tailEnd/>
                        </a:ln>
                      </wps:spPr>
                      <wps:txbx>
                        <w:txbxContent>
                          <w:p w14:paraId="6AD8F3ED" w14:textId="77777777" w:rsidR="00A36231" w:rsidRPr="00106119" w:rsidRDefault="00A36231" w:rsidP="001B1E6C">
                            <w:pPr>
                              <w:ind w:firstLine="0"/>
                              <w:jc w:val="center"/>
                              <w:rPr>
                                <w:rFonts w:cstheme="majorBidi"/>
                                <w:b/>
                                <w:bCs/>
                                <w:sz w:val="16"/>
                                <w:szCs w:val="16"/>
                              </w:rPr>
                            </w:pPr>
                            <w:r w:rsidRPr="00106119">
                              <w:rPr>
                                <w:rFonts w:cstheme="majorBidi"/>
                                <w:b/>
                                <w:bCs/>
                                <w:sz w:val="16"/>
                                <w:szCs w:val="16"/>
                              </w:rPr>
                              <w:t xml:space="preserve">Secrétariat </w:t>
                            </w:r>
                            <w:r>
                              <w:rPr>
                                <w:rFonts w:cstheme="majorBidi"/>
                                <w:b/>
                                <w:bCs/>
                                <w:sz w:val="16"/>
                                <w:szCs w:val="16"/>
                              </w:rPr>
                              <w:t xml:space="preserve">                            </w:t>
                            </w:r>
                            <w:r w:rsidRPr="00106119">
                              <w:rPr>
                                <w:rFonts w:cstheme="majorBidi"/>
                                <w:b/>
                                <w:bCs/>
                                <w:sz w:val="16"/>
                                <w:szCs w:val="16"/>
                              </w:rPr>
                              <w:t>de Direction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EFFC3" id="Rectangle 336" o:spid="_x0000_s1043" style="position:absolute;left:0;text-align:left;margin-left:334.2pt;margin-top:97.95pt;width:117.9pt;height:3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" fillcolor="black [3213]">
                <v:textbox>
                  <w:txbxContent>
                    <w:p w14:paraId="6AD8F3ED" w14:textId="77777777" w:rsidR="00A36231" w:rsidRPr="00106119" w:rsidRDefault="00A36231" w:rsidP="001B1E6C">
                      <w:pPr>
                        <w:ind w:firstLine="0"/>
                        <w:jc w:val="center"/>
                        <w:rPr>
                          <w:rFonts w:cstheme="majorBidi"/>
                          <w:b/>
                          <w:bCs/>
                          <w:sz w:val="16"/>
                          <w:szCs w:val="16"/>
                        </w:rPr>
                      </w:pPr>
                      <w:r w:rsidRPr="00106119">
                        <w:rPr>
                          <w:rFonts w:cstheme="majorBidi"/>
                          <w:b/>
                          <w:bCs/>
                          <w:sz w:val="16"/>
                          <w:szCs w:val="16"/>
                        </w:rPr>
                        <w:t xml:space="preserve">Secrétariat </w:t>
                      </w:r>
                      <w:r>
                        <w:rPr>
                          <w:rFonts w:cstheme="majorBidi"/>
                          <w:b/>
                          <w:bCs/>
                          <w:sz w:val="16"/>
                          <w:szCs w:val="16"/>
                        </w:rPr>
                        <w:t xml:space="preserve">                            </w:t>
                      </w:r>
                      <w:r w:rsidRPr="00106119">
                        <w:rPr>
                          <w:rFonts w:cstheme="majorBidi"/>
                          <w:b/>
                          <w:bCs/>
                          <w:sz w:val="16"/>
                          <w:szCs w:val="16"/>
                        </w:rPr>
                        <w:t>de Direction</w:t>
                      </w:r>
                    </w:p>
                  </w:txbxContent>
                </v:textbox>
              </v:rect>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8640" behindDoc="0" locked="0" layoutInCell="1" allowOverlap="1" wp14:anchorId="41F55206" wp14:editId="7B5886A5">
                <wp:simplePos x="0" y="0"/>
                <wp:positionH relativeFrom="column">
                  <wp:posOffset>3259455</wp:posOffset>
                </wp:positionH>
                <wp:positionV relativeFrom="paragraph">
                  <wp:posOffset>1536065</wp:posOffset>
                </wp:positionV>
                <wp:extent cx="1035050" cy="0"/>
                <wp:effectExtent l="8890" t="10160" r="13335" b="8890"/>
                <wp:wrapNone/>
                <wp:docPr id="209"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E8CA5C" id="AutoShape 335" o:spid="_x0000_s1026" type="#_x0000_t32" style="position:absolute;margin-left:256.65pt;margin-top:120.95pt;width:81.5pt;height:0;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7616" behindDoc="0" locked="0" layoutInCell="1" allowOverlap="1" wp14:anchorId="0E325950" wp14:editId="3C98FECC">
                <wp:simplePos x="0" y="0"/>
                <wp:positionH relativeFrom="column">
                  <wp:posOffset>2365375</wp:posOffset>
                </wp:positionH>
                <wp:positionV relativeFrom="paragraph">
                  <wp:posOffset>1152525</wp:posOffset>
                </wp:positionV>
                <wp:extent cx="0" cy="342900"/>
                <wp:effectExtent l="10160" t="7620" r="8890" b="11430"/>
                <wp:wrapNone/>
                <wp:docPr id="208"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6DE988" id="AutoShape 334" o:spid="_x0000_s1026" type="#_x0000_t32" style="position:absolute;margin-left:186.25pt;margin-top:90.75pt;width:0;height:27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6592" behindDoc="0" locked="0" layoutInCell="1" allowOverlap="1" wp14:anchorId="54739C71" wp14:editId="72458E10">
                <wp:simplePos x="0" y="0"/>
                <wp:positionH relativeFrom="column">
                  <wp:posOffset>2234565</wp:posOffset>
                </wp:positionH>
                <wp:positionV relativeFrom="paragraph">
                  <wp:posOffset>1495425</wp:posOffset>
                </wp:positionV>
                <wp:extent cx="130810" cy="0"/>
                <wp:effectExtent l="12700" t="7620" r="8890" b="11430"/>
                <wp:wrapNone/>
                <wp:docPr id="207"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03F912" id="AutoShape 333" o:spid="_x0000_s1026" type="#_x0000_t32" style="position:absolute;margin-left:175.95pt;margin-top:117.75pt;width:10.3pt;height:0;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8fIQIAAD4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5568" behindDoc="0" locked="0" layoutInCell="1" allowOverlap="1" wp14:anchorId="7167F50B" wp14:editId="3C30A34D">
                <wp:simplePos x="0" y="0"/>
                <wp:positionH relativeFrom="column">
                  <wp:posOffset>2365375</wp:posOffset>
                </wp:positionH>
                <wp:positionV relativeFrom="paragraph">
                  <wp:posOffset>1152525</wp:posOffset>
                </wp:positionV>
                <wp:extent cx="144145" cy="0"/>
                <wp:effectExtent l="10160" t="7620" r="7620" b="11430"/>
                <wp:wrapNone/>
                <wp:docPr id="206"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BCB609" id="AutoShape 332" o:spid="_x0000_s1026" type="#_x0000_t32" style="position:absolute;margin-left:186.25pt;margin-top:90.75pt;width:11.35pt;height:0;flip:x;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UjKAIAAEg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4544" behindDoc="0" locked="0" layoutInCell="1" allowOverlap="1" wp14:anchorId="30F5A800" wp14:editId="5B3AD879">
                <wp:simplePos x="0" y="0"/>
                <wp:positionH relativeFrom="column">
                  <wp:posOffset>737235</wp:posOffset>
                </wp:positionH>
                <wp:positionV relativeFrom="paragraph">
                  <wp:posOffset>1243965</wp:posOffset>
                </wp:positionV>
                <wp:extent cx="1497330" cy="492125"/>
                <wp:effectExtent l="10795" t="13335" r="6350" b="8890"/>
                <wp:wrapNone/>
                <wp:docPr id="205" name="Rect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330" cy="492125"/>
                        </a:xfrm>
                        <a:prstGeom prst="rect">
                          <a:avLst/>
                        </a:prstGeom>
                        <a:solidFill>
                          <a:srgbClr val="00B050"/>
                        </a:solidFill>
                        <a:ln w="9525">
                          <a:solidFill>
                            <a:srgbClr val="000000"/>
                          </a:solidFill>
                          <a:miter lim="800000"/>
                          <a:headEnd/>
                          <a:tailEnd/>
                        </a:ln>
                      </wps:spPr>
                      <wps:txbx>
                        <w:txbxContent>
                          <w:p w14:paraId="09567A05" w14:textId="77777777" w:rsidR="00A36231" w:rsidRPr="00106119" w:rsidRDefault="00A36231" w:rsidP="001B1E6C">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 xml:space="preserve">Direction </w:t>
                            </w:r>
                            <w:r>
                              <w:rPr>
                                <w:rFonts w:cstheme="majorBidi"/>
                                <w:b/>
                                <w:bCs/>
                                <w:color w:val="FFFFFF" w:themeColor="background1"/>
                                <w:sz w:val="16"/>
                                <w:szCs w:val="16"/>
                              </w:rPr>
                              <w:t xml:space="preserve">                         </w:t>
                            </w:r>
                            <w:r w:rsidRPr="00106119">
                              <w:rPr>
                                <w:rFonts w:cstheme="majorBidi"/>
                                <w:b/>
                                <w:bCs/>
                                <w:color w:val="FFFFFF" w:themeColor="background1"/>
                                <w:sz w:val="16"/>
                                <w:szCs w:val="16"/>
                              </w:rPr>
                              <w:t>Audit Interne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800" id="Rectangle 331" o:spid="_x0000_s1044" style="position:absolute;left:0;text-align:left;margin-left:58.05pt;margin-top:97.95pt;width:117.9pt;height:38.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" fillcolor="#00b050">
                <v:textbox>
                  <w:txbxContent>
                    <w:p w14:paraId="09567A05" w14:textId="77777777" w:rsidR="00A36231" w:rsidRPr="00106119" w:rsidRDefault="00A36231" w:rsidP="001B1E6C">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 xml:space="preserve">Direction </w:t>
                      </w:r>
                      <w:r>
                        <w:rPr>
                          <w:rFonts w:cstheme="majorBidi"/>
                          <w:b/>
                          <w:bCs/>
                          <w:color w:val="FFFFFF" w:themeColor="background1"/>
                          <w:sz w:val="16"/>
                          <w:szCs w:val="16"/>
                        </w:rPr>
                        <w:t xml:space="preserve">                         </w:t>
                      </w:r>
                      <w:r w:rsidRPr="00106119">
                        <w:rPr>
                          <w:rFonts w:cstheme="majorBidi"/>
                          <w:b/>
                          <w:bCs/>
                          <w:color w:val="FFFFFF" w:themeColor="background1"/>
                          <w:sz w:val="16"/>
                          <w:szCs w:val="16"/>
                        </w:rPr>
                        <w:t>Audit Interne</w:t>
                      </w:r>
                    </w:p>
                  </w:txbxContent>
                </v:textbox>
              </v:rect>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3520" behindDoc="0" locked="0" layoutInCell="1" allowOverlap="1" wp14:anchorId="7B8F76F1" wp14:editId="49D2E559">
                <wp:simplePos x="0" y="0"/>
                <wp:positionH relativeFrom="column">
                  <wp:posOffset>1470025</wp:posOffset>
                </wp:positionH>
                <wp:positionV relativeFrom="paragraph">
                  <wp:posOffset>318770</wp:posOffset>
                </wp:positionV>
                <wp:extent cx="0" cy="1165860"/>
                <wp:effectExtent l="10160" t="12065" r="8890" b="12700"/>
                <wp:wrapNone/>
                <wp:docPr id="204"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5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29240E" id="AutoShape 330" o:spid="_x0000_s1026" type="#_x0000_t32" style="position:absolute;margin-left:115.75pt;margin-top:25.1pt;width:0;height:91.8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ZOIgIAAD8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2496" behindDoc="0" locked="0" layoutInCell="1" allowOverlap="1" wp14:anchorId="3AB57374" wp14:editId="5E1B0719">
                <wp:simplePos x="0" y="0"/>
                <wp:positionH relativeFrom="column">
                  <wp:posOffset>1470025</wp:posOffset>
                </wp:positionH>
                <wp:positionV relativeFrom="paragraph">
                  <wp:posOffset>318770</wp:posOffset>
                </wp:positionV>
                <wp:extent cx="1039495" cy="0"/>
                <wp:effectExtent l="10160" t="12065" r="7620" b="6985"/>
                <wp:wrapNone/>
                <wp:docPr id="203"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9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E8BA22" id="AutoShape 329" o:spid="_x0000_s1026" type="#_x0000_t32" style="position:absolute;margin-left:115.75pt;margin-top:25.1pt;width:81.85pt;height:0;flip:x;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JdKQ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81472" behindDoc="0" locked="0" layoutInCell="1" allowOverlap="1" wp14:anchorId="4DEC41BE" wp14:editId="7BA2F2EE">
                <wp:simplePos x="0" y="0"/>
                <wp:positionH relativeFrom="column">
                  <wp:posOffset>3259455</wp:posOffset>
                </wp:positionH>
                <wp:positionV relativeFrom="paragraph">
                  <wp:posOffset>1393825</wp:posOffset>
                </wp:positionV>
                <wp:extent cx="0" cy="582930"/>
                <wp:effectExtent l="8890" t="10795" r="10160" b="6350"/>
                <wp:wrapNone/>
                <wp:docPr id="202"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E4EE12" id="AutoShape 328" o:spid="_x0000_s1026" type="#_x0000_t32" style="position:absolute;margin-left:256.65pt;margin-top:109.75pt;width:0;height:45.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"/>
            </w:pict>
          </mc:Fallback>
        </mc:AlternateContent>
      </w:r>
      <w:r w:rsidRPr="00E2052F">
        <w:rPr>
          <w:rFonts w:asciiTheme="majorBidi" w:hAnsiTheme="majorBidi" w:cstheme="majorBidi"/>
          <w:b/>
          <w:bCs/>
          <w:noProof/>
          <w:sz w:val="22"/>
          <w:szCs w:val="22"/>
        </w:rPr>
        <mc:AlternateContent>
          <mc:Choice Requires="wps">
            <w:drawing>
              <wp:anchor distT="0" distB="0" distL="114300" distR="114300" simplePos="0" relativeHeight="251878400" behindDoc="0" locked="0" layoutInCell="1" allowOverlap="1" wp14:anchorId="354E9DA8" wp14:editId="2402FFFD">
                <wp:simplePos x="0" y="0"/>
                <wp:positionH relativeFrom="column">
                  <wp:posOffset>2526030</wp:posOffset>
                </wp:positionH>
                <wp:positionV relativeFrom="paragraph">
                  <wp:posOffset>87630</wp:posOffset>
                </wp:positionV>
                <wp:extent cx="1497330" cy="492125"/>
                <wp:effectExtent l="8890" t="9525" r="8255" b="12700"/>
                <wp:wrapNone/>
                <wp:docPr id="201"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330" cy="492125"/>
                        </a:xfrm>
                        <a:prstGeom prst="rect">
                          <a:avLst/>
                        </a:prstGeom>
                        <a:solidFill>
                          <a:srgbClr val="FF0000"/>
                        </a:solidFill>
                        <a:ln w="9525">
                          <a:solidFill>
                            <a:srgbClr val="000000"/>
                          </a:solidFill>
                          <a:miter lim="800000"/>
                          <a:headEnd/>
                          <a:tailEnd/>
                        </a:ln>
                      </wps:spPr>
                      <wps:txbx>
                        <w:txbxContent>
                          <w:p w14:paraId="21F8F4ED" w14:textId="77777777" w:rsidR="00A36231" w:rsidRPr="00106119" w:rsidRDefault="00A36231" w:rsidP="004D70C7">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Conseil                                            d’Administration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E9DA8" id="Rectangle 325" o:spid="_x0000_s1045" style="position:absolute;left:0;text-align:left;margin-left:198.9pt;margin-top:6.9pt;width:117.9pt;height:38.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" fillcolor="red">
                <v:textbox>
                  <w:txbxContent>
                    <w:p w14:paraId="21F8F4ED" w14:textId="77777777" w:rsidR="00A36231" w:rsidRPr="00106119" w:rsidRDefault="00A36231" w:rsidP="004D70C7">
                      <w:pPr>
                        <w:ind w:firstLine="0"/>
                        <w:jc w:val="center"/>
                        <w:rPr>
                          <w:rFonts w:cstheme="majorBidi"/>
                          <w:b/>
                          <w:bCs/>
                          <w:color w:val="FFFFFF" w:themeColor="background1"/>
                          <w:sz w:val="16"/>
                          <w:szCs w:val="16"/>
                        </w:rPr>
                      </w:pPr>
                      <w:r w:rsidRPr="00106119">
                        <w:rPr>
                          <w:rFonts w:cstheme="majorBidi"/>
                          <w:b/>
                          <w:bCs/>
                          <w:color w:val="FFFFFF" w:themeColor="background1"/>
                          <w:sz w:val="16"/>
                          <w:szCs w:val="16"/>
                        </w:rPr>
                        <w:t>Conseil                                            d’Administration</w:t>
                      </w:r>
                    </w:p>
                  </w:txbxContent>
                </v:textbox>
              </v:rect>
            </w:pict>
          </mc:Fallback>
        </mc:AlternateContent>
      </w:r>
    </w:p>
    <w:p w14:paraId="7EB2A388" w14:textId="77777777" w:rsidR="001B1E6C" w:rsidRPr="00E2052F" w:rsidRDefault="001B1E6C" w:rsidP="005D7A03">
      <w:pPr>
        <w:pStyle w:val="NormalWeb"/>
        <w:spacing w:before="0" w:beforeAutospacing="0"/>
        <w:ind w:left="360" w:firstLine="0"/>
        <w:jc w:val="center"/>
        <w:rPr>
          <w:rFonts w:asciiTheme="majorBidi" w:hAnsiTheme="majorBidi" w:cstheme="majorBidi"/>
          <w:b/>
          <w:bCs/>
          <w:sz w:val="22"/>
          <w:szCs w:val="22"/>
        </w:rPr>
      </w:pPr>
    </w:p>
    <w:p w14:paraId="2638A3DA" w14:textId="77777777" w:rsidR="001B1E6C" w:rsidRPr="00E2052F" w:rsidRDefault="001B1E6C" w:rsidP="005D7A03">
      <w:pPr>
        <w:pStyle w:val="NormalWeb"/>
        <w:spacing w:before="0" w:beforeAutospacing="0"/>
        <w:ind w:left="360" w:firstLine="0"/>
        <w:jc w:val="center"/>
        <w:rPr>
          <w:rFonts w:asciiTheme="majorBidi" w:hAnsiTheme="majorBidi" w:cstheme="majorBidi"/>
          <w:b/>
          <w:bCs/>
          <w:sz w:val="22"/>
          <w:szCs w:val="22"/>
        </w:rPr>
      </w:pPr>
    </w:p>
    <w:p w14:paraId="65F29705" w14:textId="77777777" w:rsidR="001B1E6C" w:rsidRPr="00E2052F" w:rsidRDefault="001B1E6C" w:rsidP="005D7A03">
      <w:pPr>
        <w:pStyle w:val="NormalWeb"/>
        <w:spacing w:before="0" w:beforeAutospacing="0"/>
        <w:ind w:left="360" w:firstLine="0"/>
        <w:jc w:val="center"/>
        <w:rPr>
          <w:rFonts w:asciiTheme="majorBidi" w:hAnsiTheme="majorBidi" w:cstheme="majorBidi"/>
          <w:b/>
          <w:bCs/>
          <w:sz w:val="22"/>
          <w:szCs w:val="22"/>
        </w:rPr>
      </w:pPr>
    </w:p>
    <w:p w14:paraId="269876D5" w14:textId="77777777" w:rsidR="001B1E6C" w:rsidRPr="00E2052F" w:rsidRDefault="001B1E6C" w:rsidP="005D7A03">
      <w:pPr>
        <w:pStyle w:val="NormalWeb"/>
        <w:spacing w:before="0" w:beforeAutospacing="0"/>
        <w:ind w:left="360" w:firstLine="0"/>
        <w:jc w:val="center"/>
        <w:rPr>
          <w:rFonts w:asciiTheme="majorBidi" w:hAnsiTheme="majorBidi" w:cstheme="majorBidi"/>
          <w:b/>
          <w:bCs/>
          <w:sz w:val="22"/>
          <w:szCs w:val="22"/>
        </w:rPr>
      </w:pPr>
    </w:p>
    <w:p w14:paraId="42137EF4" w14:textId="77777777" w:rsidR="001B1E6C" w:rsidRPr="00E2052F" w:rsidRDefault="001B1E6C" w:rsidP="005D7A03">
      <w:pPr>
        <w:spacing w:before="0" w:beforeAutospacing="0" w:line="240" w:lineRule="auto"/>
        <w:ind w:firstLine="0"/>
        <w:jc w:val="center"/>
        <w:rPr>
          <w:rFonts w:eastAsia="Times New Roman" w:cstheme="majorBidi"/>
          <w:b/>
          <w:bCs/>
          <w:sz w:val="22"/>
          <w:lang w:eastAsia="fr-FR"/>
        </w:rPr>
      </w:pPr>
    </w:p>
    <w:p w14:paraId="00FA2B9D" w14:textId="77777777" w:rsidR="00C74DF5" w:rsidRPr="00E2052F" w:rsidRDefault="00C74DF5" w:rsidP="005D7A03">
      <w:pPr>
        <w:spacing w:before="0" w:beforeAutospacing="0" w:line="240" w:lineRule="auto"/>
        <w:ind w:firstLine="0"/>
        <w:jc w:val="center"/>
        <w:rPr>
          <w:rFonts w:eastAsia="Times New Roman" w:cstheme="majorBidi"/>
          <w:b/>
          <w:bCs/>
          <w:sz w:val="22"/>
          <w:lang w:eastAsia="fr-FR"/>
        </w:rPr>
      </w:pPr>
    </w:p>
    <w:p w14:paraId="1867D8C4" w14:textId="77777777" w:rsidR="00C74DF5" w:rsidRPr="00E2052F" w:rsidRDefault="00C74DF5" w:rsidP="005D7A03">
      <w:pPr>
        <w:spacing w:before="0" w:beforeAutospacing="0" w:line="240" w:lineRule="auto"/>
        <w:ind w:firstLine="0"/>
        <w:jc w:val="center"/>
        <w:rPr>
          <w:rFonts w:eastAsia="Times New Roman" w:cstheme="majorBidi"/>
          <w:b/>
          <w:bCs/>
          <w:sz w:val="22"/>
          <w:lang w:eastAsia="fr-FR"/>
        </w:rPr>
      </w:pPr>
    </w:p>
    <w:p w14:paraId="62F3898E" w14:textId="77777777" w:rsidR="00C74DF5" w:rsidRPr="00E2052F" w:rsidRDefault="00C74DF5" w:rsidP="005D7A03">
      <w:pPr>
        <w:spacing w:before="0" w:beforeAutospacing="0" w:line="240" w:lineRule="auto"/>
        <w:ind w:firstLine="0"/>
        <w:jc w:val="center"/>
        <w:rPr>
          <w:rFonts w:eastAsia="Times New Roman" w:cstheme="majorBidi"/>
          <w:b/>
          <w:bCs/>
          <w:sz w:val="22"/>
          <w:lang w:eastAsia="fr-FR"/>
        </w:rPr>
      </w:pPr>
    </w:p>
    <w:p w14:paraId="33F0F453" w14:textId="77777777" w:rsidR="00C74DF5" w:rsidRPr="00E2052F" w:rsidRDefault="00C74DF5" w:rsidP="005D7A03">
      <w:pPr>
        <w:spacing w:before="0" w:beforeAutospacing="0" w:line="240" w:lineRule="auto"/>
        <w:ind w:firstLine="0"/>
        <w:jc w:val="center"/>
        <w:rPr>
          <w:rFonts w:eastAsia="Times New Roman" w:cstheme="majorBidi"/>
          <w:b/>
          <w:bCs/>
          <w:sz w:val="22"/>
          <w:lang w:eastAsia="fr-FR"/>
        </w:rPr>
      </w:pPr>
    </w:p>
    <w:p w14:paraId="3DD9ED51" w14:textId="77777777" w:rsidR="00C74DF5" w:rsidRPr="00E2052F" w:rsidRDefault="00C74DF5" w:rsidP="005D7A03">
      <w:pPr>
        <w:spacing w:before="0" w:beforeAutospacing="0" w:line="240" w:lineRule="auto"/>
        <w:ind w:firstLine="0"/>
        <w:jc w:val="center"/>
        <w:rPr>
          <w:rFonts w:eastAsia="Times New Roman" w:cstheme="majorBidi"/>
          <w:b/>
          <w:bCs/>
          <w:sz w:val="22"/>
          <w:lang w:eastAsia="fr-FR"/>
        </w:rPr>
      </w:pPr>
    </w:p>
    <w:p w14:paraId="6C721C1B" w14:textId="77777777" w:rsidR="00C74DF5" w:rsidRDefault="00C74DF5" w:rsidP="00E2052F">
      <w:pPr>
        <w:spacing w:before="0" w:beforeAutospacing="0" w:line="240" w:lineRule="auto"/>
        <w:ind w:firstLine="0"/>
        <w:rPr>
          <w:rFonts w:eastAsia="Times New Roman" w:cstheme="majorBidi"/>
          <w:b/>
          <w:bCs/>
          <w:sz w:val="22"/>
          <w:lang w:eastAsia="fr-FR"/>
        </w:rPr>
      </w:pPr>
    </w:p>
    <w:p w14:paraId="70AD3649" w14:textId="77777777" w:rsidR="0052058B" w:rsidRDefault="0052058B" w:rsidP="00E2052F">
      <w:pPr>
        <w:spacing w:before="0" w:beforeAutospacing="0" w:line="240" w:lineRule="auto"/>
        <w:ind w:firstLine="0"/>
        <w:rPr>
          <w:rFonts w:eastAsia="Times New Roman" w:cstheme="majorBidi"/>
          <w:b/>
          <w:bCs/>
          <w:sz w:val="22"/>
          <w:lang w:eastAsia="fr-FR"/>
        </w:rPr>
      </w:pPr>
    </w:p>
    <w:p w14:paraId="40087FBD" w14:textId="77777777" w:rsidR="0052058B" w:rsidRPr="00E2052F" w:rsidRDefault="0052058B" w:rsidP="00E2052F">
      <w:pPr>
        <w:spacing w:before="0" w:beforeAutospacing="0" w:line="240" w:lineRule="auto"/>
        <w:ind w:firstLine="0"/>
        <w:rPr>
          <w:rFonts w:eastAsia="Times New Roman" w:cstheme="majorBidi"/>
          <w:b/>
          <w:bCs/>
          <w:sz w:val="22"/>
          <w:lang w:eastAsia="fr-FR"/>
        </w:rPr>
      </w:pPr>
    </w:p>
    <w:p w14:paraId="21193AD2" w14:textId="77777777" w:rsidR="009D6932" w:rsidRPr="00E2052F" w:rsidRDefault="009D6932" w:rsidP="005D7A03">
      <w:pPr>
        <w:spacing w:before="0" w:beforeAutospacing="0" w:line="240" w:lineRule="auto"/>
        <w:ind w:firstLine="0"/>
        <w:jc w:val="center"/>
        <w:rPr>
          <w:rFonts w:eastAsia="Times New Roman" w:cstheme="majorBidi"/>
          <w:b/>
          <w:bCs/>
          <w:sz w:val="22"/>
          <w:lang w:eastAsia="fr-FR"/>
        </w:rPr>
      </w:pPr>
    </w:p>
    <w:p w14:paraId="5FF256DD" w14:textId="77777777" w:rsidR="001B1E6C" w:rsidRPr="00E2052F" w:rsidRDefault="00333999" w:rsidP="005D7A03">
      <w:pPr>
        <w:spacing w:before="0" w:beforeAutospacing="0" w:line="240" w:lineRule="auto"/>
        <w:ind w:firstLine="0"/>
        <w:jc w:val="center"/>
        <w:rPr>
          <w:rFonts w:eastAsia="Times New Roman" w:cstheme="majorBidi"/>
          <w:b/>
          <w:bCs/>
          <w:sz w:val="22"/>
          <w:lang w:eastAsia="fr-FR"/>
        </w:rPr>
      </w:pPr>
      <w:r w:rsidRPr="00E2052F">
        <w:rPr>
          <w:rFonts w:cstheme="majorBidi"/>
          <w:b/>
          <w:bCs/>
          <w:noProof/>
          <w:sz w:val="22"/>
          <w:lang w:eastAsia="fr-FR"/>
        </w:rPr>
        <mc:AlternateContent>
          <mc:Choice Requires="wps">
            <w:drawing>
              <wp:anchor distT="0" distB="0" distL="114300" distR="114300" simplePos="0" relativeHeight="251921408" behindDoc="0" locked="0" layoutInCell="1" allowOverlap="1" wp14:anchorId="22234B1A" wp14:editId="3F04F525">
                <wp:simplePos x="0" y="0"/>
                <wp:positionH relativeFrom="column">
                  <wp:posOffset>1030728</wp:posOffset>
                </wp:positionH>
                <wp:positionV relativeFrom="paragraph">
                  <wp:posOffset>6413566</wp:posOffset>
                </wp:positionV>
                <wp:extent cx="774065" cy="574050"/>
                <wp:effectExtent l="0" t="0" r="26035" b="16510"/>
                <wp:wrapNone/>
                <wp:docPr id="13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74050"/>
                        </a:xfrm>
                        <a:prstGeom prst="rect">
                          <a:avLst/>
                        </a:prstGeom>
                        <a:solidFill>
                          <a:srgbClr val="FFFFFF"/>
                        </a:solidFill>
                        <a:ln w="9525">
                          <a:solidFill>
                            <a:srgbClr val="000000"/>
                          </a:solidFill>
                          <a:miter lim="800000"/>
                          <a:headEnd/>
                          <a:tailEnd/>
                        </a:ln>
                      </wps:spPr>
                      <wps:txbx>
                        <w:txbxContent>
                          <w:p w14:paraId="2D5A4F4D" w14:textId="77777777" w:rsidR="00A36231" w:rsidRPr="00817A46" w:rsidRDefault="00A36231" w:rsidP="004D0DDB">
                            <w:pPr>
                              <w:ind w:firstLine="0"/>
                              <w:rPr>
                                <w:rFonts w:cstheme="majorBidi"/>
                                <w:b/>
                                <w:bCs/>
                                <w:sz w:val="18"/>
                                <w:szCs w:val="18"/>
                                <w:vertAlign w:val="superscript"/>
                              </w:rPr>
                            </w:pPr>
                            <w:r w:rsidRPr="00817A46">
                              <w:rPr>
                                <w:rFonts w:cstheme="majorBidi"/>
                                <w:b/>
                                <w:bCs/>
                                <w:sz w:val="18"/>
                                <w:szCs w:val="18"/>
                                <w:vertAlign w:val="superscript"/>
                              </w:rPr>
                              <w:t>Ser. Maintenance</w:t>
                            </w:r>
                            <w:r>
                              <w:rPr>
                                <w:rFonts w:cstheme="majorBidi"/>
                                <w:b/>
                                <w:bCs/>
                                <w:sz w:val="18"/>
                                <w:szCs w:val="18"/>
                                <w:vertAlign w:val="superscript"/>
                              </w:rPr>
                              <w:t xml:space="preserve"> et </w:t>
                            </w:r>
                            <w:r w:rsidRPr="00817A46">
                              <w:rPr>
                                <w:rFonts w:cstheme="majorBidi"/>
                                <w:b/>
                                <w:bCs/>
                                <w:sz w:val="18"/>
                                <w:szCs w:val="18"/>
                                <w:vertAlign w:val="superscript"/>
                              </w:rPr>
                              <w:t>Unités</w:t>
                            </w:r>
                            <w:r>
                              <w:rPr>
                                <w:rFonts w:cstheme="majorBidi"/>
                                <w:b/>
                                <w:bCs/>
                                <w:sz w:val="18"/>
                                <w:szCs w:val="18"/>
                                <w:vertAlign w:val="superscript"/>
                              </w:rPr>
                              <w:t xml:space="preserve"> </w:t>
                            </w:r>
                            <w:r w:rsidRPr="00817A46">
                              <w:rPr>
                                <w:rFonts w:cstheme="majorBidi"/>
                                <w:b/>
                                <w:bCs/>
                                <w:sz w:val="18"/>
                                <w:szCs w:val="18"/>
                                <w:vertAlign w:val="superscript"/>
                              </w:rPr>
                              <w:t>Auxiliaires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34B1A" id="Rectangle 367" o:spid="_x0000_s1046" style="position:absolute;left:0;text-align:left;margin-left:81.15pt;margin-top:505pt;width:60.95pt;height:45.2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">
                <v:textbox>
                  <w:txbxContent>
                    <w:p w14:paraId="2D5A4F4D" w14:textId="77777777" w:rsidR="00A36231" w:rsidRPr="00817A46" w:rsidRDefault="00A36231" w:rsidP="004D0DDB">
                      <w:pPr>
                        <w:ind w:firstLine="0"/>
                        <w:rPr>
                          <w:rFonts w:cstheme="majorBidi"/>
                          <w:b/>
                          <w:bCs/>
                          <w:sz w:val="18"/>
                          <w:szCs w:val="18"/>
                          <w:vertAlign w:val="superscript"/>
                        </w:rPr>
                      </w:pPr>
                      <w:r w:rsidRPr="00817A46">
                        <w:rPr>
                          <w:rFonts w:cstheme="majorBidi"/>
                          <w:b/>
                          <w:bCs/>
                          <w:sz w:val="18"/>
                          <w:szCs w:val="18"/>
                          <w:vertAlign w:val="superscript"/>
                        </w:rPr>
                        <w:t>Ser. Maintenance</w:t>
                      </w:r>
                      <w:r>
                        <w:rPr>
                          <w:rFonts w:cstheme="majorBidi"/>
                          <w:b/>
                          <w:bCs/>
                          <w:sz w:val="18"/>
                          <w:szCs w:val="18"/>
                          <w:vertAlign w:val="superscript"/>
                        </w:rPr>
                        <w:t xml:space="preserve"> et </w:t>
                      </w:r>
                      <w:r w:rsidRPr="00817A46">
                        <w:rPr>
                          <w:rFonts w:cstheme="majorBidi"/>
                          <w:b/>
                          <w:bCs/>
                          <w:sz w:val="18"/>
                          <w:szCs w:val="18"/>
                          <w:vertAlign w:val="superscript"/>
                        </w:rPr>
                        <w:t>Unités</w:t>
                      </w:r>
                      <w:r>
                        <w:rPr>
                          <w:rFonts w:cstheme="majorBidi"/>
                          <w:b/>
                          <w:bCs/>
                          <w:sz w:val="18"/>
                          <w:szCs w:val="18"/>
                          <w:vertAlign w:val="superscript"/>
                        </w:rPr>
                        <w:t xml:space="preserve"> </w:t>
                      </w:r>
                      <w:r w:rsidRPr="00817A46">
                        <w:rPr>
                          <w:rFonts w:cstheme="majorBidi"/>
                          <w:b/>
                          <w:bCs/>
                          <w:sz w:val="18"/>
                          <w:szCs w:val="18"/>
                          <w:vertAlign w:val="superscript"/>
                        </w:rPr>
                        <w:t>Auxiliaires</w:t>
                      </w:r>
                    </w:p>
                  </w:txbxContent>
                </v:textbox>
              </v:rect>
            </w:pict>
          </mc:Fallback>
        </mc:AlternateContent>
      </w:r>
      <w:r w:rsidRPr="00E2052F">
        <w:rPr>
          <w:rFonts w:cstheme="majorBidi"/>
          <w:b/>
          <w:bCs/>
          <w:noProof/>
          <w:sz w:val="22"/>
          <w:lang w:eastAsia="fr-FR"/>
        </w:rPr>
        <mc:AlternateContent>
          <mc:Choice Requires="wpg">
            <w:drawing>
              <wp:anchor distT="0" distB="0" distL="114300" distR="114300" simplePos="0" relativeHeight="251978752" behindDoc="0" locked="0" layoutInCell="1" allowOverlap="1" wp14:anchorId="3C3D57F8" wp14:editId="1864A288">
                <wp:simplePos x="0" y="0"/>
                <wp:positionH relativeFrom="column">
                  <wp:posOffset>48089</wp:posOffset>
                </wp:positionH>
                <wp:positionV relativeFrom="paragraph">
                  <wp:posOffset>60534</wp:posOffset>
                </wp:positionV>
                <wp:extent cx="6325738" cy="4536316"/>
                <wp:effectExtent l="0" t="0" r="18415" b="17145"/>
                <wp:wrapNone/>
                <wp:docPr id="2" name="Groupe 2"/>
                <wp:cNvGraphicFramePr/>
                <a:graphic xmlns:a="http://schemas.openxmlformats.org/drawingml/2006/main">
                  <a:graphicData uri="http://schemas.microsoft.com/office/word/2010/wordprocessingGroup">
                    <wpg:wgp>
                      <wpg:cNvGrpSpPr/>
                      <wpg:grpSpPr>
                        <a:xfrm>
                          <a:off x="0" y="0"/>
                          <a:ext cx="6325738" cy="4536316"/>
                          <a:chOff x="0" y="0"/>
                          <a:chExt cx="6325738" cy="4536316"/>
                        </a:xfrm>
                      </wpg:grpSpPr>
                      <wps:wsp>
                        <wps:cNvPr id="107" name="Rectangle 337"/>
                        <wps:cNvSpPr>
                          <a:spLocks noChangeArrowheads="1"/>
                        </wps:cNvSpPr>
                        <wps:spPr bwMode="auto">
                          <a:xfrm>
                            <a:off x="6824"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49FAE67C"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wps:txbx>
                        <wps:bodyPr rot="0" vert="horz" wrap="square" lIns="91440" tIns="45720" rIns="91440" bIns="45720" anchor="t" anchorCtr="0" upright="1">
                          <a:noAutofit/>
                        </wps:bodyPr>
                      </wps:wsp>
                      <wps:wsp>
                        <wps:cNvPr id="112" name="Rectangle 342"/>
                        <wps:cNvSpPr>
                          <a:spLocks noChangeArrowheads="1"/>
                        </wps:cNvSpPr>
                        <wps:spPr bwMode="auto">
                          <a:xfrm>
                            <a:off x="0" y="1487605"/>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DA8CBE5"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Développement de Produit</w:t>
                              </w:r>
                            </w:p>
                          </w:txbxContent>
                        </wps:txbx>
                        <wps:bodyPr rot="0" vert="horz" wrap="square" lIns="91440" tIns="45720" rIns="91440" bIns="45720" anchor="t" anchorCtr="0" upright="1">
                          <a:noAutofit/>
                        </wps:bodyPr>
                      </wps:wsp>
                      <wps:wsp>
                        <wps:cNvPr id="113" name="Rectangle 343"/>
                        <wps:cNvSpPr>
                          <a:spLocks noChangeArrowheads="1"/>
                        </wps:cNvSpPr>
                        <wps:spPr bwMode="auto">
                          <a:xfrm>
                            <a:off x="0" y="2183641"/>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52A66E9"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Indigo</w:t>
                              </w:r>
                            </w:p>
                          </w:txbxContent>
                        </wps:txbx>
                        <wps:bodyPr rot="0" vert="horz" wrap="square" lIns="91440" tIns="45720" rIns="91440" bIns="45720" anchor="t" anchorCtr="0" upright="1">
                          <a:noAutofit/>
                        </wps:bodyPr>
                      </wps:wsp>
                      <wps:wsp>
                        <wps:cNvPr id="114" name="Rectangle 344"/>
                        <wps:cNvSpPr>
                          <a:spLocks noChangeArrowheads="1"/>
                        </wps:cNvSpPr>
                        <wps:spPr bwMode="auto">
                          <a:xfrm>
                            <a:off x="0" y="2872853"/>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743BB11"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Tricotage</w:t>
                              </w:r>
                            </w:p>
                          </w:txbxContent>
                        </wps:txbx>
                        <wps:bodyPr rot="0" vert="horz" wrap="square" lIns="91440" tIns="45720" rIns="91440" bIns="45720" anchor="t" anchorCtr="0" upright="1">
                          <a:noAutofit/>
                        </wps:bodyPr>
                      </wps:wsp>
                      <wps:wsp>
                        <wps:cNvPr id="115" name="Rectangle 345"/>
                        <wps:cNvSpPr>
                          <a:spLocks noChangeArrowheads="1"/>
                        </wps:cNvSpPr>
                        <wps:spPr bwMode="auto">
                          <a:xfrm>
                            <a:off x="0" y="3562065"/>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309F27CD"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Tissage</w:t>
                              </w:r>
                            </w:p>
                          </w:txbxContent>
                        </wps:txbx>
                        <wps:bodyPr rot="0" vert="horz" wrap="square" lIns="91440" tIns="45720" rIns="91440" bIns="45720" anchor="t" anchorCtr="0" upright="1">
                          <a:noAutofit/>
                        </wps:bodyPr>
                      </wps:wsp>
                      <wps:wsp>
                        <wps:cNvPr id="122" name="Rectangle 352"/>
                        <wps:cNvSpPr>
                          <a:spLocks noChangeArrowheads="1"/>
                        </wps:cNvSpPr>
                        <wps:spPr bwMode="auto">
                          <a:xfrm>
                            <a:off x="6824" y="798394"/>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3736F94A"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Filature</w:t>
                              </w:r>
                            </w:p>
                          </w:txbxContent>
                        </wps:txbx>
                        <wps:bodyPr rot="0" vert="horz" wrap="square" lIns="91440" tIns="45720" rIns="91440" bIns="45720" anchor="t" anchorCtr="0" upright="1">
                          <a:noAutofit/>
                        </wps:bodyPr>
                      </wps:wsp>
                      <wps:wsp>
                        <wps:cNvPr id="129" name="Rectangle 359"/>
                        <wps:cNvSpPr>
                          <a:spLocks noChangeArrowheads="1"/>
                        </wps:cNvSpPr>
                        <wps:spPr bwMode="auto">
                          <a:xfrm>
                            <a:off x="982639" y="832513"/>
                            <a:ext cx="774065" cy="533400"/>
                          </a:xfrm>
                          <a:prstGeom prst="rect">
                            <a:avLst/>
                          </a:prstGeom>
                          <a:solidFill>
                            <a:srgbClr val="FFFFFF"/>
                          </a:solidFill>
                          <a:ln w="9525">
                            <a:solidFill>
                              <a:srgbClr val="000000"/>
                            </a:solidFill>
                            <a:miter lim="800000"/>
                            <a:headEnd/>
                            <a:tailEnd/>
                          </a:ln>
                        </wps:spPr>
                        <wps:txbx>
                          <w:txbxContent>
                            <w:p w14:paraId="3351ABBB"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Production</w:t>
                              </w:r>
                            </w:p>
                          </w:txbxContent>
                        </wps:txbx>
                        <wps:bodyPr rot="0" vert="horz" wrap="square" lIns="91440" tIns="45720" rIns="91440" bIns="45720" anchor="t" anchorCtr="0" upright="1">
                          <a:noAutofit/>
                        </wps:bodyPr>
                      </wps:wsp>
                      <wps:wsp>
                        <wps:cNvPr id="130" name="AutoShape 360"/>
                        <wps:cNvCnPr>
                          <a:cxnSpLocks noChangeShapeType="1"/>
                        </wps:cNvCnPr>
                        <wps:spPr bwMode="auto">
                          <a:xfrm>
                            <a:off x="1753738" y="1105468"/>
                            <a:ext cx="711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Rectangle 361"/>
                        <wps:cNvSpPr>
                          <a:spLocks noChangeArrowheads="1"/>
                        </wps:cNvSpPr>
                        <wps:spPr bwMode="auto">
                          <a:xfrm>
                            <a:off x="982639" y="1439838"/>
                            <a:ext cx="774065" cy="533400"/>
                          </a:xfrm>
                          <a:prstGeom prst="rect">
                            <a:avLst/>
                          </a:prstGeom>
                          <a:solidFill>
                            <a:srgbClr val="FFFFFF"/>
                          </a:solidFill>
                          <a:ln w="9525">
                            <a:solidFill>
                              <a:srgbClr val="000000"/>
                            </a:solidFill>
                            <a:miter lim="800000"/>
                            <a:headEnd/>
                            <a:tailEnd/>
                          </a:ln>
                        </wps:spPr>
                        <wps:txbx>
                          <w:txbxContent>
                            <w:p w14:paraId="33F4D531"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p>
                          </w:txbxContent>
                        </wps:txbx>
                        <wps:bodyPr rot="0" vert="horz" wrap="square" lIns="91440" tIns="45720" rIns="91440" bIns="45720" anchor="t" anchorCtr="0" upright="1">
                          <a:noAutofit/>
                        </wps:bodyPr>
                      </wps:wsp>
                      <wps:wsp>
                        <wps:cNvPr id="132" name="AutoShape 362"/>
                        <wps:cNvCnPr>
                          <a:cxnSpLocks noChangeShapeType="1"/>
                        </wps:cNvCnPr>
                        <wps:spPr bwMode="auto">
                          <a:xfrm>
                            <a:off x="1753738" y="1699146"/>
                            <a:ext cx="749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Rectangle 364"/>
                        <wps:cNvSpPr>
                          <a:spLocks noChangeArrowheads="1"/>
                        </wps:cNvSpPr>
                        <wps:spPr bwMode="auto">
                          <a:xfrm>
                            <a:off x="982639" y="2053988"/>
                            <a:ext cx="774065" cy="533400"/>
                          </a:xfrm>
                          <a:prstGeom prst="rect">
                            <a:avLst/>
                          </a:prstGeom>
                          <a:solidFill>
                            <a:srgbClr val="FFFFFF"/>
                          </a:solidFill>
                          <a:ln w="9525">
                            <a:solidFill>
                              <a:srgbClr val="000000"/>
                            </a:solidFill>
                            <a:miter lim="800000"/>
                            <a:headEnd/>
                            <a:tailEnd/>
                          </a:ln>
                        </wps:spPr>
                        <wps:txbx>
                          <w:txbxContent>
                            <w:p w14:paraId="65ED49E4"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p>
                          </w:txbxContent>
                        </wps:txbx>
                        <wps:bodyPr rot="0" vert="horz" wrap="square" lIns="91440" tIns="45720" rIns="91440" bIns="45720" anchor="t" anchorCtr="0" upright="1">
                          <a:noAutofit/>
                        </wps:bodyPr>
                      </wps:wsp>
                      <wps:wsp>
                        <wps:cNvPr id="141" name="Rectangle 371"/>
                        <wps:cNvSpPr>
                          <a:spLocks noChangeArrowheads="1"/>
                        </wps:cNvSpPr>
                        <wps:spPr bwMode="auto">
                          <a:xfrm>
                            <a:off x="2695433"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23B2AF09" w14:textId="77777777" w:rsidR="00A36231" w:rsidRPr="00817A46" w:rsidRDefault="00A36231" w:rsidP="005D7A03">
                              <w:pPr>
                                <w:spacing w:line="240" w:lineRule="auto"/>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wps:txbx>
                        <wps:bodyPr rot="0" vert="horz" wrap="square" lIns="91440" tIns="45720" rIns="91440" bIns="45720" anchor="t" anchorCtr="0" upright="1">
                          <a:noAutofit/>
                        </wps:bodyPr>
                      </wps:wsp>
                      <wps:wsp>
                        <wps:cNvPr id="143" name="Rectangle 373"/>
                        <wps:cNvSpPr>
                          <a:spLocks noChangeArrowheads="1"/>
                        </wps:cNvSpPr>
                        <wps:spPr bwMode="auto">
                          <a:xfrm>
                            <a:off x="1903863" y="798394"/>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BA9501C"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 xml:space="preserve">Dép. Process </w:t>
                              </w:r>
                              <w:r>
                                <w:rPr>
                                  <w:rFonts w:cstheme="majorBidi"/>
                                  <w:b/>
                                  <w:bCs/>
                                  <w:color w:val="FFFFFF" w:themeColor="background1"/>
                                  <w:sz w:val="16"/>
                                  <w:szCs w:val="16"/>
                                </w:rPr>
                                <w:t xml:space="preserve">   </w:t>
                              </w:r>
                              <w:r w:rsidRPr="00596923">
                                <w:rPr>
                                  <w:rFonts w:cstheme="majorBidi"/>
                                  <w:b/>
                                  <w:bCs/>
                                  <w:color w:val="FFFFFF" w:themeColor="background1"/>
                                  <w:sz w:val="16"/>
                                  <w:szCs w:val="16"/>
                                </w:rPr>
                                <w:t>&amp;</w:t>
                              </w:r>
                              <w:r>
                                <w:rPr>
                                  <w:rFonts w:cstheme="majorBidi"/>
                                  <w:b/>
                                  <w:bCs/>
                                  <w:color w:val="FFFFFF" w:themeColor="background1"/>
                                  <w:sz w:val="16"/>
                                  <w:szCs w:val="16"/>
                                </w:rPr>
                                <w:t xml:space="preserve"> </w:t>
                              </w:r>
                              <w:r w:rsidRPr="00596923">
                                <w:rPr>
                                  <w:rFonts w:cstheme="majorBidi"/>
                                  <w:b/>
                                  <w:bCs/>
                                  <w:color w:val="FFFFFF" w:themeColor="background1"/>
                                  <w:sz w:val="16"/>
                                  <w:szCs w:val="16"/>
                                </w:rPr>
                                <w:t>Contrôle Qualité</w:t>
                              </w:r>
                            </w:p>
                          </w:txbxContent>
                        </wps:txbx>
                        <wps:bodyPr rot="0" vert="horz" wrap="square" lIns="91440" tIns="45720" rIns="91440" bIns="45720" anchor="t" anchorCtr="0" upright="1">
                          <a:noAutofit/>
                        </wps:bodyPr>
                      </wps:wsp>
                      <wps:wsp>
                        <wps:cNvPr id="144" name="Rectangle 374"/>
                        <wps:cNvSpPr>
                          <a:spLocks noChangeArrowheads="1"/>
                        </wps:cNvSpPr>
                        <wps:spPr bwMode="auto">
                          <a:xfrm>
                            <a:off x="3487003" y="798394"/>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AFEAAB3" w14:textId="77777777" w:rsidR="00A36231" w:rsidRPr="00596923"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Production</w:t>
                              </w:r>
                              <w:r>
                                <w:rPr>
                                  <w:rFonts w:cstheme="majorBidi"/>
                                  <w:b/>
                                  <w:bCs/>
                                  <w:color w:val="FFFFFF" w:themeColor="background1"/>
                                  <w:sz w:val="16"/>
                                  <w:szCs w:val="16"/>
                                </w:rPr>
                                <w:t xml:space="preserve"> </w:t>
                              </w:r>
                              <w:r w:rsidRPr="00596923">
                                <w:rPr>
                                  <w:rFonts w:cstheme="majorBidi"/>
                                  <w:b/>
                                  <w:bCs/>
                                  <w:color w:val="FFFFFF" w:themeColor="background1"/>
                                  <w:sz w:val="16"/>
                                  <w:szCs w:val="16"/>
                                </w:rPr>
                                <w:t>Confection</w:t>
                              </w:r>
                            </w:p>
                          </w:txbxContent>
                        </wps:txbx>
                        <wps:bodyPr rot="0" vert="horz" wrap="square" lIns="91440" tIns="45720" rIns="91440" bIns="45720" anchor="t" anchorCtr="0" upright="1">
                          <a:noAutofit/>
                        </wps:bodyPr>
                      </wps:wsp>
                      <wps:wsp>
                        <wps:cNvPr id="145" name="Rectangle 375"/>
                        <wps:cNvSpPr>
                          <a:spLocks noChangeArrowheads="1"/>
                        </wps:cNvSpPr>
                        <wps:spPr bwMode="auto">
                          <a:xfrm>
                            <a:off x="1903863" y="1480782"/>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18418490"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 xml:space="preserve">Dép. Conception </w:t>
                              </w:r>
                              <w:r>
                                <w:rPr>
                                  <w:rFonts w:cstheme="majorBidi"/>
                                  <w:b/>
                                  <w:bCs/>
                                  <w:color w:val="FFFFFF" w:themeColor="background1"/>
                                  <w:sz w:val="16"/>
                                  <w:szCs w:val="16"/>
                                </w:rPr>
                                <w:t xml:space="preserve">     </w:t>
                              </w:r>
                              <w:r w:rsidRPr="00596923">
                                <w:rPr>
                                  <w:rFonts w:cstheme="majorBidi"/>
                                  <w:b/>
                                  <w:bCs/>
                                  <w:color w:val="FFFFFF" w:themeColor="background1"/>
                                  <w:sz w:val="16"/>
                                  <w:szCs w:val="16"/>
                                </w:rPr>
                                <w:t>&amp;</w:t>
                              </w:r>
                              <w:r>
                                <w:rPr>
                                  <w:rFonts w:cstheme="majorBidi"/>
                                  <w:b/>
                                  <w:bCs/>
                                  <w:color w:val="FFFFFF" w:themeColor="background1"/>
                                  <w:sz w:val="16"/>
                                  <w:szCs w:val="16"/>
                                </w:rPr>
                                <w:t xml:space="preserve"> </w:t>
                              </w:r>
                              <w:r w:rsidRPr="00596923">
                                <w:rPr>
                                  <w:rFonts w:cstheme="majorBidi"/>
                                  <w:b/>
                                  <w:bCs/>
                                  <w:color w:val="FFFFFF" w:themeColor="background1"/>
                                  <w:sz w:val="16"/>
                                  <w:szCs w:val="16"/>
                                </w:rPr>
                                <w:t>Modèles</w:t>
                              </w:r>
                            </w:p>
                          </w:txbxContent>
                        </wps:txbx>
                        <wps:bodyPr rot="0" vert="horz" wrap="square" lIns="91440" tIns="45720" rIns="91440" bIns="45720" anchor="t" anchorCtr="0" upright="1">
                          <a:noAutofit/>
                        </wps:bodyPr>
                      </wps:wsp>
                      <wps:wsp>
                        <wps:cNvPr id="146" name="Rectangle 376"/>
                        <wps:cNvSpPr>
                          <a:spLocks noChangeArrowheads="1"/>
                        </wps:cNvSpPr>
                        <wps:spPr bwMode="auto">
                          <a:xfrm>
                            <a:off x="1903863" y="216317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762CA219" w14:textId="77777777" w:rsidR="00A36231" w:rsidRPr="00596923"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ADM.</w:t>
                              </w:r>
                              <w:r>
                                <w:rPr>
                                  <w:rFonts w:cstheme="majorBidi"/>
                                  <w:b/>
                                  <w:bCs/>
                                  <w:color w:val="FFFFFF" w:themeColor="background1"/>
                                  <w:sz w:val="16"/>
                                  <w:szCs w:val="16"/>
                                </w:rPr>
                                <w:t xml:space="preserve"> </w:t>
                              </w:r>
                              <w:r w:rsidRPr="00596923">
                                <w:rPr>
                                  <w:rFonts w:cstheme="majorBidi"/>
                                  <w:b/>
                                  <w:bCs/>
                                  <w:color w:val="FFFFFF" w:themeColor="background1"/>
                                  <w:sz w:val="16"/>
                                  <w:szCs w:val="16"/>
                                </w:rPr>
                                <w:t>Formation</w:t>
                              </w:r>
                              <w:r>
                                <w:rPr>
                                  <w:rFonts w:cstheme="majorBidi"/>
                                  <w:b/>
                                  <w:bCs/>
                                  <w:color w:val="FFFFFF" w:themeColor="background1"/>
                                  <w:sz w:val="16"/>
                                  <w:szCs w:val="16"/>
                                </w:rPr>
                                <w:t xml:space="preserve"> </w:t>
                              </w:r>
                              <w:r w:rsidRPr="00596923">
                                <w:rPr>
                                  <w:rFonts w:cstheme="majorBidi"/>
                                  <w:b/>
                                  <w:bCs/>
                                  <w:color w:val="FFFFFF" w:themeColor="background1"/>
                                  <w:sz w:val="16"/>
                                  <w:szCs w:val="16"/>
                                </w:rPr>
                                <w:t>Confection</w:t>
                              </w:r>
                            </w:p>
                          </w:txbxContent>
                        </wps:txbx>
                        <wps:bodyPr rot="0" vert="horz" wrap="square" lIns="91440" tIns="45720" rIns="91440" bIns="45720" anchor="t" anchorCtr="0" upright="1">
                          <a:noAutofit/>
                        </wps:bodyPr>
                      </wps:wsp>
                      <wps:wsp>
                        <wps:cNvPr id="147" name="Rectangle 377"/>
                        <wps:cNvSpPr>
                          <a:spLocks noChangeArrowheads="1"/>
                        </wps:cNvSpPr>
                        <wps:spPr bwMode="auto">
                          <a:xfrm>
                            <a:off x="1903863" y="2852382"/>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7E44EFE"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Méthodes</w:t>
                              </w:r>
                            </w:p>
                          </w:txbxContent>
                        </wps:txbx>
                        <wps:bodyPr rot="0" vert="horz" wrap="square" lIns="91440" tIns="45720" rIns="91440" bIns="45720" anchor="t" anchorCtr="0" upright="1">
                          <a:noAutofit/>
                        </wps:bodyPr>
                      </wps:wsp>
                      <wps:wsp>
                        <wps:cNvPr id="154" name="Rectangle 384"/>
                        <wps:cNvSpPr>
                          <a:spLocks noChangeArrowheads="1"/>
                        </wps:cNvSpPr>
                        <wps:spPr bwMode="auto">
                          <a:xfrm>
                            <a:off x="1958454" y="3541594"/>
                            <a:ext cx="774065" cy="533400"/>
                          </a:xfrm>
                          <a:prstGeom prst="rect">
                            <a:avLst/>
                          </a:prstGeom>
                          <a:solidFill>
                            <a:srgbClr val="FFFFFF"/>
                          </a:solidFill>
                          <a:ln w="9525">
                            <a:solidFill>
                              <a:srgbClr val="000000"/>
                            </a:solidFill>
                            <a:miter lim="800000"/>
                            <a:headEnd/>
                            <a:tailEnd/>
                          </a:ln>
                        </wps:spPr>
                        <wps:txbx>
                          <w:txbxContent>
                            <w:p w14:paraId="7915B8E4" w14:textId="77777777" w:rsidR="00A36231" w:rsidRPr="00596923" w:rsidRDefault="00A36231" w:rsidP="004D0DDB">
                              <w:pPr>
                                <w:ind w:firstLine="0"/>
                                <w:rPr>
                                  <w:rFonts w:cstheme="majorBidi"/>
                                  <w:b/>
                                  <w:bCs/>
                                  <w:sz w:val="18"/>
                                  <w:szCs w:val="18"/>
                                  <w:vertAlign w:val="subscript"/>
                                </w:rPr>
                              </w:pPr>
                              <w:r w:rsidRPr="00596923">
                                <w:rPr>
                                  <w:rFonts w:cstheme="majorBidi"/>
                                  <w:b/>
                                  <w:bCs/>
                                  <w:sz w:val="18"/>
                                  <w:szCs w:val="18"/>
                                  <w:vertAlign w:val="subscript"/>
                                </w:rPr>
                                <w:t>Ser. Confection</w:t>
                              </w:r>
                              <w:r>
                                <w:rPr>
                                  <w:rFonts w:cstheme="majorBidi"/>
                                  <w:b/>
                                  <w:bCs/>
                                  <w:sz w:val="18"/>
                                  <w:szCs w:val="18"/>
                                  <w:vertAlign w:val="subscript"/>
                                </w:rPr>
                                <w:t xml:space="preserve"> </w:t>
                              </w:r>
                              <w:r w:rsidRPr="00596923">
                                <w:rPr>
                                  <w:rFonts w:cstheme="majorBidi"/>
                                  <w:b/>
                                  <w:bCs/>
                                  <w:sz w:val="18"/>
                                  <w:szCs w:val="18"/>
                                  <w:vertAlign w:val="subscript"/>
                                </w:rPr>
                                <w:t>Planning</w:t>
                              </w:r>
                            </w:p>
                          </w:txbxContent>
                        </wps:txbx>
                        <wps:bodyPr rot="0" vert="horz" wrap="square" lIns="91440" tIns="45720" rIns="91440" bIns="45720" anchor="t" anchorCtr="0" upright="1">
                          <a:noAutofit/>
                        </wps:bodyPr>
                      </wps:wsp>
                      <wps:wsp>
                        <wps:cNvPr id="155" name="AutoShape 385"/>
                        <wps:cNvCnPr>
                          <a:cxnSpLocks noChangeShapeType="1"/>
                        </wps:cNvCnPr>
                        <wps:spPr bwMode="auto">
                          <a:xfrm>
                            <a:off x="2354239" y="3439235"/>
                            <a:ext cx="635" cy="86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Rectangle 387"/>
                        <wps:cNvSpPr>
                          <a:spLocks noChangeArrowheads="1"/>
                        </wps:cNvSpPr>
                        <wps:spPr bwMode="auto">
                          <a:xfrm>
                            <a:off x="3104866" y="1467134"/>
                            <a:ext cx="774065" cy="533400"/>
                          </a:xfrm>
                          <a:prstGeom prst="rect">
                            <a:avLst/>
                          </a:prstGeom>
                          <a:solidFill>
                            <a:srgbClr val="FFFFFF"/>
                          </a:solidFill>
                          <a:ln w="9525">
                            <a:solidFill>
                              <a:srgbClr val="000000"/>
                            </a:solidFill>
                            <a:miter lim="800000"/>
                            <a:headEnd/>
                            <a:tailEnd/>
                          </a:ln>
                        </wps:spPr>
                        <wps:txbx>
                          <w:txbxContent>
                            <w:p w14:paraId="5D220AF7" w14:textId="77777777" w:rsidR="00A36231" w:rsidRPr="00E65066" w:rsidRDefault="00A36231" w:rsidP="004D0DDB">
                              <w:pPr>
                                <w:ind w:firstLine="0"/>
                              </w:pPr>
                              <w:r w:rsidRPr="00E65066">
                                <w:rPr>
                                  <w:rFonts w:cstheme="majorBidi"/>
                                  <w:b/>
                                  <w:bCs/>
                                  <w:sz w:val="18"/>
                                  <w:szCs w:val="18"/>
                                  <w:vertAlign w:val="subscript"/>
                                </w:rPr>
                                <w:t>Ser.</w:t>
                              </w:r>
                              <w:r>
                                <w:rPr>
                                  <w:rFonts w:cstheme="majorBidi"/>
                                  <w:b/>
                                  <w:bCs/>
                                  <w:sz w:val="18"/>
                                  <w:szCs w:val="18"/>
                                  <w:vertAlign w:val="subscript"/>
                                </w:rPr>
                                <w:t xml:space="preserve"> Chemise</w:t>
                              </w:r>
                            </w:p>
                          </w:txbxContent>
                        </wps:txbx>
                        <wps:bodyPr rot="0" vert="horz" wrap="square" lIns="91440" tIns="45720" rIns="91440" bIns="45720" anchor="t" anchorCtr="0" upright="1">
                          <a:noAutofit/>
                        </wps:bodyPr>
                      </wps:wsp>
                      <wps:wsp>
                        <wps:cNvPr id="158" name="Rectangle 388"/>
                        <wps:cNvSpPr>
                          <a:spLocks noChangeArrowheads="1"/>
                        </wps:cNvSpPr>
                        <wps:spPr bwMode="auto">
                          <a:xfrm>
                            <a:off x="3104866" y="2074459"/>
                            <a:ext cx="774065" cy="533400"/>
                          </a:xfrm>
                          <a:prstGeom prst="rect">
                            <a:avLst/>
                          </a:prstGeom>
                          <a:solidFill>
                            <a:srgbClr val="FFFFFF"/>
                          </a:solidFill>
                          <a:ln w="9525">
                            <a:solidFill>
                              <a:srgbClr val="000000"/>
                            </a:solidFill>
                            <a:miter lim="800000"/>
                            <a:headEnd/>
                            <a:tailEnd/>
                          </a:ln>
                        </wps:spPr>
                        <wps:txbx>
                          <w:txbxContent>
                            <w:p w14:paraId="1E9942A1" w14:textId="77777777" w:rsidR="00A36231" w:rsidRPr="00E65066" w:rsidRDefault="00A36231" w:rsidP="004D0DDB">
                              <w:pPr>
                                <w:ind w:firstLine="0"/>
                                <w:rPr>
                                  <w:rFonts w:cstheme="majorBidi"/>
                                  <w:b/>
                                  <w:bCs/>
                                  <w:sz w:val="18"/>
                                  <w:szCs w:val="18"/>
                                  <w:vertAlign w:val="subscript"/>
                                </w:rPr>
                              </w:pPr>
                              <w:r>
                                <w:rPr>
                                  <w:rFonts w:cstheme="majorBidi"/>
                                  <w:b/>
                                  <w:bCs/>
                                  <w:sz w:val="18"/>
                                  <w:szCs w:val="18"/>
                                  <w:vertAlign w:val="subscript"/>
                                </w:rPr>
                                <w:t xml:space="preserve">Ser. Sérigraphie </w:t>
                              </w:r>
                              <w:r w:rsidRPr="00E65066">
                                <w:rPr>
                                  <w:rFonts w:cstheme="majorBidi"/>
                                  <w:b/>
                                  <w:bCs/>
                                  <w:sz w:val="18"/>
                                  <w:szCs w:val="18"/>
                                  <w:vertAlign w:val="subscript"/>
                                </w:rPr>
                                <w:t>&amp;</w:t>
                              </w:r>
                              <w:r>
                                <w:rPr>
                                  <w:rFonts w:cstheme="majorBidi"/>
                                  <w:b/>
                                  <w:bCs/>
                                  <w:sz w:val="18"/>
                                  <w:szCs w:val="18"/>
                                  <w:vertAlign w:val="subscript"/>
                                </w:rPr>
                                <w:t xml:space="preserve"> </w:t>
                              </w:r>
                              <w:r w:rsidRPr="00E65066">
                                <w:rPr>
                                  <w:rFonts w:cstheme="majorBidi"/>
                                  <w:b/>
                                  <w:bCs/>
                                  <w:sz w:val="18"/>
                                  <w:szCs w:val="18"/>
                                  <w:vertAlign w:val="subscript"/>
                                </w:rPr>
                                <w:t>Broderie</w:t>
                              </w:r>
                            </w:p>
                          </w:txbxContent>
                        </wps:txbx>
                        <wps:bodyPr rot="0" vert="horz" wrap="square" lIns="91440" tIns="45720" rIns="91440" bIns="45720" anchor="t" anchorCtr="0" upright="1">
                          <a:noAutofit/>
                        </wps:bodyPr>
                      </wps:wsp>
                      <wps:wsp>
                        <wps:cNvPr id="159" name="Rectangle 389"/>
                        <wps:cNvSpPr>
                          <a:spLocks noChangeArrowheads="1"/>
                        </wps:cNvSpPr>
                        <wps:spPr bwMode="auto">
                          <a:xfrm>
                            <a:off x="3104866" y="2688608"/>
                            <a:ext cx="774065" cy="533400"/>
                          </a:xfrm>
                          <a:prstGeom prst="rect">
                            <a:avLst/>
                          </a:prstGeom>
                          <a:solidFill>
                            <a:srgbClr val="FFFFFF"/>
                          </a:solidFill>
                          <a:ln w="9525">
                            <a:solidFill>
                              <a:srgbClr val="000000"/>
                            </a:solidFill>
                            <a:miter lim="800000"/>
                            <a:headEnd/>
                            <a:tailEnd/>
                          </a:ln>
                        </wps:spPr>
                        <wps:txbx>
                          <w:txbxContent>
                            <w:p w14:paraId="5C29696A" w14:textId="77777777" w:rsidR="00A36231" w:rsidRPr="00E65066" w:rsidRDefault="00A36231" w:rsidP="004D0DDB">
                              <w:pPr>
                                <w:ind w:firstLine="0"/>
                              </w:pPr>
                              <w:r w:rsidRPr="00E65066">
                                <w:rPr>
                                  <w:rFonts w:cstheme="majorBidi"/>
                                  <w:b/>
                                  <w:bCs/>
                                  <w:sz w:val="18"/>
                                  <w:szCs w:val="18"/>
                                  <w:vertAlign w:val="subscript"/>
                                </w:rPr>
                                <w:t>Ser. Emballage</w:t>
                              </w:r>
                            </w:p>
                          </w:txbxContent>
                        </wps:txbx>
                        <wps:bodyPr rot="0" vert="horz" wrap="square" lIns="91440" tIns="45720" rIns="91440" bIns="45720" anchor="t" anchorCtr="0" upright="1">
                          <a:noAutofit/>
                        </wps:bodyPr>
                      </wps:wsp>
                      <wps:wsp>
                        <wps:cNvPr id="160" name="Rectangle 390"/>
                        <wps:cNvSpPr>
                          <a:spLocks noChangeArrowheads="1"/>
                        </wps:cNvSpPr>
                        <wps:spPr bwMode="auto">
                          <a:xfrm>
                            <a:off x="3104866" y="3309582"/>
                            <a:ext cx="774065" cy="533400"/>
                          </a:xfrm>
                          <a:prstGeom prst="rect">
                            <a:avLst/>
                          </a:prstGeom>
                          <a:solidFill>
                            <a:srgbClr val="FFFFFF"/>
                          </a:solidFill>
                          <a:ln w="9525">
                            <a:solidFill>
                              <a:srgbClr val="000000"/>
                            </a:solidFill>
                            <a:miter lim="800000"/>
                            <a:headEnd/>
                            <a:tailEnd/>
                          </a:ln>
                        </wps:spPr>
                        <wps:txbx>
                          <w:txbxContent>
                            <w:p w14:paraId="0001D36B"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Polo</w:t>
                              </w:r>
                            </w:p>
                          </w:txbxContent>
                        </wps:txbx>
                        <wps:bodyPr rot="0" vert="horz" wrap="square" lIns="91440" tIns="45720" rIns="91440" bIns="45720" anchor="t" anchorCtr="0" upright="1">
                          <a:noAutofit/>
                        </wps:bodyPr>
                      </wps:wsp>
                      <wps:wsp>
                        <wps:cNvPr id="161" name="Rectangle 391"/>
                        <wps:cNvSpPr>
                          <a:spLocks noChangeArrowheads="1"/>
                        </wps:cNvSpPr>
                        <wps:spPr bwMode="auto">
                          <a:xfrm>
                            <a:off x="3104866" y="3916907"/>
                            <a:ext cx="774065" cy="533400"/>
                          </a:xfrm>
                          <a:prstGeom prst="rect">
                            <a:avLst/>
                          </a:prstGeom>
                          <a:solidFill>
                            <a:srgbClr val="FFFFFF"/>
                          </a:solidFill>
                          <a:ln w="9525">
                            <a:solidFill>
                              <a:srgbClr val="000000"/>
                            </a:solidFill>
                            <a:miter lim="800000"/>
                            <a:headEnd/>
                            <a:tailEnd/>
                          </a:ln>
                        </wps:spPr>
                        <wps:txbx>
                          <w:txbxContent>
                            <w:p w14:paraId="01D5C5EC" w14:textId="77777777" w:rsidR="00A36231" w:rsidRPr="00E65066" w:rsidRDefault="00A36231" w:rsidP="004D0DDB">
                              <w:pPr>
                                <w:ind w:firstLine="0"/>
                              </w:pPr>
                              <w:r w:rsidRPr="00E65066">
                                <w:rPr>
                                  <w:rFonts w:cstheme="majorBidi"/>
                                  <w:b/>
                                  <w:bCs/>
                                  <w:sz w:val="18"/>
                                  <w:szCs w:val="18"/>
                                  <w:vertAlign w:val="subscript"/>
                                </w:rPr>
                                <w:t>Ser. Préparation</w:t>
                              </w:r>
                            </w:p>
                          </w:txbxContent>
                        </wps:txbx>
                        <wps:bodyPr rot="0" vert="horz" wrap="square" lIns="91440" tIns="45720" rIns="91440" bIns="45720" anchor="t" anchorCtr="0" upright="1">
                          <a:noAutofit/>
                        </wps:bodyPr>
                      </wps:wsp>
                      <wps:wsp>
                        <wps:cNvPr id="163" name="Rectangle 393"/>
                        <wps:cNvSpPr>
                          <a:spLocks noChangeArrowheads="1"/>
                        </wps:cNvSpPr>
                        <wps:spPr bwMode="auto">
                          <a:xfrm>
                            <a:off x="4039738" y="1467134"/>
                            <a:ext cx="774065" cy="533400"/>
                          </a:xfrm>
                          <a:prstGeom prst="rect">
                            <a:avLst/>
                          </a:prstGeom>
                          <a:solidFill>
                            <a:srgbClr val="FFFFFF"/>
                          </a:solidFill>
                          <a:ln w="9525">
                            <a:solidFill>
                              <a:srgbClr val="000000"/>
                            </a:solidFill>
                            <a:miter lim="800000"/>
                            <a:headEnd/>
                            <a:tailEnd/>
                          </a:ln>
                        </wps:spPr>
                        <wps:txbx>
                          <w:txbxContent>
                            <w:p w14:paraId="598843C0" w14:textId="77777777" w:rsidR="00A36231" w:rsidRPr="00E65066" w:rsidRDefault="00A36231" w:rsidP="004D0DDB">
                              <w:pPr>
                                <w:ind w:firstLine="0"/>
                              </w:pPr>
                              <w:r w:rsidRPr="00E65066">
                                <w:rPr>
                                  <w:rFonts w:cstheme="majorBidi"/>
                                  <w:b/>
                                  <w:bCs/>
                                  <w:sz w:val="18"/>
                                  <w:szCs w:val="18"/>
                                  <w:vertAlign w:val="subscript"/>
                                </w:rPr>
                                <w:t>Tricot</w:t>
                              </w:r>
                            </w:p>
                          </w:txbxContent>
                        </wps:txbx>
                        <wps:bodyPr rot="0" vert="horz" wrap="square" lIns="91440" tIns="45720" rIns="91440" bIns="45720" anchor="t" anchorCtr="0" upright="1">
                          <a:noAutofit/>
                        </wps:bodyPr>
                      </wps:wsp>
                      <wps:wsp>
                        <wps:cNvPr id="164" name="Rectangle 394"/>
                        <wps:cNvSpPr>
                          <a:spLocks noChangeArrowheads="1"/>
                        </wps:cNvSpPr>
                        <wps:spPr bwMode="auto">
                          <a:xfrm>
                            <a:off x="4039738" y="2074459"/>
                            <a:ext cx="774065" cy="533400"/>
                          </a:xfrm>
                          <a:prstGeom prst="rect">
                            <a:avLst/>
                          </a:prstGeom>
                          <a:solidFill>
                            <a:srgbClr val="FFFFFF"/>
                          </a:solidFill>
                          <a:ln w="9525">
                            <a:solidFill>
                              <a:srgbClr val="000000"/>
                            </a:solidFill>
                            <a:miter lim="800000"/>
                            <a:headEnd/>
                            <a:tailEnd/>
                          </a:ln>
                        </wps:spPr>
                        <wps:txbx>
                          <w:txbxContent>
                            <w:p w14:paraId="0C7A3297" w14:textId="77777777" w:rsidR="00A36231" w:rsidRPr="00E65066" w:rsidRDefault="00A36231" w:rsidP="004D0DDB">
                              <w:pPr>
                                <w:ind w:firstLine="0"/>
                              </w:pPr>
                              <w:r w:rsidRPr="00E65066">
                                <w:rPr>
                                  <w:rFonts w:cstheme="majorBidi"/>
                                  <w:b/>
                                  <w:bCs/>
                                  <w:sz w:val="18"/>
                                  <w:szCs w:val="18"/>
                                  <w:vertAlign w:val="subscript"/>
                                </w:rPr>
                                <w:t>Ser. Lavage</w:t>
                              </w:r>
                            </w:p>
                          </w:txbxContent>
                        </wps:txbx>
                        <wps:bodyPr rot="0" vert="horz" wrap="square" lIns="91440" tIns="45720" rIns="91440" bIns="45720" anchor="t" anchorCtr="0" upright="1">
                          <a:noAutofit/>
                        </wps:bodyPr>
                      </wps:wsp>
                      <wps:wsp>
                        <wps:cNvPr id="165" name="Rectangle 395"/>
                        <wps:cNvSpPr>
                          <a:spLocks noChangeArrowheads="1"/>
                        </wps:cNvSpPr>
                        <wps:spPr bwMode="auto">
                          <a:xfrm>
                            <a:off x="4039738" y="2688608"/>
                            <a:ext cx="774065" cy="533400"/>
                          </a:xfrm>
                          <a:prstGeom prst="rect">
                            <a:avLst/>
                          </a:prstGeom>
                          <a:solidFill>
                            <a:srgbClr val="FFFFFF"/>
                          </a:solidFill>
                          <a:ln w="9525">
                            <a:solidFill>
                              <a:srgbClr val="000000"/>
                            </a:solidFill>
                            <a:miter lim="800000"/>
                            <a:headEnd/>
                            <a:tailEnd/>
                          </a:ln>
                        </wps:spPr>
                        <wps:txbx>
                          <w:txbxContent>
                            <w:p w14:paraId="086D1B98"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Denim</w:t>
                              </w:r>
                            </w:p>
                          </w:txbxContent>
                        </wps:txbx>
                        <wps:bodyPr rot="0" vert="horz" wrap="square" lIns="91440" tIns="45720" rIns="91440" bIns="45720" anchor="t" anchorCtr="0" upright="1">
                          <a:noAutofit/>
                        </wps:bodyPr>
                      </wps:wsp>
                      <wps:wsp>
                        <wps:cNvPr id="166" name="Rectangle 396"/>
                        <wps:cNvSpPr>
                          <a:spLocks noChangeArrowheads="1"/>
                        </wps:cNvSpPr>
                        <wps:spPr bwMode="auto">
                          <a:xfrm>
                            <a:off x="4039738" y="3309582"/>
                            <a:ext cx="774065" cy="533400"/>
                          </a:xfrm>
                          <a:prstGeom prst="rect">
                            <a:avLst/>
                          </a:prstGeom>
                          <a:solidFill>
                            <a:srgbClr val="FFFFFF"/>
                          </a:solidFill>
                          <a:ln w="9525">
                            <a:solidFill>
                              <a:srgbClr val="000000"/>
                            </a:solidFill>
                            <a:miter lim="800000"/>
                            <a:headEnd/>
                            <a:tailEnd/>
                          </a:ln>
                        </wps:spPr>
                        <wps:txbx>
                          <w:txbxContent>
                            <w:p w14:paraId="0C389266"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Non denim</w:t>
                              </w:r>
                            </w:p>
                          </w:txbxContent>
                        </wps:txbx>
                        <wps:bodyPr rot="0" vert="horz" wrap="square" lIns="91440" tIns="45720" rIns="91440" bIns="45720" anchor="t" anchorCtr="0" upright="1">
                          <a:noAutofit/>
                        </wps:bodyPr>
                      </wps:wsp>
                      <wps:wsp>
                        <wps:cNvPr id="167" name="Rectangle 397"/>
                        <wps:cNvSpPr>
                          <a:spLocks noChangeArrowheads="1"/>
                        </wps:cNvSpPr>
                        <wps:spPr bwMode="auto">
                          <a:xfrm>
                            <a:off x="4039738" y="3916907"/>
                            <a:ext cx="774065" cy="533400"/>
                          </a:xfrm>
                          <a:prstGeom prst="rect">
                            <a:avLst/>
                          </a:prstGeom>
                          <a:solidFill>
                            <a:srgbClr val="FFFFFF"/>
                          </a:solidFill>
                          <a:ln w="9525">
                            <a:solidFill>
                              <a:srgbClr val="000000"/>
                            </a:solidFill>
                            <a:miter lim="800000"/>
                            <a:headEnd/>
                            <a:tailEnd/>
                          </a:ln>
                        </wps:spPr>
                        <wps:txbx>
                          <w:txbxContent>
                            <w:p w14:paraId="656CC6A3" w14:textId="77777777" w:rsidR="00A36231" w:rsidRPr="00E65066" w:rsidRDefault="00A36231" w:rsidP="004D0DDB">
                              <w:pPr>
                                <w:ind w:firstLine="0"/>
                              </w:pPr>
                              <w:r w:rsidRPr="00E65066">
                                <w:rPr>
                                  <w:rFonts w:cstheme="majorBidi"/>
                                  <w:b/>
                                  <w:bCs/>
                                  <w:sz w:val="18"/>
                                  <w:szCs w:val="18"/>
                                  <w:vertAlign w:val="subscript"/>
                                </w:rPr>
                                <w:t>Ser. Coupe</w:t>
                              </w:r>
                            </w:p>
                          </w:txbxContent>
                        </wps:txbx>
                        <wps:bodyPr rot="0" vert="horz" wrap="square" lIns="91440" tIns="45720" rIns="91440" bIns="45720" anchor="t" anchorCtr="0" upright="1">
                          <a:noAutofit/>
                        </wps:bodyPr>
                      </wps:wsp>
                      <wps:wsp>
                        <wps:cNvPr id="177" name="Rectangle 407"/>
                        <wps:cNvSpPr>
                          <a:spLocks noChangeArrowheads="1"/>
                        </wps:cNvSpPr>
                        <wps:spPr bwMode="auto">
                          <a:xfrm>
                            <a:off x="5411338"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2E3A0369"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wps:txbx>
                        <wps:bodyPr rot="0" vert="horz" wrap="square" lIns="91440" tIns="45720" rIns="91440" bIns="45720" anchor="t" anchorCtr="0" upright="1">
                          <a:noAutofit/>
                        </wps:bodyPr>
                      </wps:wsp>
                      <wps:wsp>
                        <wps:cNvPr id="178" name="Rectangle 408"/>
                        <wps:cNvSpPr>
                          <a:spLocks noChangeArrowheads="1"/>
                        </wps:cNvSpPr>
                        <wps:spPr bwMode="auto">
                          <a:xfrm>
                            <a:off x="5404514" y="798394"/>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C6DF424" w14:textId="77777777" w:rsidR="00A36231" w:rsidRPr="00787B60" w:rsidRDefault="00A36231" w:rsidP="004D0DDB">
                              <w:pPr>
                                <w:ind w:firstLine="0"/>
                                <w:rPr>
                                  <w:rFonts w:cstheme="majorBidi"/>
                                  <w:b/>
                                  <w:bCs/>
                                  <w:color w:val="FFFFFF" w:themeColor="background1"/>
                                  <w:sz w:val="16"/>
                                  <w:szCs w:val="16"/>
                                </w:rPr>
                              </w:pPr>
                              <w:r w:rsidRPr="00787B60">
                                <w:rPr>
                                  <w:rFonts w:cstheme="majorBidi"/>
                                  <w:b/>
                                  <w:bCs/>
                                  <w:color w:val="FFFFFF" w:themeColor="background1"/>
                                  <w:sz w:val="16"/>
                                  <w:szCs w:val="16"/>
                                </w:rPr>
                                <w:t>Dép. Commercial</w:t>
                              </w:r>
                              <w:r>
                                <w:rPr>
                                  <w:rFonts w:cstheme="majorBidi"/>
                                  <w:b/>
                                  <w:bCs/>
                                  <w:color w:val="FFFFFF" w:themeColor="background1"/>
                                  <w:sz w:val="16"/>
                                  <w:szCs w:val="16"/>
                                </w:rPr>
                                <w:t xml:space="preserve">   </w:t>
                              </w:r>
                              <w:r w:rsidRPr="00787B60">
                                <w:rPr>
                                  <w:rFonts w:cstheme="majorBidi"/>
                                  <w:b/>
                                  <w:bCs/>
                                  <w:color w:val="FFFFFF" w:themeColor="background1"/>
                                  <w:sz w:val="16"/>
                                  <w:szCs w:val="16"/>
                                </w:rPr>
                                <w:t>Fil-Tissu</w:t>
                              </w:r>
                            </w:p>
                          </w:txbxContent>
                        </wps:txbx>
                        <wps:bodyPr rot="0" vert="horz" wrap="square" lIns="91440" tIns="45720" rIns="91440" bIns="45720" anchor="t" anchorCtr="0" upright="1">
                          <a:noAutofit/>
                        </wps:bodyPr>
                      </wps:wsp>
                      <wps:wsp>
                        <wps:cNvPr id="179" name="Rectangle 409"/>
                        <wps:cNvSpPr>
                          <a:spLocks noChangeArrowheads="1"/>
                        </wps:cNvSpPr>
                        <wps:spPr bwMode="auto">
                          <a:xfrm>
                            <a:off x="4954138" y="1480782"/>
                            <a:ext cx="774065" cy="523875"/>
                          </a:xfrm>
                          <a:prstGeom prst="rect">
                            <a:avLst/>
                          </a:prstGeom>
                          <a:solidFill>
                            <a:srgbClr val="FFFFFF"/>
                          </a:solidFill>
                          <a:ln w="9525">
                            <a:solidFill>
                              <a:srgbClr val="000000"/>
                            </a:solidFill>
                            <a:miter lim="800000"/>
                            <a:headEnd/>
                            <a:tailEnd/>
                          </a:ln>
                        </wps:spPr>
                        <wps:txbx>
                          <w:txbxContent>
                            <w:p w14:paraId="1BB1FCC5"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Export</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(EGYPTE)</w:t>
                              </w:r>
                            </w:p>
                          </w:txbxContent>
                        </wps:txbx>
                        <wps:bodyPr rot="0" vert="horz" wrap="square" lIns="91440" tIns="45720" rIns="91440" bIns="45720" anchor="t" anchorCtr="0" upright="1">
                          <a:noAutofit/>
                        </wps:bodyPr>
                      </wps:wsp>
                      <wps:wsp>
                        <wps:cNvPr id="180" name="Rectangle 410"/>
                        <wps:cNvSpPr>
                          <a:spLocks noChangeArrowheads="1"/>
                        </wps:cNvSpPr>
                        <wps:spPr bwMode="auto">
                          <a:xfrm>
                            <a:off x="4954138" y="2088107"/>
                            <a:ext cx="774065" cy="523875"/>
                          </a:xfrm>
                          <a:prstGeom prst="rect">
                            <a:avLst/>
                          </a:prstGeom>
                          <a:solidFill>
                            <a:srgbClr val="FFFFFF"/>
                          </a:solidFill>
                          <a:ln w="9525">
                            <a:solidFill>
                              <a:srgbClr val="000000"/>
                            </a:solidFill>
                            <a:miter lim="800000"/>
                            <a:headEnd/>
                            <a:tailEnd/>
                          </a:ln>
                        </wps:spPr>
                        <wps:txbx>
                          <w:txbxContent>
                            <w:p w14:paraId="6C2994AD"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Export</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(TUNISIE)</w:t>
                              </w:r>
                            </w:p>
                          </w:txbxContent>
                        </wps:txbx>
                        <wps:bodyPr rot="0" vert="horz" wrap="square" lIns="91440" tIns="45720" rIns="91440" bIns="45720" anchor="t" anchorCtr="0" upright="1">
                          <a:noAutofit/>
                        </wps:bodyPr>
                      </wps:wsp>
                      <wps:wsp>
                        <wps:cNvPr id="181" name="Rectangle 411"/>
                        <wps:cNvSpPr>
                          <a:spLocks noChangeArrowheads="1"/>
                        </wps:cNvSpPr>
                        <wps:spPr bwMode="auto">
                          <a:xfrm>
                            <a:off x="4954138" y="2695432"/>
                            <a:ext cx="774065" cy="523875"/>
                          </a:xfrm>
                          <a:prstGeom prst="rect">
                            <a:avLst/>
                          </a:prstGeom>
                          <a:solidFill>
                            <a:srgbClr val="FFFFFF"/>
                          </a:solidFill>
                          <a:ln w="9525">
                            <a:solidFill>
                              <a:srgbClr val="000000"/>
                            </a:solidFill>
                            <a:miter lim="800000"/>
                            <a:headEnd/>
                            <a:tailEnd/>
                          </a:ln>
                        </wps:spPr>
                        <wps:txbx>
                          <w:txbxContent>
                            <w:p w14:paraId="492A9E67"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SPAIN)</w:t>
                              </w:r>
                            </w:p>
                          </w:txbxContent>
                        </wps:txbx>
                        <wps:bodyPr rot="0" vert="horz" wrap="square" lIns="91440" tIns="45720" rIns="91440" bIns="45720" anchor="t" anchorCtr="0" upright="1">
                          <a:noAutofit/>
                        </wps:bodyPr>
                      </wps:wsp>
                      <wps:wsp>
                        <wps:cNvPr id="186" name="AutoShape 416"/>
                        <wps:cNvCnPr>
                          <a:cxnSpLocks noChangeShapeType="1"/>
                        </wps:cNvCnPr>
                        <wps:spPr bwMode="auto">
                          <a:xfrm>
                            <a:off x="5841242" y="1398895"/>
                            <a:ext cx="635" cy="1552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Rectangle 420"/>
                        <wps:cNvSpPr>
                          <a:spLocks noChangeArrowheads="1"/>
                        </wps:cNvSpPr>
                        <wps:spPr bwMode="auto">
                          <a:xfrm>
                            <a:off x="5404514" y="3336877"/>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71CDEE77" w14:textId="77777777" w:rsidR="00A36231" w:rsidRPr="007829BA" w:rsidRDefault="00A36231" w:rsidP="004D0DDB">
                              <w:pPr>
                                <w:ind w:firstLine="0"/>
                                <w:rPr>
                                  <w:rFonts w:cstheme="majorBidi"/>
                                  <w:b/>
                                  <w:bCs/>
                                  <w:color w:val="FFFFFF" w:themeColor="background1"/>
                                  <w:sz w:val="16"/>
                                  <w:szCs w:val="16"/>
                                </w:rPr>
                              </w:pPr>
                              <w:r w:rsidRPr="007829BA">
                                <w:rPr>
                                  <w:rFonts w:cstheme="majorBidi"/>
                                  <w:b/>
                                  <w:bCs/>
                                  <w:color w:val="FFFFFF" w:themeColor="background1"/>
                                  <w:sz w:val="16"/>
                                  <w:szCs w:val="16"/>
                                </w:rPr>
                                <w:t>Dép. Commercial</w:t>
                              </w:r>
                              <w:r>
                                <w:rPr>
                                  <w:rFonts w:cstheme="majorBidi"/>
                                  <w:b/>
                                  <w:bCs/>
                                  <w:color w:val="FFFFFF" w:themeColor="background1"/>
                                  <w:sz w:val="16"/>
                                  <w:szCs w:val="16"/>
                                </w:rPr>
                                <w:t xml:space="preserve"> </w:t>
                              </w:r>
                              <w:r w:rsidRPr="007829BA">
                                <w:rPr>
                                  <w:rFonts w:cstheme="majorBidi"/>
                                  <w:b/>
                                  <w:bCs/>
                                  <w:color w:val="FFFFFF" w:themeColor="background1"/>
                                  <w:sz w:val="16"/>
                                  <w:szCs w:val="16"/>
                                </w:rPr>
                                <w:t>Confetion</w:t>
                              </w:r>
                              <w:r>
                                <w:rPr>
                                  <w:rFonts w:cstheme="majorBidi"/>
                                  <w:b/>
                                  <w:bCs/>
                                  <w:color w:val="FFFFFF" w:themeColor="background1"/>
                                  <w:sz w:val="16"/>
                                  <w:szCs w:val="16"/>
                                </w:rPr>
                                <w:t xml:space="preserve">           </w:t>
                              </w:r>
                              <w:r w:rsidRPr="007829BA">
                                <w:rPr>
                                  <w:rFonts w:cstheme="majorBidi"/>
                                  <w:b/>
                                  <w:bCs/>
                                  <w:color w:val="FFFFFF" w:themeColor="background1"/>
                                  <w:sz w:val="16"/>
                                  <w:szCs w:val="16"/>
                                </w:rPr>
                                <w:t>- Garment</w:t>
                              </w:r>
                              <w:r>
                                <w:rPr>
                                  <w:rFonts w:cstheme="majorBidi"/>
                                  <w:b/>
                                  <w:bCs/>
                                  <w:color w:val="FFFFFF" w:themeColor="background1"/>
                                  <w:sz w:val="16"/>
                                  <w:szCs w:val="16"/>
                                </w:rPr>
                                <w:t>-</w:t>
                              </w:r>
                            </w:p>
                          </w:txbxContent>
                        </wps:txbx>
                        <wps:bodyPr rot="0" vert="horz" wrap="square" lIns="91440" tIns="45720" rIns="91440" bIns="45720" anchor="t" anchorCtr="0" upright="1">
                          <a:noAutofit/>
                        </wps:bodyPr>
                      </wps:wsp>
                      <wps:wsp>
                        <wps:cNvPr id="192" name="Rectangle 422"/>
                        <wps:cNvSpPr>
                          <a:spLocks noChangeArrowheads="1"/>
                        </wps:cNvSpPr>
                        <wps:spPr bwMode="auto">
                          <a:xfrm>
                            <a:off x="4954138" y="4012441"/>
                            <a:ext cx="774065" cy="523875"/>
                          </a:xfrm>
                          <a:prstGeom prst="rect">
                            <a:avLst/>
                          </a:prstGeom>
                          <a:solidFill>
                            <a:srgbClr val="FFFFFF"/>
                          </a:solidFill>
                          <a:ln w="9525">
                            <a:solidFill>
                              <a:srgbClr val="000000"/>
                            </a:solidFill>
                            <a:miter lim="800000"/>
                            <a:headEnd/>
                            <a:tailEnd/>
                          </a:ln>
                        </wps:spPr>
                        <wps:txbx>
                          <w:txbxContent>
                            <w:p w14:paraId="7D4F35D7" w14:textId="77777777" w:rsidR="00A36231" w:rsidRPr="007829BA" w:rsidRDefault="00A36231" w:rsidP="004D0DDB">
                              <w:pPr>
                                <w:ind w:firstLine="0"/>
                                <w:rPr>
                                  <w:rFonts w:cstheme="majorBidi"/>
                                  <w:b/>
                                  <w:bCs/>
                                  <w:sz w:val="18"/>
                                  <w:szCs w:val="18"/>
                                  <w:vertAlign w:val="subscript"/>
                                </w:rPr>
                              </w:pPr>
                              <w:r w:rsidRPr="007829BA">
                                <w:rPr>
                                  <w:rFonts w:cstheme="majorBidi"/>
                                  <w:b/>
                                  <w:bCs/>
                                  <w:sz w:val="18"/>
                                  <w:szCs w:val="18"/>
                                  <w:vertAlign w:val="subscript"/>
                                </w:rPr>
                                <w:t>Ser. Commercial</w:t>
                              </w:r>
                              <w:r>
                                <w:rPr>
                                  <w:rFonts w:cstheme="majorBidi"/>
                                  <w:b/>
                                  <w:bCs/>
                                  <w:sz w:val="18"/>
                                  <w:szCs w:val="18"/>
                                  <w:vertAlign w:val="subscript"/>
                                </w:rPr>
                                <w:t xml:space="preserve"> </w:t>
                              </w:r>
                              <w:r w:rsidRPr="007829BA">
                                <w:rPr>
                                  <w:rFonts w:cstheme="majorBidi"/>
                                  <w:b/>
                                  <w:bCs/>
                                  <w:sz w:val="18"/>
                                  <w:szCs w:val="18"/>
                                  <w:vertAlign w:val="subscript"/>
                                </w:rPr>
                                <w:t>Garment -Export</w:t>
                              </w:r>
                            </w:p>
                          </w:txbxContent>
                        </wps:txbx>
                        <wps:bodyPr rot="0" vert="horz" wrap="square" lIns="91440" tIns="45720" rIns="91440" bIns="45720" anchor="t" anchorCtr="0" upright="1">
                          <a:noAutofit/>
                        </wps:bodyPr>
                      </wps:wsp>
                    </wpg:wgp>
                  </a:graphicData>
                </a:graphic>
              </wp:anchor>
            </w:drawing>
          </mc:Choice>
          <mc:Fallback>
            <w:pict>
              <v:group w14:anchorId="3C3D57F8" id="Groupe 2" o:spid="_x0000_s1047" style="position:absolute;left:0;text-align:left;margin-left:3.8pt;margin-top:4.75pt;width:498.1pt;height:357.2pt;z-index:251978752" coordsize="63257,4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">
                <v:rect id="Rectangle 337" o:spid="_x0000_s1048" style="position:absolute;left:68;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DrVMEA&#10;AADcAAAADwAAAGRycy9kb3ducmV2LnhtbERPTWvCQBC9C/6HZQq96aaFVkldRQst1puJF29DdppE&#10;s7MhO9X133eFQm/zeJ+zWEXXqQsNofVs4GmagSKuvG25NnAoPyZzUEGQLXaeycCNAqyW49ECc+uv&#10;vKdLIbVKIRxyNNCI9LnWoWrIYZj6njhx335wKAkOtbYDXlO46/Rzlr1qhy2nhgZ7em+oOhc/zgBv&#10;opS3rbNOPl/aUzx97YruaMzjQ1y/gRKK8i/+c29tmp/N4P5MukAv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A61TBAAAA3AAAAA8AAAAAAAAAAAAAAAAAmAIAAGRycy9kb3du&#10;cmV2LnhtbFBLBQYAAAAABAAEAPUAAACGAwAAAAA=&#10;" fillcolor="#00b050" strokecolor="black [3213]">
                  <v:textbox>
                    <w:txbxContent>
                      <w:p w14:paraId="49FAE67C"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v:textbox>
                </v:rect>
                <v:rect id="Rectangle 342" o:spid="_x0000_s1049" style="position:absolute;top:14876;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UXcIA&#10;AADcAAAADwAAAGRycy9kb3ducmV2LnhtbERPS2vCQBC+F/wPywi9FN2YQikxq4go9uJBm4PHMTt5&#10;YHY2ZNck/nu3IPQ2H99z0vVoGtFT52rLChbzCARxbnXNpYLsdz/7BuE8ssbGMil4kIP1avKWYqLt&#10;wCfqz74UIYRdggoq79tESpdXZNDNbUscuMJ2Bn2AXSl1h0MIN42Mo+hLGqw5NFTY0rai/Ha+GwWX&#10;a54NrqgzvyuPD53dDvxBn0q9T8fNEoSn0f+LX+4fHeYvYvh7Jlw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IZRdwgAAANwAAAAPAAAAAAAAAAAAAAAAAJgCAABkcnMvZG93&#10;bnJldi54bWxQSwUGAAAAAAQABAD1AAAAhwMAAAAA&#10;" fillcolor="black [3213]" strokecolor="#1f4d78 [1608]">
                  <v:textbox>
                    <w:txbxContent>
                      <w:p w14:paraId="0DA8CBE5"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Développement de Produit</w:t>
                        </w:r>
                      </w:p>
                    </w:txbxContent>
                  </v:textbox>
                </v:rect>
                <v:rect id="Rectangle 343" o:spid="_x0000_s1050" style="position:absolute;top:21836;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xxsEA&#10;AADcAAAADwAAAGRycy9kb3ducmV2LnhtbERPTYvCMBC9C/sfwgheZJuqIFJNRRaX3YsHtYc9js3Y&#10;ljaT0kRb//1GELzN433OZjuYRtypc5VlBbMoBkGcW11xoSA7f3+uQDiPrLGxTAoe5GCbfow2mGjb&#10;85HuJ1+IEMIuQQWl920ipctLMugi2xIH7mo7gz7ArpC6wz6Em0bO43gpDVYcGkps6aukvD7djIK/&#10;S5717lplfl8cHjqrf3hKC6Um42G3BuFp8G/xy/2rw/zZAp7Ph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tMcbBAAAA3AAAAA8AAAAAAAAAAAAAAAAAmAIAAGRycy9kb3du&#10;cmV2LnhtbFBLBQYAAAAABAAEAPUAAACGAwAAAAA=&#10;" fillcolor="black [3213]" strokecolor="#1f4d78 [1608]">
                  <v:textbox>
                    <w:txbxContent>
                      <w:p w14:paraId="452A66E9"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Indigo</w:t>
                        </w:r>
                      </w:p>
                    </w:txbxContent>
                  </v:textbox>
                </v:rect>
                <v:rect id="Rectangle 344" o:spid="_x0000_s1051" style="position:absolute;top:28728;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SpssAA&#10;AADcAAAADwAAAGRycy9kb3ducmV2LnhtbERPTYvCMBC9C/6HMIIX0VR3EalGEVHci4fVHjyOzdgW&#10;m0lpoq3/3giCt3m8z1msWlOKB9WusKxgPIpAEKdWF5wpSE674QyE88gaS8uk4EkOVstuZ4Gxtg3/&#10;0+PoMxFC2MWoIPe+iqV0aU4G3chWxIG72tqgD7DOpK6xCeGmlJMomkqDBYeGHCva5JTejnej4HxJ&#10;k8Zdi8Rvs8NTJ7c9D+hHqX6vXc9BeGr9V/xx/+kwf/wL72fCB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4SpssAAAADcAAAADwAAAAAAAAAAAAAAAACYAgAAZHJzL2Rvd25y&#10;ZXYueG1sUEsFBgAAAAAEAAQA9QAAAIUDAAAAAA==&#10;" fillcolor="black [3213]" strokecolor="#1f4d78 [1608]">
                  <v:textbox>
                    <w:txbxContent>
                      <w:p w14:paraId="4743BB11"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Tricotage</w:t>
                        </w:r>
                      </w:p>
                    </w:txbxContent>
                  </v:textbox>
                </v:rect>
                <v:rect id="Rectangle 345" o:spid="_x0000_s1052" style="position:absolute;top:35620;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gMKcAA&#10;AADcAAAADwAAAGRycy9kb3ducmV2LnhtbERPTYvCMBC9C/6HMIIX0VSXFalGEVHci4fVHjyOzdgW&#10;m0lpoq3/3giCt3m8z1msWlOKB9WusKxgPIpAEKdWF5wpSE674QyE88gaS8uk4EkOVstuZ4Gxtg3/&#10;0+PoMxFC2MWoIPe+iqV0aU4G3chWxIG72tqgD7DOpK6xCeGmlJMomkqDBYeGHCva5JTejnej4HxJ&#10;k8Zdi8Rvs8NTJ7c9D+hHqX6vXc9BeGr9V/xx/+kwf/wL72fCB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MgMKcAAAADcAAAADwAAAAAAAAAAAAAAAACYAgAAZHJzL2Rvd25y&#10;ZXYueG1sUEsFBgAAAAAEAAQA9QAAAIUDAAAAAA==&#10;" fillcolor="black [3213]" strokecolor="#1f4d78 [1608]">
                  <v:textbox>
                    <w:txbxContent>
                      <w:p w14:paraId="309F27CD"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Tissage</w:t>
                        </w:r>
                      </w:p>
                    </w:txbxContent>
                  </v:textbox>
                </v:rect>
                <v:rect id="Rectangle 352" o:spid="_x0000_s1053" style="position:absolute;left:68;top:7983;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1e4MAA&#10;AADcAAAADwAAAGRycy9kb3ducmV2LnhtbERPTYvCMBC9L/gfwgheFk2tsEg1ioiiFw9qDx7HZmyL&#10;zaQ00dZ/bwRhb/N4nzNfdqYST2pcaVnBeBSBIM6sLjlXkJ63wykI55E1VpZJwYscLBe9nzkm2rZ8&#10;pOfJ5yKEsEtQQeF9nUjpsoIMupGtiQN3s41BH2CTS91gG8JNJeMo+pMGSw4NBda0Lii7nx5GweWa&#10;pa27lanf5IeXTu87/qWJUoN+t5qB8NT5f/HXvddhfhzD55lwgV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U1e4MAAAADcAAAADwAAAAAAAAAAAAAAAACYAgAAZHJzL2Rvd25y&#10;ZXYueG1sUEsFBgAAAAAEAAQA9QAAAIUDAAAAAA==&#10;" fillcolor="black [3213]" strokecolor="#1f4d78 [1608]">
                  <v:textbox>
                    <w:txbxContent>
                      <w:p w14:paraId="3736F94A"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Filature</w:t>
                        </w:r>
                      </w:p>
                    </w:txbxContent>
                  </v:textbox>
                </v:rect>
                <v:rect id="Rectangle 359" o:spid="_x0000_s1054" style="position:absolute;left:9826;top:8325;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CKb8MA&#10;AADcAAAADwAAAGRycy9kb3ducmV2LnhtbERPTWvCQBC9C/0PyxR6M7umIE3qKtJiqUdNLt7G7DRJ&#10;m50N2VXT/npXKHibx/ucxWq0nTjT4FvHGmaJAkFcOdNyraEsNtMXED4gG+wck4Zf8rBaPkwWmBt3&#10;4R2d96EWMYR9jhqaEPpcSl81ZNEnrieO3JcbLIYIh1qaAS8x3HYyVWouLbYcGxrs6a2h6md/shqO&#10;bVri3674UDbbPIftWHyfDu9aPz2O61cQgcZwF/+7P02cn2Z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CKb8MAAADcAAAADwAAAAAAAAAAAAAAAACYAgAAZHJzL2Rv&#10;d25yZXYueG1sUEsFBgAAAAAEAAQA9QAAAIgDAAAAAA==&#10;">
                  <v:textbox>
                    <w:txbxContent>
                      <w:p w14:paraId="3351ABBB"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Production</w:t>
                        </w:r>
                      </w:p>
                    </w:txbxContent>
                  </v:textbox>
                </v:rect>
                <v:shapetype id="_x0000_t32" coordsize="21600,21600" o:spt="32" o:oned="t" path="m,l21600,21600e" filled="f">
                  <v:path arrowok="t" fillok="f" o:connecttype="none"/>
                  <o:lock v:ext="edit" shapetype="t"/>
                </v:shapetype>
                <v:shape id="AutoShape 360" o:spid="_x0000_s1055" type="#_x0000_t32" style="position:absolute;left:17537;top:11054;width:71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IfsYAAADcAAAADwAAAGRycy9kb3ducmV2LnhtbESPQU8CMRCF7yb+h2ZMvBjoopGYlUIW&#10;ExIx4QDIfdyO28btdNkWWP+9czDhNpP35r1vZoshtOpMffKRDUzGBSjiOlrPjYHP/Wr0AiplZItt&#10;ZDLwSwkW89ubGZY2XnhL511ulIRwKtGAy7krtU61o4BpHDti0b5jHzDL2jfa9niR8NDqx6KY6oCe&#10;pcFhR2+O6p/dKRjYrCfL6sv59cf26DfPq6o9NQ8HY+7vhuoVVKYhX83/1+9W8J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ESH7GAAAA3AAAAA8AAAAAAAAA&#10;AAAAAAAAoQIAAGRycy9kb3ducmV2LnhtbFBLBQYAAAAABAAEAPkAAACUAwAAAAA=&#10;"/>
                <v:rect id="Rectangle 361" o:spid="_x0000_s1056" style="position:absolute;left:9826;top:14398;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tMIA&#10;AADcAAAADwAAAGRycy9kb3ducmV2LnhtbERPTWvCQBC9C/6HZYTedKNCqTEbEUVpjxovvU2zY5I2&#10;Oxuym5j217tCwds83uckm8HUoqfWVZYVzGcRCOLc6ooLBZfsMH0D4TyyxtoyKfglB5t0PEow1vbG&#10;J+rPvhAhhF2MCkrvm1hKl5dk0M1sQxy4q20N+gDbQuoWbyHc1HIRRa/SYMWhocSGdiXlP+fOKPiq&#10;Fhf8O2XHyKwOS/8xZN/d516pl8mwXYPwNPin+N/9rsP85Rw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C0wgAAANwAAAAPAAAAAAAAAAAAAAAAAJgCAABkcnMvZG93&#10;bnJldi54bWxQSwUGAAAAAAQABAD1AAAAhwMAAAAA&#10;">
                  <v:textbox>
                    <w:txbxContent>
                      <w:p w14:paraId="33F4D531"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p>
                    </w:txbxContent>
                  </v:textbox>
                </v:rect>
                <v:shape id="AutoShape 362" o:spid="_x0000_s1057" type="#_x0000_t32" style="position:absolute;left:17537;top:16991;width:74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pzksMAAADcAAAADwAAAGRycy9kb3ducmV2LnhtbERPTWsCMRC9C/6HMIIXqVkV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ac5LDAAAA3AAAAA8AAAAAAAAAAAAA&#10;AAAAoQIAAGRycy9kb3ducmV2LnhtbFBLBQYAAAAABAAEAPkAAACRAwAAAAA=&#10;"/>
                <v:rect id="Rectangle 364" o:spid="_x0000_s1058" style="position:absolute;left:9826;top:20539;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LMMA&#10;AADcAAAADwAAAGRycy9kb3ducmV2LnhtbERPS2vCQBC+C/0PyxR6001VxE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zLMMAAADcAAAADwAAAAAAAAAAAAAAAACYAgAAZHJzL2Rv&#10;d25yZXYueG1sUEsFBgAAAAAEAAQA9QAAAIgDAAAAAA==&#10;">
                  <v:textbox>
                    <w:txbxContent>
                      <w:p w14:paraId="65ED49E4"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p>
                    </w:txbxContent>
                  </v:textbox>
                </v:rect>
                <v:rect id="Rectangle 371" o:spid="_x0000_s1059" style="position:absolute;left:26954;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9ve8EA&#10;AADcAAAADwAAAGRycy9kb3ducmV2LnhtbERPTWvCQBC9F/wPywi91Y3SlhJdRYUW662xF29Ddkyi&#10;2dmQner677uC4G0e73Nmi+hadaY+NJ4NjEcZKOLS24YrA7+7z5cPUEGQLbaeycCVAizmg6cZ5tZf&#10;+IfOhVQqhXDI0UAt0uVah7Imh2HkO+LEHXzvUBLsK217vKRw1+pJlr1rhw2nhho7WtdUnoo/Z4BX&#10;UXbXjbNOvt6aYzx+b4t2b8zzMC6noISiPMR398am+a9juD2TLt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Pb3vBAAAA3AAAAA8AAAAAAAAAAAAAAAAAmAIAAGRycy9kb3du&#10;cmV2LnhtbFBLBQYAAAAABAAEAPUAAACGAwAAAAA=&#10;" fillcolor="#00b050" strokecolor="black [3213]">
                  <v:textbox>
                    <w:txbxContent>
                      <w:p w14:paraId="23B2AF09" w14:textId="77777777" w:rsidR="00A36231" w:rsidRPr="00817A46" w:rsidRDefault="00A36231" w:rsidP="005D7A03">
                        <w:pPr>
                          <w:spacing w:line="240" w:lineRule="auto"/>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v:textbox>
                </v:rect>
                <v:rect id="Rectangle 373" o:spid="_x0000_s1060" style="position:absolute;left:19038;top:7983;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4e28EA&#10;AADcAAAADwAAAGRycy9kb3ducmV2LnhtbERPS4vCMBC+C/sfwgheRFNXkaU2yiK76MWD2sMex2b6&#10;wGZSmqyt/94Igrf5+J6TbHpTixu1rrKsYDaNQBBnVldcKEjPv5MvEM4ja6wtk4I7OdisPwYJxtp2&#10;fKTbyRcihLCLUUHpfRNL6bKSDLqpbYgDl9vWoA+wLaRusQvhppafUbSUBisODSU2tC0pu57+jYK/&#10;S5Z2Lq9S/1Mc7jq97nhMc6VGw/57BcJT79/il3uvw/zFHJ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HtvBAAAA3AAAAA8AAAAAAAAAAAAAAAAAmAIAAGRycy9kb3du&#10;cmV2LnhtbFBLBQYAAAAABAAEAPUAAACGAwAAAAA=&#10;" fillcolor="black [3213]" strokecolor="#1f4d78 [1608]">
                  <v:textbox>
                    <w:txbxContent>
                      <w:p w14:paraId="0BA9501C"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 xml:space="preserve">Dép. Process </w:t>
                        </w:r>
                        <w:r>
                          <w:rPr>
                            <w:rFonts w:cstheme="majorBidi"/>
                            <w:b/>
                            <w:bCs/>
                            <w:color w:val="FFFFFF" w:themeColor="background1"/>
                            <w:sz w:val="16"/>
                            <w:szCs w:val="16"/>
                          </w:rPr>
                          <w:t xml:space="preserve">   </w:t>
                        </w:r>
                        <w:r w:rsidRPr="00596923">
                          <w:rPr>
                            <w:rFonts w:cstheme="majorBidi"/>
                            <w:b/>
                            <w:bCs/>
                            <w:color w:val="FFFFFF" w:themeColor="background1"/>
                            <w:sz w:val="16"/>
                            <w:szCs w:val="16"/>
                          </w:rPr>
                          <w:t>&amp;</w:t>
                        </w:r>
                        <w:r>
                          <w:rPr>
                            <w:rFonts w:cstheme="majorBidi"/>
                            <w:b/>
                            <w:bCs/>
                            <w:color w:val="FFFFFF" w:themeColor="background1"/>
                            <w:sz w:val="16"/>
                            <w:szCs w:val="16"/>
                          </w:rPr>
                          <w:t xml:space="preserve"> </w:t>
                        </w:r>
                        <w:r w:rsidRPr="00596923">
                          <w:rPr>
                            <w:rFonts w:cstheme="majorBidi"/>
                            <w:b/>
                            <w:bCs/>
                            <w:color w:val="FFFFFF" w:themeColor="background1"/>
                            <w:sz w:val="16"/>
                            <w:szCs w:val="16"/>
                          </w:rPr>
                          <w:t>Contrôle Qualité</w:t>
                        </w:r>
                      </w:p>
                    </w:txbxContent>
                  </v:textbox>
                </v:rect>
                <v:rect id="Rectangle 374" o:spid="_x0000_s1061" style="position:absolute;left:34870;top:7983;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eGr8EA&#10;AADcAAAADwAAAGRycy9kb3ducmV2LnhtbERPS4vCMBC+C/sfwgheRFNXkaU2yiK76MWD2sMex2b6&#10;wGZSmqyt/94Igrf5+J6TbHpTixu1rrKsYDaNQBBnVldcKEjPv5MvEM4ja6wtk4I7OdisPwYJxtp2&#10;fKTbyRcihLCLUUHpfRNL6bKSDLqpbYgDl9vWoA+wLaRusQvhppafUbSUBisODSU2tC0pu57+jYK/&#10;S5Z2Lq9S/1Mc7jq97nhMc6VGw/57BcJT79/il3uvw/zFAp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3hq/BAAAA3AAAAA8AAAAAAAAAAAAAAAAAmAIAAGRycy9kb3du&#10;cmV2LnhtbFBLBQYAAAAABAAEAPUAAACGAwAAAAA=&#10;" fillcolor="black [3213]" strokecolor="#1f4d78 [1608]">
                  <v:textbox>
                    <w:txbxContent>
                      <w:p w14:paraId="4AFEAAB3" w14:textId="77777777" w:rsidR="00A36231" w:rsidRPr="00596923"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Production</w:t>
                        </w:r>
                        <w:r>
                          <w:rPr>
                            <w:rFonts w:cstheme="majorBidi"/>
                            <w:b/>
                            <w:bCs/>
                            <w:color w:val="FFFFFF" w:themeColor="background1"/>
                            <w:sz w:val="16"/>
                            <w:szCs w:val="16"/>
                          </w:rPr>
                          <w:t xml:space="preserve"> </w:t>
                        </w:r>
                        <w:r w:rsidRPr="00596923">
                          <w:rPr>
                            <w:rFonts w:cstheme="majorBidi"/>
                            <w:b/>
                            <w:bCs/>
                            <w:color w:val="FFFFFF" w:themeColor="background1"/>
                            <w:sz w:val="16"/>
                            <w:szCs w:val="16"/>
                          </w:rPr>
                          <w:t>Confection</w:t>
                        </w:r>
                      </w:p>
                    </w:txbxContent>
                  </v:textbox>
                </v:rect>
                <v:rect id="Rectangle 375" o:spid="_x0000_s1062" style="position:absolute;left:19038;top:14807;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sjNMMA&#10;AADcAAAADwAAAGRycy9kb3ducmV2LnhtbERPS2vCQBC+C/0PyxR6KWbTh0VSVymlohcPpjl4HLOT&#10;B2ZnQ3abx7/vCoK3+fies9qMphE9da62rOAlikEQ51bXXCrIfrfzJQjnkTU2lknBRA4264fZChNt&#10;Bz5Sn/pShBB2CSqovG8TKV1ekUEX2ZY4cIXtDPoAu1LqDocQbhr5Gscf0mDNoaHClr4ryi/pn1Fw&#10;OufZ4Io68z/lYdLZZcfP9KbU0+P49QnC0+jv4pt7r8P89wVcnwkX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sjNMMAAADcAAAADwAAAAAAAAAAAAAAAACYAgAAZHJzL2Rv&#10;d25yZXYueG1sUEsFBgAAAAAEAAQA9QAAAIgDAAAAAA==&#10;" fillcolor="black [3213]" strokecolor="#1f4d78 [1608]">
                  <v:textbox>
                    <w:txbxContent>
                      <w:p w14:paraId="18418490"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 xml:space="preserve">Dép. Conception </w:t>
                        </w:r>
                        <w:r>
                          <w:rPr>
                            <w:rFonts w:cstheme="majorBidi"/>
                            <w:b/>
                            <w:bCs/>
                            <w:color w:val="FFFFFF" w:themeColor="background1"/>
                            <w:sz w:val="16"/>
                            <w:szCs w:val="16"/>
                          </w:rPr>
                          <w:t xml:space="preserve">     </w:t>
                        </w:r>
                        <w:r w:rsidRPr="00596923">
                          <w:rPr>
                            <w:rFonts w:cstheme="majorBidi"/>
                            <w:b/>
                            <w:bCs/>
                            <w:color w:val="FFFFFF" w:themeColor="background1"/>
                            <w:sz w:val="16"/>
                            <w:szCs w:val="16"/>
                          </w:rPr>
                          <w:t>&amp;</w:t>
                        </w:r>
                        <w:r>
                          <w:rPr>
                            <w:rFonts w:cstheme="majorBidi"/>
                            <w:b/>
                            <w:bCs/>
                            <w:color w:val="FFFFFF" w:themeColor="background1"/>
                            <w:sz w:val="16"/>
                            <w:szCs w:val="16"/>
                          </w:rPr>
                          <w:t xml:space="preserve"> </w:t>
                        </w:r>
                        <w:r w:rsidRPr="00596923">
                          <w:rPr>
                            <w:rFonts w:cstheme="majorBidi"/>
                            <w:b/>
                            <w:bCs/>
                            <w:color w:val="FFFFFF" w:themeColor="background1"/>
                            <w:sz w:val="16"/>
                            <w:szCs w:val="16"/>
                          </w:rPr>
                          <w:t>Modèles</w:t>
                        </w:r>
                      </w:p>
                    </w:txbxContent>
                  </v:textbox>
                </v:rect>
                <v:rect id="Rectangle 376" o:spid="_x0000_s1063" style="position:absolute;left:19038;top:21631;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m9Q8EA&#10;AADcAAAADwAAAGRycy9kb3ducmV2LnhtbERPTYvCMBC9C/sfwix4EU11RaTbKCKKe/Gg9uBxthnb&#10;0mZSmmjrvzfCwt7m8T4nWfemFg9qXWlZwXQSgSDOrC45V5Be9uMlCOeRNdaWScGTHKxXH4MEY207&#10;PtHj7HMRQtjFqKDwvomldFlBBt3ENsSBu9nWoA+wzaVusQvhppazKFpIgyWHhgIb2haUVee7UXD9&#10;zdLO3crU7/LjU6fVgUf0pdTws998g/DU+3/xn/tHh/nzBbyfC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vUPBAAAA3AAAAA8AAAAAAAAAAAAAAAAAmAIAAGRycy9kb3du&#10;cmV2LnhtbFBLBQYAAAAABAAEAPUAAACGAwAAAAA=&#10;" fillcolor="black [3213]" strokecolor="#1f4d78 [1608]">
                  <v:textbox>
                    <w:txbxContent>
                      <w:p w14:paraId="762CA219" w14:textId="77777777" w:rsidR="00A36231" w:rsidRPr="00596923"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ADM.</w:t>
                        </w:r>
                        <w:r>
                          <w:rPr>
                            <w:rFonts w:cstheme="majorBidi"/>
                            <w:b/>
                            <w:bCs/>
                            <w:color w:val="FFFFFF" w:themeColor="background1"/>
                            <w:sz w:val="16"/>
                            <w:szCs w:val="16"/>
                          </w:rPr>
                          <w:t xml:space="preserve"> </w:t>
                        </w:r>
                        <w:r w:rsidRPr="00596923">
                          <w:rPr>
                            <w:rFonts w:cstheme="majorBidi"/>
                            <w:b/>
                            <w:bCs/>
                            <w:color w:val="FFFFFF" w:themeColor="background1"/>
                            <w:sz w:val="16"/>
                            <w:szCs w:val="16"/>
                          </w:rPr>
                          <w:t>Formation</w:t>
                        </w:r>
                        <w:r>
                          <w:rPr>
                            <w:rFonts w:cstheme="majorBidi"/>
                            <w:b/>
                            <w:bCs/>
                            <w:color w:val="FFFFFF" w:themeColor="background1"/>
                            <w:sz w:val="16"/>
                            <w:szCs w:val="16"/>
                          </w:rPr>
                          <w:t xml:space="preserve"> </w:t>
                        </w:r>
                        <w:r w:rsidRPr="00596923">
                          <w:rPr>
                            <w:rFonts w:cstheme="majorBidi"/>
                            <w:b/>
                            <w:bCs/>
                            <w:color w:val="FFFFFF" w:themeColor="background1"/>
                            <w:sz w:val="16"/>
                            <w:szCs w:val="16"/>
                          </w:rPr>
                          <w:t>Confection</w:t>
                        </w:r>
                      </w:p>
                    </w:txbxContent>
                  </v:textbox>
                </v:rect>
                <v:rect id="Rectangle 377" o:spid="_x0000_s1064" style="position:absolute;left:19038;top:28523;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Y2MMA&#10;AADcAAAADwAAAGRycy9kb3ducmV2LnhtbERPS2vCQBC+C/0PyxR6KWbTB1ZSVymlohcPpjl4HLOT&#10;B2ZnQ3abx7/vCoK3+fies9qMphE9da62rOAlikEQ51bXXCrIfrfzJQjnkTU2lknBRA4264fZChNt&#10;Bz5Sn/pShBB2CSqovG8TKV1ekUEX2ZY4cIXtDPoAu1LqDocQbhr5GscLabDm0FBhS98V5Zf0zyg4&#10;nfNscEWd+Z/yMOnssuNnelPq6XH8+gThafR38c2912H++wdcnwkX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UY2MMAAADcAAAADwAAAAAAAAAAAAAAAACYAgAAZHJzL2Rv&#10;d25yZXYueG1sUEsFBgAAAAAEAAQA9QAAAIgDAAAAAA==&#10;" fillcolor="black [3213]" strokecolor="#1f4d78 [1608]">
                  <v:textbox>
                    <w:txbxContent>
                      <w:p w14:paraId="07E44EFE" w14:textId="77777777" w:rsidR="00A36231" w:rsidRPr="00817A46" w:rsidRDefault="00A36231" w:rsidP="004D0DDB">
                        <w:pPr>
                          <w:ind w:firstLine="0"/>
                          <w:rPr>
                            <w:rFonts w:cstheme="majorBidi"/>
                            <w:b/>
                            <w:bCs/>
                            <w:color w:val="FFFFFF" w:themeColor="background1"/>
                            <w:sz w:val="16"/>
                            <w:szCs w:val="16"/>
                          </w:rPr>
                        </w:pPr>
                        <w:r w:rsidRPr="00596923">
                          <w:rPr>
                            <w:rFonts w:cstheme="majorBidi"/>
                            <w:b/>
                            <w:bCs/>
                            <w:color w:val="FFFFFF" w:themeColor="background1"/>
                            <w:sz w:val="16"/>
                            <w:szCs w:val="16"/>
                          </w:rPr>
                          <w:t>Dép. Méthodes</w:t>
                        </w:r>
                      </w:p>
                    </w:txbxContent>
                  </v:textbox>
                </v:rect>
                <v:rect id="Rectangle 384" o:spid="_x0000_s1065" style="position:absolute;left:19584;top:35415;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WjMMA&#10;AADcAAAADwAAAGRycy9kb3ducmV2LnhtbERPTU/CQBC9k/AfNkPCDbYiGi1sCcGU6BHKxdvQHdtq&#10;d7bpbmnx17MkJt7m5X3OejOYWlyodZVlBQ/zCARxbnXFhYJTls5eQDiPrLG2TAqu5GCTjEdrjLXt&#10;+UCXoy9ECGEXo4LS+yaW0uUlGXRz2xAH7su2Bn2AbSF1i30IN7VcRNGzNFhxaCixoV1J+c+xMwrO&#10;1eKEv4dsH5nX9NF/DNl39/mm1HQybFcgPA3+X/znftdh/tMS7s+EC2R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dWjMMAAADcAAAADwAAAAAAAAAAAAAAAACYAgAAZHJzL2Rv&#10;d25yZXYueG1sUEsFBgAAAAAEAAQA9QAAAIgDAAAAAA==&#10;">
                  <v:textbox>
                    <w:txbxContent>
                      <w:p w14:paraId="7915B8E4" w14:textId="77777777" w:rsidR="00A36231" w:rsidRPr="00596923" w:rsidRDefault="00A36231" w:rsidP="004D0DDB">
                        <w:pPr>
                          <w:ind w:firstLine="0"/>
                          <w:rPr>
                            <w:rFonts w:cstheme="majorBidi"/>
                            <w:b/>
                            <w:bCs/>
                            <w:sz w:val="18"/>
                            <w:szCs w:val="18"/>
                            <w:vertAlign w:val="subscript"/>
                          </w:rPr>
                        </w:pPr>
                        <w:r w:rsidRPr="00596923">
                          <w:rPr>
                            <w:rFonts w:cstheme="majorBidi"/>
                            <w:b/>
                            <w:bCs/>
                            <w:sz w:val="18"/>
                            <w:szCs w:val="18"/>
                            <w:vertAlign w:val="subscript"/>
                          </w:rPr>
                          <w:t>Ser. Confection</w:t>
                        </w:r>
                        <w:r>
                          <w:rPr>
                            <w:rFonts w:cstheme="majorBidi"/>
                            <w:b/>
                            <w:bCs/>
                            <w:sz w:val="18"/>
                            <w:szCs w:val="18"/>
                            <w:vertAlign w:val="subscript"/>
                          </w:rPr>
                          <w:t xml:space="preserve"> </w:t>
                        </w:r>
                        <w:r w:rsidRPr="00596923">
                          <w:rPr>
                            <w:rFonts w:cstheme="majorBidi"/>
                            <w:b/>
                            <w:bCs/>
                            <w:sz w:val="18"/>
                            <w:szCs w:val="18"/>
                            <w:vertAlign w:val="subscript"/>
                          </w:rPr>
                          <w:t>Planning</w:t>
                        </w:r>
                      </w:p>
                    </w:txbxContent>
                  </v:textbox>
                </v:rect>
                <v:shape id="AutoShape 385" o:spid="_x0000_s1066" type="#_x0000_t32" style="position:absolute;left:23542;top:34392;width:6;height:8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wORsMAAADcAAAADwAAAGRycy9kb3ducmV2LnhtbERP32vCMBB+H/g/hBP2MmzqoGNUo9SB&#10;MAc+qPP9bG5NWHOpTdTuv18GA9/u4/t58+XgWnGlPljPCqZZDoK49tpyo+DzsJ68gggRWWPrmRT8&#10;UIDlYvQwx1L7G+/ouo+NSCEcSlRgYuxKKUNtyGHIfEecuC/fO4wJ9o3UPd5SuGvlc56/SIeWU4PB&#10;jt4M1d/7i1Ow3UxX1cnYzcfubLfFumovzdNRqcfxUM1ARBriXfzvftdpflHA3zPpAr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sDkbDAAAA3AAAAA8AAAAAAAAAAAAA&#10;AAAAoQIAAGRycy9kb3ducmV2LnhtbFBLBQYAAAAABAAEAPkAAACRAwAAAAA=&#10;"/>
                <v:rect id="Rectangle 387" o:spid="_x0000_s1067" style="position:absolute;left:31048;top:14671;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XI+8MA&#10;AADcAAAADwAAAGRycy9kb3ducmV2LnhtbERPS2vCQBC+C/6HZQRvuqnFPqIbEUukPWq89DZmp0na&#10;7GzIbkzsr3eFQm/z8T1nvRlMLS7Uusqygod5BII4t7riQsEpS2cvIJxH1lhbJgVXcrBJxqM1xtr2&#10;fKDL0RcihLCLUUHpfRNL6fKSDLq5bYgD92Vbgz7AtpC6xT6Em1ououhJGqw4NJTY0K6k/OfYGQXn&#10;anHC30O2j8xr+ug/huy7+3xTajoZtisQngb/L/5zv+swf/kM92fCBT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XI+8MAAADcAAAADwAAAAAAAAAAAAAAAACYAgAAZHJzL2Rv&#10;d25yZXYueG1sUEsFBgAAAAAEAAQA9QAAAIgDAAAAAA==&#10;">
                  <v:textbox>
                    <w:txbxContent>
                      <w:p w14:paraId="5D220AF7" w14:textId="77777777" w:rsidR="00A36231" w:rsidRPr="00E65066" w:rsidRDefault="00A36231" w:rsidP="004D0DDB">
                        <w:pPr>
                          <w:ind w:firstLine="0"/>
                        </w:pPr>
                        <w:r w:rsidRPr="00E65066">
                          <w:rPr>
                            <w:rFonts w:cstheme="majorBidi"/>
                            <w:b/>
                            <w:bCs/>
                            <w:sz w:val="18"/>
                            <w:szCs w:val="18"/>
                            <w:vertAlign w:val="subscript"/>
                          </w:rPr>
                          <w:t>Ser.</w:t>
                        </w:r>
                        <w:r>
                          <w:rPr>
                            <w:rFonts w:cstheme="majorBidi"/>
                            <w:b/>
                            <w:bCs/>
                            <w:sz w:val="18"/>
                            <w:szCs w:val="18"/>
                            <w:vertAlign w:val="subscript"/>
                          </w:rPr>
                          <w:t xml:space="preserve"> Chemise</w:t>
                        </w:r>
                      </w:p>
                    </w:txbxContent>
                  </v:textbox>
                </v:rect>
                <v:rect id="Rectangle 388" o:spid="_x0000_s1068" style="position:absolute;left:31048;top:20744;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pcicQA&#10;AADcAAAADwAAAGRycy9kb3ducmV2LnhtbESPQW/CMAyF70j8h8hIu0EKaGh0BIRATOwI5cLNa7y2&#10;o3GqJkDZr58PSLvZes/vfV6sOlerG7Wh8mxgPEpAEefeVlwYOGW74RuoEJEt1p7JwIMCrJb93gJT&#10;6+98oNsxFkpCOKRooIyxSbUOeUkOw8g3xKJ9+9ZhlLUttG3xLuGu1pMkmWmHFUtDiQ1tSsovx6sz&#10;8FVNTvh7yD4SN99N42eX/VzPW2NeBt36HVSkLv6bn9d7K/iv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qXInEAAAA3AAAAA8AAAAAAAAAAAAAAAAAmAIAAGRycy9k&#10;b3ducmV2LnhtbFBLBQYAAAAABAAEAPUAAACJAwAAAAA=&#10;">
                  <v:textbox>
                    <w:txbxContent>
                      <w:p w14:paraId="1E9942A1" w14:textId="77777777" w:rsidR="00A36231" w:rsidRPr="00E65066" w:rsidRDefault="00A36231" w:rsidP="004D0DDB">
                        <w:pPr>
                          <w:ind w:firstLine="0"/>
                          <w:rPr>
                            <w:rFonts w:cstheme="majorBidi"/>
                            <w:b/>
                            <w:bCs/>
                            <w:sz w:val="18"/>
                            <w:szCs w:val="18"/>
                            <w:vertAlign w:val="subscript"/>
                          </w:rPr>
                        </w:pPr>
                        <w:r>
                          <w:rPr>
                            <w:rFonts w:cstheme="majorBidi"/>
                            <w:b/>
                            <w:bCs/>
                            <w:sz w:val="18"/>
                            <w:szCs w:val="18"/>
                            <w:vertAlign w:val="subscript"/>
                          </w:rPr>
                          <w:t xml:space="preserve">Ser. Sérigraphie </w:t>
                        </w:r>
                        <w:r w:rsidRPr="00E65066">
                          <w:rPr>
                            <w:rFonts w:cstheme="majorBidi"/>
                            <w:b/>
                            <w:bCs/>
                            <w:sz w:val="18"/>
                            <w:szCs w:val="18"/>
                            <w:vertAlign w:val="subscript"/>
                          </w:rPr>
                          <w:t>&amp;</w:t>
                        </w:r>
                        <w:r>
                          <w:rPr>
                            <w:rFonts w:cstheme="majorBidi"/>
                            <w:b/>
                            <w:bCs/>
                            <w:sz w:val="18"/>
                            <w:szCs w:val="18"/>
                            <w:vertAlign w:val="subscript"/>
                          </w:rPr>
                          <w:t xml:space="preserve"> </w:t>
                        </w:r>
                        <w:r w:rsidRPr="00E65066">
                          <w:rPr>
                            <w:rFonts w:cstheme="majorBidi"/>
                            <w:b/>
                            <w:bCs/>
                            <w:sz w:val="18"/>
                            <w:szCs w:val="18"/>
                            <w:vertAlign w:val="subscript"/>
                          </w:rPr>
                          <w:t>Broderie</w:t>
                        </w:r>
                      </w:p>
                    </w:txbxContent>
                  </v:textbox>
                </v:rect>
                <v:rect id="Rectangle 389" o:spid="_x0000_s1069" style="position:absolute;left:31048;top:26886;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5EsMA&#10;AADcAAAADwAAAGRycy9kb3ducmV2LnhtbERPTWvCQBC9F/wPywi9NRstlia6iigWPWpy6W2aHZO0&#10;2dmQXZO0v74rFHqbx/uc1WY0jeipc7VlBbMoBkFcWF1zqSDPDk+vIJxH1thYJgXf5GCznjysMNV2&#10;4DP1F1+KEMIuRQWV920qpSsqMugi2xIH7mo7gz7ArpS6wyGEm0bO4/hFGqw5NFTY0q6i4utyMwo+&#10;6nmOP+fsLTbJ4dmfxuzz9r5X6nE6bpcgPI3+X/znPuowf5H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b5EsMAAADcAAAADwAAAAAAAAAAAAAAAACYAgAAZHJzL2Rv&#10;d25yZXYueG1sUEsFBgAAAAAEAAQA9QAAAIgDAAAAAA==&#10;">
                  <v:textbox>
                    <w:txbxContent>
                      <w:p w14:paraId="5C29696A" w14:textId="77777777" w:rsidR="00A36231" w:rsidRPr="00E65066" w:rsidRDefault="00A36231" w:rsidP="004D0DDB">
                        <w:pPr>
                          <w:ind w:firstLine="0"/>
                        </w:pPr>
                        <w:r w:rsidRPr="00E65066">
                          <w:rPr>
                            <w:rFonts w:cstheme="majorBidi"/>
                            <w:b/>
                            <w:bCs/>
                            <w:sz w:val="18"/>
                            <w:szCs w:val="18"/>
                            <w:vertAlign w:val="subscript"/>
                          </w:rPr>
                          <w:t>Ser. Emballage</w:t>
                        </w:r>
                      </w:p>
                    </w:txbxContent>
                  </v:textbox>
                </v:rect>
                <v:rect id="Rectangle 390" o:spid="_x0000_s1070" style="position:absolute;left:31048;top:33095;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CaMsUA&#10;AADcAAAADwAAAGRycy9kb3ducmV2LnhtbESPQW/CMAyF70j7D5En7QbpmIS2jrRCQ6BxhPaym9d4&#10;bUfjVE2Ajl+PD0i72XrP731e5qPr1JmG0Ho28DxLQBFX3rZcGyiLzfQVVIjIFjvPZOCPAuTZw2SJ&#10;qfUX3tP5EGslIRxSNNDE2Kdah6ohh2Hme2LRfvzgMMo61NoOeJFw1+l5kiy0w5alocGePhqqjoeT&#10;M/Ddzku87ott4t42L3E3Fr+nr7UxT4/j6h1UpDH+m+/Xn1bwF4Ivz8gEO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JoyxQAAANwAAAAPAAAAAAAAAAAAAAAAAJgCAABkcnMv&#10;ZG93bnJldi54bWxQSwUGAAAAAAQABAD1AAAAigMAAAAA&#10;">
                  <v:textbox>
                    <w:txbxContent>
                      <w:p w14:paraId="0001D36B"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Polo</w:t>
                        </w:r>
                      </w:p>
                    </w:txbxContent>
                  </v:textbox>
                </v:rect>
                <v:rect id="Rectangle 391" o:spid="_x0000_s1071" style="position:absolute;left:31048;top:39169;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w/qcAA&#10;AADcAAAADwAAAGRycy9kb3ducmV2LnhtbERPTYvCMBC9C/6HMII3TVUQrUYRFxf3qPXibWzGttpM&#10;ShO17q83guBtHu9z5svGlOJOtSssKxj0IxDEqdUFZwoOyaY3AeE8ssbSMil4koPlot2aY6ztg3d0&#10;3/tMhBB2MSrIva9iKV2ak0HXtxVx4M62NugDrDOpa3yEcFPKYRSNpcGCQ0OOFa1zSq/7m1FwKoYH&#10;/N8lv5GZbkb+r0kut+OPUt1Os5qB8NT4r/jj3uowfzyA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Dw/qcAAAADcAAAADwAAAAAAAAAAAAAAAACYAgAAZHJzL2Rvd25y&#10;ZXYueG1sUEsFBgAAAAAEAAQA9QAAAIUDAAAAAA==&#10;">
                  <v:textbox>
                    <w:txbxContent>
                      <w:p w14:paraId="01D5C5EC" w14:textId="77777777" w:rsidR="00A36231" w:rsidRPr="00E65066" w:rsidRDefault="00A36231" w:rsidP="004D0DDB">
                        <w:pPr>
                          <w:ind w:firstLine="0"/>
                        </w:pPr>
                        <w:r w:rsidRPr="00E65066">
                          <w:rPr>
                            <w:rFonts w:cstheme="majorBidi"/>
                            <w:b/>
                            <w:bCs/>
                            <w:sz w:val="18"/>
                            <w:szCs w:val="18"/>
                            <w:vertAlign w:val="subscript"/>
                          </w:rPr>
                          <w:t>Ser. Préparation</w:t>
                        </w:r>
                      </w:p>
                    </w:txbxContent>
                  </v:textbox>
                </v:rect>
                <v:rect id="Rectangle 393" o:spid="_x0000_s1072" style="position:absolute;left:40397;top:14671;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IERcMA&#10;AADcAAAADwAAAGRycy9kb3ducmV2LnhtbERPS2vCQBC+F/oflil4azZGEJu6BmlR6jGPi7cxO03S&#10;ZmdDdtXUX98tCL3Nx/ecdTaZXlxodJ1lBfMoBkFcW91xo6Aqd88rEM4ja+wtk4IfcpBtHh/WmGp7&#10;5ZwuhW9ECGGXooLW+yGV0tUtGXSRHYgD92lHgz7AsZF6xGsIN71M4ngpDXYcGloc6K2l+rs4GwWn&#10;Lqnwlpf72LzsFv4wlV/n47tSs6dp+wrC0+T/xXf3hw7zlw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IERcMAAADcAAAADwAAAAAAAAAAAAAAAACYAgAAZHJzL2Rv&#10;d25yZXYueG1sUEsFBgAAAAAEAAQA9QAAAIgDAAAAAA==&#10;">
                  <v:textbox>
                    <w:txbxContent>
                      <w:p w14:paraId="598843C0" w14:textId="77777777" w:rsidR="00A36231" w:rsidRPr="00E65066" w:rsidRDefault="00A36231" w:rsidP="004D0DDB">
                        <w:pPr>
                          <w:ind w:firstLine="0"/>
                        </w:pPr>
                        <w:r w:rsidRPr="00E65066">
                          <w:rPr>
                            <w:rFonts w:cstheme="majorBidi"/>
                            <w:b/>
                            <w:bCs/>
                            <w:sz w:val="18"/>
                            <w:szCs w:val="18"/>
                            <w:vertAlign w:val="subscript"/>
                          </w:rPr>
                          <w:t>Tricot</w:t>
                        </w:r>
                      </w:p>
                    </w:txbxContent>
                  </v:textbox>
                </v:rect>
                <v:rect id="Rectangle 394" o:spid="_x0000_s1073" style="position:absolute;left:40397;top:20744;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ucMcMA&#10;AADcAAAADwAAAGRycy9kb3ducmV2LnhtbERPTWvCQBC9C/0PyxR6M5taERuzSmlJsUdNLr2N2WmS&#10;NjsbsmuM/vquIHibx/ucdDOaVgzUu8aygucoBkFcWt1wpaDIs+kShPPIGlvLpOBMDjbrh0mKibYn&#10;3tGw95UIIewSVFB73yVSurImgy6yHXHgfmxv0AfYV1L3eArhppWzOF5Igw2Hhho7eq+p/NsfjYJD&#10;Myvwsss/Y/OavfivMf89fn8o9fQ4vq1AeBr9XXxzb3WYv5jD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ucMcMAAADcAAAADwAAAAAAAAAAAAAAAACYAgAAZHJzL2Rv&#10;d25yZXYueG1sUEsFBgAAAAAEAAQA9QAAAIgDAAAAAA==&#10;">
                  <v:textbox>
                    <w:txbxContent>
                      <w:p w14:paraId="0C7A3297" w14:textId="77777777" w:rsidR="00A36231" w:rsidRPr="00E65066" w:rsidRDefault="00A36231" w:rsidP="004D0DDB">
                        <w:pPr>
                          <w:ind w:firstLine="0"/>
                        </w:pPr>
                        <w:r w:rsidRPr="00E65066">
                          <w:rPr>
                            <w:rFonts w:cstheme="majorBidi"/>
                            <w:b/>
                            <w:bCs/>
                            <w:sz w:val="18"/>
                            <w:szCs w:val="18"/>
                            <w:vertAlign w:val="subscript"/>
                          </w:rPr>
                          <w:t>Ser. Lavage</w:t>
                        </w:r>
                      </w:p>
                    </w:txbxContent>
                  </v:textbox>
                </v:rect>
                <v:rect id="Rectangle 395" o:spid="_x0000_s1074" style="position:absolute;left:40397;top:26886;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5qsMA&#10;AADcAAAADwAAAGRycy9kb3ducmV2LnhtbERPTWvCQBC9C/0PyxR6M5taFBuzSmlJsUdNLr2N2WmS&#10;NjsbsmuM/vquIHibx/ucdDOaVgzUu8aygucoBkFcWt1wpaDIs+kShPPIGlvLpOBMDjbrh0mKibYn&#10;3tGw95UIIewSVFB73yVSurImgy6yHXHgfmxv0AfYV1L3eArhppWzOF5Igw2Hhho7eq+p/NsfjYJD&#10;Myvwsss/Y/OavfivMf89fn8o9fQ4vq1AeBr9XXxzb3WYv5jD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c5qsMAAADcAAAADwAAAAAAAAAAAAAAAACYAgAAZHJzL2Rv&#10;d25yZXYueG1sUEsFBgAAAAAEAAQA9QAAAIgDAAAAAA==&#10;">
                  <v:textbox>
                    <w:txbxContent>
                      <w:p w14:paraId="086D1B98"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Denim</w:t>
                        </w:r>
                      </w:p>
                    </w:txbxContent>
                  </v:textbox>
                </v:rect>
                <v:rect id="Rectangle 396" o:spid="_x0000_s1075" style="position:absolute;left:40397;top:33095;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n3cMA&#10;AADcAAAADwAAAGRycy9kb3ducmV2LnhtbERPTWvCQBC9C/6HZYTezEYLoU2zCUVR2qMml96m2WmS&#10;Njsbsqum/fWuUPA2j/c5WTGZXpxpdJ1lBasoBkFcW91xo6Aqd8snEM4ja+wtk4JfclDk81mGqbYX&#10;PtD56BsRQtilqKD1fkildHVLBl1kB+LAfdnRoA9wbKQe8RLCTS/XcZxIgx2HhhYH2rRU/xxPRsFn&#10;t67w71DuY/O8e/TvU/l9+tgq9bCYXl9AeJr8XfzvftNhfpLA7Zlwg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Wn3cMAAADcAAAADwAAAAAAAAAAAAAAAACYAgAAZHJzL2Rv&#10;d25yZXYueG1sUEsFBgAAAAAEAAQA9QAAAIgDAAAAAA==&#10;">
                  <v:textbox>
                    <w:txbxContent>
                      <w:p w14:paraId="0C389266"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Non denim</w:t>
                        </w:r>
                      </w:p>
                    </w:txbxContent>
                  </v:textbox>
                </v:rect>
                <v:rect id="Rectangle 397" o:spid="_x0000_s1076" style="position:absolute;left:40397;top:39169;width:7741;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kCRsMA&#10;AADcAAAADwAAAGRycy9kb3ducmV2LnhtbERPTWvCQBC9C/0PyxR6MxsjaBuzhlKx2KMml97G7DRJ&#10;zc6G7Kqxv75bEHqbx/ucLB9NJy40uNayglkUgyCurG65VlAW2+kzCOeRNXaWScGNHOTrh0mGqbZX&#10;3tPl4GsRQtilqKDxvk+ldFVDBl1ke+LAfdnBoA9wqKUe8BrCTSeTOF5Igy2HhgZ7emuoOh3ORsGx&#10;TUr82RfvsXnZzv3HWHyfPzdKPT2OrysQnkb/L767dzrMXyzh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kCRsMAAADcAAAADwAAAAAAAAAAAAAAAACYAgAAZHJzL2Rv&#10;d25yZXYueG1sUEsFBgAAAAAEAAQA9QAAAIgDAAAAAA==&#10;">
                  <v:textbox>
                    <w:txbxContent>
                      <w:p w14:paraId="656CC6A3" w14:textId="77777777" w:rsidR="00A36231" w:rsidRPr="00E65066" w:rsidRDefault="00A36231" w:rsidP="004D0DDB">
                        <w:pPr>
                          <w:ind w:firstLine="0"/>
                        </w:pPr>
                        <w:r w:rsidRPr="00E65066">
                          <w:rPr>
                            <w:rFonts w:cstheme="majorBidi"/>
                            <w:b/>
                            <w:bCs/>
                            <w:sz w:val="18"/>
                            <w:szCs w:val="18"/>
                            <w:vertAlign w:val="subscript"/>
                          </w:rPr>
                          <w:t>Ser. Coupe</w:t>
                        </w:r>
                      </w:p>
                    </w:txbxContent>
                  </v:textbox>
                </v:rect>
                <v:rect id="Rectangle 407" o:spid="_x0000_s1077" style="position:absolute;left:54113;width:9144;height:6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aYKcEA&#10;AADcAAAADwAAAGRycy9kb3ducmV2LnhtbERPTWvCQBC9F/wPywje6saCtURXUaFie2vsxduQHZNo&#10;djZkR13/fbdQ6G0e73MWq+hadaM+NJ4NTMYZKOLS24YrA9+H9+c3UEGQLbaeycCDAqyWg6cF5tbf&#10;+YtuhVQqhXDI0UAt0uVah7Imh2HsO+LEnXzvUBLsK217vKdw1+qXLHvVDhtODTV2tK2pvBRXZ4A3&#10;UQ6PvbNOdtPmHM8fn0V7NGY0jOs5KKEo/+I/996m+bMZ/D6TLtD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GmCnBAAAA3AAAAA8AAAAAAAAAAAAAAAAAmAIAAGRycy9kb3du&#10;cmV2LnhtbFBLBQYAAAAABAAEAPUAAACGAwAAAAA=&#10;" fillcolor="#00b050" strokecolor="black [3213]">
                  <v:textbox>
                    <w:txbxContent>
                      <w:p w14:paraId="2E3A0369"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Direction Production Textile</w:t>
                        </w:r>
                      </w:p>
                    </w:txbxContent>
                  </v:textbox>
                </v:rect>
                <v:rect id="Rectangle 408" o:spid="_x0000_s1078" style="position:absolute;left:54045;top:7983;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GF8QA&#10;AADcAAAADwAAAGRycy9kb3ducmV2LnhtbESPQWvCQBCF7wX/wzJCL0U3VagSXUVKpV48VHPwOGbH&#10;JJidDdmtif/eOQjeZnhv3vtmue5drW7Uhsqzgc9xAoo497biwkB23I7moEJEtlh7JgN3CrBeDd6W&#10;mFrf8R/dDrFQEsIhRQNljE2qdchLchjGviEW7eJbh1HWttC2xU7CXa0nSfKlHVYsDSU29F1Sfj38&#10;OwOnc5514VJl8afY3212/eUPmhrzPuw3C1CR+vgyP693VvBnQivPyAR6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WRhfEAAAA3AAAAA8AAAAAAAAAAAAAAAAAmAIAAGRycy9k&#10;b3ducmV2LnhtbFBLBQYAAAAABAAEAPUAAACJAwAAAAA=&#10;" fillcolor="black [3213]" strokecolor="#1f4d78 [1608]">
                  <v:textbox>
                    <w:txbxContent>
                      <w:p w14:paraId="0C6DF424" w14:textId="77777777" w:rsidR="00A36231" w:rsidRPr="00787B60" w:rsidRDefault="00A36231" w:rsidP="004D0DDB">
                        <w:pPr>
                          <w:ind w:firstLine="0"/>
                          <w:rPr>
                            <w:rFonts w:cstheme="majorBidi"/>
                            <w:b/>
                            <w:bCs/>
                            <w:color w:val="FFFFFF" w:themeColor="background1"/>
                            <w:sz w:val="16"/>
                            <w:szCs w:val="16"/>
                          </w:rPr>
                        </w:pPr>
                        <w:r w:rsidRPr="00787B60">
                          <w:rPr>
                            <w:rFonts w:cstheme="majorBidi"/>
                            <w:b/>
                            <w:bCs/>
                            <w:color w:val="FFFFFF" w:themeColor="background1"/>
                            <w:sz w:val="16"/>
                            <w:szCs w:val="16"/>
                          </w:rPr>
                          <w:t>Dép. Commercial</w:t>
                        </w:r>
                        <w:r>
                          <w:rPr>
                            <w:rFonts w:cstheme="majorBidi"/>
                            <w:b/>
                            <w:bCs/>
                            <w:color w:val="FFFFFF" w:themeColor="background1"/>
                            <w:sz w:val="16"/>
                            <w:szCs w:val="16"/>
                          </w:rPr>
                          <w:t xml:space="preserve">   </w:t>
                        </w:r>
                        <w:r w:rsidRPr="00787B60">
                          <w:rPr>
                            <w:rFonts w:cstheme="majorBidi"/>
                            <w:b/>
                            <w:bCs/>
                            <w:color w:val="FFFFFF" w:themeColor="background1"/>
                            <w:sz w:val="16"/>
                            <w:szCs w:val="16"/>
                          </w:rPr>
                          <w:t>Fil-Tissu</w:t>
                        </w:r>
                      </w:p>
                    </w:txbxContent>
                  </v:textbox>
                </v:rect>
                <v:rect id="Rectangle 409" o:spid="_x0000_s1079" style="position:absolute;left:49541;top:14807;width:7741;height:5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OlcsMA&#10;AADcAAAADwAAAGRycy9kb3ducmV2LnhtbERPTWvCQBC9F/wPywi9NRst2Ca6iigWPWpy6W2aHZO0&#10;2dmQXZO0v74rFHqbx/uc1WY0jeipc7VlBbMoBkFcWF1zqSDPDk+vIJxH1thYJgXf5GCznjysMNV2&#10;4DP1F1+KEMIuRQWV920qpSsqMugi2xIH7mo7gz7ArpS6wyGEm0bO43ghDdYcGipsaVdR8XW5GQUf&#10;9TzHn3P2Fpvk8OxPY/Z5e98r9Tgdt0sQnkb/L/5zH3WY/5L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OlcsMAAADcAAAADwAAAAAAAAAAAAAAAACYAgAAZHJzL2Rv&#10;d25yZXYueG1sUEsFBgAAAAAEAAQA9QAAAIgDAAAAAA==&#10;">
                  <v:textbox>
                    <w:txbxContent>
                      <w:p w14:paraId="1BB1FCC5"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Export</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(EGYPTE)</w:t>
                        </w:r>
                      </w:p>
                    </w:txbxContent>
                  </v:textbox>
                </v:rect>
                <v:rect id="Rectangle 410" o:spid="_x0000_s1080" style="position:absolute;left:49541;top:20881;width:7741;height:5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x8yMQA&#10;AADcAAAADwAAAGRycy9kb3ducmV2LnhtbESPQW/CMAyF70j7D5EncYN0ICHoCGgaAsER2gs3r/Ha&#10;bo1TNQEKvx4fJu1m6z2/93m57l2jrtSF2rOBt3ECirjwtubSQJ5tR3NQISJbbDyTgTsFWK9eBktM&#10;rb/xka6nWCoJ4ZCigSrGNtU6FBU5DGPfEov27TuHUdau1LbDm4S7Rk+SZKYd1iwNFbb0WVHxe7o4&#10;A1/1JMfHMdslbrGdxkOf/VzOG2OGr/3HO6hIffw3/13vreDPBV+ekQn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8fMjEAAAA3AAAAA8AAAAAAAAAAAAAAAAAmAIAAGRycy9k&#10;b3ducmV2LnhtbFBLBQYAAAAABAAEAPUAAACJAwAAAAA=&#10;">
                  <v:textbox>
                    <w:txbxContent>
                      <w:p w14:paraId="6C2994AD"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Export</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(TUNISIE)</w:t>
                        </w:r>
                      </w:p>
                    </w:txbxContent>
                  </v:textbox>
                </v:rect>
                <v:rect id="Rectangle 411" o:spid="_x0000_s1081" style="position:absolute;left:49541;top:26954;width:7741;height:5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DZU8AA&#10;AADcAAAADwAAAGRycy9kb3ducmV2LnhtbERPTYvCMBC9C/6HMII3TVUQtxpFFMU9ar14G5uxrTaT&#10;0kSt++uNIOxtHu9zZovGlOJBtSssKxj0IxDEqdUFZwqOyaY3AeE8ssbSMil4kYPFvN2aYaztk/f0&#10;OPhMhBB2MSrIva9iKV2ak0HXtxVx4C62NugDrDOpa3yGcFPKYRSNpcGCQ0OOFa1ySm+Hu1FwLoZH&#10;/Nsn28j8bEb+t0mu99NaqW6nWU5BeGr8v/jr3ukwfzKAzzPhA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DZU8AAAADcAAAADwAAAAAAAAAAAAAAAACYAgAAZHJzL2Rvd25y&#10;ZXYueG1sUEsFBgAAAAAEAAQA9QAAAIUDAAAAAA==&#10;">
                  <v:textbox>
                    <w:txbxContent>
                      <w:p w14:paraId="492A9E67" w14:textId="77777777" w:rsidR="00A36231" w:rsidRPr="00787B60" w:rsidRDefault="00A36231" w:rsidP="004D0DDB">
                        <w:pPr>
                          <w:ind w:firstLine="0"/>
                          <w:rPr>
                            <w:rFonts w:cstheme="majorBidi"/>
                            <w:b/>
                            <w:bCs/>
                            <w:sz w:val="18"/>
                            <w:szCs w:val="18"/>
                            <w:vertAlign w:val="subscript"/>
                          </w:rPr>
                        </w:pPr>
                        <w:r w:rsidRPr="00787B60">
                          <w:rPr>
                            <w:rFonts w:cstheme="majorBidi"/>
                            <w:b/>
                            <w:bCs/>
                            <w:sz w:val="18"/>
                            <w:szCs w:val="18"/>
                            <w:vertAlign w:val="subscript"/>
                          </w:rPr>
                          <w:t>Ser. Commercial</w:t>
                        </w:r>
                        <w:r>
                          <w:rPr>
                            <w:rFonts w:cstheme="majorBidi"/>
                            <w:b/>
                            <w:bCs/>
                            <w:sz w:val="18"/>
                            <w:szCs w:val="18"/>
                            <w:vertAlign w:val="subscript"/>
                          </w:rPr>
                          <w:t xml:space="preserve"> </w:t>
                        </w:r>
                        <w:r w:rsidRPr="00787B60">
                          <w:rPr>
                            <w:rFonts w:cstheme="majorBidi"/>
                            <w:b/>
                            <w:bCs/>
                            <w:sz w:val="18"/>
                            <w:szCs w:val="18"/>
                            <w:vertAlign w:val="subscript"/>
                          </w:rPr>
                          <w:t>Fil-Tissu</w:t>
                        </w:r>
                        <w:r>
                          <w:rPr>
                            <w:rFonts w:cstheme="majorBidi"/>
                            <w:b/>
                            <w:bCs/>
                            <w:sz w:val="18"/>
                            <w:szCs w:val="18"/>
                            <w:vertAlign w:val="subscript"/>
                          </w:rPr>
                          <w:t xml:space="preserve">   (</w:t>
                        </w:r>
                        <w:r w:rsidRPr="00787B60">
                          <w:rPr>
                            <w:rFonts w:cstheme="majorBidi"/>
                            <w:b/>
                            <w:bCs/>
                            <w:sz w:val="18"/>
                            <w:szCs w:val="18"/>
                            <w:vertAlign w:val="subscript"/>
                          </w:rPr>
                          <w:t>SPAIN)</w:t>
                        </w:r>
                      </w:p>
                    </w:txbxContent>
                  </v:textbox>
                </v:rect>
                <v:shape id="AutoShape 416" o:spid="_x0000_s1082" type="#_x0000_t32" style="position:absolute;left:58412;top:13988;width:6;height:15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68dsIAAADcAAAADwAAAGRycy9kb3ducmV2LnhtbERPS2sCMRC+F/ofwhR6KZq1oMhqlLUg&#10;1IIHX/dxM92EbibrJur23xtB8DYf33Om887V4kJtsJ4VDPoZCOLSa8uVgv1u2RuDCBFZY+2ZFPxT&#10;gPns9WWKufZX3tBlGyuRQjjkqMDE2ORShtKQw9D3DXHifn3rMCbYVlK3eE3hrpafWTaSDi2nBoMN&#10;fRkq/7Znp2C9GiyKo7Grn83JrofLoj5XHwel3t+6YgIiUhef4of7W6f54xHcn0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68dsIAAADcAAAADwAAAAAAAAAAAAAA&#10;AAChAgAAZHJzL2Rvd25yZXYueG1sUEsFBgAAAAAEAAQA+QAAAJADAAAAAA==&#10;"/>
                <v:rect id="Rectangle 420" o:spid="_x0000_s1083" style="position:absolute;left:54045;top:33368;width:9144;height:6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ys68QA&#10;AADcAAAADwAAAGRycy9kb3ducmV2LnhtbESPQWvCQBCF7wX/wzJCL0U3VSgaXUVKpV48VHPwOGbH&#10;JJidDdmtif/eOQjeZnhv3vtmue5drW7Uhsqzgc9xAoo497biwkB23I5moEJEtlh7JgN3CrBeDd6W&#10;mFrf8R/dDrFQEsIhRQNljE2qdchLchjGviEW7eJbh1HWttC2xU7CXa0nSfKlHVYsDSU29F1Sfj38&#10;OwOnc5514VJl8afY3212/eUPmhrzPuw3C1CR+vgyP693VvDngi/PyAR6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srOvEAAAA3AAAAA8AAAAAAAAAAAAAAAAAmAIAAGRycy9k&#10;b3ducmV2LnhtbFBLBQYAAAAABAAEAPUAAACJAwAAAAA=&#10;" fillcolor="black [3213]" strokecolor="#1f4d78 [1608]">
                  <v:textbox>
                    <w:txbxContent>
                      <w:p w14:paraId="71CDEE77" w14:textId="77777777" w:rsidR="00A36231" w:rsidRPr="007829BA" w:rsidRDefault="00A36231" w:rsidP="004D0DDB">
                        <w:pPr>
                          <w:ind w:firstLine="0"/>
                          <w:rPr>
                            <w:rFonts w:cstheme="majorBidi"/>
                            <w:b/>
                            <w:bCs/>
                            <w:color w:val="FFFFFF" w:themeColor="background1"/>
                            <w:sz w:val="16"/>
                            <w:szCs w:val="16"/>
                          </w:rPr>
                        </w:pPr>
                        <w:r w:rsidRPr="007829BA">
                          <w:rPr>
                            <w:rFonts w:cstheme="majorBidi"/>
                            <w:b/>
                            <w:bCs/>
                            <w:color w:val="FFFFFF" w:themeColor="background1"/>
                            <w:sz w:val="16"/>
                            <w:szCs w:val="16"/>
                          </w:rPr>
                          <w:t>Dép. Commercial</w:t>
                        </w:r>
                        <w:r>
                          <w:rPr>
                            <w:rFonts w:cstheme="majorBidi"/>
                            <w:b/>
                            <w:bCs/>
                            <w:color w:val="FFFFFF" w:themeColor="background1"/>
                            <w:sz w:val="16"/>
                            <w:szCs w:val="16"/>
                          </w:rPr>
                          <w:t xml:space="preserve"> </w:t>
                        </w:r>
                        <w:r w:rsidRPr="007829BA">
                          <w:rPr>
                            <w:rFonts w:cstheme="majorBidi"/>
                            <w:b/>
                            <w:bCs/>
                            <w:color w:val="FFFFFF" w:themeColor="background1"/>
                            <w:sz w:val="16"/>
                            <w:szCs w:val="16"/>
                          </w:rPr>
                          <w:t>Confetion</w:t>
                        </w:r>
                        <w:r>
                          <w:rPr>
                            <w:rFonts w:cstheme="majorBidi"/>
                            <w:b/>
                            <w:bCs/>
                            <w:color w:val="FFFFFF" w:themeColor="background1"/>
                            <w:sz w:val="16"/>
                            <w:szCs w:val="16"/>
                          </w:rPr>
                          <w:t xml:space="preserve">           </w:t>
                        </w:r>
                        <w:r w:rsidRPr="007829BA">
                          <w:rPr>
                            <w:rFonts w:cstheme="majorBidi"/>
                            <w:b/>
                            <w:bCs/>
                            <w:color w:val="FFFFFF" w:themeColor="background1"/>
                            <w:sz w:val="16"/>
                            <w:szCs w:val="16"/>
                          </w:rPr>
                          <w:t>- Garment</w:t>
                        </w:r>
                        <w:r>
                          <w:rPr>
                            <w:rFonts w:cstheme="majorBidi"/>
                            <w:b/>
                            <w:bCs/>
                            <w:color w:val="FFFFFF" w:themeColor="background1"/>
                            <w:sz w:val="16"/>
                            <w:szCs w:val="16"/>
                          </w:rPr>
                          <w:t>-</w:t>
                        </w:r>
                      </w:p>
                    </w:txbxContent>
                  </v:textbox>
                </v:rect>
                <v:rect id="Rectangle 422" o:spid="_x0000_s1084" style="position:absolute;left:49541;top:40124;width:7741;height:5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R+cMA&#10;AADcAAAADwAAAGRycy9kb3ducmV2LnhtbERPTWvCQBC9C/0PyxR6M7umIE3qKtJiqUdNLt7G7DRJ&#10;m50N2VXT/npXKHibx/ucxWq0nTjT4FvHGmaJAkFcOdNyraEsNtMXED4gG+wck4Zf8rBaPkwWmBt3&#10;4R2d96EWMYR9jhqaEPpcSl81ZNEnrieO3JcbLIYIh1qaAS8x3HYyVWouLbYcGxrs6a2h6md/shqO&#10;bVri3674UDbbPIftWHyfDu9aPz2O61cQgcZwF/+7P02cn6V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vR+cMAAADcAAAADwAAAAAAAAAAAAAAAACYAgAAZHJzL2Rv&#10;d25yZXYueG1sUEsFBgAAAAAEAAQA9QAAAIgDAAAAAA==&#10;">
                  <v:textbox>
                    <w:txbxContent>
                      <w:p w14:paraId="7D4F35D7" w14:textId="77777777" w:rsidR="00A36231" w:rsidRPr="007829BA" w:rsidRDefault="00A36231" w:rsidP="004D0DDB">
                        <w:pPr>
                          <w:ind w:firstLine="0"/>
                          <w:rPr>
                            <w:rFonts w:cstheme="majorBidi"/>
                            <w:b/>
                            <w:bCs/>
                            <w:sz w:val="18"/>
                            <w:szCs w:val="18"/>
                            <w:vertAlign w:val="subscript"/>
                          </w:rPr>
                        </w:pPr>
                        <w:r w:rsidRPr="007829BA">
                          <w:rPr>
                            <w:rFonts w:cstheme="majorBidi"/>
                            <w:b/>
                            <w:bCs/>
                            <w:sz w:val="18"/>
                            <w:szCs w:val="18"/>
                            <w:vertAlign w:val="subscript"/>
                          </w:rPr>
                          <w:t>Ser. Commercial</w:t>
                        </w:r>
                        <w:r>
                          <w:rPr>
                            <w:rFonts w:cstheme="majorBidi"/>
                            <w:b/>
                            <w:bCs/>
                            <w:sz w:val="18"/>
                            <w:szCs w:val="18"/>
                            <w:vertAlign w:val="subscript"/>
                          </w:rPr>
                          <w:t xml:space="preserve"> </w:t>
                        </w:r>
                        <w:r w:rsidRPr="007829BA">
                          <w:rPr>
                            <w:rFonts w:cstheme="majorBidi"/>
                            <w:b/>
                            <w:bCs/>
                            <w:sz w:val="18"/>
                            <w:szCs w:val="18"/>
                            <w:vertAlign w:val="subscript"/>
                          </w:rPr>
                          <w:t>Garment -Export</w:t>
                        </w:r>
                      </w:p>
                    </w:txbxContent>
                  </v:textbox>
                </v:rect>
              </v:group>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6944" behindDoc="0" locked="0" layoutInCell="1" allowOverlap="1" wp14:anchorId="67BC0249" wp14:editId="32B0A447">
                <wp:simplePos x="0" y="0"/>
                <wp:positionH relativeFrom="column">
                  <wp:posOffset>509905</wp:posOffset>
                </wp:positionH>
                <wp:positionV relativeFrom="paragraph">
                  <wp:posOffset>-125095</wp:posOffset>
                </wp:positionV>
                <wp:extent cx="5398135" cy="0"/>
                <wp:effectExtent l="12065" t="8890" r="9525" b="10160"/>
                <wp:wrapNone/>
                <wp:docPr id="200" name="AutoShap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098880" id="AutoShape 430" o:spid="_x0000_s1026" type="#_x0000_t32" style="position:absolute;margin-left:40.15pt;margin-top:-9.85pt;width:425.05pt;height:0;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5920" behindDoc="0" locked="0" layoutInCell="1" allowOverlap="1" wp14:anchorId="3D9B1800" wp14:editId="01F49A89">
                <wp:simplePos x="0" y="0"/>
                <wp:positionH relativeFrom="column">
                  <wp:posOffset>946150</wp:posOffset>
                </wp:positionH>
                <wp:positionV relativeFrom="paragraph">
                  <wp:posOffset>6684645</wp:posOffset>
                </wp:positionV>
                <wp:extent cx="84455" cy="0"/>
                <wp:effectExtent l="10160" t="8255" r="10160" b="10795"/>
                <wp:wrapNone/>
                <wp:docPr id="199" name="AutoShap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79A87C" id="AutoShape 429" o:spid="_x0000_s1026" type="#_x0000_t32" style="position:absolute;margin-left:74.5pt;margin-top:526.35pt;width:6.65pt;height:0;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4896" behindDoc="0" locked="0" layoutInCell="1" allowOverlap="1" wp14:anchorId="1FD927C7" wp14:editId="68D7C500">
                <wp:simplePos x="0" y="0"/>
                <wp:positionH relativeFrom="column">
                  <wp:posOffset>6361430</wp:posOffset>
                </wp:positionH>
                <wp:positionV relativeFrom="paragraph">
                  <wp:posOffset>5614670</wp:posOffset>
                </wp:positionV>
                <wp:extent cx="198755" cy="0"/>
                <wp:effectExtent l="15240" t="52705" r="5080" b="61595"/>
                <wp:wrapNone/>
                <wp:docPr id="198" name="AutoShap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D1D445" id="AutoShape 428" o:spid="_x0000_s1026" type="#_x0000_t32" style="position:absolute;margin-left:500.9pt;margin-top:442.1pt;width:15.65pt;height:0;flip:x;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70QPAIAAGo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3872" behindDoc="0" locked="0" layoutInCell="1" allowOverlap="1" wp14:anchorId="38AD7B53" wp14:editId="7260EF53">
                <wp:simplePos x="0" y="0"/>
                <wp:positionH relativeFrom="column">
                  <wp:posOffset>5452745</wp:posOffset>
                </wp:positionH>
                <wp:positionV relativeFrom="paragraph">
                  <wp:posOffset>5314315</wp:posOffset>
                </wp:positionV>
                <wp:extent cx="914400" cy="601345"/>
                <wp:effectExtent l="11430" t="9525" r="7620" b="8255"/>
                <wp:wrapNone/>
                <wp:docPr id="197"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177B50CB" w14:textId="77777777" w:rsidR="00A36231" w:rsidRPr="007829BA" w:rsidRDefault="00A36231" w:rsidP="004D0DDB">
                            <w:pPr>
                              <w:ind w:firstLine="0"/>
                            </w:pPr>
                            <w:r w:rsidRPr="007829BA">
                              <w:rPr>
                                <w:rFonts w:cstheme="majorBidi"/>
                                <w:b/>
                                <w:bCs/>
                                <w:color w:val="FFFFFF" w:themeColor="background1"/>
                                <w:sz w:val="16"/>
                                <w:szCs w:val="16"/>
                              </w:rPr>
                              <w:t>Dép. Back-Office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D7B53" id="Rectangle 427" o:spid="_x0000_s1085" style="position:absolute;left:0;text-align:left;margin-left:429.35pt;margin-top:418.45pt;width:1in;height:47.3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" fillcolor="black [3213]" strokecolor="#1f4d78 [1608]">
                <v:textbox>
                  <w:txbxContent>
                    <w:p w14:paraId="177B50CB" w14:textId="77777777" w:rsidR="00A36231" w:rsidRPr="007829BA" w:rsidRDefault="00A36231" w:rsidP="004D0DDB">
                      <w:pPr>
                        <w:ind w:firstLine="0"/>
                      </w:pPr>
                      <w:r w:rsidRPr="007829BA">
                        <w:rPr>
                          <w:rFonts w:cstheme="majorBidi"/>
                          <w:b/>
                          <w:bCs/>
                          <w:color w:val="FFFFFF" w:themeColor="background1"/>
                          <w:sz w:val="16"/>
                          <w:szCs w:val="16"/>
                        </w:rPr>
                        <w:t>Dép. Back-Office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2848" behindDoc="0" locked="0" layoutInCell="1" allowOverlap="1" wp14:anchorId="0BCA2AA2" wp14:editId="65D2367B">
                <wp:simplePos x="0" y="0"/>
                <wp:positionH relativeFrom="column">
                  <wp:posOffset>5772785</wp:posOffset>
                </wp:positionH>
                <wp:positionV relativeFrom="paragraph">
                  <wp:posOffset>4945380</wp:posOffset>
                </wp:positionV>
                <wp:extent cx="116205" cy="0"/>
                <wp:effectExtent l="7620" t="12065" r="9525" b="6985"/>
                <wp:wrapNone/>
                <wp:docPr id="196" name="AutoShap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96376B" id="AutoShape 426" o:spid="_x0000_s1026" type="#_x0000_t32" style="position:absolute;margin-left:454.55pt;margin-top:389.4pt;width:9.15pt;height:0;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yFPHw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1824" behindDoc="0" locked="0" layoutInCell="1" allowOverlap="1" wp14:anchorId="4C80FE46" wp14:editId="0BA7AB5C">
                <wp:simplePos x="0" y="0"/>
                <wp:positionH relativeFrom="column">
                  <wp:posOffset>5772785</wp:posOffset>
                </wp:positionH>
                <wp:positionV relativeFrom="paragraph">
                  <wp:posOffset>4345305</wp:posOffset>
                </wp:positionV>
                <wp:extent cx="116205" cy="0"/>
                <wp:effectExtent l="7620" t="12065" r="9525" b="6985"/>
                <wp:wrapNone/>
                <wp:docPr id="195"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0A7B7" id="AutoShape 425" o:spid="_x0000_s1026" type="#_x0000_t32" style="position:absolute;margin-left:454.55pt;margin-top:342.15pt;width:9.15pt;height:0;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80800" behindDoc="0" locked="0" layoutInCell="1" allowOverlap="1" wp14:anchorId="3A65996D" wp14:editId="66BBBC7E">
                <wp:simplePos x="0" y="0"/>
                <wp:positionH relativeFrom="column">
                  <wp:posOffset>5888990</wp:posOffset>
                </wp:positionH>
                <wp:positionV relativeFrom="paragraph">
                  <wp:posOffset>3992880</wp:posOffset>
                </wp:positionV>
                <wp:extent cx="635" cy="952500"/>
                <wp:effectExtent l="9525" t="12065" r="8890" b="6985"/>
                <wp:wrapNone/>
                <wp:docPr id="194" name="AutoShap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52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CBC4AA" id="AutoShape 424" o:spid="_x0000_s1026" type="#_x0000_t32" style="position:absolute;margin-left:463.7pt;margin-top:314.4pt;width:.05pt;height:7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isIQIAAEA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9776" behindDoc="0" locked="0" layoutInCell="1" allowOverlap="1" wp14:anchorId="4B3B1C11" wp14:editId="35B0A067">
                <wp:simplePos x="0" y="0"/>
                <wp:positionH relativeFrom="column">
                  <wp:posOffset>4998720</wp:posOffset>
                </wp:positionH>
                <wp:positionV relativeFrom="paragraph">
                  <wp:posOffset>4679315</wp:posOffset>
                </wp:positionV>
                <wp:extent cx="774065" cy="523875"/>
                <wp:effectExtent l="5080" t="12700" r="11430" b="6350"/>
                <wp:wrapNone/>
                <wp:docPr id="193"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0C4977B7" w14:textId="77777777" w:rsidR="00A36231" w:rsidRPr="007829BA" w:rsidRDefault="00A36231" w:rsidP="004D0DDB">
                            <w:pPr>
                              <w:ind w:firstLine="0"/>
                              <w:rPr>
                                <w:rFonts w:cstheme="majorBidi"/>
                                <w:b/>
                                <w:bCs/>
                                <w:sz w:val="18"/>
                                <w:szCs w:val="18"/>
                                <w:vertAlign w:val="subscript"/>
                              </w:rPr>
                            </w:pPr>
                            <w:r w:rsidRPr="007829BA">
                              <w:rPr>
                                <w:rFonts w:cstheme="majorBidi"/>
                                <w:b/>
                                <w:bCs/>
                                <w:sz w:val="18"/>
                                <w:szCs w:val="18"/>
                                <w:vertAlign w:val="subscript"/>
                              </w:rPr>
                              <w:t>Ser. Commercial</w:t>
                            </w:r>
                            <w:r>
                              <w:rPr>
                                <w:rFonts w:cstheme="majorBidi"/>
                                <w:b/>
                                <w:bCs/>
                                <w:sz w:val="18"/>
                                <w:szCs w:val="18"/>
                                <w:vertAlign w:val="subscript"/>
                              </w:rPr>
                              <w:t xml:space="preserve"> </w:t>
                            </w:r>
                            <w:r w:rsidRPr="007829BA">
                              <w:rPr>
                                <w:rFonts w:cstheme="majorBidi"/>
                                <w:b/>
                                <w:bCs/>
                                <w:sz w:val="18"/>
                                <w:szCs w:val="18"/>
                                <w:vertAlign w:val="subscript"/>
                              </w:rPr>
                              <w:t>Garment -Local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B1C11" id="Rectangle 423" o:spid="_x0000_s1086" style="position:absolute;left:0;text-align:left;margin-left:393.6pt;margin-top:368.45pt;width:60.95pt;height:41.2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">
                <v:textbox>
                  <w:txbxContent>
                    <w:p w14:paraId="0C4977B7" w14:textId="77777777" w:rsidR="00A36231" w:rsidRPr="007829BA" w:rsidRDefault="00A36231" w:rsidP="004D0DDB">
                      <w:pPr>
                        <w:ind w:firstLine="0"/>
                        <w:rPr>
                          <w:rFonts w:cstheme="majorBidi"/>
                          <w:b/>
                          <w:bCs/>
                          <w:sz w:val="18"/>
                          <w:szCs w:val="18"/>
                          <w:vertAlign w:val="subscript"/>
                        </w:rPr>
                      </w:pPr>
                      <w:r w:rsidRPr="007829BA">
                        <w:rPr>
                          <w:rFonts w:cstheme="majorBidi"/>
                          <w:b/>
                          <w:bCs/>
                          <w:sz w:val="18"/>
                          <w:szCs w:val="18"/>
                          <w:vertAlign w:val="subscript"/>
                        </w:rPr>
                        <w:t>Ser. Commercial</w:t>
                      </w:r>
                      <w:r>
                        <w:rPr>
                          <w:rFonts w:cstheme="majorBidi"/>
                          <w:b/>
                          <w:bCs/>
                          <w:sz w:val="18"/>
                          <w:szCs w:val="18"/>
                          <w:vertAlign w:val="subscript"/>
                        </w:rPr>
                        <w:t xml:space="preserve"> </w:t>
                      </w:r>
                      <w:r w:rsidRPr="007829BA">
                        <w:rPr>
                          <w:rFonts w:cstheme="majorBidi"/>
                          <w:b/>
                          <w:bCs/>
                          <w:sz w:val="18"/>
                          <w:szCs w:val="18"/>
                          <w:vertAlign w:val="subscript"/>
                        </w:rPr>
                        <w:t>Garment -Local</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6704" behindDoc="0" locked="0" layoutInCell="1" allowOverlap="1" wp14:anchorId="54065C4B" wp14:editId="130F9106">
                <wp:simplePos x="0" y="0"/>
                <wp:positionH relativeFrom="column">
                  <wp:posOffset>6361430</wp:posOffset>
                </wp:positionH>
                <wp:positionV relativeFrom="paragraph">
                  <wp:posOffset>3692525</wp:posOffset>
                </wp:positionV>
                <wp:extent cx="198755" cy="0"/>
                <wp:effectExtent l="15240" t="54610" r="5080" b="59690"/>
                <wp:wrapNone/>
                <wp:docPr id="191" name="AutoShape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09DD80" id="AutoShape 421" o:spid="_x0000_s1026" type="#_x0000_t32" style="position:absolute;margin-left:500.9pt;margin-top:290.75pt;width:15.65pt;height:0;flip:x;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4656" behindDoc="0" locked="0" layoutInCell="1" allowOverlap="1" wp14:anchorId="573B5C9C" wp14:editId="1B5CA6D0">
                <wp:simplePos x="0" y="0"/>
                <wp:positionH relativeFrom="column">
                  <wp:posOffset>5772785</wp:posOffset>
                </wp:positionH>
                <wp:positionV relativeFrom="paragraph">
                  <wp:posOffset>3011805</wp:posOffset>
                </wp:positionV>
                <wp:extent cx="116205" cy="0"/>
                <wp:effectExtent l="7620" t="12065" r="9525" b="6985"/>
                <wp:wrapNone/>
                <wp:docPr id="189" name="AutoShap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0253B" id="AutoShape 419" o:spid="_x0000_s1026" type="#_x0000_t32" style="position:absolute;margin-left:454.55pt;margin-top:237.15pt;width:9.15pt;height:0;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WL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3632" behindDoc="0" locked="0" layoutInCell="1" allowOverlap="1" wp14:anchorId="4C7840BE" wp14:editId="3C58A84B">
                <wp:simplePos x="0" y="0"/>
                <wp:positionH relativeFrom="column">
                  <wp:posOffset>5772785</wp:posOffset>
                </wp:positionH>
                <wp:positionV relativeFrom="paragraph">
                  <wp:posOffset>2411730</wp:posOffset>
                </wp:positionV>
                <wp:extent cx="116205" cy="0"/>
                <wp:effectExtent l="7620" t="12065" r="9525" b="6985"/>
                <wp:wrapNone/>
                <wp:docPr id="188"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D60CA2" id="AutoShape 418" o:spid="_x0000_s1026" type="#_x0000_t32" style="position:absolute;margin-left:454.55pt;margin-top:189.9pt;width:9.15pt;height:0;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PIAIAAD4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2608" behindDoc="0" locked="0" layoutInCell="1" allowOverlap="1" wp14:anchorId="303D14F9" wp14:editId="325A5220">
                <wp:simplePos x="0" y="0"/>
                <wp:positionH relativeFrom="column">
                  <wp:posOffset>5772785</wp:posOffset>
                </wp:positionH>
                <wp:positionV relativeFrom="paragraph">
                  <wp:posOffset>1811655</wp:posOffset>
                </wp:positionV>
                <wp:extent cx="116205" cy="0"/>
                <wp:effectExtent l="7620" t="12065" r="9525" b="6985"/>
                <wp:wrapNone/>
                <wp:docPr id="187" name="AutoShap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397EAC" id="AutoShape 417" o:spid="_x0000_s1026" type="#_x0000_t32" style="position:absolute;margin-left:454.55pt;margin-top:142.65pt;width:9.15pt;height:0;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meHIQ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70560" behindDoc="0" locked="0" layoutInCell="1" allowOverlap="1" wp14:anchorId="4E0D5BE8" wp14:editId="718BBBA7">
                <wp:simplePos x="0" y="0"/>
                <wp:positionH relativeFrom="column">
                  <wp:posOffset>6361430</wp:posOffset>
                </wp:positionH>
                <wp:positionV relativeFrom="paragraph">
                  <wp:posOffset>1158875</wp:posOffset>
                </wp:positionV>
                <wp:extent cx="198755" cy="0"/>
                <wp:effectExtent l="15240" t="54610" r="5080" b="59690"/>
                <wp:wrapNone/>
                <wp:docPr id="185" name="Auto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D417F2" id="AutoShape 415" o:spid="_x0000_s1026" type="#_x0000_t32" style="position:absolute;margin-left:500.9pt;margin-top:91.25pt;width:15.65pt;height:0;flip:x;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69536" behindDoc="0" locked="0" layoutInCell="1" allowOverlap="1" wp14:anchorId="18AAF6D9" wp14:editId="71CC9C00">
                <wp:simplePos x="0" y="0"/>
                <wp:positionH relativeFrom="column">
                  <wp:posOffset>6559550</wp:posOffset>
                </wp:positionH>
                <wp:positionV relativeFrom="paragraph">
                  <wp:posOffset>372110</wp:posOffset>
                </wp:positionV>
                <wp:extent cx="0" cy="5233670"/>
                <wp:effectExtent l="13335" t="10795" r="5715" b="13335"/>
                <wp:wrapNone/>
                <wp:docPr id="184" name="AutoShap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3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07BD4" id="AutoShape 414" o:spid="_x0000_s1026" type="#_x0000_t32" style="position:absolute;margin-left:516.5pt;margin-top:29.3pt;width:0;height:412.1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68512" behindDoc="0" locked="0" layoutInCell="1" allowOverlap="1" wp14:anchorId="51899C8B" wp14:editId="274753BE">
                <wp:simplePos x="0" y="0"/>
                <wp:positionH relativeFrom="column">
                  <wp:posOffset>6369050</wp:posOffset>
                </wp:positionH>
                <wp:positionV relativeFrom="paragraph">
                  <wp:posOffset>372745</wp:posOffset>
                </wp:positionV>
                <wp:extent cx="187325" cy="0"/>
                <wp:effectExtent l="13335" t="11430" r="8890" b="7620"/>
                <wp:wrapNone/>
                <wp:docPr id="183" name="AutoShape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BC99EB" id="AutoShape 413" o:spid="_x0000_s1026" type="#_x0000_t32" style="position:absolute;margin-left:501.5pt;margin-top:29.35pt;width:14.75pt;height:0;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7jHwIAAD4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67488" behindDoc="0" locked="0" layoutInCell="1" allowOverlap="1" wp14:anchorId="7664724B" wp14:editId="06819206">
                <wp:simplePos x="0" y="0"/>
                <wp:positionH relativeFrom="column">
                  <wp:posOffset>-127000</wp:posOffset>
                </wp:positionH>
                <wp:positionV relativeFrom="paragraph">
                  <wp:posOffset>372745</wp:posOffset>
                </wp:positionV>
                <wp:extent cx="187325" cy="0"/>
                <wp:effectExtent l="13335" t="11430" r="8890" b="7620"/>
                <wp:wrapNone/>
                <wp:docPr id="182" name="AutoShape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03B38" id="AutoShape 412" o:spid="_x0000_s1026" type="#_x0000_t32" style="position:absolute;margin-left:-10pt;margin-top:29.35pt;width:14.75pt;height:0;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UinHwIAAD4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61344" behindDoc="0" locked="0" layoutInCell="1" allowOverlap="1" wp14:anchorId="33CB9D83" wp14:editId="2566804F">
                <wp:simplePos x="0" y="0"/>
                <wp:positionH relativeFrom="column">
                  <wp:posOffset>5914390</wp:posOffset>
                </wp:positionH>
                <wp:positionV relativeFrom="paragraph">
                  <wp:posOffset>-120650</wp:posOffset>
                </wp:positionV>
                <wp:extent cx="635" cy="173355"/>
                <wp:effectExtent l="53975" t="13335" r="59690" b="22860"/>
                <wp:wrapNone/>
                <wp:docPr id="176" name="AutoShap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E6D281" id="AutoShape 406" o:spid="_x0000_s1026" type="#_x0000_t32" style="position:absolute;margin-left:465.7pt;margin-top:-9.5pt;width:.05pt;height:13.6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xXPOAIAAGI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60320" behindDoc="0" locked="0" layoutInCell="1" allowOverlap="1" wp14:anchorId="685528BE" wp14:editId="2608FD42">
                <wp:simplePos x="0" y="0"/>
                <wp:positionH relativeFrom="column">
                  <wp:posOffset>3608070</wp:posOffset>
                </wp:positionH>
                <wp:positionV relativeFrom="paragraph">
                  <wp:posOffset>5236845</wp:posOffset>
                </wp:positionV>
                <wp:extent cx="774065" cy="533400"/>
                <wp:effectExtent l="5080" t="8255" r="11430" b="10795"/>
                <wp:wrapNone/>
                <wp:docPr id="175"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1AD0E4B1" w14:textId="77777777" w:rsidR="00A36231" w:rsidRPr="00E65066" w:rsidRDefault="00A36231" w:rsidP="004D0DDB">
                            <w:pPr>
                              <w:ind w:firstLine="0"/>
                            </w:pPr>
                            <w:r w:rsidRPr="00E65066">
                              <w:rPr>
                                <w:rFonts w:cstheme="majorBidi"/>
                                <w:b/>
                                <w:bCs/>
                                <w:sz w:val="18"/>
                                <w:szCs w:val="18"/>
                                <w:vertAlign w:val="subscript"/>
                              </w:rPr>
                              <w:t>Ser. 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528BE" id="Rectangle 405" o:spid="_x0000_s1087" style="position:absolute;left:0;text-align:left;margin-left:284.1pt;margin-top:412.35pt;width:60.95pt;height:4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">
                <v:textbox>
                  <w:txbxContent>
                    <w:p w14:paraId="1AD0E4B1" w14:textId="77777777" w:rsidR="00A36231" w:rsidRPr="00E65066" w:rsidRDefault="00A36231" w:rsidP="004D0DDB">
                      <w:pPr>
                        <w:ind w:firstLine="0"/>
                      </w:pPr>
                      <w:r w:rsidRPr="00E65066">
                        <w:rPr>
                          <w:rFonts w:cstheme="majorBidi"/>
                          <w:b/>
                          <w:bCs/>
                          <w:sz w:val="18"/>
                          <w:szCs w:val="18"/>
                          <w:vertAlign w:val="subscript"/>
                        </w:rPr>
                        <w:t>Ser. Mécanique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9296" behindDoc="0" locked="0" layoutInCell="1" allowOverlap="1" wp14:anchorId="41E88699" wp14:editId="10806936">
                <wp:simplePos x="0" y="0"/>
                <wp:positionH relativeFrom="column">
                  <wp:posOffset>3924935</wp:posOffset>
                </wp:positionH>
                <wp:positionV relativeFrom="paragraph">
                  <wp:posOffset>4850130</wp:posOffset>
                </wp:positionV>
                <wp:extent cx="159385" cy="0"/>
                <wp:effectExtent l="7620" t="12065" r="13970" b="6985"/>
                <wp:wrapNone/>
                <wp:docPr id="174" name="AutoShap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881887" id="AutoShape 404" o:spid="_x0000_s1026" type="#_x0000_t32" style="position:absolute;margin-left:309.05pt;margin-top:381.9pt;width:12.55pt;height:0;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PLR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8272" behindDoc="0" locked="0" layoutInCell="1" allowOverlap="1" wp14:anchorId="2950F6FD" wp14:editId="22200E7F">
                <wp:simplePos x="0" y="0"/>
                <wp:positionH relativeFrom="column">
                  <wp:posOffset>3924935</wp:posOffset>
                </wp:positionH>
                <wp:positionV relativeFrom="paragraph">
                  <wp:posOffset>4240530</wp:posOffset>
                </wp:positionV>
                <wp:extent cx="159385" cy="0"/>
                <wp:effectExtent l="7620" t="12065" r="13970" b="6985"/>
                <wp:wrapNone/>
                <wp:docPr id="173" name="AutoShap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9B5EC9" id="AutoShape 403" o:spid="_x0000_s1026" type="#_x0000_t32" style="position:absolute;margin-left:309.05pt;margin-top:333.9pt;width:12.55pt;height:0;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bPXIQIAAD4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7248" behindDoc="0" locked="0" layoutInCell="1" allowOverlap="1" wp14:anchorId="42D8D5A9" wp14:editId="13897EBA">
                <wp:simplePos x="0" y="0"/>
                <wp:positionH relativeFrom="column">
                  <wp:posOffset>3924935</wp:posOffset>
                </wp:positionH>
                <wp:positionV relativeFrom="paragraph">
                  <wp:posOffset>3630930</wp:posOffset>
                </wp:positionV>
                <wp:extent cx="159385" cy="0"/>
                <wp:effectExtent l="7620" t="12065" r="13970" b="6985"/>
                <wp:wrapNone/>
                <wp:docPr id="172" name="Auto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0CB4CE" id="AutoShape 402" o:spid="_x0000_s1026" type="#_x0000_t32" style="position:absolute;margin-left:309.05pt;margin-top:285.9pt;width:12.55pt;height:0;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WT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6224" behindDoc="0" locked="0" layoutInCell="1" allowOverlap="1" wp14:anchorId="1CCF603E" wp14:editId="5AABE69D">
                <wp:simplePos x="0" y="0"/>
                <wp:positionH relativeFrom="column">
                  <wp:posOffset>3924935</wp:posOffset>
                </wp:positionH>
                <wp:positionV relativeFrom="paragraph">
                  <wp:posOffset>3011805</wp:posOffset>
                </wp:positionV>
                <wp:extent cx="159385" cy="0"/>
                <wp:effectExtent l="7620" t="12065" r="13970" b="6985"/>
                <wp:wrapNone/>
                <wp:docPr id="171" name="AutoShap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EE9852" id="AutoShape 401" o:spid="_x0000_s1026" type="#_x0000_t32" style="position:absolute;margin-left:309.05pt;margin-top:237.15pt;width:12.55pt;height:0;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5fIQ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5200" behindDoc="0" locked="0" layoutInCell="1" allowOverlap="1" wp14:anchorId="0FBB08CD" wp14:editId="154D6C4E">
                <wp:simplePos x="0" y="0"/>
                <wp:positionH relativeFrom="column">
                  <wp:posOffset>3924935</wp:posOffset>
                </wp:positionH>
                <wp:positionV relativeFrom="paragraph">
                  <wp:posOffset>2411730</wp:posOffset>
                </wp:positionV>
                <wp:extent cx="159385" cy="0"/>
                <wp:effectExtent l="7620" t="12065" r="13970" b="6985"/>
                <wp:wrapNone/>
                <wp:docPr id="170" name="AutoShap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3B6A79" id="AutoShape 400" o:spid="_x0000_s1026" type="#_x0000_t32" style="position:absolute;margin-left:309.05pt;margin-top:189.9pt;width:12.55pt;height:0;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4176" behindDoc="0" locked="0" layoutInCell="1" allowOverlap="1" wp14:anchorId="564098EB" wp14:editId="07374C23">
                <wp:simplePos x="0" y="0"/>
                <wp:positionH relativeFrom="column">
                  <wp:posOffset>3924935</wp:posOffset>
                </wp:positionH>
                <wp:positionV relativeFrom="paragraph">
                  <wp:posOffset>1811655</wp:posOffset>
                </wp:positionV>
                <wp:extent cx="159385" cy="0"/>
                <wp:effectExtent l="7620" t="12065" r="13970" b="6985"/>
                <wp:wrapNone/>
                <wp:docPr id="169" name="AutoShap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4AF9D4" id="AutoShape 399" o:spid="_x0000_s1026" type="#_x0000_t32" style="position:absolute;margin-left:309.05pt;margin-top:142.65pt;width:12.55pt;height:0;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53152" behindDoc="0" locked="0" layoutInCell="1" allowOverlap="1" wp14:anchorId="6F70893E" wp14:editId="4B4E0802">
                <wp:simplePos x="0" y="0"/>
                <wp:positionH relativeFrom="column">
                  <wp:posOffset>4084320</wp:posOffset>
                </wp:positionH>
                <wp:positionV relativeFrom="paragraph">
                  <wp:posOffset>4589145</wp:posOffset>
                </wp:positionV>
                <wp:extent cx="774065" cy="533400"/>
                <wp:effectExtent l="5080" t="8255" r="11430" b="10795"/>
                <wp:wrapNone/>
                <wp:docPr id="168"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3164ACDB"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Finition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0893E" id="Rectangle 398" o:spid="_x0000_s1088" style="position:absolute;left:0;text-align:left;margin-left:321.6pt;margin-top:361.35pt;width:60.9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">
                <v:textbox>
                  <w:txbxContent>
                    <w:p w14:paraId="3164ACDB" w14:textId="77777777" w:rsidR="00A36231" w:rsidRPr="00E65066" w:rsidRDefault="00A36231" w:rsidP="004D0DDB">
                      <w:pPr>
                        <w:ind w:firstLine="0"/>
                        <w:rPr>
                          <w:rFonts w:cstheme="majorBidi"/>
                          <w:b/>
                          <w:bCs/>
                          <w:sz w:val="18"/>
                          <w:szCs w:val="18"/>
                          <w:vertAlign w:val="subscript"/>
                        </w:rPr>
                      </w:pPr>
                      <w:r w:rsidRPr="00E65066">
                        <w:rPr>
                          <w:rFonts w:cstheme="majorBidi"/>
                          <w:b/>
                          <w:bCs/>
                          <w:sz w:val="18"/>
                          <w:szCs w:val="18"/>
                          <w:vertAlign w:val="subscript"/>
                        </w:rPr>
                        <w:t>Ser. Confection</w:t>
                      </w:r>
                      <w:r>
                        <w:rPr>
                          <w:rFonts w:cstheme="majorBidi"/>
                          <w:b/>
                          <w:bCs/>
                          <w:sz w:val="18"/>
                          <w:szCs w:val="18"/>
                          <w:vertAlign w:val="subscript"/>
                        </w:rPr>
                        <w:t xml:space="preserve"> </w:t>
                      </w:r>
                      <w:r w:rsidRPr="00E65066">
                        <w:rPr>
                          <w:rFonts w:cstheme="majorBidi"/>
                          <w:b/>
                          <w:bCs/>
                          <w:sz w:val="18"/>
                          <w:szCs w:val="18"/>
                          <w:vertAlign w:val="subscript"/>
                        </w:rPr>
                        <w:t>Finition</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47008" behindDoc="0" locked="0" layoutInCell="1" allowOverlap="1" wp14:anchorId="0B961191" wp14:editId="172C9D2D">
                <wp:simplePos x="0" y="0"/>
                <wp:positionH relativeFrom="column">
                  <wp:posOffset>3150870</wp:posOffset>
                </wp:positionH>
                <wp:positionV relativeFrom="paragraph">
                  <wp:posOffset>4589145</wp:posOffset>
                </wp:positionV>
                <wp:extent cx="774065" cy="533400"/>
                <wp:effectExtent l="5080" t="8255" r="11430" b="10795"/>
                <wp:wrapNone/>
                <wp:docPr id="162"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314483EB" w14:textId="77777777" w:rsidR="00A36231" w:rsidRPr="00E65066" w:rsidRDefault="00A36231" w:rsidP="004D0DDB">
                            <w:pPr>
                              <w:ind w:firstLine="0"/>
                            </w:pPr>
                            <w:r w:rsidRPr="00E65066">
                              <w:rPr>
                                <w:rFonts w:cstheme="majorBidi"/>
                                <w:b/>
                                <w:bCs/>
                                <w:sz w:val="18"/>
                                <w:szCs w:val="18"/>
                                <w:vertAlign w:val="subscript"/>
                              </w:rPr>
                              <w:t>Ser. Maintenance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61191" id="Rectangle 392" o:spid="_x0000_s1089" style="position:absolute;left:0;text-align:left;margin-left:248.1pt;margin-top:361.35pt;width:60.95pt;height:42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">
                <v:textbox>
                  <w:txbxContent>
                    <w:p w14:paraId="314483EB" w14:textId="77777777" w:rsidR="00A36231" w:rsidRPr="00E65066" w:rsidRDefault="00A36231" w:rsidP="004D0DDB">
                      <w:pPr>
                        <w:ind w:firstLine="0"/>
                      </w:pPr>
                      <w:r w:rsidRPr="00E65066">
                        <w:rPr>
                          <w:rFonts w:cstheme="majorBidi"/>
                          <w:b/>
                          <w:bCs/>
                          <w:sz w:val="18"/>
                          <w:szCs w:val="18"/>
                          <w:vertAlign w:val="subscript"/>
                        </w:rPr>
                        <w:t>Ser. Maintenance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40864" behindDoc="0" locked="0" layoutInCell="1" allowOverlap="1" wp14:anchorId="2596955A" wp14:editId="1CEC548C">
                <wp:simplePos x="0" y="0"/>
                <wp:positionH relativeFrom="column">
                  <wp:posOffset>3993515</wp:posOffset>
                </wp:positionH>
                <wp:positionV relativeFrom="paragraph">
                  <wp:posOffset>1398905</wp:posOffset>
                </wp:positionV>
                <wp:extent cx="0" cy="3907155"/>
                <wp:effectExtent l="9525" t="8890" r="9525" b="8255"/>
                <wp:wrapNone/>
                <wp:docPr id="156"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7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504CC" id="AutoShape 386" o:spid="_x0000_s1026" type="#_x0000_t32" style="position:absolute;margin-left:314.45pt;margin-top:110.15pt;width:0;height:307.6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EVIAIAAD8EAAAOAAAAZHJzL2Uyb0RvYy54bWysU8GO2yAQvVfqPyDuWduJk0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7792" behindDoc="0" locked="0" layoutInCell="1" allowOverlap="1" wp14:anchorId="317430D6" wp14:editId="51826180">
                <wp:simplePos x="0" y="0"/>
                <wp:positionH relativeFrom="column">
                  <wp:posOffset>2866390</wp:posOffset>
                </wp:positionH>
                <wp:positionV relativeFrom="paragraph">
                  <wp:posOffset>3230880</wp:posOffset>
                </wp:positionV>
                <wp:extent cx="174625" cy="0"/>
                <wp:effectExtent l="15875" t="59690" r="9525" b="54610"/>
                <wp:wrapNone/>
                <wp:docPr id="153"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EC6AAC" id="AutoShape 383" o:spid="_x0000_s1026" type="#_x0000_t32" style="position:absolute;margin-left:225.7pt;margin-top:254.4pt;width:13.75pt;height:0;flip:x;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6768" behindDoc="0" locked="0" layoutInCell="1" allowOverlap="1" wp14:anchorId="11E34A96" wp14:editId="57B12339">
                <wp:simplePos x="0" y="0"/>
                <wp:positionH relativeFrom="column">
                  <wp:posOffset>2866390</wp:posOffset>
                </wp:positionH>
                <wp:positionV relativeFrom="paragraph">
                  <wp:posOffset>2516505</wp:posOffset>
                </wp:positionV>
                <wp:extent cx="174625" cy="0"/>
                <wp:effectExtent l="15875" t="59690" r="9525" b="54610"/>
                <wp:wrapNone/>
                <wp:docPr id="152"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0DF6A7" id="AutoShape 382" o:spid="_x0000_s1026" type="#_x0000_t32" style="position:absolute;margin-left:225.7pt;margin-top:198.15pt;width:13.75pt;height:0;flip:x;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5744" behindDoc="0" locked="0" layoutInCell="1" allowOverlap="1" wp14:anchorId="41A12D87" wp14:editId="5F5C7C7E">
                <wp:simplePos x="0" y="0"/>
                <wp:positionH relativeFrom="column">
                  <wp:posOffset>2846705</wp:posOffset>
                </wp:positionH>
                <wp:positionV relativeFrom="paragraph">
                  <wp:posOffset>1849755</wp:posOffset>
                </wp:positionV>
                <wp:extent cx="194310" cy="0"/>
                <wp:effectExtent l="15240" t="59690" r="9525" b="54610"/>
                <wp:wrapNone/>
                <wp:docPr id="151"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43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82A254" id="AutoShape 381" o:spid="_x0000_s1026" type="#_x0000_t32" style="position:absolute;margin-left:224.15pt;margin-top:145.65pt;width:15.3pt;height:0;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4720" behindDoc="0" locked="0" layoutInCell="1" allowOverlap="1" wp14:anchorId="7A20CF8D" wp14:editId="57C755FF">
                <wp:simplePos x="0" y="0"/>
                <wp:positionH relativeFrom="column">
                  <wp:posOffset>3041015</wp:posOffset>
                </wp:positionH>
                <wp:positionV relativeFrom="paragraph">
                  <wp:posOffset>1160780</wp:posOffset>
                </wp:positionV>
                <wp:extent cx="0" cy="2070735"/>
                <wp:effectExtent l="9525" t="8890" r="9525" b="6350"/>
                <wp:wrapNone/>
                <wp:docPr id="150" name="AutoShap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7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C9CD6C" id="AutoShape 380" o:spid="_x0000_s1026" type="#_x0000_t32" style="position:absolute;margin-left:239.45pt;margin-top:91.4pt;width:0;height:163.0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3696" behindDoc="0" locked="0" layoutInCell="1" allowOverlap="1" wp14:anchorId="153B088E" wp14:editId="14C3FF2A">
                <wp:simplePos x="0" y="0"/>
                <wp:positionH relativeFrom="column">
                  <wp:posOffset>3202940</wp:posOffset>
                </wp:positionH>
                <wp:positionV relativeFrom="paragraph">
                  <wp:posOffset>1158875</wp:posOffset>
                </wp:positionV>
                <wp:extent cx="331470" cy="0"/>
                <wp:effectExtent l="9525" t="54610" r="20955" b="59690"/>
                <wp:wrapNone/>
                <wp:docPr id="149" name="AutoShap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CD1E5F" id="AutoShape 379" o:spid="_x0000_s1026" type="#_x0000_t32" style="position:absolute;margin-left:252.2pt;margin-top:91.25pt;width:26.1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EE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32672" behindDoc="0" locked="0" layoutInCell="1" allowOverlap="1" wp14:anchorId="3E209DFD" wp14:editId="0459C170">
                <wp:simplePos x="0" y="0"/>
                <wp:positionH relativeFrom="column">
                  <wp:posOffset>2867660</wp:posOffset>
                </wp:positionH>
                <wp:positionV relativeFrom="paragraph">
                  <wp:posOffset>1158875</wp:posOffset>
                </wp:positionV>
                <wp:extent cx="325755" cy="0"/>
                <wp:effectExtent l="17145" t="54610" r="9525" b="59690"/>
                <wp:wrapNone/>
                <wp:docPr id="148" name="AutoShap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D9C03" id="AutoShape 378" o:spid="_x0000_s1026" type="#_x0000_t32" style="position:absolute;margin-left:225.8pt;margin-top:91.25pt;width:25.65pt;height:0;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26528" behindDoc="0" locked="0" layoutInCell="1" allowOverlap="1" wp14:anchorId="025EA6F4" wp14:editId="04379A23">
                <wp:simplePos x="0" y="0"/>
                <wp:positionH relativeFrom="column">
                  <wp:posOffset>3193415</wp:posOffset>
                </wp:positionH>
                <wp:positionV relativeFrom="paragraph">
                  <wp:posOffset>665480</wp:posOffset>
                </wp:positionV>
                <wp:extent cx="0" cy="493395"/>
                <wp:effectExtent l="9525" t="8890" r="9525" b="12065"/>
                <wp:wrapNone/>
                <wp:docPr id="142" name="AutoShap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17AC91" id="AutoShape 372" o:spid="_x0000_s1026" type="#_x0000_t32" style="position:absolute;margin-left:251.45pt;margin-top:52.4pt;width:0;height:38.8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24480" behindDoc="0" locked="0" layoutInCell="1" allowOverlap="1" wp14:anchorId="6420ECBC" wp14:editId="5E26C5B9">
                <wp:simplePos x="0" y="0"/>
                <wp:positionH relativeFrom="column">
                  <wp:posOffset>990600</wp:posOffset>
                </wp:positionH>
                <wp:positionV relativeFrom="paragraph">
                  <wp:posOffset>5460365</wp:posOffset>
                </wp:positionV>
                <wp:extent cx="35560" cy="0"/>
                <wp:effectExtent l="6985" t="12700" r="5080" b="6350"/>
                <wp:wrapNone/>
                <wp:docPr id="140" name="AutoShap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DFFE3D" id="AutoShape 370" o:spid="_x0000_s1026" type="#_x0000_t32" style="position:absolute;margin-left:78pt;margin-top:429.95pt;width:2.8pt;height: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23456" behindDoc="0" locked="0" layoutInCell="1" allowOverlap="1" wp14:anchorId="107C282C" wp14:editId="061DCAEC">
                <wp:simplePos x="0" y="0"/>
                <wp:positionH relativeFrom="column">
                  <wp:posOffset>991235</wp:posOffset>
                </wp:positionH>
                <wp:positionV relativeFrom="paragraph">
                  <wp:posOffset>6050915</wp:posOffset>
                </wp:positionV>
                <wp:extent cx="35560" cy="0"/>
                <wp:effectExtent l="7620" t="12700" r="13970" b="6350"/>
                <wp:wrapNone/>
                <wp:docPr id="139" name="AutoShap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D04733" id="AutoShape 369" o:spid="_x0000_s1026" type="#_x0000_t32" style="position:absolute;margin-left:78.05pt;margin-top:476.45pt;width:2.8pt;height:0;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qs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22432" behindDoc="0" locked="0" layoutInCell="1" allowOverlap="1" wp14:anchorId="3FFE7648" wp14:editId="200C8AFD">
                <wp:simplePos x="0" y="0"/>
                <wp:positionH relativeFrom="column">
                  <wp:posOffset>991235</wp:posOffset>
                </wp:positionH>
                <wp:positionV relativeFrom="paragraph">
                  <wp:posOffset>5457825</wp:posOffset>
                </wp:positionV>
                <wp:extent cx="0" cy="1226820"/>
                <wp:effectExtent l="7620" t="10160" r="11430" b="10795"/>
                <wp:wrapNone/>
                <wp:docPr id="138" name="AutoShap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6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6AB6A" id="AutoShape 368" o:spid="_x0000_s1026" type="#_x0000_t32" style="position:absolute;margin-left:78.05pt;margin-top:429.75pt;width:0;height:96.6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20384" behindDoc="0" locked="0" layoutInCell="1" allowOverlap="1" wp14:anchorId="1C3CD5CB" wp14:editId="64E283F7">
                <wp:simplePos x="0" y="0"/>
                <wp:positionH relativeFrom="column">
                  <wp:posOffset>1030605</wp:posOffset>
                </wp:positionH>
                <wp:positionV relativeFrom="paragraph">
                  <wp:posOffset>5802630</wp:posOffset>
                </wp:positionV>
                <wp:extent cx="774065" cy="533400"/>
                <wp:effectExtent l="8890" t="12065" r="7620" b="6985"/>
                <wp:wrapNone/>
                <wp:docPr id="136"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1B9C136F"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r>
                              <w:rPr>
                                <w:rFonts w:cstheme="majorBidi"/>
                                <w:b/>
                                <w:bCs/>
                                <w:sz w:val="18"/>
                                <w:szCs w:val="18"/>
                                <w:vertAlign w:val="subscript"/>
                              </w:rPr>
                              <w:t xml:space="preserve"> </w:t>
                            </w:r>
                            <w:r w:rsidRPr="00817A46">
                              <w:rPr>
                                <w:rFonts w:cstheme="majorBidi"/>
                                <w:b/>
                                <w:bCs/>
                                <w:sz w:val="18"/>
                                <w:szCs w:val="18"/>
                                <w:vertAlign w:val="subscript"/>
                              </w:rPr>
                              <w:t>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CD5CB" id="Rectangle 366" o:spid="_x0000_s1090" style="position:absolute;left:0;text-align:left;margin-left:81.15pt;margin-top:456.9pt;width:60.95pt;height:4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">
                <v:textbox>
                  <w:txbxContent>
                    <w:p w14:paraId="1B9C136F"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w:t>
                      </w:r>
                      <w:r>
                        <w:rPr>
                          <w:rFonts w:cstheme="majorBidi"/>
                          <w:b/>
                          <w:bCs/>
                          <w:sz w:val="18"/>
                          <w:szCs w:val="18"/>
                          <w:vertAlign w:val="subscript"/>
                        </w:rPr>
                        <w:t xml:space="preserve"> </w:t>
                      </w:r>
                      <w:r w:rsidRPr="00817A46">
                        <w:rPr>
                          <w:rFonts w:cstheme="majorBidi"/>
                          <w:b/>
                          <w:bCs/>
                          <w:sz w:val="18"/>
                          <w:szCs w:val="18"/>
                          <w:vertAlign w:val="subscript"/>
                        </w:rPr>
                        <w:t>Mécanique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19360" behindDoc="0" locked="0" layoutInCell="1" allowOverlap="1" wp14:anchorId="60ED95E9" wp14:editId="159CFD2A">
                <wp:simplePos x="0" y="0"/>
                <wp:positionH relativeFrom="column">
                  <wp:posOffset>1030605</wp:posOffset>
                </wp:positionH>
                <wp:positionV relativeFrom="paragraph">
                  <wp:posOffset>5196205</wp:posOffset>
                </wp:positionV>
                <wp:extent cx="774065" cy="533400"/>
                <wp:effectExtent l="8890" t="5715" r="7620" b="13335"/>
                <wp:wrapNone/>
                <wp:docPr id="13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6602FF1F"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 Electrique</w:t>
                            </w:r>
                          </w:p>
                          <w:p w14:paraId="1C02435F" w14:textId="77777777" w:rsidR="00A36231" w:rsidRPr="00193F15" w:rsidRDefault="00A36231" w:rsidP="001B1E6C">
                            <w:pPr>
                              <w:jc w:val="center"/>
                              <w:rPr>
                                <w:rFonts w:cstheme="majorBidi"/>
                                <w:b/>
                                <w:bCs/>
                                <w:sz w:val="16"/>
                                <w:szCs w:val="16"/>
                              </w:rPr>
                            </w:pPr>
                          </w:p>
                          <w:p w14:paraId="1DDF57B3" w14:textId="77777777" w:rsidR="00A36231" w:rsidRPr="00193F15" w:rsidRDefault="00A36231" w:rsidP="001B1E6C">
                            <w:pPr>
                              <w:jc w:val="center"/>
                              <w:rPr>
                                <w:rFonts w:cstheme="majorBidi"/>
                                <w:b/>
                                <w:bCs/>
                                <w:sz w:val="16"/>
                                <w:szCs w:val="16"/>
                              </w:rPr>
                            </w:pPr>
                            <w:r w:rsidRPr="00193F15">
                              <w:rPr>
                                <w:rFonts w:cstheme="majorBidi"/>
                                <w:b/>
                                <w:bCs/>
                                <w:sz w:val="16"/>
                                <w:szCs w:val="16"/>
                              </w:rPr>
                              <w:t>Ser. Maintenance Maintenance</w:t>
                            </w:r>
                          </w:p>
                          <w:p w14:paraId="1C342CBF" w14:textId="77777777" w:rsidR="00A36231" w:rsidRPr="00193F15" w:rsidRDefault="00A36231" w:rsidP="001B1E6C">
                            <w:pPr>
                              <w:jc w:val="center"/>
                              <w:rPr>
                                <w:rFonts w:cstheme="majorBidi"/>
                                <w:b/>
                                <w:bCs/>
                                <w:sz w:val="16"/>
                                <w:szCs w:val="16"/>
                              </w:rPr>
                            </w:pPr>
                          </w:p>
                          <w:p w14:paraId="18A55024" w14:textId="77777777" w:rsidR="00A36231" w:rsidRPr="00193F15" w:rsidRDefault="00A36231" w:rsidP="001B1E6C">
                            <w:pPr>
                              <w:jc w:val="center"/>
                              <w:rPr>
                                <w:rFonts w:cstheme="majorBidi"/>
                                <w:b/>
                                <w:bCs/>
                                <w:sz w:val="16"/>
                                <w:szCs w:val="16"/>
                              </w:rPr>
                            </w:pPr>
                            <w:r w:rsidRPr="00193F15">
                              <w:rPr>
                                <w:rFonts w:cstheme="majorBidi"/>
                                <w:b/>
                                <w:bCs/>
                                <w:sz w:val="16"/>
                                <w:szCs w:val="16"/>
                              </w:rPr>
                              <w:t>Dép. QHSE</w:t>
                            </w:r>
                          </w:p>
                          <w:p w14:paraId="190023C3" w14:textId="77777777" w:rsidR="00A36231" w:rsidRPr="00193F15" w:rsidRDefault="00A36231" w:rsidP="001B1E6C">
                            <w:pPr>
                              <w:jc w:val="center"/>
                              <w:rPr>
                                <w:rFonts w:cstheme="majorBidi"/>
                                <w:b/>
                                <w:bCs/>
                                <w:sz w:val="16"/>
                                <w:szCs w:val="16"/>
                              </w:rPr>
                            </w:pPr>
                          </w:p>
                          <w:p w14:paraId="3568A989" w14:textId="77777777" w:rsidR="00A36231" w:rsidRPr="00193F15" w:rsidRDefault="00A36231" w:rsidP="001B1E6C">
                            <w:pPr>
                              <w:jc w:val="center"/>
                              <w:rPr>
                                <w:rFonts w:cstheme="majorBidi"/>
                                <w:b/>
                                <w:bCs/>
                                <w:sz w:val="16"/>
                                <w:szCs w:val="16"/>
                              </w:rPr>
                            </w:pPr>
                            <w:r w:rsidRPr="00193F15">
                              <w:rPr>
                                <w:rFonts w:cstheme="majorBidi"/>
                                <w:b/>
                                <w:bCs/>
                                <w:sz w:val="16"/>
                                <w:szCs w:val="16"/>
                              </w:rPr>
                              <w:t>Dép. Tricotage</w:t>
                            </w:r>
                          </w:p>
                          <w:p w14:paraId="0B3CC15E" w14:textId="77777777" w:rsidR="00A36231" w:rsidRPr="00193F15" w:rsidRDefault="00A36231" w:rsidP="001B1E6C">
                            <w:pPr>
                              <w:jc w:val="center"/>
                              <w:rPr>
                                <w:rFonts w:cstheme="majorBidi"/>
                                <w:b/>
                                <w:bCs/>
                                <w:sz w:val="16"/>
                                <w:szCs w:val="16"/>
                              </w:rPr>
                            </w:pPr>
                            <w:r w:rsidRPr="00193F15">
                              <w:rPr>
                                <w:rFonts w:cstheme="majorBidi"/>
                                <w:b/>
                                <w:bCs/>
                                <w:sz w:val="16"/>
                                <w:szCs w:val="16"/>
                              </w:rPr>
                              <w:t>Dép. Dév de</w:t>
                            </w:r>
                          </w:p>
                          <w:p w14:paraId="34D2E966" w14:textId="77777777" w:rsidR="00A36231" w:rsidRPr="00193F15" w:rsidRDefault="00A36231" w:rsidP="001B1E6C">
                            <w:pPr>
                              <w:jc w:val="center"/>
                              <w:rPr>
                                <w:rFonts w:cstheme="majorBidi"/>
                                <w:b/>
                                <w:bCs/>
                                <w:sz w:val="16"/>
                                <w:szCs w:val="16"/>
                              </w:rPr>
                            </w:pPr>
                            <w:r w:rsidRPr="00193F15">
                              <w:rPr>
                                <w:rFonts w:cstheme="majorBidi"/>
                                <w:b/>
                                <w:bCs/>
                                <w:sz w:val="16"/>
                                <w:szCs w:val="16"/>
                              </w:rPr>
                              <w:t>Produit</w:t>
                            </w:r>
                          </w:p>
                          <w:p w14:paraId="1A50B504" w14:textId="77777777" w:rsidR="00A36231" w:rsidRPr="00193F15" w:rsidRDefault="00A36231" w:rsidP="001B1E6C">
                            <w:pPr>
                              <w:jc w:val="center"/>
                              <w:rPr>
                                <w:rFonts w:cstheme="majorBidi"/>
                                <w:b/>
                                <w:bCs/>
                                <w:sz w:val="16"/>
                                <w:szCs w:val="16"/>
                              </w:rPr>
                            </w:pPr>
                          </w:p>
                          <w:p w14:paraId="253D0E75" w14:textId="77777777" w:rsidR="00A36231" w:rsidRPr="00193F15" w:rsidRDefault="00A36231" w:rsidP="001B1E6C">
                            <w:pPr>
                              <w:jc w:val="center"/>
                              <w:rPr>
                                <w:rFonts w:cstheme="majorBidi"/>
                                <w:b/>
                                <w:bCs/>
                                <w:sz w:val="16"/>
                                <w:szCs w:val="16"/>
                              </w:rPr>
                            </w:pPr>
                            <w:r w:rsidRPr="00193F15">
                              <w:rPr>
                                <w:rFonts w:cstheme="majorBidi"/>
                                <w:b/>
                                <w:bCs/>
                                <w:sz w:val="16"/>
                                <w:szCs w:val="16"/>
                              </w:rPr>
                              <w:t>Dép. Tissage</w:t>
                            </w:r>
                          </w:p>
                          <w:p w14:paraId="3260543B" w14:textId="77777777" w:rsidR="00A36231" w:rsidRPr="00193F15" w:rsidRDefault="00A36231" w:rsidP="001B1E6C">
                            <w:pPr>
                              <w:jc w:val="center"/>
                              <w:rPr>
                                <w:rFonts w:cstheme="majorBidi"/>
                                <w:b/>
                                <w:bCs/>
                                <w:sz w:val="16"/>
                                <w:szCs w:val="16"/>
                              </w:rPr>
                            </w:pPr>
                          </w:p>
                          <w:p w14:paraId="348C17FA" w14:textId="77777777" w:rsidR="00A36231" w:rsidRPr="00193F15" w:rsidRDefault="00A36231" w:rsidP="001B1E6C">
                            <w:pPr>
                              <w:jc w:val="center"/>
                              <w:rPr>
                                <w:rFonts w:cstheme="majorBidi"/>
                                <w:b/>
                                <w:bCs/>
                                <w:sz w:val="16"/>
                                <w:szCs w:val="16"/>
                              </w:rPr>
                            </w:pPr>
                            <w:r w:rsidRPr="00193F15">
                              <w:rPr>
                                <w:rFonts w:cstheme="majorBidi"/>
                                <w:b/>
                                <w:bCs/>
                                <w:sz w:val="16"/>
                                <w:szCs w:val="16"/>
                              </w:rPr>
                              <w:t>Ser. Maintenance</w:t>
                            </w:r>
                          </w:p>
                          <w:p w14:paraId="7D80A2AA" w14:textId="77777777" w:rsidR="00A36231" w:rsidRPr="00193F15" w:rsidRDefault="00A36231" w:rsidP="001B1E6C">
                            <w:pPr>
                              <w:jc w:val="center"/>
                              <w:rPr>
                                <w:rFonts w:cstheme="majorBidi"/>
                                <w:b/>
                                <w:bCs/>
                                <w:sz w:val="16"/>
                                <w:szCs w:val="16"/>
                              </w:rPr>
                            </w:pPr>
                            <w:r w:rsidRPr="00193F15">
                              <w:rPr>
                                <w:rFonts w:cstheme="majorBidi"/>
                                <w:b/>
                                <w:bCs/>
                                <w:sz w:val="16"/>
                                <w:szCs w:val="16"/>
                              </w:rPr>
                              <w:t>Electrique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D95E9" id="Rectangle 365" o:spid="_x0000_s1091" style="position:absolute;left:0;text-align:left;margin-left:81.15pt;margin-top:409.15pt;width:60.95pt;height:42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">
                <v:textbox>
                  <w:txbxContent>
                    <w:p w14:paraId="6602FF1F" w14:textId="77777777" w:rsidR="00A36231" w:rsidRPr="00817A46" w:rsidRDefault="00A36231" w:rsidP="004D0DDB">
                      <w:pPr>
                        <w:ind w:firstLine="0"/>
                        <w:rPr>
                          <w:rFonts w:cstheme="majorBidi"/>
                          <w:b/>
                          <w:bCs/>
                          <w:sz w:val="18"/>
                          <w:szCs w:val="18"/>
                          <w:vertAlign w:val="subscript"/>
                        </w:rPr>
                      </w:pPr>
                      <w:r w:rsidRPr="00817A46">
                        <w:rPr>
                          <w:rFonts w:cstheme="majorBidi"/>
                          <w:b/>
                          <w:bCs/>
                          <w:sz w:val="18"/>
                          <w:szCs w:val="18"/>
                          <w:vertAlign w:val="subscript"/>
                        </w:rPr>
                        <w:t>Ser. Maintenance Electrique</w:t>
                      </w:r>
                    </w:p>
                    <w:p w14:paraId="1C02435F" w14:textId="77777777" w:rsidR="00A36231" w:rsidRPr="00193F15" w:rsidRDefault="00A36231" w:rsidP="001B1E6C">
                      <w:pPr>
                        <w:jc w:val="center"/>
                        <w:rPr>
                          <w:rFonts w:cstheme="majorBidi"/>
                          <w:b/>
                          <w:bCs/>
                          <w:sz w:val="16"/>
                          <w:szCs w:val="16"/>
                        </w:rPr>
                      </w:pPr>
                    </w:p>
                    <w:p w14:paraId="1DDF57B3" w14:textId="77777777" w:rsidR="00A36231" w:rsidRPr="00193F15" w:rsidRDefault="00A36231" w:rsidP="001B1E6C">
                      <w:pPr>
                        <w:jc w:val="center"/>
                        <w:rPr>
                          <w:rFonts w:cstheme="majorBidi"/>
                          <w:b/>
                          <w:bCs/>
                          <w:sz w:val="16"/>
                          <w:szCs w:val="16"/>
                        </w:rPr>
                      </w:pPr>
                      <w:r w:rsidRPr="00193F15">
                        <w:rPr>
                          <w:rFonts w:cstheme="majorBidi"/>
                          <w:b/>
                          <w:bCs/>
                          <w:sz w:val="16"/>
                          <w:szCs w:val="16"/>
                        </w:rPr>
                        <w:t>Ser. Maintenance Maintenance</w:t>
                      </w:r>
                    </w:p>
                    <w:p w14:paraId="1C342CBF" w14:textId="77777777" w:rsidR="00A36231" w:rsidRPr="00193F15" w:rsidRDefault="00A36231" w:rsidP="001B1E6C">
                      <w:pPr>
                        <w:jc w:val="center"/>
                        <w:rPr>
                          <w:rFonts w:cstheme="majorBidi"/>
                          <w:b/>
                          <w:bCs/>
                          <w:sz w:val="16"/>
                          <w:szCs w:val="16"/>
                        </w:rPr>
                      </w:pPr>
                    </w:p>
                    <w:p w14:paraId="18A55024" w14:textId="77777777" w:rsidR="00A36231" w:rsidRPr="00193F15" w:rsidRDefault="00A36231" w:rsidP="001B1E6C">
                      <w:pPr>
                        <w:jc w:val="center"/>
                        <w:rPr>
                          <w:rFonts w:cstheme="majorBidi"/>
                          <w:b/>
                          <w:bCs/>
                          <w:sz w:val="16"/>
                          <w:szCs w:val="16"/>
                        </w:rPr>
                      </w:pPr>
                      <w:r w:rsidRPr="00193F15">
                        <w:rPr>
                          <w:rFonts w:cstheme="majorBidi"/>
                          <w:b/>
                          <w:bCs/>
                          <w:sz w:val="16"/>
                          <w:szCs w:val="16"/>
                        </w:rPr>
                        <w:t>Dép. QHSE</w:t>
                      </w:r>
                    </w:p>
                    <w:p w14:paraId="190023C3" w14:textId="77777777" w:rsidR="00A36231" w:rsidRPr="00193F15" w:rsidRDefault="00A36231" w:rsidP="001B1E6C">
                      <w:pPr>
                        <w:jc w:val="center"/>
                        <w:rPr>
                          <w:rFonts w:cstheme="majorBidi"/>
                          <w:b/>
                          <w:bCs/>
                          <w:sz w:val="16"/>
                          <w:szCs w:val="16"/>
                        </w:rPr>
                      </w:pPr>
                    </w:p>
                    <w:p w14:paraId="3568A989" w14:textId="77777777" w:rsidR="00A36231" w:rsidRPr="00193F15" w:rsidRDefault="00A36231" w:rsidP="001B1E6C">
                      <w:pPr>
                        <w:jc w:val="center"/>
                        <w:rPr>
                          <w:rFonts w:cstheme="majorBidi"/>
                          <w:b/>
                          <w:bCs/>
                          <w:sz w:val="16"/>
                          <w:szCs w:val="16"/>
                        </w:rPr>
                      </w:pPr>
                      <w:r w:rsidRPr="00193F15">
                        <w:rPr>
                          <w:rFonts w:cstheme="majorBidi"/>
                          <w:b/>
                          <w:bCs/>
                          <w:sz w:val="16"/>
                          <w:szCs w:val="16"/>
                        </w:rPr>
                        <w:t>Dép. Tricotage</w:t>
                      </w:r>
                    </w:p>
                    <w:p w14:paraId="0B3CC15E" w14:textId="77777777" w:rsidR="00A36231" w:rsidRPr="00193F15" w:rsidRDefault="00A36231" w:rsidP="001B1E6C">
                      <w:pPr>
                        <w:jc w:val="center"/>
                        <w:rPr>
                          <w:rFonts w:cstheme="majorBidi"/>
                          <w:b/>
                          <w:bCs/>
                          <w:sz w:val="16"/>
                          <w:szCs w:val="16"/>
                        </w:rPr>
                      </w:pPr>
                      <w:r w:rsidRPr="00193F15">
                        <w:rPr>
                          <w:rFonts w:cstheme="majorBidi"/>
                          <w:b/>
                          <w:bCs/>
                          <w:sz w:val="16"/>
                          <w:szCs w:val="16"/>
                        </w:rPr>
                        <w:t>Dép. Dév de</w:t>
                      </w:r>
                    </w:p>
                    <w:p w14:paraId="34D2E966" w14:textId="77777777" w:rsidR="00A36231" w:rsidRPr="00193F15" w:rsidRDefault="00A36231" w:rsidP="001B1E6C">
                      <w:pPr>
                        <w:jc w:val="center"/>
                        <w:rPr>
                          <w:rFonts w:cstheme="majorBidi"/>
                          <w:b/>
                          <w:bCs/>
                          <w:sz w:val="16"/>
                          <w:szCs w:val="16"/>
                        </w:rPr>
                      </w:pPr>
                      <w:r w:rsidRPr="00193F15">
                        <w:rPr>
                          <w:rFonts w:cstheme="majorBidi"/>
                          <w:b/>
                          <w:bCs/>
                          <w:sz w:val="16"/>
                          <w:szCs w:val="16"/>
                        </w:rPr>
                        <w:t>Produit</w:t>
                      </w:r>
                    </w:p>
                    <w:p w14:paraId="1A50B504" w14:textId="77777777" w:rsidR="00A36231" w:rsidRPr="00193F15" w:rsidRDefault="00A36231" w:rsidP="001B1E6C">
                      <w:pPr>
                        <w:jc w:val="center"/>
                        <w:rPr>
                          <w:rFonts w:cstheme="majorBidi"/>
                          <w:b/>
                          <w:bCs/>
                          <w:sz w:val="16"/>
                          <w:szCs w:val="16"/>
                        </w:rPr>
                      </w:pPr>
                    </w:p>
                    <w:p w14:paraId="253D0E75" w14:textId="77777777" w:rsidR="00A36231" w:rsidRPr="00193F15" w:rsidRDefault="00A36231" w:rsidP="001B1E6C">
                      <w:pPr>
                        <w:jc w:val="center"/>
                        <w:rPr>
                          <w:rFonts w:cstheme="majorBidi"/>
                          <w:b/>
                          <w:bCs/>
                          <w:sz w:val="16"/>
                          <w:szCs w:val="16"/>
                        </w:rPr>
                      </w:pPr>
                      <w:r w:rsidRPr="00193F15">
                        <w:rPr>
                          <w:rFonts w:cstheme="majorBidi"/>
                          <w:b/>
                          <w:bCs/>
                          <w:sz w:val="16"/>
                          <w:szCs w:val="16"/>
                        </w:rPr>
                        <w:t>Dép. Tissage</w:t>
                      </w:r>
                    </w:p>
                    <w:p w14:paraId="3260543B" w14:textId="77777777" w:rsidR="00A36231" w:rsidRPr="00193F15" w:rsidRDefault="00A36231" w:rsidP="001B1E6C">
                      <w:pPr>
                        <w:jc w:val="center"/>
                        <w:rPr>
                          <w:rFonts w:cstheme="majorBidi"/>
                          <w:b/>
                          <w:bCs/>
                          <w:sz w:val="16"/>
                          <w:szCs w:val="16"/>
                        </w:rPr>
                      </w:pPr>
                    </w:p>
                    <w:p w14:paraId="348C17FA" w14:textId="77777777" w:rsidR="00A36231" w:rsidRPr="00193F15" w:rsidRDefault="00A36231" w:rsidP="001B1E6C">
                      <w:pPr>
                        <w:jc w:val="center"/>
                        <w:rPr>
                          <w:rFonts w:cstheme="majorBidi"/>
                          <w:b/>
                          <w:bCs/>
                          <w:sz w:val="16"/>
                          <w:szCs w:val="16"/>
                        </w:rPr>
                      </w:pPr>
                      <w:r w:rsidRPr="00193F15">
                        <w:rPr>
                          <w:rFonts w:cstheme="majorBidi"/>
                          <w:b/>
                          <w:bCs/>
                          <w:sz w:val="16"/>
                          <w:szCs w:val="16"/>
                        </w:rPr>
                        <w:t>Ser. Maintenance</w:t>
                      </w:r>
                    </w:p>
                    <w:p w14:paraId="7D80A2AA" w14:textId="77777777" w:rsidR="00A36231" w:rsidRPr="00193F15" w:rsidRDefault="00A36231" w:rsidP="001B1E6C">
                      <w:pPr>
                        <w:jc w:val="center"/>
                        <w:rPr>
                          <w:rFonts w:cstheme="majorBidi"/>
                          <w:b/>
                          <w:bCs/>
                          <w:sz w:val="16"/>
                          <w:szCs w:val="16"/>
                        </w:rPr>
                      </w:pPr>
                      <w:r w:rsidRPr="00193F15">
                        <w:rPr>
                          <w:rFonts w:cstheme="majorBidi"/>
                          <w:b/>
                          <w:bCs/>
                          <w:sz w:val="16"/>
                          <w:szCs w:val="16"/>
                        </w:rPr>
                        <w:t>Electrique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17312" behindDoc="0" locked="0" layoutInCell="1" allowOverlap="1" wp14:anchorId="42A8EEDA" wp14:editId="65DFFCAE">
                <wp:simplePos x="0" y="0"/>
                <wp:positionH relativeFrom="column">
                  <wp:posOffset>1875790</wp:posOffset>
                </wp:positionH>
                <wp:positionV relativeFrom="paragraph">
                  <wp:posOffset>1158875</wp:posOffset>
                </wp:positionV>
                <wp:extent cx="0" cy="593725"/>
                <wp:effectExtent l="6350" t="6985" r="12700" b="8890"/>
                <wp:wrapNone/>
                <wp:docPr id="133"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B9C51E" id="AutoShape 363" o:spid="_x0000_s1026" type="#_x0000_t32" style="position:absolute;margin-left:147.7pt;margin-top:91.25pt;width:0;height:46.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Y2HwIAAD4EAAAOAAAAZHJzL2Uyb0RvYy54bWysU8GO2yAQvVfqPyDuWdtxkk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12192" behindDoc="0" locked="0" layoutInCell="1" allowOverlap="1" wp14:anchorId="5CED9718" wp14:editId="21CA6589">
                <wp:simplePos x="0" y="0"/>
                <wp:positionH relativeFrom="column">
                  <wp:posOffset>974725</wp:posOffset>
                </wp:positionH>
                <wp:positionV relativeFrom="paragraph">
                  <wp:posOffset>1167130</wp:posOffset>
                </wp:positionV>
                <wp:extent cx="133985" cy="0"/>
                <wp:effectExtent l="10160" t="5715" r="8255" b="13335"/>
                <wp:wrapNone/>
                <wp:docPr id="128" name="AutoShap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18F1D7" id="AutoShape 358" o:spid="_x0000_s1026" type="#_x0000_t32" style="position:absolute;margin-left:76.75pt;margin-top:91.9pt;width:10.55pt;height:0;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7gIQIAAD4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11168" behindDoc="0" locked="0" layoutInCell="1" allowOverlap="1" wp14:anchorId="6CA60F3C" wp14:editId="39A3622A">
                <wp:simplePos x="0" y="0"/>
                <wp:positionH relativeFrom="column">
                  <wp:posOffset>-121285</wp:posOffset>
                </wp:positionH>
                <wp:positionV relativeFrom="paragraph">
                  <wp:posOffset>6692900</wp:posOffset>
                </wp:positionV>
                <wp:extent cx="157480" cy="0"/>
                <wp:effectExtent l="9525" t="54610" r="23495" b="59690"/>
                <wp:wrapNone/>
                <wp:docPr id="127" name="Auto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336C9" id="AutoShape 357" o:spid="_x0000_s1026" type="#_x0000_t32" style="position:absolute;margin-left:-9.55pt;margin-top:527pt;width:12.4pt;height:0;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CSNwIAAGA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10144" behindDoc="0" locked="0" layoutInCell="1" allowOverlap="1" wp14:anchorId="4BF9B85A" wp14:editId="46223F65">
                <wp:simplePos x="0" y="0"/>
                <wp:positionH relativeFrom="column">
                  <wp:posOffset>-122555</wp:posOffset>
                </wp:positionH>
                <wp:positionV relativeFrom="paragraph">
                  <wp:posOffset>6007100</wp:posOffset>
                </wp:positionV>
                <wp:extent cx="157480" cy="0"/>
                <wp:effectExtent l="8255" t="54610" r="15240" b="59690"/>
                <wp:wrapNone/>
                <wp:docPr id="126" name="Auto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115985" id="AutoShape 356" o:spid="_x0000_s1026" type="#_x0000_t32" style="position:absolute;margin-left:-9.65pt;margin-top:473pt;width:12.4pt;height:0;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RZf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9120" behindDoc="0" locked="0" layoutInCell="1" allowOverlap="1" wp14:anchorId="2AE6D258" wp14:editId="74204CD6">
                <wp:simplePos x="0" y="0"/>
                <wp:positionH relativeFrom="column">
                  <wp:posOffset>31750</wp:posOffset>
                </wp:positionH>
                <wp:positionV relativeFrom="paragraph">
                  <wp:posOffset>6384290</wp:posOffset>
                </wp:positionV>
                <wp:extent cx="914400" cy="601345"/>
                <wp:effectExtent l="10160" t="12700" r="8890" b="5080"/>
                <wp:wrapNone/>
                <wp:docPr id="125"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DAC76D7"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Maintenance    &amp; Energie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6D258" id="Rectangle 355" o:spid="_x0000_s1092" style="position:absolute;left:0;text-align:left;margin-left:2.5pt;margin-top:502.7pt;width:1in;height:47.3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" fillcolor="black [3213]" strokecolor="#1f4d78 [1608]">
                <v:textbox>
                  <w:txbxContent>
                    <w:p w14:paraId="0DAC76D7"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Maintenance    &amp; Energie</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8096" behindDoc="0" locked="0" layoutInCell="1" allowOverlap="1" wp14:anchorId="1630A9E7" wp14:editId="63F2B5A4">
                <wp:simplePos x="0" y="0"/>
                <wp:positionH relativeFrom="column">
                  <wp:posOffset>31750</wp:posOffset>
                </wp:positionH>
                <wp:positionV relativeFrom="paragraph">
                  <wp:posOffset>5698490</wp:posOffset>
                </wp:positionV>
                <wp:extent cx="914400" cy="601345"/>
                <wp:effectExtent l="10160" t="12700" r="8890" b="5080"/>
                <wp:wrapNone/>
                <wp:docPr id="124"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3E39522C"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Contrôle Qualité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0A9E7" id="Rectangle 354" o:spid="_x0000_s1093" style="position:absolute;left:0;text-align:left;margin-left:2.5pt;margin-top:448.7pt;width:1in;height:47.3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" fillcolor="black [3213]" strokecolor="#1f4d78 [1608]">
                <v:textbox>
                  <w:txbxContent>
                    <w:p w14:paraId="3E39522C"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Contrôle Qualité</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7072" behindDoc="0" locked="0" layoutInCell="1" allowOverlap="1" wp14:anchorId="712F53A7" wp14:editId="3FA93045">
                <wp:simplePos x="0" y="0"/>
                <wp:positionH relativeFrom="column">
                  <wp:posOffset>39370</wp:posOffset>
                </wp:positionH>
                <wp:positionV relativeFrom="paragraph">
                  <wp:posOffset>5017135</wp:posOffset>
                </wp:positionV>
                <wp:extent cx="914400" cy="588645"/>
                <wp:effectExtent l="8255" t="7620" r="10795" b="13335"/>
                <wp:wrapNone/>
                <wp:docPr id="12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886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2F31B7F4"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Finissage Denim &amp;Non Denim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F53A7" id="Rectangle 353" o:spid="_x0000_s1094" style="position:absolute;left:0;text-align:left;margin-left:3.1pt;margin-top:395.05pt;width:1in;height:46.3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" fillcolor="black [3213]" strokecolor="#1f4d78 [1608]">
                <v:textbox>
                  <w:txbxContent>
                    <w:p w14:paraId="2F31B7F4"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Finissage Denim &amp;Non Denim</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5024" behindDoc="0" locked="0" layoutInCell="1" allowOverlap="1" wp14:anchorId="58AD919E" wp14:editId="15B85057">
                <wp:simplePos x="0" y="0"/>
                <wp:positionH relativeFrom="column">
                  <wp:posOffset>-120015</wp:posOffset>
                </wp:positionH>
                <wp:positionV relativeFrom="paragraph">
                  <wp:posOffset>1160145</wp:posOffset>
                </wp:positionV>
                <wp:extent cx="157480" cy="0"/>
                <wp:effectExtent l="10795" t="55880" r="22225" b="58420"/>
                <wp:wrapNone/>
                <wp:docPr id="121" name="AutoShap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650E11" id="AutoShape 351" o:spid="_x0000_s1026" type="#_x0000_t32" style="position:absolute;margin-left:-9.45pt;margin-top:91.35pt;width:12.4pt;height:0;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0ZTNgIAAGA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4000" behindDoc="0" locked="0" layoutInCell="1" allowOverlap="1" wp14:anchorId="5AEEC955" wp14:editId="15AEB6C5">
                <wp:simplePos x="0" y="0"/>
                <wp:positionH relativeFrom="column">
                  <wp:posOffset>-125095</wp:posOffset>
                </wp:positionH>
                <wp:positionV relativeFrom="paragraph">
                  <wp:posOffset>4608830</wp:posOffset>
                </wp:positionV>
                <wp:extent cx="157480" cy="0"/>
                <wp:effectExtent l="5715" t="56515" r="17780" b="57785"/>
                <wp:wrapNone/>
                <wp:docPr id="120"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EDD462" id="AutoShape 350" o:spid="_x0000_s1026" type="#_x0000_t32" style="position:absolute;margin-left:-9.85pt;margin-top:362.9pt;width:12.4pt;height:0;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CeNgIAAGA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2976" behindDoc="0" locked="0" layoutInCell="1" allowOverlap="1" wp14:anchorId="6AA664D4" wp14:editId="0C76FAE0">
                <wp:simplePos x="0" y="0"/>
                <wp:positionH relativeFrom="column">
                  <wp:posOffset>-126365</wp:posOffset>
                </wp:positionH>
                <wp:positionV relativeFrom="paragraph">
                  <wp:posOffset>3923030</wp:posOffset>
                </wp:positionV>
                <wp:extent cx="157480" cy="0"/>
                <wp:effectExtent l="13970" t="56515" r="19050" b="57785"/>
                <wp:wrapNone/>
                <wp:docPr id="119"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C32EDA" id="AutoShape 349" o:spid="_x0000_s1026" type="#_x0000_t32" style="position:absolute;margin-left:-9.95pt;margin-top:308.9pt;width:12.4pt;height:0;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Hs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1952" behindDoc="0" locked="0" layoutInCell="1" allowOverlap="1" wp14:anchorId="4B831F64" wp14:editId="00582C21">
                <wp:simplePos x="0" y="0"/>
                <wp:positionH relativeFrom="column">
                  <wp:posOffset>-118745</wp:posOffset>
                </wp:positionH>
                <wp:positionV relativeFrom="paragraph">
                  <wp:posOffset>3221990</wp:posOffset>
                </wp:positionV>
                <wp:extent cx="157480" cy="0"/>
                <wp:effectExtent l="12065" t="60325" r="20955" b="53975"/>
                <wp:wrapNone/>
                <wp:docPr id="118"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22A989" id="AutoShape 348" o:spid="_x0000_s1026" type="#_x0000_t32" style="position:absolute;margin-left:-9.35pt;margin-top:253.7pt;width:12.4pt;height:0;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h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900928" behindDoc="0" locked="0" layoutInCell="1" allowOverlap="1" wp14:anchorId="51A19793" wp14:editId="3F40B4FA">
                <wp:simplePos x="0" y="0"/>
                <wp:positionH relativeFrom="column">
                  <wp:posOffset>-120015</wp:posOffset>
                </wp:positionH>
                <wp:positionV relativeFrom="paragraph">
                  <wp:posOffset>2570480</wp:posOffset>
                </wp:positionV>
                <wp:extent cx="157480" cy="0"/>
                <wp:effectExtent l="10795" t="56515" r="22225" b="57785"/>
                <wp:wrapNone/>
                <wp:docPr id="117" name="AutoShap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D78D1" id="AutoShape 347" o:spid="_x0000_s1026" type="#_x0000_t32" style="position:absolute;margin-left:-9.45pt;margin-top:202.4pt;width:12.4pt;height:0;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0NgIAAGA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899904" behindDoc="0" locked="0" layoutInCell="1" allowOverlap="1" wp14:anchorId="306BA321" wp14:editId="2C5DE755">
                <wp:simplePos x="0" y="0"/>
                <wp:positionH relativeFrom="column">
                  <wp:posOffset>36195</wp:posOffset>
                </wp:positionH>
                <wp:positionV relativeFrom="paragraph">
                  <wp:posOffset>4308475</wp:posOffset>
                </wp:positionV>
                <wp:extent cx="914400" cy="601345"/>
                <wp:effectExtent l="5080" t="13335" r="13970" b="13970"/>
                <wp:wrapNone/>
                <wp:docPr id="116"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1C2C1A48"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Finissage Fil &amp;Tricot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BA321" id="Rectangle 346" o:spid="_x0000_s1095" style="position:absolute;left:0;text-align:left;margin-left:2.85pt;margin-top:339.25pt;width:1in;height:47.3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" fillcolor="black [3213]" strokecolor="#1f4d78 [1608]">
                <v:textbox>
                  <w:txbxContent>
                    <w:p w14:paraId="1C2C1A48" w14:textId="77777777" w:rsidR="00A36231" w:rsidRPr="00817A46" w:rsidRDefault="00A36231" w:rsidP="004D0DDB">
                      <w:pPr>
                        <w:ind w:firstLine="0"/>
                        <w:rPr>
                          <w:rFonts w:cstheme="majorBidi"/>
                          <w:b/>
                          <w:bCs/>
                          <w:color w:val="FFFFFF" w:themeColor="background1"/>
                          <w:sz w:val="16"/>
                          <w:szCs w:val="16"/>
                        </w:rPr>
                      </w:pPr>
                      <w:r w:rsidRPr="00817A46">
                        <w:rPr>
                          <w:rFonts w:cstheme="majorBidi"/>
                          <w:b/>
                          <w:bCs/>
                          <w:color w:val="FFFFFF" w:themeColor="background1"/>
                          <w:sz w:val="16"/>
                          <w:szCs w:val="16"/>
                        </w:rPr>
                        <w:t>Dép. Teinture Finissage Fil &amp;Tricot</w:t>
                      </w:r>
                    </w:p>
                  </w:txbxContent>
                </v:textbox>
              </v:rect>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894784" behindDoc="0" locked="0" layoutInCell="1" allowOverlap="1" wp14:anchorId="29806027" wp14:editId="3CF57B74">
                <wp:simplePos x="0" y="0"/>
                <wp:positionH relativeFrom="column">
                  <wp:posOffset>-123825</wp:posOffset>
                </wp:positionH>
                <wp:positionV relativeFrom="paragraph">
                  <wp:posOffset>1858010</wp:posOffset>
                </wp:positionV>
                <wp:extent cx="157480" cy="0"/>
                <wp:effectExtent l="6985" t="58420" r="16510" b="55880"/>
                <wp:wrapNone/>
                <wp:docPr id="111"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8B252" id="AutoShape 341" o:spid="_x0000_s1026" type="#_x0000_t32" style="position:absolute;margin-left:-9.75pt;margin-top:146.3pt;width:12.4pt;height:0;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fY1NQIAAGA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893760" behindDoc="0" locked="0" layoutInCell="1" allowOverlap="1" wp14:anchorId="308DEF54" wp14:editId="5023295B">
                <wp:simplePos x="0" y="0"/>
                <wp:positionH relativeFrom="column">
                  <wp:posOffset>-127000</wp:posOffset>
                </wp:positionH>
                <wp:positionV relativeFrom="paragraph">
                  <wp:posOffset>372110</wp:posOffset>
                </wp:positionV>
                <wp:extent cx="635" cy="6320790"/>
                <wp:effectExtent l="13335" t="10795" r="5080" b="12065"/>
                <wp:wrapNone/>
                <wp:docPr id="110"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20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705B9" id="AutoShape 340" o:spid="_x0000_s1026" type="#_x0000_t32" style="position:absolute;margin-left:-10pt;margin-top:29.3pt;width:.05pt;height:497.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mG5JQIAAEE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"/>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892736" behindDoc="0" locked="0" layoutInCell="1" allowOverlap="1" wp14:anchorId="6FF6589B" wp14:editId="58B21643">
                <wp:simplePos x="0" y="0"/>
                <wp:positionH relativeFrom="column">
                  <wp:posOffset>513715</wp:posOffset>
                </wp:positionH>
                <wp:positionV relativeFrom="paragraph">
                  <wp:posOffset>-125095</wp:posOffset>
                </wp:positionV>
                <wp:extent cx="635" cy="173355"/>
                <wp:effectExtent l="53975" t="8890" r="59690" b="17780"/>
                <wp:wrapNone/>
                <wp:docPr id="109"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5553D5" id="AutoShape 339" o:spid="_x0000_s1026" type="#_x0000_t32" style="position:absolute;margin-left:40.45pt;margin-top:-9.85pt;width:.05pt;height:13.6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">
                <v:stroke endarrow="block"/>
              </v:shape>
            </w:pict>
          </mc:Fallback>
        </mc:AlternateContent>
      </w:r>
      <w:r w:rsidR="00B0230F" w:rsidRPr="00E2052F">
        <w:rPr>
          <w:rFonts w:cstheme="majorBidi"/>
          <w:b/>
          <w:bCs/>
          <w:noProof/>
          <w:sz w:val="22"/>
          <w:lang w:eastAsia="fr-FR"/>
        </w:rPr>
        <mc:AlternateContent>
          <mc:Choice Requires="wps">
            <w:drawing>
              <wp:anchor distT="0" distB="0" distL="114300" distR="114300" simplePos="0" relativeHeight="251891712" behindDoc="0" locked="0" layoutInCell="1" allowOverlap="1" wp14:anchorId="430CEE2B" wp14:editId="6219BBB0">
                <wp:simplePos x="0" y="0"/>
                <wp:positionH relativeFrom="column">
                  <wp:posOffset>3199765</wp:posOffset>
                </wp:positionH>
                <wp:positionV relativeFrom="paragraph">
                  <wp:posOffset>-120650</wp:posOffset>
                </wp:positionV>
                <wp:extent cx="635" cy="173355"/>
                <wp:effectExtent l="53975" t="13335" r="59690" b="22860"/>
                <wp:wrapNone/>
                <wp:docPr id="108"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673C6" id="AutoShape 338" o:spid="_x0000_s1026" type="#_x0000_t32" style="position:absolute;margin-left:251.95pt;margin-top:-9.5pt;width:.05pt;height:13.6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">
                <v:stroke endarrow="block"/>
              </v:shape>
            </w:pict>
          </mc:Fallback>
        </mc:AlternateContent>
      </w:r>
      <w:r w:rsidR="001B1E6C" w:rsidRPr="00E2052F">
        <w:rPr>
          <w:rFonts w:cstheme="majorBidi"/>
          <w:b/>
          <w:bCs/>
          <w:sz w:val="22"/>
        </w:rPr>
        <w:br w:type="page"/>
      </w:r>
    </w:p>
    <w:p w14:paraId="6EFB4E8C" w14:textId="77777777" w:rsidR="00A01D7D" w:rsidRPr="00E2052F" w:rsidRDefault="00B0230F" w:rsidP="005D7A03">
      <w:pPr>
        <w:spacing w:before="0" w:beforeAutospacing="0" w:line="240" w:lineRule="auto"/>
        <w:ind w:firstLine="0"/>
        <w:jc w:val="center"/>
        <w:rPr>
          <w:rFonts w:cstheme="majorBidi"/>
          <w:b/>
          <w:bCs/>
          <w:sz w:val="22"/>
        </w:rPr>
      </w:pPr>
      <w:r w:rsidRPr="00E2052F">
        <w:rPr>
          <w:rFonts w:cstheme="majorBidi"/>
          <w:b/>
          <w:bCs/>
          <w:noProof/>
          <w:sz w:val="22"/>
          <w:lang w:eastAsia="fr-FR"/>
        </w:rPr>
        <w:lastRenderedPageBreak/>
        <mc:AlternateContent>
          <mc:Choice Requires="wps">
            <w:drawing>
              <wp:anchor distT="0" distB="0" distL="114300" distR="114300" simplePos="0" relativeHeight="252073984" behindDoc="0" locked="0" layoutInCell="1" allowOverlap="1" wp14:anchorId="10424780" wp14:editId="59BDB6F1">
                <wp:simplePos x="0" y="0"/>
                <wp:positionH relativeFrom="column">
                  <wp:posOffset>5039360</wp:posOffset>
                </wp:positionH>
                <wp:positionV relativeFrom="paragraph">
                  <wp:posOffset>5233035</wp:posOffset>
                </wp:positionV>
                <wp:extent cx="774065" cy="523875"/>
                <wp:effectExtent l="7620" t="13970" r="8890" b="5080"/>
                <wp:wrapNone/>
                <wp:docPr id="106" name="Rectangl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055B3104" w14:textId="77777777" w:rsidR="00A36231" w:rsidRPr="000D1F8D" w:rsidRDefault="00A36231" w:rsidP="004D0DDB">
                            <w:pPr>
                              <w:ind w:firstLine="0"/>
                            </w:pPr>
                            <w:r w:rsidRPr="000D1F8D">
                              <w:rPr>
                                <w:rFonts w:cstheme="majorBidi"/>
                                <w:b/>
                                <w:bCs/>
                                <w:sz w:val="18"/>
                                <w:szCs w:val="18"/>
                                <w:vertAlign w:val="subscript"/>
                              </w:rPr>
                              <w:t>Ser. IT Technique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24780" id="Rectangle 515" o:spid="_x0000_s1096" style="position:absolute;left:0;text-align:left;margin-left:396.8pt;margin-top:412.05pt;width:60.95pt;height:41.2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">
                <v:textbox>
                  <w:txbxContent>
                    <w:p w14:paraId="055B3104" w14:textId="77777777" w:rsidR="00A36231" w:rsidRPr="000D1F8D" w:rsidRDefault="00A36231" w:rsidP="004D0DDB">
                      <w:pPr>
                        <w:ind w:firstLine="0"/>
                      </w:pPr>
                      <w:r w:rsidRPr="000D1F8D">
                        <w:rPr>
                          <w:rFonts w:cstheme="majorBidi"/>
                          <w:b/>
                          <w:bCs/>
                          <w:sz w:val="18"/>
                          <w:szCs w:val="18"/>
                          <w:vertAlign w:val="subscript"/>
                        </w:rPr>
                        <w:t>Ser. IT Technique</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79104" behindDoc="0" locked="0" layoutInCell="1" allowOverlap="1" wp14:anchorId="5E20134A" wp14:editId="0F90F2A0">
                <wp:simplePos x="0" y="0"/>
                <wp:positionH relativeFrom="column">
                  <wp:posOffset>6351270</wp:posOffset>
                </wp:positionH>
                <wp:positionV relativeFrom="paragraph">
                  <wp:posOffset>6817995</wp:posOffset>
                </wp:positionV>
                <wp:extent cx="198755" cy="0"/>
                <wp:effectExtent l="14605" t="55880" r="5715" b="58420"/>
                <wp:wrapNone/>
                <wp:docPr id="105" name="AutoShap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1982E" id="AutoShape 520" o:spid="_x0000_s1026" type="#_x0000_t32" style="position:absolute;margin-left:500.1pt;margin-top:536.85pt;width:15.65pt;height:0;flip:x;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78080" behindDoc="0" locked="0" layoutInCell="1" allowOverlap="1" wp14:anchorId="46B89773" wp14:editId="329700E0">
                <wp:simplePos x="0" y="0"/>
                <wp:positionH relativeFrom="column">
                  <wp:posOffset>5442585</wp:posOffset>
                </wp:positionH>
                <wp:positionV relativeFrom="paragraph">
                  <wp:posOffset>6517005</wp:posOffset>
                </wp:positionV>
                <wp:extent cx="914400" cy="601345"/>
                <wp:effectExtent l="10795" t="12065" r="8255" b="5715"/>
                <wp:wrapNone/>
                <wp:docPr id="104" name="Rectangle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7EE2B354" w14:textId="77777777" w:rsidR="00A36231" w:rsidRPr="000D1F8D" w:rsidRDefault="00A36231" w:rsidP="004D0DDB">
                            <w:pPr>
                              <w:ind w:firstLine="0"/>
                              <w:rPr>
                                <w:rFonts w:cstheme="majorBidi"/>
                                <w:b/>
                                <w:bCs/>
                                <w:color w:val="FFFFFF" w:themeColor="background1"/>
                                <w:sz w:val="16"/>
                                <w:szCs w:val="16"/>
                              </w:rPr>
                            </w:pPr>
                            <w:r w:rsidRPr="000D1F8D">
                              <w:rPr>
                                <w:rFonts w:cstheme="majorBidi"/>
                                <w:b/>
                                <w:bCs/>
                                <w:color w:val="FFFFFF" w:themeColor="background1"/>
                                <w:sz w:val="16"/>
                                <w:szCs w:val="16"/>
                              </w:rPr>
                              <w:t>Dép. Communication &amp; RP</w:t>
                            </w:r>
                          </w:p>
                          <w:p w14:paraId="5A069699" w14:textId="77777777" w:rsidR="00A36231" w:rsidRPr="000D1F8D" w:rsidRDefault="00A36231" w:rsidP="001B1E6C">
                            <w:r w:rsidRPr="000D1F8D">
                              <w:rPr>
                                <w:rFonts w:cstheme="majorBidi"/>
                                <w:b/>
                                <w:bCs/>
                                <w:color w:val="FFFFFF" w:themeColor="background1"/>
                                <w:sz w:val="16"/>
                                <w:szCs w:val="16"/>
                              </w:rPr>
                              <w:t>et 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89773" id="Rectangle 519" o:spid="_x0000_s1097" style="position:absolute;left:0;text-align:left;margin-left:428.55pt;margin-top:513.15pt;width:1in;height:47.3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" fillcolor="black [3213]" strokecolor="#1f4d78 [1608]">
                <v:textbox>
                  <w:txbxContent>
                    <w:p w14:paraId="7EE2B354" w14:textId="77777777" w:rsidR="00A36231" w:rsidRPr="000D1F8D" w:rsidRDefault="00A36231" w:rsidP="004D0DDB">
                      <w:pPr>
                        <w:ind w:firstLine="0"/>
                        <w:rPr>
                          <w:rFonts w:cstheme="majorBidi"/>
                          <w:b/>
                          <w:bCs/>
                          <w:color w:val="FFFFFF" w:themeColor="background1"/>
                          <w:sz w:val="16"/>
                          <w:szCs w:val="16"/>
                        </w:rPr>
                      </w:pPr>
                      <w:r w:rsidRPr="000D1F8D">
                        <w:rPr>
                          <w:rFonts w:cstheme="majorBidi"/>
                          <w:b/>
                          <w:bCs/>
                          <w:color w:val="FFFFFF" w:themeColor="background1"/>
                          <w:sz w:val="16"/>
                          <w:szCs w:val="16"/>
                        </w:rPr>
                        <w:t>Dép. Communication &amp; RP</w:t>
                      </w:r>
                    </w:p>
                    <w:p w14:paraId="5A069699" w14:textId="77777777" w:rsidR="00A36231" w:rsidRPr="000D1F8D" w:rsidRDefault="00A36231" w:rsidP="001B1E6C">
                      <w:r w:rsidRPr="000D1F8D">
                        <w:rPr>
                          <w:rFonts w:cstheme="majorBidi"/>
                          <w:b/>
                          <w:bCs/>
                          <w:color w:val="FFFFFF" w:themeColor="background1"/>
                          <w:sz w:val="16"/>
                          <w:szCs w:val="16"/>
                        </w:rPr>
                        <w:t>et Marketing</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77056" behindDoc="0" locked="0" layoutInCell="1" allowOverlap="1" wp14:anchorId="66097301" wp14:editId="138DE135">
                <wp:simplePos x="0" y="0"/>
                <wp:positionH relativeFrom="column">
                  <wp:posOffset>6351270</wp:posOffset>
                </wp:positionH>
                <wp:positionV relativeFrom="paragraph">
                  <wp:posOffset>6147435</wp:posOffset>
                </wp:positionV>
                <wp:extent cx="198755" cy="0"/>
                <wp:effectExtent l="14605" t="61595" r="5715" b="52705"/>
                <wp:wrapNone/>
                <wp:docPr id="103" name="AutoShap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03F803" id="AutoShape 518" o:spid="_x0000_s1026" type="#_x0000_t32" style="position:absolute;margin-left:500.1pt;margin-top:484.05pt;width:15.65pt;height:0;flip:x;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76032" behindDoc="0" locked="0" layoutInCell="1" allowOverlap="1" wp14:anchorId="45055AB0" wp14:editId="7974E0C2">
                <wp:simplePos x="0" y="0"/>
                <wp:positionH relativeFrom="column">
                  <wp:posOffset>5442585</wp:posOffset>
                </wp:positionH>
                <wp:positionV relativeFrom="paragraph">
                  <wp:posOffset>5846445</wp:posOffset>
                </wp:positionV>
                <wp:extent cx="914400" cy="601345"/>
                <wp:effectExtent l="10795" t="8255" r="8255" b="9525"/>
                <wp:wrapNone/>
                <wp:docPr id="102" name="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3F9DEEBB" w14:textId="77777777" w:rsidR="00A36231" w:rsidRPr="000D1F8D" w:rsidRDefault="00A36231" w:rsidP="001B1E6C">
                            <w:pPr>
                              <w:ind w:firstLine="0"/>
                            </w:pPr>
                            <w:r w:rsidRPr="000D1F8D">
                              <w:rPr>
                                <w:rFonts w:cstheme="majorBidi"/>
                                <w:b/>
                                <w:bCs/>
                                <w:color w:val="FFFFFF" w:themeColor="background1"/>
                                <w:sz w:val="16"/>
                                <w:szCs w:val="16"/>
                              </w:rPr>
                              <w:t>Dép. Sécurité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55AB0" id="Rectangle 517" o:spid="_x0000_s1098" style="position:absolute;left:0;text-align:left;margin-left:428.55pt;margin-top:460.35pt;width:1in;height:47.3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" fillcolor="black [3213]" strokecolor="#1f4d78 [1608]">
                <v:textbox>
                  <w:txbxContent>
                    <w:p w14:paraId="3F9DEEBB" w14:textId="77777777" w:rsidR="00A36231" w:rsidRPr="000D1F8D" w:rsidRDefault="00A36231" w:rsidP="001B1E6C">
                      <w:pPr>
                        <w:ind w:firstLine="0"/>
                      </w:pPr>
                      <w:r w:rsidRPr="000D1F8D">
                        <w:rPr>
                          <w:rFonts w:cstheme="majorBidi"/>
                          <w:b/>
                          <w:bCs/>
                          <w:color w:val="FFFFFF" w:themeColor="background1"/>
                          <w:sz w:val="16"/>
                          <w:szCs w:val="16"/>
                        </w:rPr>
                        <w:t>Dép. Sécurité</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75008" behindDoc="0" locked="0" layoutInCell="1" allowOverlap="1" wp14:anchorId="13DF75FB" wp14:editId="7EBDC944">
                <wp:simplePos x="0" y="0"/>
                <wp:positionH relativeFrom="column">
                  <wp:posOffset>5813425</wp:posOffset>
                </wp:positionH>
                <wp:positionV relativeFrom="paragraph">
                  <wp:posOffset>5534025</wp:posOffset>
                </wp:positionV>
                <wp:extent cx="116205" cy="0"/>
                <wp:effectExtent l="10160" t="10160" r="6985" b="8890"/>
                <wp:wrapNone/>
                <wp:docPr id="101" name="AutoShap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79154A" id="AutoShape 516" o:spid="_x0000_s1026" type="#_x0000_t32" style="position:absolute;margin-left:457.75pt;margin-top:435.75pt;width:9.15pt;height:0;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6yk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72960" behindDoc="0" locked="0" layoutInCell="1" allowOverlap="1" wp14:anchorId="51DF208D" wp14:editId="77F09BF5">
                <wp:simplePos x="0" y="0"/>
                <wp:positionH relativeFrom="column">
                  <wp:posOffset>5813425</wp:posOffset>
                </wp:positionH>
                <wp:positionV relativeFrom="paragraph">
                  <wp:posOffset>4914900</wp:posOffset>
                </wp:positionV>
                <wp:extent cx="116205" cy="0"/>
                <wp:effectExtent l="10160" t="10160" r="6985" b="8890"/>
                <wp:wrapNone/>
                <wp:docPr id="100" name="Auto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3A89D" id="AutoShape 514" o:spid="_x0000_s1026" type="#_x0000_t32" style="position:absolute;margin-left:457.75pt;margin-top:387pt;width:9.15pt;height:0;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1gM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71936" behindDoc="0" locked="0" layoutInCell="1" allowOverlap="1" wp14:anchorId="649C04EE" wp14:editId="50761346">
                <wp:simplePos x="0" y="0"/>
                <wp:positionH relativeFrom="column">
                  <wp:posOffset>5813425</wp:posOffset>
                </wp:positionH>
                <wp:positionV relativeFrom="paragraph">
                  <wp:posOffset>4314825</wp:posOffset>
                </wp:positionV>
                <wp:extent cx="116205" cy="0"/>
                <wp:effectExtent l="10160" t="10160" r="6985" b="8890"/>
                <wp:wrapNone/>
                <wp:docPr id="99" name="AutoShap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49D14C" id="AutoShape 513" o:spid="_x0000_s1026" type="#_x0000_t32" style="position:absolute;margin-left:457.75pt;margin-top:339.75pt;width:9.15pt;height:0;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B9IA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70912" behindDoc="0" locked="0" layoutInCell="1" allowOverlap="1" wp14:anchorId="5CCE4516" wp14:editId="703D42F8">
                <wp:simplePos x="0" y="0"/>
                <wp:positionH relativeFrom="column">
                  <wp:posOffset>5929630</wp:posOffset>
                </wp:positionH>
                <wp:positionV relativeFrom="paragraph">
                  <wp:posOffset>3962400</wp:posOffset>
                </wp:positionV>
                <wp:extent cx="635" cy="1571625"/>
                <wp:effectExtent l="12065" t="10160" r="6350" b="8890"/>
                <wp:wrapNone/>
                <wp:docPr id="98" name="AutoShap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7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C65D69" id="AutoShape 512" o:spid="_x0000_s1026" type="#_x0000_t32" style="position:absolute;margin-left:466.9pt;margin-top:312pt;width:.05pt;height:123.7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FiIg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"/>
            </w:pict>
          </mc:Fallback>
        </mc:AlternateContent>
      </w:r>
      <w:r w:rsidRPr="00E2052F">
        <w:rPr>
          <w:rFonts w:cstheme="majorBidi"/>
          <w:b/>
          <w:bCs/>
          <w:noProof/>
          <w:sz w:val="22"/>
          <w:lang w:eastAsia="fr-FR"/>
        </w:rPr>
        <mc:AlternateContent>
          <mc:Choice Requires="wps">
            <w:drawing>
              <wp:anchor distT="0" distB="0" distL="114300" distR="114300" simplePos="0" relativeHeight="252069888" behindDoc="0" locked="0" layoutInCell="1" allowOverlap="1" wp14:anchorId="793F0619" wp14:editId="01D9DD67">
                <wp:simplePos x="0" y="0"/>
                <wp:positionH relativeFrom="column">
                  <wp:posOffset>5039360</wp:posOffset>
                </wp:positionH>
                <wp:positionV relativeFrom="paragraph">
                  <wp:posOffset>4648835</wp:posOffset>
                </wp:positionV>
                <wp:extent cx="774065" cy="523875"/>
                <wp:effectExtent l="7620" t="10795" r="8890" b="8255"/>
                <wp:wrapNone/>
                <wp:docPr id="97"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26802DDD" w14:textId="77777777" w:rsidR="00A36231" w:rsidRPr="000D1F8D" w:rsidRDefault="00A36231" w:rsidP="004D0DDB">
                            <w:pPr>
                              <w:ind w:firstLine="0"/>
                              <w:rPr>
                                <w:rFonts w:cstheme="majorBidi"/>
                                <w:b/>
                                <w:bCs/>
                                <w:sz w:val="18"/>
                                <w:szCs w:val="18"/>
                                <w:vertAlign w:val="subscript"/>
                              </w:rPr>
                            </w:pPr>
                            <w:r w:rsidRPr="000D1F8D">
                              <w:rPr>
                                <w:rFonts w:cstheme="majorBidi"/>
                                <w:b/>
                                <w:bCs/>
                                <w:sz w:val="18"/>
                                <w:szCs w:val="18"/>
                                <w:vertAlign w:val="subscript"/>
                              </w:rPr>
                              <w:t>Ser.</w:t>
                            </w:r>
                            <w:r>
                              <w:rPr>
                                <w:rFonts w:cstheme="majorBidi"/>
                                <w:b/>
                                <w:bCs/>
                                <w:sz w:val="18"/>
                                <w:szCs w:val="18"/>
                                <w:vertAlign w:val="subscript"/>
                              </w:rPr>
                              <w:t xml:space="preserve"> </w:t>
                            </w:r>
                            <w:r w:rsidRPr="000D1F8D">
                              <w:rPr>
                                <w:rFonts w:cstheme="majorBidi"/>
                                <w:b/>
                                <w:bCs/>
                                <w:sz w:val="18"/>
                                <w:szCs w:val="18"/>
                                <w:vertAlign w:val="subscript"/>
                              </w:rPr>
                              <w:t>Développement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F0619" id="Rectangle 511" o:spid="_x0000_s1099" style="position:absolute;left:0;text-align:left;margin-left:396.8pt;margin-top:366.05pt;width:60.95pt;height:41.2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">
                <v:textbox>
                  <w:txbxContent>
                    <w:p w14:paraId="26802DDD" w14:textId="77777777" w:rsidR="00A36231" w:rsidRPr="000D1F8D" w:rsidRDefault="00A36231" w:rsidP="004D0DDB">
                      <w:pPr>
                        <w:ind w:firstLine="0"/>
                        <w:rPr>
                          <w:rFonts w:cstheme="majorBidi"/>
                          <w:b/>
                          <w:bCs/>
                          <w:sz w:val="18"/>
                          <w:szCs w:val="18"/>
                          <w:vertAlign w:val="subscript"/>
                        </w:rPr>
                      </w:pPr>
                      <w:r w:rsidRPr="000D1F8D">
                        <w:rPr>
                          <w:rFonts w:cstheme="majorBidi"/>
                          <w:b/>
                          <w:bCs/>
                          <w:sz w:val="18"/>
                          <w:szCs w:val="18"/>
                          <w:vertAlign w:val="subscript"/>
                        </w:rPr>
                        <w:t>Ser.</w:t>
                      </w:r>
                      <w:r>
                        <w:rPr>
                          <w:rFonts w:cstheme="majorBidi"/>
                          <w:b/>
                          <w:bCs/>
                          <w:sz w:val="18"/>
                          <w:szCs w:val="18"/>
                          <w:vertAlign w:val="subscript"/>
                        </w:rPr>
                        <w:t xml:space="preserve"> </w:t>
                      </w:r>
                      <w:r w:rsidRPr="000D1F8D">
                        <w:rPr>
                          <w:rFonts w:cstheme="majorBidi"/>
                          <w:b/>
                          <w:bCs/>
                          <w:sz w:val="18"/>
                          <w:szCs w:val="18"/>
                          <w:vertAlign w:val="subscript"/>
                        </w:rPr>
                        <w:t>Développement IT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68864" behindDoc="0" locked="0" layoutInCell="1" allowOverlap="1" wp14:anchorId="1E0F76B0" wp14:editId="5248EF3E">
                <wp:simplePos x="0" y="0"/>
                <wp:positionH relativeFrom="column">
                  <wp:posOffset>5039360</wp:posOffset>
                </wp:positionH>
                <wp:positionV relativeFrom="paragraph">
                  <wp:posOffset>4042410</wp:posOffset>
                </wp:positionV>
                <wp:extent cx="774065" cy="523875"/>
                <wp:effectExtent l="7620" t="13970" r="8890" b="5080"/>
                <wp:wrapNone/>
                <wp:docPr id="96" name="Rectangl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3A82A08B" w14:textId="77777777" w:rsidR="00A36231" w:rsidRPr="000D1F8D" w:rsidRDefault="00A36231" w:rsidP="004D0DDB">
                            <w:pPr>
                              <w:ind w:firstLine="0"/>
                            </w:pPr>
                            <w:r w:rsidRPr="000D1F8D">
                              <w:rPr>
                                <w:rFonts w:cstheme="majorBidi"/>
                                <w:b/>
                                <w:bCs/>
                                <w:sz w:val="18"/>
                                <w:szCs w:val="18"/>
                                <w:vertAlign w:val="subscript"/>
                              </w:rPr>
                              <w:t>Ser. ERP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F76B0" id="Rectangle 510" o:spid="_x0000_s1100" style="position:absolute;left:0;text-align:left;margin-left:396.8pt;margin-top:318.3pt;width:60.95pt;height:41.2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">
                <v:textbox>
                  <w:txbxContent>
                    <w:p w14:paraId="3A82A08B" w14:textId="77777777" w:rsidR="00A36231" w:rsidRPr="000D1F8D" w:rsidRDefault="00A36231" w:rsidP="004D0DDB">
                      <w:pPr>
                        <w:ind w:firstLine="0"/>
                      </w:pPr>
                      <w:r w:rsidRPr="000D1F8D">
                        <w:rPr>
                          <w:rFonts w:cstheme="majorBidi"/>
                          <w:b/>
                          <w:bCs/>
                          <w:sz w:val="18"/>
                          <w:szCs w:val="18"/>
                          <w:vertAlign w:val="subscript"/>
                        </w:rPr>
                        <w:t>Ser. ERP</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67840" behindDoc="0" locked="0" layoutInCell="1" allowOverlap="1" wp14:anchorId="530EFBEF" wp14:editId="00E3D493">
                <wp:simplePos x="0" y="0"/>
                <wp:positionH relativeFrom="column">
                  <wp:posOffset>6351270</wp:posOffset>
                </wp:positionH>
                <wp:positionV relativeFrom="paragraph">
                  <wp:posOffset>3668395</wp:posOffset>
                </wp:positionV>
                <wp:extent cx="198755" cy="0"/>
                <wp:effectExtent l="14605" t="59055" r="5715" b="55245"/>
                <wp:wrapNone/>
                <wp:docPr id="95" name="AutoShap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237601" id="AutoShape 509" o:spid="_x0000_s1026" type="#_x0000_t32" style="position:absolute;margin-left:500.1pt;margin-top:288.85pt;width:15.65pt;height:0;flip:x;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66816" behindDoc="0" locked="0" layoutInCell="1" allowOverlap="1" wp14:anchorId="3F5EA939" wp14:editId="2D8ED4CA">
                <wp:simplePos x="0" y="0"/>
                <wp:positionH relativeFrom="column">
                  <wp:posOffset>5442585</wp:posOffset>
                </wp:positionH>
                <wp:positionV relativeFrom="paragraph">
                  <wp:posOffset>3367405</wp:posOffset>
                </wp:positionV>
                <wp:extent cx="914400" cy="601345"/>
                <wp:effectExtent l="10795" t="5715" r="8255" b="12065"/>
                <wp:wrapNone/>
                <wp:docPr id="94"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33C5EE5A" w14:textId="77777777" w:rsidR="00A36231" w:rsidRPr="000D1F8D" w:rsidRDefault="00A36231" w:rsidP="001B1E6C">
                            <w:pPr>
                              <w:ind w:firstLine="0"/>
                              <w:rPr>
                                <w:rFonts w:cstheme="majorBidi"/>
                                <w:b/>
                                <w:bCs/>
                                <w:color w:val="FFFFFF" w:themeColor="background1"/>
                                <w:sz w:val="16"/>
                                <w:szCs w:val="16"/>
                              </w:rPr>
                            </w:pPr>
                            <w:r w:rsidRPr="000D1F8D">
                              <w:rPr>
                                <w:rFonts w:cstheme="majorBidi"/>
                                <w:b/>
                                <w:bCs/>
                                <w:color w:val="FFFFFF" w:themeColor="background1"/>
                                <w:sz w:val="16"/>
                                <w:szCs w:val="16"/>
                              </w:rPr>
                              <w:t>Dép. IT &amp; Sécurité des</w:t>
                            </w:r>
                            <w:r>
                              <w:rPr>
                                <w:rFonts w:cstheme="majorBidi"/>
                                <w:b/>
                                <w:bCs/>
                                <w:color w:val="FFFFFF" w:themeColor="background1"/>
                                <w:sz w:val="16"/>
                                <w:szCs w:val="16"/>
                              </w:rPr>
                              <w:t xml:space="preserve"> </w:t>
                            </w:r>
                            <w:r w:rsidRPr="000D1F8D">
                              <w:rPr>
                                <w:rFonts w:cstheme="majorBidi"/>
                                <w:b/>
                                <w:bCs/>
                                <w:color w:val="FFFFFF" w:themeColor="background1"/>
                                <w:sz w:val="16"/>
                                <w:szCs w:val="16"/>
                              </w:rPr>
                              <w:t>systèmes d’information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EA939" id="Rectangle 508" o:spid="_x0000_s1101" style="position:absolute;left:0;text-align:left;margin-left:428.55pt;margin-top:265.15pt;width:1in;height:47.3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" fillcolor="black [3213]" strokecolor="#1f4d78 [1608]">
                <v:textbox>
                  <w:txbxContent>
                    <w:p w14:paraId="33C5EE5A" w14:textId="77777777" w:rsidR="00A36231" w:rsidRPr="000D1F8D" w:rsidRDefault="00A36231" w:rsidP="001B1E6C">
                      <w:pPr>
                        <w:ind w:firstLine="0"/>
                        <w:rPr>
                          <w:rFonts w:cstheme="majorBidi"/>
                          <w:b/>
                          <w:bCs/>
                          <w:color w:val="FFFFFF" w:themeColor="background1"/>
                          <w:sz w:val="16"/>
                          <w:szCs w:val="16"/>
                        </w:rPr>
                      </w:pPr>
                      <w:r w:rsidRPr="000D1F8D">
                        <w:rPr>
                          <w:rFonts w:cstheme="majorBidi"/>
                          <w:b/>
                          <w:bCs/>
                          <w:color w:val="FFFFFF" w:themeColor="background1"/>
                          <w:sz w:val="16"/>
                          <w:szCs w:val="16"/>
                        </w:rPr>
                        <w:t>Dép. IT &amp; Sécurité des</w:t>
                      </w:r>
                      <w:r>
                        <w:rPr>
                          <w:rFonts w:cstheme="majorBidi"/>
                          <w:b/>
                          <w:bCs/>
                          <w:color w:val="FFFFFF" w:themeColor="background1"/>
                          <w:sz w:val="16"/>
                          <w:szCs w:val="16"/>
                        </w:rPr>
                        <w:t xml:space="preserve"> </w:t>
                      </w:r>
                      <w:r w:rsidRPr="000D1F8D">
                        <w:rPr>
                          <w:rFonts w:cstheme="majorBidi"/>
                          <w:b/>
                          <w:bCs/>
                          <w:color w:val="FFFFFF" w:themeColor="background1"/>
                          <w:sz w:val="16"/>
                          <w:szCs w:val="16"/>
                        </w:rPr>
                        <w:t>systèmes d’information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65792" behindDoc="0" locked="0" layoutInCell="1" allowOverlap="1" wp14:anchorId="5B860998" wp14:editId="402AFF9C">
                <wp:simplePos x="0" y="0"/>
                <wp:positionH relativeFrom="column">
                  <wp:posOffset>5823585</wp:posOffset>
                </wp:positionH>
                <wp:positionV relativeFrom="paragraph">
                  <wp:posOffset>3024505</wp:posOffset>
                </wp:positionV>
                <wp:extent cx="116205" cy="0"/>
                <wp:effectExtent l="10795" t="5715" r="6350" b="13335"/>
                <wp:wrapNone/>
                <wp:docPr id="93" name="AutoShap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5224AC" id="AutoShape 507" o:spid="_x0000_s1026" type="#_x0000_t32" style="position:absolute;margin-left:458.55pt;margin-top:238.15pt;width:9.15pt;height:0;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YZ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64768" behindDoc="0" locked="0" layoutInCell="1" allowOverlap="1" wp14:anchorId="4C9CD305" wp14:editId="37584E5E">
                <wp:simplePos x="0" y="0"/>
                <wp:positionH relativeFrom="column">
                  <wp:posOffset>5049520</wp:posOffset>
                </wp:positionH>
                <wp:positionV relativeFrom="paragraph">
                  <wp:posOffset>2752090</wp:posOffset>
                </wp:positionV>
                <wp:extent cx="774065" cy="523875"/>
                <wp:effectExtent l="8255" t="9525" r="8255" b="9525"/>
                <wp:wrapNone/>
                <wp:docPr id="92"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32419BB9" w14:textId="77777777" w:rsidR="00A36231" w:rsidRPr="004F59DF" w:rsidRDefault="00A36231" w:rsidP="004D0DDB">
                            <w:pPr>
                              <w:ind w:firstLine="0"/>
                            </w:pPr>
                            <w:r w:rsidRPr="004F59DF">
                              <w:rPr>
                                <w:rFonts w:cstheme="majorBidi"/>
                                <w:b/>
                                <w:bCs/>
                                <w:sz w:val="18"/>
                                <w:szCs w:val="18"/>
                                <w:vertAlign w:val="subscript"/>
                              </w:rPr>
                              <w:t>Audit Qualité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CD305" id="Rectangle 506" o:spid="_x0000_s1102" style="position:absolute;left:0;text-align:left;margin-left:397.6pt;margin-top:216.7pt;width:60.95pt;height:41.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">
                <v:textbox>
                  <w:txbxContent>
                    <w:p w14:paraId="32419BB9" w14:textId="77777777" w:rsidR="00A36231" w:rsidRPr="004F59DF" w:rsidRDefault="00A36231" w:rsidP="004D0DDB">
                      <w:pPr>
                        <w:ind w:firstLine="0"/>
                      </w:pPr>
                      <w:r w:rsidRPr="004F59DF">
                        <w:rPr>
                          <w:rFonts w:cstheme="majorBidi"/>
                          <w:b/>
                          <w:bCs/>
                          <w:sz w:val="18"/>
                          <w:szCs w:val="18"/>
                          <w:vertAlign w:val="subscript"/>
                        </w:rPr>
                        <w:t>Audit Qualité</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63744" behindDoc="0" locked="0" layoutInCell="1" allowOverlap="1" wp14:anchorId="51C34709" wp14:editId="4B890AC5">
                <wp:simplePos x="0" y="0"/>
                <wp:positionH relativeFrom="column">
                  <wp:posOffset>5823585</wp:posOffset>
                </wp:positionH>
                <wp:positionV relativeFrom="paragraph">
                  <wp:posOffset>2405380</wp:posOffset>
                </wp:positionV>
                <wp:extent cx="116205" cy="0"/>
                <wp:effectExtent l="10795" t="5715" r="6350" b="13335"/>
                <wp:wrapNone/>
                <wp:docPr id="91" name="AutoShap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EB5A57" id="AutoShape 505" o:spid="_x0000_s1026" type="#_x0000_t32" style="position:absolute;margin-left:458.55pt;margin-top:189.4pt;width:9.15pt;height:0;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tuRHg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62720" behindDoc="0" locked="0" layoutInCell="1" allowOverlap="1" wp14:anchorId="636F13FC" wp14:editId="375EA462">
                <wp:simplePos x="0" y="0"/>
                <wp:positionH relativeFrom="column">
                  <wp:posOffset>5823585</wp:posOffset>
                </wp:positionH>
                <wp:positionV relativeFrom="paragraph">
                  <wp:posOffset>1805305</wp:posOffset>
                </wp:positionV>
                <wp:extent cx="116205" cy="0"/>
                <wp:effectExtent l="10795" t="5715" r="6350" b="13335"/>
                <wp:wrapNone/>
                <wp:docPr id="90" name="AutoShap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C4086D" id="AutoShape 504" o:spid="_x0000_s1026" type="#_x0000_t32" style="position:absolute;margin-left:458.55pt;margin-top:142.15pt;width:9.15pt;height:0;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61696" behindDoc="0" locked="0" layoutInCell="1" allowOverlap="1" wp14:anchorId="44D5046A" wp14:editId="3B1734EB">
                <wp:simplePos x="0" y="0"/>
                <wp:positionH relativeFrom="column">
                  <wp:posOffset>5939790</wp:posOffset>
                </wp:positionH>
                <wp:positionV relativeFrom="paragraph">
                  <wp:posOffset>1452880</wp:posOffset>
                </wp:positionV>
                <wp:extent cx="635" cy="1571625"/>
                <wp:effectExtent l="12700" t="5715" r="5715" b="13335"/>
                <wp:wrapNone/>
                <wp:docPr id="89" name="AutoShap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7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BA860C" id="AutoShape 503" o:spid="_x0000_s1026" type="#_x0000_t32" style="position:absolute;margin-left:467.7pt;margin-top:114.4pt;width:.05pt;height:123.7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YVIgIAAEA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"/>
            </w:pict>
          </mc:Fallback>
        </mc:AlternateContent>
      </w:r>
      <w:r w:rsidRPr="00E2052F">
        <w:rPr>
          <w:rFonts w:cstheme="majorBidi"/>
          <w:b/>
          <w:bCs/>
          <w:noProof/>
          <w:sz w:val="22"/>
          <w:lang w:eastAsia="fr-FR"/>
        </w:rPr>
        <mc:AlternateContent>
          <mc:Choice Requires="wps">
            <w:drawing>
              <wp:anchor distT="0" distB="0" distL="114300" distR="114300" simplePos="0" relativeHeight="252060672" behindDoc="0" locked="0" layoutInCell="1" allowOverlap="1" wp14:anchorId="0455F01E" wp14:editId="6FE97315">
                <wp:simplePos x="0" y="0"/>
                <wp:positionH relativeFrom="column">
                  <wp:posOffset>5049520</wp:posOffset>
                </wp:positionH>
                <wp:positionV relativeFrom="paragraph">
                  <wp:posOffset>2139315</wp:posOffset>
                </wp:positionV>
                <wp:extent cx="774065" cy="523875"/>
                <wp:effectExtent l="8255" t="6350" r="8255" b="12700"/>
                <wp:wrapNone/>
                <wp:docPr id="88" name="Rectangl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07538643" w14:textId="77777777" w:rsidR="00A36231" w:rsidRPr="004F59DF" w:rsidRDefault="00A36231" w:rsidP="004D0DDB">
                            <w:pPr>
                              <w:ind w:firstLine="0"/>
                            </w:pPr>
                            <w:r w:rsidRPr="004F59DF">
                              <w:rPr>
                                <w:rFonts w:cstheme="majorBidi"/>
                                <w:b/>
                                <w:bCs/>
                                <w:sz w:val="18"/>
                                <w:szCs w:val="18"/>
                                <w:vertAlign w:val="subscript"/>
                              </w:rPr>
                              <w:t>Ser. SMQ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5F01E" id="Rectangle 502" o:spid="_x0000_s1103" style="position:absolute;left:0;text-align:left;margin-left:397.6pt;margin-top:168.45pt;width:60.95pt;height:41.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">
                <v:textbox>
                  <w:txbxContent>
                    <w:p w14:paraId="07538643" w14:textId="77777777" w:rsidR="00A36231" w:rsidRPr="004F59DF" w:rsidRDefault="00A36231" w:rsidP="004D0DDB">
                      <w:pPr>
                        <w:ind w:firstLine="0"/>
                      </w:pPr>
                      <w:r w:rsidRPr="004F59DF">
                        <w:rPr>
                          <w:rFonts w:cstheme="majorBidi"/>
                          <w:b/>
                          <w:bCs/>
                          <w:sz w:val="18"/>
                          <w:szCs w:val="18"/>
                          <w:vertAlign w:val="subscript"/>
                        </w:rPr>
                        <w:t>Ser. SMQ</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59648" behindDoc="0" locked="0" layoutInCell="1" allowOverlap="1" wp14:anchorId="69F0D1B4" wp14:editId="56A9E7F1">
                <wp:simplePos x="0" y="0"/>
                <wp:positionH relativeFrom="column">
                  <wp:posOffset>5049520</wp:posOffset>
                </wp:positionH>
                <wp:positionV relativeFrom="paragraph">
                  <wp:posOffset>1532890</wp:posOffset>
                </wp:positionV>
                <wp:extent cx="774065" cy="523875"/>
                <wp:effectExtent l="8255" t="9525" r="8255" b="9525"/>
                <wp:wrapNone/>
                <wp:docPr id="87"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35DF8F88" w14:textId="77777777" w:rsidR="00A36231" w:rsidRPr="004F59DF" w:rsidRDefault="00A36231" w:rsidP="004D0DDB">
                            <w:pPr>
                              <w:ind w:firstLine="0"/>
                            </w:pPr>
                            <w:r w:rsidRPr="004F59DF">
                              <w:rPr>
                                <w:rFonts w:cstheme="majorBidi"/>
                                <w:b/>
                                <w:bCs/>
                                <w:sz w:val="18"/>
                                <w:szCs w:val="18"/>
                                <w:vertAlign w:val="subscript"/>
                              </w:rPr>
                              <w:t>Ser. HSE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0D1B4" id="Rectangle 501" o:spid="_x0000_s1104" style="position:absolute;left:0;text-align:left;margin-left:397.6pt;margin-top:120.7pt;width:60.95pt;height:41.2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">
                <v:textbox>
                  <w:txbxContent>
                    <w:p w14:paraId="35DF8F88" w14:textId="77777777" w:rsidR="00A36231" w:rsidRPr="004F59DF" w:rsidRDefault="00A36231" w:rsidP="004D0DDB">
                      <w:pPr>
                        <w:ind w:firstLine="0"/>
                      </w:pPr>
                      <w:r w:rsidRPr="004F59DF">
                        <w:rPr>
                          <w:rFonts w:cstheme="majorBidi"/>
                          <w:b/>
                          <w:bCs/>
                          <w:sz w:val="18"/>
                          <w:szCs w:val="18"/>
                          <w:vertAlign w:val="subscript"/>
                        </w:rPr>
                        <w:t>Ser. HSE</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58624" behindDoc="0" locked="0" layoutInCell="1" allowOverlap="1" wp14:anchorId="4F33E490" wp14:editId="14D44441">
                <wp:simplePos x="0" y="0"/>
                <wp:positionH relativeFrom="column">
                  <wp:posOffset>3466465</wp:posOffset>
                </wp:positionH>
                <wp:positionV relativeFrom="paragraph">
                  <wp:posOffset>5142865</wp:posOffset>
                </wp:positionV>
                <wp:extent cx="157480" cy="0"/>
                <wp:effectExtent l="6350" t="57150" r="17145" b="57150"/>
                <wp:wrapNone/>
                <wp:docPr id="86" name="AutoShape 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D2F25B" id="AutoShape 500" o:spid="_x0000_s1026" type="#_x0000_t32" style="position:absolute;margin-left:272.95pt;margin-top:404.95pt;width:12.4pt;height:0;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57600" behindDoc="0" locked="0" layoutInCell="1" allowOverlap="1" wp14:anchorId="2E4B2038" wp14:editId="131FDD70">
                <wp:simplePos x="0" y="0"/>
                <wp:positionH relativeFrom="column">
                  <wp:posOffset>3466465</wp:posOffset>
                </wp:positionH>
                <wp:positionV relativeFrom="paragraph">
                  <wp:posOffset>2511425</wp:posOffset>
                </wp:positionV>
                <wp:extent cx="157480" cy="0"/>
                <wp:effectExtent l="6350" t="54610" r="17145" b="59690"/>
                <wp:wrapNone/>
                <wp:docPr id="85" name="AutoShape 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BB9AB6" id="AutoShape 499" o:spid="_x0000_s1026" type="#_x0000_t32" style="position:absolute;margin-left:272.95pt;margin-top:197.75pt;width:12.4pt;height:0;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56576" behindDoc="0" locked="0" layoutInCell="1" allowOverlap="1" wp14:anchorId="487EC40A" wp14:editId="42338FDF">
                <wp:simplePos x="0" y="0"/>
                <wp:positionH relativeFrom="column">
                  <wp:posOffset>3628390</wp:posOffset>
                </wp:positionH>
                <wp:positionV relativeFrom="paragraph">
                  <wp:posOffset>2242185</wp:posOffset>
                </wp:positionV>
                <wp:extent cx="914400" cy="601345"/>
                <wp:effectExtent l="6350" t="13970" r="12700" b="13335"/>
                <wp:wrapNone/>
                <wp:docPr id="84"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6D784A67" w14:textId="77777777" w:rsidR="00A36231" w:rsidRPr="004F59DF" w:rsidRDefault="00A36231" w:rsidP="004D0DDB">
                            <w:pPr>
                              <w:ind w:firstLine="0"/>
                            </w:pPr>
                            <w:r w:rsidRPr="004F59DF">
                              <w:rPr>
                                <w:rFonts w:cstheme="majorBidi"/>
                                <w:b/>
                                <w:bCs/>
                                <w:color w:val="FFFFFF" w:themeColor="background1"/>
                                <w:sz w:val="16"/>
                                <w:szCs w:val="16"/>
                              </w:rPr>
                              <w:t>Dép. Achats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EC40A" id="Rectangle 498" o:spid="_x0000_s1105" style="position:absolute;left:0;text-align:left;margin-left:285.7pt;margin-top:176.55pt;width:1in;height:47.3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" fillcolor="black [3213]" strokecolor="#1f4d78 [1608]">
                <v:textbox>
                  <w:txbxContent>
                    <w:p w14:paraId="6D784A67" w14:textId="77777777" w:rsidR="00A36231" w:rsidRPr="004F59DF" w:rsidRDefault="00A36231" w:rsidP="004D0DDB">
                      <w:pPr>
                        <w:ind w:firstLine="0"/>
                      </w:pPr>
                      <w:r w:rsidRPr="004F59DF">
                        <w:rPr>
                          <w:rFonts w:cstheme="majorBidi"/>
                          <w:b/>
                          <w:bCs/>
                          <w:color w:val="FFFFFF" w:themeColor="background1"/>
                          <w:sz w:val="16"/>
                          <w:szCs w:val="16"/>
                        </w:rPr>
                        <w:t>Dép. Achats</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55552" behindDoc="0" locked="0" layoutInCell="1" allowOverlap="1" wp14:anchorId="4F23287D" wp14:editId="12D53262">
                <wp:simplePos x="0" y="0"/>
                <wp:positionH relativeFrom="column">
                  <wp:posOffset>4096385</wp:posOffset>
                </wp:positionH>
                <wp:positionV relativeFrom="paragraph">
                  <wp:posOffset>3823970</wp:posOffset>
                </wp:positionV>
                <wp:extent cx="116205" cy="0"/>
                <wp:effectExtent l="7620" t="5080" r="9525" b="13970"/>
                <wp:wrapNone/>
                <wp:docPr id="83" name="AutoShape 4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1FBC75" id="AutoShape 497" o:spid="_x0000_s1026" type="#_x0000_t32" style="position:absolute;margin-left:322.55pt;margin-top:301.1pt;width:9.15pt;height:0;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0r7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54528" behindDoc="0" locked="0" layoutInCell="1" allowOverlap="1" wp14:anchorId="17FA8D74" wp14:editId="0211694C">
                <wp:simplePos x="0" y="0"/>
                <wp:positionH relativeFrom="column">
                  <wp:posOffset>4096385</wp:posOffset>
                </wp:positionH>
                <wp:positionV relativeFrom="paragraph">
                  <wp:posOffset>3223895</wp:posOffset>
                </wp:positionV>
                <wp:extent cx="116205" cy="0"/>
                <wp:effectExtent l="7620" t="5080" r="9525" b="13970"/>
                <wp:wrapNone/>
                <wp:docPr id="82" name="AutoShap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E8951" id="AutoShape 496" o:spid="_x0000_s1026" type="#_x0000_t32" style="position:absolute;margin-left:322.55pt;margin-top:253.85pt;width:9.15pt;height:0;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Cy/IA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53504" behindDoc="0" locked="0" layoutInCell="1" allowOverlap="1" wp14:anchorId="71012707" wp14:editId="54432E02">
                <wp:simplePos x="0" y="0"/>
                <wp:positionH relativeFrom="column">
                  <wp:posOffset>4080510</wp:posOffset>
                </wp:positionH>
                <wp:positionV relativeFrom="paragraph">
                  <wp:posOffset>2820670</wp:posOffset>
                </wp:positionV>
                <wp:extent cx="635" cy="1003300"/>
                <wp:effectExtent l="10795" t="11430" r="7620" b="13970"/>
                <wp:wrapNone/>
                <wp:docPr id="81" name="AutoShap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0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358EEA" id="AutoShape 495" o:spid="_x0000_s1026" type="#_x0000_t32" style="position:absolute;margin-left:321.3pt;margin-top:222.1pt;width:.05pt;height:79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IXJAIAAEA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"/>
            </w:pict>
          </mc:Fallback>
        </mc:AlternateContent>
      </w:r>
      <w:r w:rsidRPr="00E2052F">
        <w:rPr>
          <w:rFonts w:cstheme="majorBidi"/>
          <w:b/>
          <w:bCs/>
          <w:noProof/>
          <w:sz w:val="22"/>
          <w:lang w:eastAsia="fr-FR"/>
        </w:rPr>
        <mc:AlternateContent>
          <mc:Choice Requires="wps">
            <w:drawing>
              <wp:anchor distT="0" distB="0" distL="114300" distR="114300" simplePos="0" relativeHeight="252052480" behindDoc="0" locked="0" layoutInCell="1" allowOverlap="1" wp14:anchorId="3048D3E0" wp14:editId="74F50759">
                <wp:simplePos x="0" y="0"/>
                <wp:positionH relativeFrom="column">
                  <wp:posOffset>4216400</wp:posOffset>
                </wp:positionH>
                <wp:positionV relativeFrom="paragraph">
                  <wp:posOffset>3547745</wp:posOffset>
                </wp:positionV>
                <wp:extent cx="774065" cy="523875"/>
                <wp:effectExtent l="13335" t="5080" r="12700" b="13970"/>
                <wp:wrapNone/>
                <wp:docPr id="80" name="Rectangl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23F31EED" w14:textId="77777777" w:rsidR="00A36231" w:rsidRPr="004F59DF" w:rsidRDefault="00A36231" w:rsidP="001B1E6C">
                            <w:pPr>
                              <w:ind w:firstLine="0"/>
                              <w:rPr>
                                <w:rFonts w:cstheme="majorBidi"/>
                                <w:b/>
                                <w:bCs/>
                                <w:sz w:val="18"/>
                                <w:szCs w:val="18"/>
                                <w:vertAlign w:val="subscript"/>
                              </w:rPr>
                            </w:pPr>
                            <w:r w:rsidRPr="004F59DF">
                              <w:rPr>
                                <w:rFonts w:cstheme="majorBidi"/>
                                <w:b/>
                                <w:bCs/>
                                <w:sz w:val="18"/>
                                <w:szCs w:val="18"/>
                                <w:vertAlign w:val="subscript"/>
                              </w:rPr>
                              <w:t>Ser. Achats</w:t>
                            </w:r>
                            <w:r>
                              <w:rPr>
                                <w:rFonts w:cstheme="majorBidi"/>
                                <w:b/>
                                <w:bCs/>
                                <w:sz w:val="18"/>
                                <w:szCs w:val="18"/>
                                <w:vertAlign w:val="subscript"/>
                              </w:rPr>
                              <w:t xml:space="preserve"> </w:t>
                            </w:r>
                            <w:r w:rsidRPr="004F59DF">
                              <w:rPr>
                                <w:rFonts w:cstheme="majorBidi"/>
                                <w:b/>
                                <w:bCs/>
                                <w:sz w:val="18"/>
                                <w:szCs w:val="18"/>
                                <w:vertAlign w:val="subscript"/>
                              </w:rPr>
                              <w:t>International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8D3E0" id="Rectangle 494" o:spid="_x0000_s1106" style="position:absolute;left:0;text-align:left;margin-left:332pt;margin-top:279.35pt;width:60.95pt;height:41.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">
                <v:textbox>
                  <w:txbxContent>
                    <w:p w14:paraId="23F31EED" w14:textId="77777777" w:rsidR="00A36231" w:rsidRPr="004F59DF" w:rsidRDefault="00A36231" w:rsidP="001B1E6C">
                      <w:pPr>
                        <w:ind w:firstLine="0"/>
                        <w:rPr>
                          <w:rFonts w:cstheme="majorBidi"/>
                          <w:b/>
                          <w:bCs/>
                          <w:sz w:val="18"/>
                          <w:szCs w:val="18"/>
                          <w:vertAlign w:val="subscript"/>
                        </w:rPr>
                      </w:pPr>
                      <w:r w:rsidRPr="004F59DF">
                        <w:rPr>
                          <w:rFonts w:cstheme="majorBidi"/>
                          <w:b/>
                          <w:bCs/>
                          <w:sz w:val="18"/>
                          <w:szCs w:val="18"/>
                          <w:vertAlign w:val="subscript"/>
                        </w:rPr>
                        <w:t>Ser. Achats</w:t>
                      </w:r>
                      <w:r>
                        <w:rPr>
                          <w:rFonts w:cstheme="majorBidi"/>
                          <w:b/>
                          <w:bCs/>
                          <w:sz w:val="18"/>
                          <w:szCs w:val="18"/>
                          <w:vertAlign w:val="subscript"/>
                        </w:rPr>
                        <w:t xml:space="preserve"> </w:t>
                      </w:r>
                      <w:r w:rsidRPr="004F59DF">
                        <w:rPr>
                          <w:rFonts w:cstheme="majorBidi"/>
                          <w:b/>
                          <w:bCs/>
                          <w:sz w:val="18"/>
                          <w:szCs w:val="18"/>
                          <w:vertAlign w:val="subscript"/>
                        </w:rPr>
                        <w:t>International</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51456" behindDoc="0" locked="0" layoutInCell="1" allowOverlap="1" wp14:anchorId="7727CC67" wp14:editId="4CD97AFC">
                <wp:simplePos x="0" y="0"/>
                <wp:positionH relativeFrom="column">
                  <wp:posOffset>4216400</wp:posOffset>
                </wp:positionH>
                <wp:positionV relativeFrom="paragraph">
                  <wp:posOffset>2941320</wp:posOffset>
                </wp:positionV>
                <wp:extent cx="774065" cy="523875"/>
                <wp:effectExtent l="13335" t="8255" r="12700" b="10795"/>
                <wp:wrapNone/>
                <wp:docPr id="79"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23875"/>
                        </a:xfrm>
                        <a:prstGeom prst="rect">
                          <a:avLst/>
                        </a:prstGeom>
                        <a:solidFill>
                          <a:srgbClr val="FFFFFF"/>
                        </a:solidFill>
                        <a:ln w="9525">
                          <a:solidFill>
                            <a:srgbClr val="000000"/>
                          </a:solidFill>
                          <a:miter lim="800000"/>
                          <a:headEnd/>
                          <a:tailEnd/>
                        </a:ln>
                      </wps:spPr>
                      <wps:txbx>
                        <w:txbxContent>
                          <w:p w14:paraId="3F9F6222" w14:textId="77777777" w:rsidR="00A36231" w:rsidRPr="004F59DF" w:rsidRDefault="00A36231" w:rsidP="004D0DDB">
                            <w:pPr>
                              <w:ind w:firstLine="0"/>
                              <w:rPr>
                                <w:rFonts w:cstheme="majorBidi"/>
                                <w:b/>
                                <w:bCs/>
                                <w:sz w:val="18"/>
                                <w:szCs w:val="18"/>
                                <w:vertAlign w:val="subscript"/>
                              </w:rPr>
                            </w:pPr>
                            <w:r w:rsidRPr="004F59DF">
                              <w:rPr>
                                <w:rFonts w:cstheme="majorBidi"/>
                                <w:b/>
                                <w:bCs/>
                                <w:sz w:val="18"/>
                                <w:szCs w:val="18"/>
                                <w:vertAlign w:val="subscript"/>
                              </w:rPr>
                              <w:t>Ser. Achats</w:t>
                            </w:r>
                            <w:r>
                              <w:rPr>
                                <w:rFonts w:cstheme="majorBidi"/>
                                <w:b/>
                                <w:bCs/>
                                <w:sz w:val="18"/>
                                <w:szCs w:val="18"/>
                                <w:vertAlign w:val="subscript"/>
                              </w:rPr>
                              <w:t xml:space="preserve"> </w:t>
                            </w:r>
                            <w:r w:rsidRPr="004F59DF">
                              <w:rPr>
                                <w:rFonts w:cstheme="majorBidi"/>
                                <w:b/>
                                <w:bCs/>
                                <w:sz w:val="18"/>
                                <w:szCs w:val="18"/>
                                <w:vertAlign w:val="subscript"/>
                              </w:rPr>
                              <w:t>Local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7CC67" id="Rectangle 493" o:spid="_x0000_s1107" style="position:absolute;left:0;text-align:left;margin-left:332pt;margin-top:231.6pt;width:60.95pt;height:41.2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">
                <v:textbox>
                  <w:txbxContent>
                    <w:p w14:paraId="3F9F6222" w14:textId="77777777" w:rsidR="00A36231" w:rsidRPr="004F59DF" w:rsidRDefault="00A36231" w:rsidP="004D0DDB">
                      <w:pPr>
                        <w:ind w:firstLine="0"/>
                        <w:rPr>
                          <w:rFonts w:cstheme="majorBidi"/>
                          <w:b/>
                          <w:bCs/>
                          <w:sz w:val="18"/>
                          <w:szCs w:val="18"/>
                          <w:vertAlign w:val="subscript"/>
                        </w:rPr>
                      </w:pPr>
                      <w:r w:rsidRPr="004F59DF">
                        <w:rPr>
                          <w:rFonts w:cstheme="majorBidi"/>
                          <w:b/>
                          <w:bCs/>
                          <w:sz w:val="18"/>
                          <w:szCs w:val="18"/>
                          <w:vertAlign w:val="subscript"/>
                        </w:rPr>
                        <w:t>Ser. Achats</w:t>
                      </w:r>
                      <w:r>
                        <w:rPr>
                          <w:rFonts w:cstheme="majorBidi"/>
                          <w:b/>
                          <w:bCs/>
                          <w:sz w:val="18"/>
                          <w:szCs w:val="18"/>
                          <w:vertAlign w:val="subscript"/>
                        </w:rPr>
                        <w:t xml:space="preserve"> </w:t>
                      </w:r>
                      <w:r w:rsidRPr="004F59DF">
                        <w:rPr>
                          <w:rFonts w:cstheme="majorBidi"/>
                          <w:b/>
                          <w:bCs/>
                          <w:sz w:val="18"/>
                          <w:szCs w:val="18"/>
                          <w:vertAlign w:val="subscript"/>
                        </w:rPr>
                        <w:t>Local</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50432" behindDoc="0" locked="0" layoutInCell="1" allowOverlap="1" wp14:anchorId="4E500138" wp14:editId="6E4B9BDB">
                <wp:simplePos x="0" y="0"/>
                <wp:positionH relativeFrom="column">
                  <wp:posOffset>3466465</wp:posOffset>
                </wp:positionH>
                <wp:positionV relativeFrom="paragraph">
                  <wp:posOffset>4451985</wp:posOffset>
                </wp:positionV>
                <wp:extent cx="157480" cy="0"/>
                <wp:effectExtent l="6350" t="61595" r="17145" b="52705"/>
                <wp:wrapNone/>
                <wp:docPr id="78" name="AutoShap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07319F" id="AutoShape 492" o:spid="_x0000_s1026" type="#_x0000_t32" style="position:absolute;margin-left:272.95pt;margin-top:350.55pt;width:12.4pt;height:0;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j3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49408" behindDoc="0" locked="0" layoutInCell="1" allowOverlap="1" wp14:anchorId="65A70A95" wp14:editId="544DD0DE">
                <wp:simplePos x="0" y="0"/>
                <wp:positionH relativeFrom="column">
                  <wp:posOffset>3466465</wp:posOffset>
                </wp:positionH>
                <wp:positionV relativeFrom="paragraph">
                  <wp:posOffset>1810385</wp:posOffset>
                </wp:positionV>
                <wp:extent cx="157480" cy="0"/>
                <wp:effectExtent l="6350" t="58420" r="17145" b="55880"/>
                <wp:wrapNone/>
                <wp:docPr id="77" name="AutoShap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6D46CE" id="AutoShape 491" o:spid="_x0000_s1026" type="#_x0000_t32" style="position:absolute;margin-left:272.95pt;margin-top:142.55pt;width:12.4pt;height:0;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K5NQIAAF8EAAAOAAAAZHJzL2Uyb0RvYy54bWysVE2P2yAQvVfqf0DcE9ups0m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48384" behindDoc="0" locked="0" layoutInCell="1" allowOverlap="1" wp14:anchorId="4852AD37" wp14:editId="26CBE548">
                <wp:simplePos x="0" y="0"/>
                <wp:positionH relativeFrom="column">
                  <wp:posOffset>3459480</wp:posOffset>
                </wp:positionH>
                <wp:positionV relativeFrom="paragraph">
                  <wp:posOffset>382905</wp:posOffset>
                </wp:positionV>
                <wp:extent cx="187325" cy="0"/>
                <wp:effectExtent l="8890" t="12065" r="13335" b="6985"/>
                <wp:wrapNone/>
                <wp:docPr id="76"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180966" id="AutoShape 490" o:spid="_x0000_s1026" type="#_x0000_t32" style="position:absolute;margin-left:272.4pt;margin-top:30.15pt;width:14.75pt;height:0;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47360" behindDoc="0" locked="0" layoutInCell="1" allowOverlap="1" wp14:anchorId="7727CDE0" wp14:editId="4D11F898">
                <wp:simplePos x="0" y="0"/>
                <wp:positionH relativeFrom="column">
                  <wp:posOffset>3466465</wp:posOffset>
                </wp:positionH>
                <wp:positionV relativeFrom="paragraph">
                  <wp:posOffset>1170305</wp:posOffset>
                </wp:positionV>
                <wp:extent cx="157480" cy="0"/>
                <wp:effectExtent l="6350" t="56515" r="17145" b="57785"/>
                <wp:wrapNone/>
                <wp:docPr id="75"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DF128" id="AutoShape 489" o:spid="_x0000_s1026" type="#_x0000_t32" style="position:absolute;margin-left:272.95pt;margin-top:92.15pt;width:12.4pt;height:0;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Ax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46336" behindDoc="0" locked="0" layoutInCell="1" allowOverlap="1" wp14:anchorId="457AC08D" wp14:editId="1139B931">
                <wp:simplePos x="0" y="0"/>
                <wp:positionH relativeFrom="column">
                  <wp:posOffset>3459480</wp:posOffset>
                </wp:positionH>
                <wp:positionV relativeFrom="paragraph">
                  <wp:posOffset>382270</wp:posOffset>
                </wp:positionV>
                <wp:extent cx="0" cy="4760595"/>
                <wp:effectExtent l="8890" t="11430" r="10160" b="9525"/>
                <wp:wrapNone/>
                <wp:docPr id="74"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05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57EAD0" id="AutoShape 488" o:spid="_x0000_s1026" type="#_x0000_t32" style="position:absolute;margin-left:272.4pt;margin-top:30.1pt;width:0;height:374.8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rBHwIAAD4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45312" behindDoc="0" locked="0" layoutInCell="1" allowOverlap="1" wp14:anchorId="6E8249B7" wp14:editId="1752E52C">
                <wp:simplePos x="0" y="0"/>
                <wp:positionH relativeFrom="column">
                  <wp:posOffset>3628390</wp:posOffset>
                </wp:positionH>
                <wp:positionV relativeFrom="paragraph">
                  <wp:posOffset>4843145</wp:posOffset>
                </wp:positionV>
                <wp:extent cx="914400" cy="601345"/>
                <wp:effectExtent l="6350" t="5080" r="12700" b="12700"/>
                <wp:wrapNone/>
                <wp:docPr id="73" name="Rectangl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54E1098E" w14:textId="77777777" w:rsidR="00A36231" w:rsidRPr="004F59DF" w:rsidRDefault="00A36231" w:rsidP="004D0DDB">
                            <w:pPr>
                              <w:ind w:firstLine="0"/>
                            </w:pPr>
                            <w:r w:rsidRPr="004F59DF">
                              <w:rPr>
                                <w:rFonts w:cstheme="majorBidi"/>
                                <w:b/>
                                <w:bCs/>
                                <w:color w:val="FFFFFF" w:themeColor="background1"/>
                                <w:sz w:val="16"/>
                                <w:szCs w:val="16"/>
                              </w:rPr>
                              <w:t>Dép. Planification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249B7" id="Rectangle 487" o:spid="_x0000_s1108" style="position:absolute;left:0;text-align:left;margin-left:285.7pt;margin-top:381.35pt;width:1in;height:47.3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" fillcolor="black [3213]" strokecolor="#1f4d78 [1608]">
                <v:textbox>
                  <w:txbxContent>
                    <w:p w14:paraId="54E1098E" w14:textId="77777777" w:rsidR="00A36231" w:rsidRPr="004F59DF" w:rsidRDefault="00A36231" w:rsidP="004D0DDB">
                      <w:pPr>
                        <w:ind w:firstLine="0"/>
                      </w:pPr>
                      <w:r w:rsidRPr="004F59DF">
                        <w:rPr>
                          <w:rFonts w:cstheme="majorBidi"/>
                          <w:b/>
                          <w:bCs/>
                          <w:color w:val="FFFFFF" w:themeColor="background1"/>
                          <w:sz w:val="16"/>
                          <w:szCs w:val="16"/>
                        </w:rPr>
                        <w:t>Dép. Planification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44288" behindDoc="0" locked="0" layoutInCell="1" allowOverlap="1" wp14:anchorId="622E8DD7" wp14:editId="2F046E89">
                <wp:simplePos x="0" y="0"/>
                <wp:positionH relativeFrom="column">
                  <wp:posOffset>3629660</wp:posOffset>
                </wp:positionH>
                <wp:positionV relativeFrom="paragraph">
                  <wp:posOffset>4150360</wp:posOffset>
                </wp:positionV>
                <wp:extent cx="914400" cy="601345"/>
                <wp:effectExtent l="7620" t="7620" r="11430" b="10160"/>
                <wp:wrapNone/>
                <wp:docPr id="72" name="Rectangl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0681D7FD" w14:textId="77777777" w:rsidR="00A36231" w:rsidRPr="004F59DF" w:rsidRDefault="00A36231" w:rsidP="001B1E6C">
                            <w:pPr>
                              <w:ind w:firstLine="0"/>
                              <w:rPr>
                                <w:rFonts w:cstheme="majorBidi"/>
                                <w:b/>
                                <w:bCs/>
                                <w:color w:val="FFFFFF" w:themeColor="background1"/>
                                <w:sz w:val="16"/>
                                <w:szCs w:val="16"/>
                              </w:rPr>
                            </w:pPr>
                            <w:r w:rsidRPr="004F59DF">
                              <w:rPr>
                                <w:rFonts w:cstheme="majorBidi"/>
                                <w:b/>
                                <w:bCs/>
                                <w:color w:val="FFFFFF" w:themeColor="background1"/>
                                <w:sz w:val="16"/>
                                <w:szCs w:val="16"/>
                              </w:rPr>
                              <w:t>Dép. Logistique &amp;</w:t>
                            </w:r>
                            <w:r>
                              <w:rPr>
                                <w:rFonts w:cstheme="majorBidi"/>
                                <w:b/>
                                <w:bCs/>
                                <w:color w:val="FFFFFF" w:themeColor="background1"/>
                                <w:sz w:val="16"/>
                                <w:szCs w:val="16"/>
                              </w:rPr>
                              <w:t xml:space="preserve"> </w:t>
                            </w:r>
                            <w:r w:rsidRPr="004F59DF">
                              <w:rPr>
                                <w:rFonts w:cstheme="majorBidi"/>
                                <w:b/>
                                <w:bCs/>
                                <w:color w:val="FFFFFF" w:themeColor="background1"/>
                                <w:sz w:val="16"/>
                                <w:szCs w:val="16"/>
                              </w:rPr>
                              <w:t>Entrepôts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E8DD7" id="Rectangle 486" o:spid="_x0000_s1109" style="position:absolute;left:0;text-align:left;margin-left:285.8pt;margin-top:326.8pt;width:1in;height:47.3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" fillcolor="black [3213]" strokecolor="#1f4d78 [1608]">
                <v:textbox>
                  <w:txbxContent>
                    <w:p w14:paraId="0681D7FD" w14:textId="77777777" w:rsidR="00A36231" w:rsidRPr="004F59DF" w:rsidRDefault="00A36231" w:rsidP="001B1E6C">
                      <w:pPr>
                        <w:ind w:firstLine="0"/>
                        <w:rPr>
                          <w:rFonts w:cstheme="majorBidi"/>
                          <w:b/>
                          <w:bCs/>
                          <w:color w:val="FFFFFF" w:themeColor="background1"/>
                          <w:sz w:val="16"/>
                          <w:szCs w:val="16"/>
                        </w:rPr>
                      </w:pPr>
                      <w:r w:rsidRPr="004F59DF">
                        <w:rPr>
                          <w:rFonts w:cstheme="majorBidi"/>
                          <w:b/>
                          <w:bCs/>
                          <w:color w:val="FFFFFF" w:themeColor="background1"/>
                          <w:sz w:val="16"/>
                          <w:szCs w:val="16"/>
                        </w:rPr>
                        <w:t>Dép. Logistique &amp;</w:t>
                      </w:r>
                      <w:r>
                        <w:rPr>
                          <w:rFonts w:cstheme="majorBidi"/>
                          <w:b/>
                          <w:bCs/>
                          <w:color w:val="FFFFFF" w:themeColor="background1"/>
                          <w:sz w:val="16"/>
                          <w:szCs w:val="16"/>
                        </w:rPr>
                        <w:t xml:space="preserve"> </w:t>
                      </w:r>
                      <w:r w:rsidRPr="004F59DF">
                        <w:rPr>
                          <w:rFonts w:cstheme="majorBidi"/>
                          <w:b/>
                          <w:bCs/>
                          <w:color w:val="FFFFFF" w:themeColor="background1"/>
                          <w:sz w:val="16"/>
                          <w:szCs w:val="16"/>
                        </w:rPr>
                        <w:t>Entrepôts</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43264" behindDoc="0" locked="0" layoutInCell="1" allowOverlap="1" wp14:anchorId="58115A28" wp14:editId="2CBC88F3">
                <wp:simplePos x="0" y="0"/>
                <wp:positionH relativeFrom="column">
                  <wp:posOffset>3628390</wp:posOffset>
                </wp:positionH>
                <wp:positionV relativeFrom="paragraph">
                  <wp:posOffset>1541145</wp:posOffset>
                </wp:positionV>
                <wp:extent cx="914400" cy="601345"/>
                <wp:effectExtent l="6350" t="8255" r="12700" b="9525"/>
                <wp:wrapNone/>
                <wp:docPr id="71"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61E0CF78" w14:textId="77777777" w:rsidR="00A36231" w:rsidRPr="004F59DF" w:rsidRDefault="00A36231" w:rsidP="004D0DDB">
                            <w:pPr>
                              <w:ind w:firstLine="0"/>
                              <w:rPr>
                                <w:rFonts w:cstheme="majorBidi"/>
                                <w:b/>
                                <w:bCs/>
                                <w:color w:val="FFFFFF" w:themeColor="background1"/>
                                <w:sz w:val="16"/>
                                <w:szCs w:val="16"/>
                              </w:rPr>
                            </w:pPr>
                            <w:r w:rsidRPr="004F59DF">
                              <w:rPr>
                                <w:rFonts w:cstheme="majorBidi"/>
                                <w:b/>
                                <w:bCs/>
                                <w:color w:val="FFFFFF" w:themeColor="background1"/>
                                <w:sz w:val="16"/>
                                <w:szCs w:val="16"/>
                              </w:rPr>
                              <w:t>Dép. Opérations</w:t>
                            </w:r>
                            <w:r>
                              <w:rPr>
                                <w:rFonts w:cstheme="majorBidi"/>
                                <w:b/>
                                <w:bCs/>
                                <w:color w:val="FFFFFF" w:themeColor="background1"/>
                                <w:sz w:val="16"/>
                                <w:szCs w:val="16"/>
                              </w:rPr>
                              <w:t xml:space="preserve"> </w:t>
                            </w:r>
                            <w:r w:rsidRPr="004F59DF">
                              <w:rPr>
                                <w:rFonts w:cstheme="majorBidi"/>
                                <w:b/>
                                <w:bCs/>
                                <w:color w:val="FFFFFF" w:themeColor="background1"/>
                                <w:sz w:val="16"/>
                                <w:szCs w:val="16"/>
                              </w:rPr>
                              <w:t>Export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15A28" id="Rectangle 485" o:spid="_x0000_s1110" style="position:absolute;left:0;text-align:left;margin-left:285.7pt;margin-top:121.35pt;width:1in;height:47.3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" fillcolor="black [3213]" strokecolor="#1f4d78 [1608]">
                <v:textbox>
                  <w:txbxContent>
                    <w:p w14:paraId="61E0CF78" w14:textId="77777777" w:rsidR="00A36231" w:rsidRPr="004F59DF" w:rsidRDefault="00A36231" w:rsidP="004D0DDB">
                      <w:pPr>
                        <w:ind w:firstLine="0"/>
                        <w:rPr>
                          <w:rFonts w:cstheme="majorBidi"/>
                          <w:b/>
                          <w:bCs/>
                          <w:color w:val="FFFFFF" w:themeColor="background1"/>
                          <w:sz w:val="16"/>
                          <w:szCs w:val="16"/>
                        </w:rPr>
                      </w:pPr>
                      <w:r w:rsidRPr="004F59DF">
                        <w:rPr>
                          <w:rFonts w:cstheme="majorBidi"/>
                          <w:b/>
                          <w:bCs/>
                          <w:color w:val="FFFFFF" w:themeColor="background1"/>
                          <w:sz w:val="16"/>
                          <w:szCs w:val="16"/>
                        </w:rPr>
                        <w:t>Dép. Opérations</w:t>
                      </w:r>
                      <w:r>
                        <w:rPr>
                          <w:rFonts w:cstheme="majorBidi"/>
                          <w:b/>
                          <w:bCs/>
                          <w:color w:val="FFFFFF" w:themeColor="background1"/>
                          <w:sz w:val="16"/>
                          <w:szCs w:val="16"/>
                        </w:rPr>
                        <w:t xml:space="preserve"> </w:t>
                      </w:r>
                      <w:r w:rsidRPr="004F59DF">
                        <w:rPr>
                          <w:rFonts w:cstheme="majorBidi"/>
                          <w:b/>
                          <w:bCs/>
                          <w:color w:val="FFFFFF" w:themeColor="background1"/>
                          <w:sz w:val="16"/>
                          <w:szCs w:val="16"/>
                        </w:rPr>
                        <w:t>Export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42240" behindDoc="0" locked="0" layoutInCell="1" allowOverlap="1" wp14:anchorId="57DE92A4" wp14:editId="10AC788B">
                <wp:simplePos x="0" y="0"/>
                <wp:positionH relativeFrom="column">
                  <wp:posOffset>3629660</wp:posOffset>
                </wp:positionH>
                <wp:positionV relativeFrom="paragraph">
                  <wp:posOffset>857885</wp:posOffset>
                </wp:positionV>
                <wp:extent cx="914400" cy="601345"/>
                <wp:effectExtent l="7620" t="10795" r="11430" b="6985"/>
                <wp:wrapNone/>
                <wp:docPr id="70" name="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F7D56E1" w14:textId="77777777" w:rsidR="00A36231" w:rsidRPr="004F59DF" w:rsidRDefault="00A36231" w:rsidP="004D0DDB">
                            <w:pPr>
                              <w:ind w:firstLine="0"/>
                              <w:rPr>
                                <w:rFonts w:cstheme="majorBidi"/>
                                <w:b/>
                                <w:bCs/>
                                <w:color w:val="FFFFFF" w:themeColor="background1"/>
                                <w:sz w:val="16"/>
                                <w:szCs w:val="16"/>
                              </w:rPr>
                            </w:pPr>
                            <w:r w:rsidRPr="004F59DF">
                              <w:rPr>
                                <w:rFonts w:cstheme="majorBidi"/>
                                <w:b/>
                                <w:bCs/>
                                <w:color w:val="FFFFFF" w:themeColor="background1"/>
                                <w:sz w:val="16"/>
                                <w:szCs w:val="16"/>
                              </w:rPr>
                              <w:t>Dép. Opérations</w:t>
                            </w:r>
                            <w:r>
                              <w:rPr>
                                <w:rFonts w:cstheme="majorBidi"/>
                                <w:b/>
                                <w:bCs/>
                                <w:color w:val="FFFFFF" w:themeColor="background1"/>
                                <w:sz w:val="16"/>
                                <w:szCs w:val="16"/>
                              </w:rPr>
                              <w:t xml:space="preserve"> </w:t>
                            </w:r>
                            <w:r w:rsidRPr="004F59DF">
                              <w:rPr>
                                <w:rFonts w:cstheme="majorBidi"/>
                                <w:b/>
                                <w:bCs/>
                                <w:color w:val="FFFFFF" w:themeColor="background1"/>
                                <w:sz w:val="16"/>
                                <w:szCs w:val="16"/>
                              </w:rPr>
                              <w:t>Import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E92A4" id="Rectangle 484" o:spid="_x0000_s1111" style="position:absolute;left:0;text-align:left;margin-left:285.8pt;margin-top:67.55pt;width:1in;height:47.3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" fillcolor="black [3213]" strokecolor="#1f4d78 [1608]">
                <v:textbox>
                  <w:txbxContent>
                    <w:p w14:paraId="4F7D56E1" w14:textId="77777777" w:rsidR="00A36231" w:rsidRPr="004F59DF" w:rsidRDefault="00A36231" w:rsidP="004D0DDB">
                      <w:pPr>
                        <w:ind w:firstLine="0"/>
                        <w:rPr>
                          <w:rFonts w:cstheme="majorBidi"/>
                          <w:b/>
                          <w:bCs/>
                          <w:color w:val="FFFFFF" w:themeColor="background1"/>
                          <w:sz w:val="16"/>
                          <w:szCs w:val="16"/>
                        </w:rPr>
                      </w:pPr>
                      <w:r w:rsidRPr="004F59DF">
                        <w:rPr>
                          <w:rFonts w:cstheme="majorBidi"/>
                          <w:b/>
                          <w:bCs/>
                          <w:color w:val="FFFFFF" w:themeColor="background1"/>
                          <w:sz w:val="16"/>
                          <w:szCs w:val="16"/>
                        </w:rPr>
                        <w:t>Dép. Opérations</w:t>
                      </w:r>
                      <w:r>
                        <w:rPr>
                          <w:rFonts w:cstheme="majorBidi"/>
                          <w:b/>
                          <w:bCs/>
                          <w:color w:val="FFFFFF" w:themeColor="background1"/>
                          <w:sz w:val="16"/>
                          <w:szCs w:val="16"/>
                        </w:rPr>
                        <w:t xml:space="preserve"> </w:t>
                      </w:r>
                      <w:r w:rsidRPr="004F59DF">
                        <w:rPr>
                          <w:rFonts w:cstheme="majorBidi"/>
                          <w:b/>
                          <w:bCs/>
                          <w:color w:val="FFFFFF" w:themeColor="background1"/>
                          <w:sz w:val="16"/>
                          <w:szCs w:val="16"/>
                        </w:rPr>
                        <w:t>Import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41216" behindDoc="0" locked="0" layoutInCell="1" allowOverlap="1" wp14:anchorId="4399339A" wp14:editId="675D833E">
                <wp:simplePos x="0" y="0"/>
                <wp:positionH relativeFrom="column">
                  <wp:posOffset>1657985</wp:posOffset>
                </wp:positionH>
                <wp:positionV relativeFrom="paragraph">
                  <wp:posOffset>3202305</wp:posOffset>
                </wp:positionV>
                <wp:extent cx="157480" cy="0"/>
                <wp:effectExtent l="7620" t="59690" r="15875" b="54610"/>
                <wp:wrapNone/>
                <wp:docPr id="69" name="AutoShap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A4DD54" id="AutoShape 483" o:spid="_x0000_s1026" type="#_x0000_t32" style="position:absolute;margin-left:130.55pt;margin-top:252.15pt;width:12.4pt;height:0;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a6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40192" behindDoc="0" locked="0" layoutInCell="1" allowOverlap="1" wp14:anchorId="0980DBBC" wp14:editId="2F7A7897">
                <wp:simplePos x="0" y="0"/>
                <wp:positionH relativeFrom="column">
                  <wp:posOffset>1657985</wp:posOffset>
                </wp:positionH>
                <wp:positionV relativeFrom="paragraph">
                  <wp:posOffset>2521585</wp:posOffset>
                </wp:positionV>
                <wp:extent cx="157480" cy="0"/>
                <wp:effectExtent l="7620" t="55245" r="15875" b="59055"/>
                <wp:wrapNone/>
                <wp:docPr id="68" name="AutoShape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838C71" id="AutoShape 482" o:spid="_x0000_s1026" type="#_x0000_t32" style="position:absolute;margin-left:130.55pt;margin-top:198.55pt;width:12.4pt;height:0;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39168" behindDoc="0" locked="0" layoutInCell="1" allowOverlap="1" wp14:anchorId="087102AA" wp14:editId="727FE402">
                <wp:simplePos x="0" y="0"/>
                <wp:positionH relativeFrom="column">
                  <wp:posOffset>1657985</wp:posOffset>
                </wp:positionH>
                <wp:positionV relativeFrom="paragraph">
                  <wp:posOffset>1810385</wp:posOffset>
                </wp:positionV>
                <wp:extent cx="157480" cy="0"/>
                <wp:effectExtent l="7620" t="58420" r="15875" b="55880"/>
                <wp:wrapNone/>
                <wp:docPr id="67" name="AutoShape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AB6976" id="AutoShape 481" o:spid="_x0000_s1026" type="#_x0000_t32" style="position:absolute;margin-left:130.55pt;margin-top:142.55pt;width:12.4pt;height:0;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oo5NQIAAF8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38144" behindDoc="0" locked="0" layoutInCell="1" allowOverlap="1" wp14:anchorId="2F5B2008" wp14:editId="55E89DC2">
                <wp:simplePos x="0" y="0"/>
                <wp:positionH relativeFrom="column">
                  <wp:posOffset>1651000</wp:posOffset>
                </wp:positionH>
                <wp:positionV relativeFrom="paragraph">
                  <wp:posOffset>382905</wp:posOffset>
                </wp:positionV>
                <wp:extent cx="187325" cy="0"/>
                <wp:effectExtent l="10160" t="12065" r="12065" b="6985"/>
                <wp:wrapNone/>
                <wp:docPr id="66" name="AutoShape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27F675" id="AutoShape 480" o:spid="_x0000_s1026" type="#_x0000_t32" style="position:absolute;margin-left:130pt;margin-top:30.15pt;width:14.75pt;height:0;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37120" behindDoc="0" locked="0" layoutInCell="1" allowOverlap="1" wp14:anchorId="57F906EC" wp14:editId="078B77B6">
                <wp:simplePos x="0" y="0"/>
                <wp:positionH relativeFrom="column">
                  <wp:posOffset>1657985</wp:posOffset>
                </wp:positionH>
                <wp:positionV relativeFrom="paragraph">
                  <wp:posOffset>1170305</wp:posOffset>
                </wp:positionV>
                <wp:extent cx="157480" cy="0"/>
                <wp:effectExtent l="7620" t="56515" r="15875" b="57785"/>
                <wp:wrapNone/>
                <wp:docPr id="65" name="AutoShape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61459" id="AutoShape 479" o:spid="_x0000_s1026" type="#_x0000_t32" style="position:absolute;margin-left:130.55pt;margin-top:92.15pt;width:12.4pt;height:0;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MF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36096" behindDoc="0" locked="0" layoutInCell="1" allowOverlap="1" wp14:anchorId="0C7C2AC8" wp14:editId="1281EDD6">
                <wp:simplePos x="0" y="0"/>
                <wp:positionH relativeFrom="column">
                  <wp:posOffset>1651000</wp:posOffset>
                </wp:positionH>
                <wp:positionV relativeFrom="paragraph">
                  <wp:posOffset>382270</wp:posOffset>
                </wp:positionV>
                <wp:extent cx="0" cy="2820035"/>
                <wp:effectExtent l="10160" t="11430" r="8890" b="6985"/>
                <wp:wrapNone/>
                <wp:docPr id="64" name="AutoShape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0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AAA268" id="AutoShape 478" o:spid="_x0000_s1026" type="#_x0000_t32" style="position:absolute;margin-left:130pt;margin-top:30.1pt;width:0;height:222.0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Q5CHwIAAD4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35072" behindDoc="0" locked="0" layoutInCell="1" allowOverlap="1" wp14:anchorId="1D8DE08B" wp14:editId="66EBF801">
                <wp:simplePos x="0" y="0"/>
                <wp:positionH relativeFrom="column">
                  <wp:posOffset>3667125</wp:posOffset>
                </wp:positionH>
                <wp:positionV relativeFrom="paragraph">
                  <wp:posOffset>64135</wp:posOffset>
                </wp:positionV>
                <wp:extent cx="914400" cy="601345"/>
                <wp:effectExtent l="6985" t="7620" r="12065" b="10160"/>
                <wp:wrapNone/>
                <wp:docPr id="63"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016307F7" w14:textId="77777777" w:rsidR="00A36231" w:rsidRPr="004F59DF" w:rsidRDefault="00A36231" w:rsidP="004D0DDB">
                            <w:pPr>
                              <w:ind w:firstLine="0"/>
                            </w:pPr>
                            <w:r w:rsidRPr="004F59DF">
                              <w:rPr>
                                <w:rFonts w:cstheme="majorBidi"/>
                                <w:b/>
                                <w:bCs/>
                                <w:color w:val="FFFFFF" w:themeColor="background1"/>
                                <w:sz w:val="16"/>
                                <w:szCs w:val="16"/>
                              </w:rPr>
                              <w:t>Direction Supply Chain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DE08B" id="Rectangle 477" o:spid="_x0000_s1112" style="position:absolute;left:0;text-align:left;margin-left:288.75pt;margin-top:5.05pt;width:1in;height:47.3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" fillcolor="#00b050" strokecolor="black [3213]">
                <v:textbox>
                  <w:txbxContent>
                    <w:p w14:paraId="016307F7" w14:textId="77777777" w:rsidR="00A36231" w:rsidRPr="004F59DF" w:rsidRDefault="00A36231" w:rsidP="004D0DDB">
                      <w:pPr>
                        <w:ind w:firstLine="0"/>
                      </w:pPr>
                      <w:r w:rsidRPr="004F59DF">
                        <w:rPr>
                          <w:rFonts w:cstheme="majorBidi"/>
                          <w:b/>
                          <w:bCs/>
                          <w:color w:val="FFFFFF" w:themeColor="background1"/>
                          <w:sz w:val="16"/>
                          <w:szCs w:val="16"/>
                        </w:rPr>
                        <w:t>Direction Supply Chain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34048" behindDoc="0" locked="0" layoutInCell="1" allowOverlap="1" wp14:anchorId="05963175" wp14:editId="6DF408FA">
                <wp:simplePos x="0" y="0"/>
                <wp:positionH relativeFrom="column">
                  <wp:posOffset>4124325</wp:posOffset>
                </wp:positionH>
                <wp:positionV relativeFrom="paragraph">
                  <wp:posOffset>-120650</wp:posOffset>
                </wp:positionV>
                <wp:extent cx="635" cy="173355"/>
                <wp:effectExtent l="54610" t="13335" r="59055" b="22860"/>
                <wp:wrapNone/>
                <wp:docPr id="62" name="AutoShap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10D9BA" id="AutoShape 476" o:spid="_x0000_s1026" type="#_x0000_t32" style="position:absolute;margin-left:324.75pt;margin-top:-9.5pt;width:.05pt;height:13.6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sXYNwIAAGE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33024" behindDoc="0" locked="0" layoutInCell="1" allowOverlap="1" wp14:anchorId="460956DB" wp14:editId="6F55E918">
                <wp:simplePos x="0" y="0"/>
                <wp:positionH relativeFrom="column">
                  <wp:posOffset>1424305</wp:posOffset>
                </wp:positionH>
                <wp:positionV relativeFrom="paragraph">
                  <wp:posOffset>6750685</wp:posOffset>
                </wp:positionV>
                <wp:extent cx="116205" cy="0"/>
                <wp:effectExtent l="12065" t="7620" r="5080" b="11430"/>
                <wp:wrapNone/>
                <wp:docPr id="61"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3FA52" id="AutoShape 475" o:spid="_x0000_s1026" type="#_x0000_t32" style="position:absolute;margin-left:112.15pt;margin-top:531.55pt;width:9.15pt;height:0;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ORW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32000" behindDoc="0" locked="0" layoutInCell="1" allowOverlap="1" wp14:anchorId="4DDC403E" wp14:editId="1599748D">
                <wp:simplePos x="0" y="0"/>
                <wp:positionH relativeFrom="column">
                  <wp:posOffset>1424305</wp:posOffset>
                </wp:positionH>
                <wp:positionV relativeFrom="paragraph">
                  <wp:posOffset>6150610</wp:posOffset>
                </wp:positionV>
                <wp:extent cx="116205" cy="0"/>
                <wp:effectExtent l="12065" t="7620" r="5080" b="11430"/>
                <wp:wrapNone/>
                <wp:docPr id="60" name="Auto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AC42BA" id="AutoShape 474" o:spid="_x0000_s1026" type="#_x0000_t32" style="position:absolute;margin-left:112.15pt;margin-top:484.3pt;width:9.15pt;height:0;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4IS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30976" behindDoc="0" locked="0" layoutInCell="1" allowOverlap="1" wp14:anchorId="3B18F986" wp14:editId="48295B47">
                <wp:simplePos x="0" y="0"/>
                <wp:positionH relativeFrom="column">
                  <wp:posOffset>1424305</wp:posOffset>
                </wp:positionH>
                <wp:positionV relativeFrom="paragraph">
                  <wp:posOffset>5550535</wp:posOffset>
                </wp:positionV>
                <wp:extent cx="116205" cy="0"/>
                <wp:effectExtent l="12065" t="7620" r="5080" b="11430"/>
                <wp:wrapNone/>
                <wp:docPr id="59" name="Auto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E865A0" id="AutoShape 473" o:spid="_x0000_s1026" type="#_x0000_t32" style="position:absolute;margin-left:112.15pt;margin-top:437.05pt;width:9.15pt;height:0;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dSw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"/>
            </w:pict>
          </mc:Fallback>
        </mc:AlternateContent>
      </w:r>
      <w:r w:rsidRPr="00E2052F">
        <w:rPr>
          <w:rFonts w:cstheme="majorBidi"/>
          <w:b/>
          <w:bCs/>
          <w:noProof/>
          <w:sz w:val="22"/>
          <w:lang w:eastAsia="fr-FR"/>
        </w:rPr>
        <mc:AlternateContent>
          <mc:Choice Requires="wps">
            <w:drawing>
              <wp:anchor distT="0" distB="0" distL="114300" distR="114300" simplePos="0" relativeHeight="252029952" behindDoc="0" locked="0" layoutInCell="1" allowOverlap="1" wp14:anchorId="759F8536" wp14:editId="03C66155">
                <wp:simplePos x="0" y="0"/>
                <wp:positionH relativeFrom="column">
                  <wp:posOffset>1555115</wp:posOffset>
                </wp:positionH>
                <wp:positionV relativeFrom="paragraph">
                  <wp:posOffset>6501765</wp:posOffset>
                </wp:positionV>
                <wp:extent cx="774065" cy="533400"/>
                <wp:effectExtent l="9525" t="6350" r="6985" b="12700"/>
                <wp:wrapNone/>
                <wp:docPr id="58"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4AE049EA" w14:textId="77777777" w:rsidR="00A36231" w:rsidRPr="00ED773E" w:rsidRDefault="00A36231" w:rsidP="004D0DDB">
                            <w:pPr>
                              <w:ind w:firstLine="0"/>
                            </w:pPr>
                            <w:r w:rsidRPr="00ED773E">
                              <w:rPr>
                                <w:rFonts w:cstheme="majorBidi"/>
                                <w:b/>
                                <w:bCs/>
                                <w:sz w:val="18"/>
                                <w:szCs w:val="18"/>
                                <w:vertAlign w:val="subscript"/>
                              </w:rPr>
                              <w:t>Ser. Logement</w:t>
                            </w:r>
                          </w:p>
                          <w:p w14:paraId="198082E2" w14:textId="77777777" w:rsidR="00A36231" w:rsidRPr="00ED773E" w:rsidRDefault="00A36231" w:rsidP="001B1E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F8536" id="Rectangle 472" o:spid="_x0000_s1113" style="position:absolute;left:0;text-align:left;margin-left:122.45pt;margin-top:511.95pt;width:60.95pt;height:42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">
                <v:textbox>
                  <w:txbxContent>
                    <w:p w14:paraId="4AE049EA" w14:textId="77777777" w:rsidR="00A36231" w:rsidRPr="00ED773E" w:rsidRDefault="00A36231" w:rsidP="004D0DDB">
                      <w:pPr>
                        <w:ind w:firstLine="0"/>
                      </w:pPr>
                      <w:r w:rsidRPr="00ED773E">
                        <w:rPr>
                          <w:rFonts w:cstheme="majorBidi"/>
                          <w:b/>
                          <w:bCs/>
                          <w:sz w:val="18"/>
                          <w:szCs w:val="18"/>
                          <w:vertAlign w:val="subscript"/>
                        </w:rPr>
                        <w:t>Ser. Logement</w:t>
                      </w:r>
                    </w:p>
                    <w:p w14:paraId="198082E2" w14:textId="77777777" w:rsidR="00A36231" w:rsidRPr="00ED773E" w:rsidRDefault="00A36231" w:rsidP="001B1E6C"/>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8928" behindDoc="0" locked="0" layoutInCell="1" allowOverlap="1" wp14:anchorId="6C909EF7" wp14:editId="032F6691">
                <wp:simplePos x="0" y="0"/>
                <wp:positionH relativeFrom="column">
                  <wp:posOffset>1555115</wp:posOffset>
                </wp:positionH>
                <wp:positionV relativeFrom="paragraph">
                  <wp:posOffset>5887085</wp:posOffset>
                </wp:positionV>
                <wp:extent cx="774065" cy="533400"/>
                <wp:effectExtent l="9525" t="10795" r="6985" b="8255"/>
                <wp:wrapNone/>
                <wp:docPr id="57"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4803A37B" w14:textId="77777777" w:rsidR="00A36231" w:rsidRPr="00ED773E" w:rsidRDefault="00A36231" w:rsidP="004D0DDB">
                            <w:pPr>
                              <w:ind w:firstLine="0"/>
                            </w:pPr>
                            <w:r w:rsidRPr="00ED773E">
                              <w:rPr>
                                <w:rFonts w:cstheme="majorBidi"/>
                                <w:b/>
                                <w:bCs/>
                                <w:sz w:val="18"/>
                                <w:szCs w:val="18"/>
                                <w:vertAlign w:val="subscript"/>
                              </w:rPr>
                              <w:t>Ser. Parc-Auto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09EF7" id="Rectangle 471" o:spid="_x0000_s1114" style="position:absolute;left:0;text-align:left;margin-left:122.45pt;margin-top:463.55pt;width:60.95pt;height:42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">
                <v:textbox>
                  <w:txbxContent>
                    <w:p w14:paraId="4803A37B" w14:textId="77777777" w:rsidR="00A36231" w:rsidRPr="00ED773E" w:rsidRDefault="00A36231" w:rsidP="004D0DDB">
                      <w:pPr>
                        <w:ind w:firstLine="0"/>
                      </w:pPr>
                      <w:r w:rsidRPr="00ED773E">
                        <w:rPr>
                          <w:rFonts w:cstheme="majorBidi"/>
                          <w:b/>
                          <w:bCs/>
                          <w:sz w:val="18"/>
                          <w:szCs w:val="18"/>
                          <w:vertAlign w:val="subscript"/>
                        </w:rPr>
                        <w:t>Ser. Parc-Auto</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7904" behindDoc="0" locked="0" layoutInCell="1" allowOverlap="1" wp14:anchorId="4C7E6D77" wp14:editId="293A4F31">
                <wp:simplePos x="0" y="0"/>
                <wp:positionH relativeFrom="column">
                  <wp:posOffset>1555115</wp:posOffset>
                </wp:positionH>
                <wp:positionV relativeFrom="paragraph">
                  <wp:posOffset>5280660</wp:posOffset>
                </wp:positionV>
                <wp:extent cx="774065" cy="533400"/>
                <wp:effectExtent l="9525" t="13970" r="6985" b="5080"/>
                <wp:wrapNone/>
                <wp:docPr id="56" name="Rectangl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72687D73" w14:textId="77777777" w:rsidR="00A36231" w:rsidRPr="00ED773E" w:rsidRDefault="00A36231" w:rsidP="004D0DDB">
                            <w:pPr>
                              <w:ind w:firstLine="0"/>
                            </w:pPr>
                            <w:r w:rsidRPr="00ED773E">
                              <w:rPr>
                                <w:rFonts w:cstheme="majorBidi"/>
                                <w:b/>
                                <w:bCs/>
                                <w:sz w:val="18"/>
                                <w:szCs w:val="18"/>
                                <w:vertAlign w:val="subscript"/>
                              </w:rPr>
                              <w:t>Ser. Logement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E6D77" id="Rectangle 470" o:spid="_x0000_s1115" style="position:absolute;left:0;text-align:left;margin-left:122.45pt;margin-top:415.8pt;width:60.95pt;height:4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">
                <v:textbox>
                  <w:txbxContent>
                    <w:p w14:paraId="72687D73" w14:textId="77777777" w:rsidR="00A36231" w:rsidRPr="00ED773E" w:rsidRDefault="00A36231" w:rsidP="004D0DDB">
                      <w:pPr>
                        <w:ind w:firstLine="0"/>
                      </w:pPr>
                      <w:r w:rsidRPr="00ED773E">
                        <w:rPr>
                          <w:rFonts w:cstheme="majorBidi"/>
                          <w:b/>
                          <w:bCs/>
                          <w:sz w:val="18"/>
                          <w:szCs w:val="18"/>
                          <w:vertAlign w:val="subscript"/>
                        </w:rPr>
                        <w:t>Ser. Logement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6880" behindDoc="0" locked="0" layoutInCell="1" allowOverlap="1" wp14:anchorId="3CFCD6EE" wp14:editId="4ACE30EB">
                <wp:simplePos x="0" y="0"/>
                <wp:positionH relativeFrom="column">
                  <wp:posOffset>509905</wp:posOffset>
                </wp:positionH>
                <wp:positionV relativeFrom="paragraph">
                  <wp:posOffset>6750685</wp:posOffset>
                </wp:positionV>
                <wp:extent cx="116205" cy="0"/>
                <wp:effectExtent l="12065" t="7620" r="5080" b="11430"/>
                <wp:wrapNone/>
                <wp:docPr id="55" name="AutoShap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522866" id="AutoShape 469" o:spid="_x0000_s1026" type="#_x0000_t32" style="position:absolute;margin-left:40.15pt;margin-top:531.55pt;width:9.15pt;height:0;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JUn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"/>
            </w:pict>
          </mc:Fallback>
        </mc:AlternateContent>
      </w:r>
      <w:r w:rsidRPr="00E2052F">
        <w:rPr>
          <w:rFonts w:cstheme="majorBidi"/>
          <w:b/>
          <w:bCs/>
          <w:noProof/>
          <w:sz w:val="22"/>
          <w:lang w:eastAsia="fr-FR"/>
        </w:rPr>
        <mc:AlternateContent>
          <mc:Choice Requires="wps">
            <w:drawing>
              <wp:anchor distT="0" distB="0" distL="114300" distR="114300" simplePos="0" relativeHeight="252025856" behindDoc="0" locked="0" layoutInCell="1" allowOverlap="1" wp14:anchorId="633773A5" wp14:editId="615C7DB2">
                <wp:simplePos x="0" y="0"/>
                <wp:positionH relativeFrom="column">
                  <wp:posOffset>509905</wp:posOffset>
                </wp:positionH>
                <wp:positionV relativeFrom="paragraph">
                  <wp:posOffset>6150610</wp:posOffset>
                </wp:positionV>
                <wp:extent cx="116205" cy="0"/>
                <wp:effectExtent l="12065" t="7620" r="5080" b="11430"/>
                <wp:wrapNone/>
                <wp:docPr id="54" name="AutoShap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B55C1" id="AutoShape 468" o:spid="_x0000_s1026" type="#_x0000_t32" style="position:absolute;margin-left:40.15pt;margin-top:484.3pt;width:9.15pt;height:0;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j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"/>
            </w:pict>
          </mc:Fallback>
        </mc:AlternateContent>
      </w:r>
      <w:r w:rsidRPr="00E2052F">
        <w:rPr>
          <w:rFonts w:cstheme="majorBidi"/>
          <w:b/>
          <w:bCs/>
          <w:noProof/>
          <w:sz w:val="22"/>
          <w:lang w:eastAsia="fr-FR"/>
        </w:rPr>
        <mc:AlternateContent>
          <mc:Choice Requires="wps">
            <w:drawing>
              <wp:anchor distT="0" distB="0" distL="114300" distR="114300" simplePos="0" relativeHeight="252024832" behindDoc="0" locked="0" layoutInCell="1" allowOverlap="1" wp14:anchorId="344F0010" wp14:editId="55C23CF4">
                <wp:simplePos x="0" y="0"/>
                <wp:positionH relativeFrom="column">
                  <wp:posOffset>509905</wp:posOffset>
                </wp:positionH>
                <wp:positionV relativeFrom="paragraph">
                  <wp:posOffset>5550535</wp:posOffset>
                </wp:positionV>
                <wp:extent cx="116205" cy="0"/>
                <wp:effectExtent l="12065" t="7620" r="5080" b="11430"/>
                <wp:wrapNone/>
                <wp:docPr id="53" name="AutoShape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388B17" id="AutoShape 467" o:spid="_x0000_s1026" type="#_x0000_t32" style="position:absolute;margin-left:40.15pt;margin-top:437.05pt;width:9.15pt;height:0;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LU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23808" behindDoc="0" locked="0" layoutInCell="1" allowOverlap="1" wp14:anchorId="17A94000" wp14:editId="5308EDEE">
                <wp:simplePos x="0" y="0"/>
                <wp:positionH relativeFrom="column">
                  <wp:posOffset>640715</wp:posOffset>
                </wp:positionH>
                <wp:positionV relativeFrom="paragraph">
                  <wp:posOffset>6501765</wp:posOffset>
                </wp:positionV>
                <wp:extent cx="774065" cy="533400"/>
                <wp:effectExtent l="9525" t="6350" r="6985" b="12700"/>
                <wp:wrapNone/>
                <wp:docPr id="52"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2DDE3BF3" w14:textId="77777777" w:rsidR="00A36231" w:rsidRPr="00ED773E" w:rsidRDefault="00A36231" w:rsidP="004D0DDB">
                            <w:pPr>
                              <w:ind w:firstLine="0"/>
                              <w:rPr>
                                <w:rFonts w:cstheme="majorBidi"/>
                                <w:b/>
                                <w:bCs/>
                                <w:sz w:val="18"/>
                                <w:szCs w:val="18"/>
                                <w:vertAlign w:val="subscript"/>
                              </w:rPr>
                            </w:pPr>
                            <w:r w:rsidRPr="00ED773E">
                              <w:rPr>
                                <w:rFonts w:cstheme="majorBidi"/>
                                <w:b/>
                                <w:bCs/>
                                <w:sz w:val="18"/>
                                <w:szCs w:val="18"/>
                                <w:vertAlign w:val="subscript"/>
                              </w:rPr>
                              <w:t xml:space="preserve">Ser. Billetterie </w:t>
                            </w:r>
                            <w:r>
                              <w:rPr>
                                <w:rFonts w:cstheme="majorBidi"/>
                                <w:b/>
                                <w:bCs/>
                                <w:sz w:val="18"/>
                                <w:szCs w:val="18"/>
                                <w:vertAlign w:val="subscript"/>
                              </w:rPr>
                              <w:t xml:space="preserve">    </w:t>
                            </w:r>
                            <w:r w:rsidRPr="00ED773E">
                              <w:rPr>
                                <w:rFonts w:cstheme="majorBidi"/>
                                <w:b/>
                                <w:bCs/>
                                <w:sz w:val="18"/>
                                <w:szCs w:val="18"/>
                                <w:vertAlign w:val="subscript"/>
                              </w:rPr>
                              <w:t>&amp;</w:t>
                            </w:r>
                            <w:r>
                              <w:rPr>
                                <w:rFonts w:cstheme="majorBidi"/>
                                <w:b/>
                                <w:bCs/>
                                <w:sz w:val="18"/>
                                <w:szCs w:val="18"/>
                                <w:vertAlign w:val="subscript"/>
                              </w:rPr>
                              <w:t xml:space="preserve"> </w:t>
                            </w:r>
                            <w:r w:rsidRPr="00ED773E">
                              <w:rPr>
                                <w:rFonts w:cstheme="majorBidi"/>
                                <w:b/>
                                <w:bCs/>
                                <w:sz w:val="18"/>
                                <w:szCs w:val="18"/>
                                <w:vertAlign w:val="subscript"/>
                              </w:rPr>
                              <w:t>réservation</w:t>
                            </w:r>
                            <w:r>
                              <w:rPr>
                                <w:rFonts w:cstheme="majorBidi"/>
                                <w:b/>
                                <w:bCs/>
                                <w:sz w:val="18"/>
                                <w:szCs w:val="18"/>
                                <w:vertAlign w:val="subscript"/>
                              </w:rPr>
                              <w:t xml:space="preserve"> </w:t>
                            </w:r>
                            <w:r w:rsidRPr="00ED773E">
                              <w:rPr>
                                <w:rFonts w:cstheme="majorBidi"/>
                                <w:b/>
                                <w:bCs/>
                                <w:sz w:val="18"/>
                                <w:szCs w:val="18"/>
                                <w:vertAlign w:val="subscript"/>
                              </w:rPr>
                              <w:t>d’hôtelst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94000" id="Rectangle 466" o:spid="_x0000_s1116" style="position:absolute;left:0;text-align:left;margin-left:50.45pt;margin-top:511.95pt;width:60.95pt;height:4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">
                <v:textbox>
                  <w:txbxContent>
                    <w:p w14:paraId="2DDE3BF3" w14:textId="77777777" w:rsidR="00A36231" w:rsidRPr="00ED773E" w:rsidRDefault="00A36231" w:rsidP="004D0DDB">
                      <w:pPr>
                        <w:ind w:firstLine="0"/>
                        <w:rPr>
                          <w:rFonts w:cstheme="majorBidi"/>
                          <w:b/>
                          <w:bCs/>
                          <w:sz w:val="18"/>
                          <w:szCs w:val="18"/>
                          <w:vertAlign w:val="subscript"/>
                        </w:rPr>
                      </w:pPr>
                      <w:r w:rsidRPr="00ED773E">
                        <w:rPr>
                          <w:rFonts w:cstheme="majorBidi"/>
                          <w:b/>
                          <w:bCs/>
                          <w:sz w:val="18"/>
                          <w:szCs w:val="18"/>
                          <w:vertAlign w:val="subscript"/>
                        </w:rPr>
                        <w:t xml:space="preserve">Ser. Billetterie </w:t>
                      </w:r>
                      <w:r>
                        <w:rPr>
                          <w:rFonts w:cstheme="majorBidi"/>
                          <w:b/>
                          <w:bCs/>
                          <w:sz w:val="18"/>
                          <w:szCs w:val="18"/>
                          <w:vertAlign w:val="subscript"/>
                        </w:rPr>
                        <w:t xml:space="preserve">    </w:t>
                      </w:r>
                      <w:r w:rsidRPr="00ED773E">
                        <w:rPr>
                          <w:rFonts w:cstheme="majorBidi"/>
                          <w:b/>
                          <w:bCs/>
                          <w:sz w:val="18"/>
                          <w:szCs w:val="18"/>
                          <w:vertAlign w:val="subscript"/>
                        </w:rPr>
                        <w:t>&amp;</w:t>
                      </w:r>
                      <w:r>
                        <w:rPr>
                          <w:rFonts w:cstheme="majorBidi"/>
                          <w:b/>
                          <w:bCs/>
                          <w:sz w:val="18"/>
                          <w:szCs w:val="18"/>
                          <w:vertAlign w:val="subscript"/>
                        </w:rPr>
                        <w:t xml:space="preserve"> </w:t>
                      </w:r>
                      <w:r w:rsidRPr="00ED773E">
                        <w:rPr>
                          <w:rFonts w:cstheme="majorBidi"/>
                          <w:b/>
                          <w:bCs/>
                          <w:sz w:val="18"/>
                          <w:szCs w:val="18"/>
                          <w:vertAlign w:val="subscript"/>
                        </w:rPr>
                        <w:t>réservation</w:t>
                      </w:r>
                      <w:r>
                        <w:rPr>
                          <w:rFonts w:cstheme="majorBidi"/>
                          <w:b/>
                          <w:bCs/>
                          <w:sz w:val="18"/>
                          <w:szCs w:val="18"/>
                          <w:vertAlign w:val="subscript"/>
                        </w:rPr>
                        <w:t xml:space="preserve"> </w:t>
                      </w:r>
                      <w:r w:rsidRPr="00ED773E">
                        <w:rPr>
                          <w:rFonts w:cstheme="majorBidi"/>
                          <w:b/>
                          <w:bCs/>
                          <w:sz w:val="18"/>
                          <w:szCs w:val="18"/>
                          <w:vertAlign w:val="subscript"/>
                        </w:rPr>
                        <w:t>d’hôtelst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2784" behindDoc="0" locked="0" layoutInCell="1" allowOverlap="1" wp14:anchorId="189CAA91" wp14:editId="4D482DC1">
                <wp:simplePos x="0" y="0"/>
                <wp:positionH relativeFrom="column">
                  <wp:posOffset>640715</wp:posOffset>
                </wp:positionH>
                <wp:positionV relativeFrom="paragraph">
                  <wp:posOffset>5887085</wp:posOffset>
                </wp:positionV>
                <wp:extent cx="774065" cy="533400"/>
                <wp:effectExtent l="9525" t="10795" r="6985" b="8255"/>
                <wp:wrapNone/>
                <wp:docPr id="51"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6279E157" w14:textId="77777777" w:rsidR="00A36231" w:rsidRPr="00ED773E" w:rsidRDefault="00A36231" w:rsidP="004D0DDB">
                            <w:pPr>
                              <w:ind w:firstLine="0"/>
                            </w:pPr>
                            <w:r w:rsidRPr="00ED773E">
                              <w:rPr>
                                <w:rFonts w:cstheme="majorBidi"/>
                                <w:b/>
                                <w:bCs/>
                                <w:sz w:val="18"/>
                                <w:szCs w:val="18"/>
                                <w:vertAlign w:val="subscript"/>
                              </w:rPr>
                              <w:t>Ser. Transport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CAA91" id="Rectangle 465" o:spid="_x0000_s1117" style="position:absolute;left:0;text-align:left;margin-left:50.45pt;margin-top:463.55pt;width:60.95pt;height:42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">
                <v:textbox>
                  <w:txbxContent>
                    <w:p w14:paraId="6279E157" w14:textId="77777777" w:rsidR="00A36231" w:rsidRPr="00ED773E" w:rsidRDefault="00A36231" w:rsidP="004D0DDB">
                      <w:pPr>
                        <w:ind w:firstLine="0"/>
                      </w:pPr>
                      <w:r w:rsidRPr="00ED773E">
                        <w:rPr>
                          <w:rFonts w:cstheme="majorBidi"/>
                          <w:b/>
                          <w:bCs/>
                          <w:sz w:val="18"/>
                          <w:szCs w:val="18"/>
                          <w:vertAlign w:val="subscript"/>
                        </w:rPr>
                        <w:t>Ser. Transport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1760" behindDoc="0" locked="0" layoutInCell="1" allowOverlap="1" wp14:anchorId="65101DFA" wp14:editId="365AE9FF">
                <wp:simplePos x="0" y="0"/>
                <wp:positionH relativeFrom="column">
                  <wp:posOffset>640715</wp:posOffset>
                </wp:positionH>
                <wp:positionV relativeFrom="paragraph">
                  <wp:posOffset>5280660</wp:posOffset>
                </wp:positionV>
                <wp:extent cx="774065" cy="533400"/>
                <wp:effectExtent l="9525" t="13970" r="6985" b="5080"/>
                <wp:wrapNone/>
                <wp:docPr id="50"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7AF6F9B0" w14:textId="77777777" w:rsidR="00A36231" w:rsidRPr="00ED773E" w:rsidRDefault="00A36231" w:rsidP="004D0DDB">
                            <w:pPr>
                              <w:ind w:firstLine="0"/>
                              <w:rPr>
                                <w:rFonts w:cstheme="majorBidi"/>
                                <w:b/>
                                <w:bCs/>
                                <w:sz w:val="18"/>
                                <w:szCs w:val="18"/>
                                <w:vertAlign w:val="subscript"/>
                              </w:rPr>
                            </w:pPr>
                            <w:r>
                              <w:rPr>
                                <w:rFonts w:cstheme="majorBidi"/>
                                <w:b/>
                                <w:bCs/>
                                <w:sz w:val="18"/>
                                <w:szCs w:val="18"/>
                                <w:vertAlign w:val="subscript"/>
                              </w:rPr>
                              <w:t>Ser. Restauration &amp; Net</w:t>
                            </w:r>
                            <w:r w:rsidRPr="00ED773E">
                              <w:rPr>
                                <w:rFonts w:cstheme="majorBidi"/>
                                <w:b/>
                                <w:bCs/>
                                <w:sz w:val="18"/>
                                <w:szCs w:val="18"/>
                                <w:vertAlign w:val="subscript"/>
                              </w:rPr>
                              <w:t xml:space="preserve">toyage </w:t>
                            </w:r>
                            <w:r>
                              <w:rPr>
                                <w:rFonts w:cstheme="majorBidi"/>
                                <w:b/>
                                <w:bCs/>
                                <w:sz w:val="18"/>
                                <w:szCs w:val="18"/>
                                <w:vertAlign w:val="subscript"/>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1DFA" id="Rectangle 464" o:spid="_x0000_s1118" style="position:absolute;left:0;text-align:left;margin-left:50.45pt;margin-top:415.8pt;width:60.95pt;height:42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">
                <v:textbox>
                  <w:txbxContent>
                    <w:p w14:paraId="7AF6F9B0" w14:textId="77777777" w:rsidR="00A36231" w:rsidRPr="00ED773E" w:rsidRDefault="00A36231" w:rsidP="004D0DDB">
                      <w:pPr>
                        <w:ind w:firstLine="0"/>
                        <w:rPr>
                          <w:rFonts w:cstheme="majorBidi"/>
                          <w:b/>
                          <w:bCs/>
                          <w:sz w:val="18"/>
                          <w:szCs w:val="18"/>
                          <w:vertAlign w:val="subscript"/>
                        </w:rPr>
                      </w:pPr>
                      <w:r>
                        <w:rPr>
                          <w:rFonts w:cstheme="majorBidi"/>
                          <w:b/>
                          <w:bCs/>
                          <w:sz w:val="18"/>
                          <w:szCs w:val="18"/>
                          <w:vertAlign w:val="subscript"/>
                        </w:rPr>
                        <w:t>Ser. Restauration &amp; Net</w:t>
                      </w:r>
                      <w:r w:rsidRPr="00ED773E">
                        <w:rPr>
                          <w:rFonts w:cstheme="majorBidi"/>
                          <w:b/>
                          <w:bCs/>
                          <w:sz w:val="18"/>
                          <w:szCs w:val="18"/>
                          <w:vertAlign w:val="subscript"/>
                        </w:rPr>
                        <w:t xml:space="preserve">toyage </w:t>
                      </w:r>
                      <w:r>
                        <w:rPr>
                          <w:rFonts w:cstheme="majorBidi"/>
                          <w:b/>
                          <w:bCs/>
                          <w:sz w:val="18"/>
                          <w:szCs w:val="18"/>
                          <w:vertAlign w:val="subscript"/>
                        </w:rPr>
                        <w:t xml:space="preserve">           </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20736" behindDoc="0" locked="0" layoutInCell="1" allowOverlap="1" wp14:anchorId="58CF9DDF" wp14:editId="2FE863BB">
                <wp:simplePos x="0" y="0"/>
                <wp:positionH relativeFrom="column">
                  <wp:posOffset>509905</wp:posOffset>
                </wp:positionH>
                <wp:positionV relativeFrom="paragraph">
                  <wp:posOffset>4241165</wp:posOffset>
                </wp:positionV>
                <wp:extent cx="116205" cy="0"/>
                <wp:effectExtent l="12065" t="12700" r="5080" b="6350"/>
                <wp:wrapNone/>
                <wp:docPr id="49" name="AutoShape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5EECDB" id="AutoShape 463" o:spid="_x0000_s1026" type="#_x0000_t32" style="position:absolute;margin-left:40.15pt;margin-top:333.95pt;width:9.15pt;height:0;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UEeIA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19712" behindDoc="0" locked="0" layoutInCell="1" allowOverlap="1" wp14:anchorId="0146D01C" wp14:editId="14AA671D">
                <wp:simplePos x="0" y="0"/>
                <wp:positionH relativeFrom="column">
                  <wp:posOffset>509905</wp:posOffset>
                </wp:positionH>
                <wp:positionV relativeFrom="paragraph">
                  <wp:posOffset>3641090</wp:posOffset>
                </wp:positionV>
                <wp:extent cx="116205" cy="0"/>
                <wp:effectExtent l="12065" t="12700" r="5080" b="6350"/>
                <wp:wrapNone/>
                <wp:docPr id="48" name="AutoShap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7AF64F" id="AutoShape 462" o:spid="_x0000_s1026" type="#_x0000_t32" style="position:absolute;margin-left:40.15pt;margin-top:286.7pt;width:9.15pt;height:0;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idaIA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18688" behindDoc="0" locked="0" layoutInCell="1" allowOverlap="1" wp14:anchorId="68428C11" wp14:editId="5C0446EC">
                <wp:simplePos x="0" y="0"/>
                <wp:positionH relativeFrom="column">
                  <wp:posOffset>520065</wp:posOffset>
                </wp:positionH>
                <wp:positionV relativeFrom="paragraph">
                  <wp:posOffset>3032125</wp:posOffset>
                </wp:positionV>
                <wp:extent cx="116205" cy="0"/>
                <wp:effectExtent l="12700" t="13335" r="13970" b="5715"/>
                <wp:wrapNone/>
                <wp:docPr id="47" name="AutoShap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91E85E" id="AutoShape 461" o:spid="_x0000_s1026" type="#_x0000_t32" style="position:absolute;margin-left:40.95pt;margin-top:238.75pt;width:9.15pt;height:0;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2sWIQIAAD0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2017664" behindDoc="0" locked="0" layoutInCell="1" allowOverlap="1" wp14:anchorId="2B21ACB1" wp14:editId="45EADDCA">
                <wp:simplePos x="0" y="0"/>
                <wp:positionH relativeFrom="column">
                  <wp:posOffset>520065</wp:posOffset>
                </wp:positionH>
                <wp:positionV relativeFrom="paragraph">
                  <wp:posOffset>2432050</wp:posOffset>
                </wp:positionV>
                <wp:extent cx="116205" cy="0"/>
                <wp:effectExtent l="12700" t="13335" r="13970" b="5715"/>
                <wp:wrapNone/>
                <wp:docPr id="46" name="AutoShape 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B8A67C" id="AutoShape 460" o:spid="_x0000_s1026" type="#_x0000_t32" style="position:absolute;margin-left:40.95pt;margin-top:191.5pt;width:9.15pt;height:0;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A1SIAIAAD0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"/>
            </w:pict>
          </mc:Fallback>
        </mc:AlternateContent>
      </w:r>
      <w:r w:rsidRPr="00E2052F">
        <w:rPr>
          <w:rFonts w:cstheme="majorBidi"/>
          <w:b/>
          <w:bCs/>
          <w:noProof/>
          <w:sz w:val="22"/>
          <w:lang w:eastAsia="fr-FR"/>
        </w:rPr>
        <mc:AlternateContent>
          <mc:Choice Requires="wps">
            <w:drawing>
              <wp:anchor distT="0" distB="0" distL="114300" distR="114300" simplePos="0" relativeHeight="252016640" behindDoc="0" locked="0" layoutInCell="1" allowOverlap="1" wp14:anchorId="5E4B5FE7" wp14:editId="0CAB12BD">
                <wp:simplePos x="0" y="0"/>
                <wp:positionH relativeFrom="column">
                  <wp:posOffset>520065</wp:posOffset>
                </wp:positionH>
                <wp:positionV relativeFrom="paragraph">
                  <wp:posOffset>1831975</wp:posOffset>
                </wp:positionV>
                <wp:extent cx="116205" cy="0"/>
                <wp:effectExtent l="12700" t="13335" r="13970" b="5715"/>
                <wp:wrapNone/>
                <wp:docPr id="45"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876F51" id="AutoShape 459" o:spid="_x0000_s1026" type="#_x0000_t32" style="position:absolute;margin-left:40.95pt;margin-top:144.25pt;width:9.15pt;height:0;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rWr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"/>
            </w:pict>
          </mc:Fallback>
        </mc:AlternateContent>
      </w:r>
      <w:r w:rsidRPr="00E2052F">
        <w:rPr>
          <w:rFonts w:cstheme="majorBidi"/>
          <w:b/>
          <w:bCs/>
          <w:noProof/>
          <w:sz w:val="22"/>
          <w:lang w:eastAsia="fr-FR"/>
        </w:rPr>
        <mc:AlternateContent>
          <mc:Choice Requires="wps">
            <w:drawing>
              <wp:anchor distT="0" distB="0" distL="114300" distR="114300" simplePos="0" relativeHeight="252015616" behindDoc="0" locked="0" layoutInCell="1" allowOverlap="1" wp14:anchorId="19FA8CC4" wp14:editId="3BF70635">
                <wp:simplePos x="0" y="0"/>
                <wp:positionH relativeFrom="column">
                  <wp:posOffset>504190</wp:posOffset>
                </wp:positionH>
                <wp:positionV relativeFrom="paragraph">
                  <wp:posOffset>1398905</wp:posOffset>
                </wp:positionV>
                <wp:extent cx="635" cy="2842260"/>
                <wp:effectExtent l="6350" t="8890" r="12065" b="6350"/>
                <wp:wrapNone/>
                <wp:docPr id="44" name="AutoShap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42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C14892" id="AutoShape 458" o:spid="_x0000_s1026" type="#_x0000_t32" style="position:absolute;margin-left:39.7pt;margin-top:110.15pt;width:.05pt;height:223.8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"/>
            </w:pict>
          </mc:Fallback>
        </mc:AlternateContent>
      </w:r>
      <w:r w:rsidRPr="00E2052F">
        <w:rPr>
          <w:rFonts w:cstheme="majorBidi"/>
          <w:b/>
          <w:bCs/>
          <w:noProof/>
          <w:sz w:val="22"/>
          <w:lang w:eastAsia="fr-FR"/>
        </w:rPr>
        <mc:AlternateContent>
          <mc:Choice Requires="wps">
            <w:drawing>
              <wp:anchor distT="0" distB="0" distL="114300" distR="114300" simplePos="0" relativeHeight="252014592" behindDoc="0" locked="0" layoutInCell="1" allowOverlap="1" wp14:anchorId="0EB5F247" wp14:editId="751C4B28">
                <wp:simplePos x="0" y="0"/>
                <wp:positionH relativeFrom="column">
                  <wp:posOffset>640715</wp:posOffset>
                </wp:positionH>
                <wp:positionV relativeFrom="paragraph">
                  <wp:posOffset>3997325</wp:posOffset>
                </wp:positionV>
                <wp:extent cx="774065" cy="533400"/>
                <wp:effectExtent l="9525" t="6985" r="6985" b="12065"/>
                <wp:wrapNone/>
                <wp:docPr id="43"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7B0244F1" w14:textId="77777777" w:rsidR="00A36231" w:rsidRPr="00382AAA" w:rsidRDefault="00A36231" w:rsidP="004D0DDB">
                            <w:pPr>
                              <w:ind w:firstLine="0"/>
                              <w:rPr>
                                <w:rFonts w:cstheme="majorBidi"/>
                                <w:b/>
                                <w:bCs/>
                                <w:sz w:val="18"/>
                                <w:szCs w:val="18"/>
                                <w:vertAlign w:val="subscript"/>
                              </w:rPr>
                            </w:pPr>
                            <w:r w:rsidRPr="00382AAA">
                              <w:rPr>
                                <w:rFonts w:cstheme="majorBidi"/>
                                <w:b/>
                                <w:bCs/>
                                <w:sz w:val="18"/>
                                <w:szCs w:val="18"/>
                                <w:vertAlign w:val="subscript"/>
                              </w:rPr>
                              <w:t>Ser.</w:t>
                            </w:r>
                            <w:r>
                              <w:rPr>
                                <w:rFonts w:cstheme="majorBidi"/>
                                <w:b/>
                                <w:bCs/>
                                <w:sz w:val="18"/>
                                <w:szCs w:val="18"/>
                                <w:vertAlign w:val="subscript"/>
                              </w:rPr>
                              <w:t xml:space="preserve"> </w:t>
                            </w:r>
                            <w:r w:rsidRPr="00382AAA">
                              <w:rPr>
                                <w:rFonts w:cstheme="majorBidi"/>
                                <w:b/>
                                <w:bCs/>
                                <w:sz w:val="18"/>
                                <w:szCs w:val="18"/>
                                <w:vertAlign w:val="subscript"/>
                              </w:rPr>
                              <w:t>Communication</w:t>
                            </w:r>
                          </w:p>
                          <w:p w14:paraId="211BBE20" w14:textId="77777777" w:rsidR="00A36231" w:rsidRPr="00382AAA" w:rsidRDefault="00A36231" w:rsidP="001B1E6C">
                            <w:r w:rsidRPr="00382AAA">
                              <w:rPr>
                                <w:rFonts w:cstheme="majorBidi"/>
                                <w:b/>
                                <w:bCs/>
                                <w:sz w:val="18"/>
                                <w:szCs w:val="18"/>
                                <w:vertAlign w:val="subscript"/>
                              </w:rPr>
                              <w:t>Interne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5F247" id="Rectangle 457" o:spid="_x0000_s1119" style="position:absolute;left:0;text-align:left;margin-left:50.45pt;margin-top:314.75pt;width:60.95pt;height:42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">
                <v:textbox>
                  <w:txbxContent>
                    <w:p w14:paraId="7B0244F1" w14:textId="77777777" w:rsidR="00A36231" w:rsidRPr="00382AAA" w:rsidRDefault="00A36231" w:rsidP="004D0DDB">
                      <w:pPr>
                        <w:ind w:firstLine="0"/>
                        <w:rPr>
                          <w:rFonts w:cstheme="majorBidi"/>
                          <w:b/>
                          <w:bCs/>
                          <w:sz w:val="18"/>
                          <w:szCs w:val="18"/>
                          <w:vertAlign w:val="subscript"/>
                        </w:rPr>
                      </w:pPr>
                      <w:r w:rsidRPr="00382AAA">
                        <w:rPr>
                          <w:rFonts w:cstheme="majorBidi"/>
                          <w:b/>
                          <w:bCs/>
                          <w:sz w:val="18"/>
                          <w:szCs w:val="18"/>
                          <w:vertAlign w:val="subscript"/>
                        </w:rPr>
                        <w:t>Ser.</w:t>
                      </w:r>
                      <w:r>
                        <w:rPr>
                          <w:rFonts w:cstheme="majorBidi"/>
                          <w:b/>
                          <w:bCs/>
                          <w:sz w:val="18"/>
                          <w:szCs w:val="18"/>
                          <w:vertAlign w:val="subscript"/>
                        </w:rPr>
                        <w:t xml:space="preserve"> </w:t>
                      </w:r>
                      <w:r w:rsidRPr="00382AAA">
                        <w:rPr>
                          <w:rFonts w:cstheme="majorBidi"/>
                          <w:b/>
                          <w:bCs/>
                          <w:sz w:val="18"/>
                          <w:szCs w:val="18"/>
                          <w:vertAlign w:val="subscript"/>
                        </w:rPr>
                        <w:t>Communication</w:t>
                      </w:r>
                    </w:p>
                    <w:p w14:paraId="211BBE20" w14:textId="77777777" w:rsidR="00A36231" w:rsidRPr="00382AAA" w:rsidRDefault="00A36231" w:rsidP="001B1E6C">
                      <w:r w:rsidRPr="00382AAA">
                        <w:rPr>
                          <w:rFonts w:cstheme="majorBidi"/>
                          <w:b/>
                          <w:bCs/>
                          <w:sz w:val="18"/>
                          <w:szCs w:val="18"/>
                          <w:vertAlign w:val="subscript"/>
                        </w:rPr>
                        <w:t>Interne</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13568" behindDoc="0" locked="0" layoutInCell="1" allowOverlap="1" wp14:anchorId="597C34AB" wp14:editId="0CFD56C5">
                <wp:simplePos x="0" y="0"/>
                <wp:positionH relativeFrom="column">
                  <wp:posOffset>640715</wp:posOffset>
                </wp:positionH>
                <wp:positionV relativeFrom="paragraph">
                  <wp:posOffset>3390900</wp:posOffset>
                </wp:positionV>
                <wp:extent cx="774065" cy="533400"/>
                <wp:effectExtent l="9525" t="10160" r="6985" b="8890"/>
                <wp:wrapNone/>
                <wp:docPr id="42"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46793AED" w14:textId="77777777" w:rsidR="00A36231" w:rsidRPr="00382AAA" w:rsidRDefault="00A36231" w:rsidP="004D0DDB">
                            <w:pPr>
                              <w:ind w:firstLine="0"/>
                            </w:pPr>
                            <w:r w:rsidRPr="00382AAA">
                              <w:rPr>
                                <w:rFonts w:cstheme="majorBidi"/>
                                <w:b/>
                                <w:bCs/>
                                <w:sz w:val="18"/>
                                <w:szCs w:val="18"/>
                                <w:vertAlign w:val="subscript"/>
                              </w:rPr>
                              <w:t>Ser. Rémunération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C34AB" id="Rectangle 456" o:spid="_x0000_s1120" style="position:absolute;left:0;text-align:left;margin-left:50.45pt;margin-top:267pt;width:60.95pt;height:42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">
                <v:textbox>
                  <w:txbxContent>
                    <w:p w14:paraId="46793AED" w14:textId="77777777" w:rsidR="00A36231" w:rsidRPr="00382AAA" w:rsidRDefault="00A36231" w:rsidP="004D0DDB">
                      <w:pPr>
                        <w:ind w:firstLine="0"/>
                      </w:pPr>
                      <w:r w:rsidRPr="00382AAA">
                        <w:rPr>
                          <w:rFonts w:cstheme="majorBidi"/>
                          <w:b/>
                          <w:bCs/>
                          <w:sz w:val="18"/>
                          <w:szCs w:val="18"/>
                          <w:vertAlign w:val="subscript"/>
                        </w:rPr>
                        <w:t>Ser. Rémunération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12544" behindDoc="0" locked="0" layoutInCell="1" allowOverlap="1" wp14:anchorId="6DF68474" wp14:editId="25443B85">
                <wp:simplePos x="0" y="0"/>
                <wp:positionH relativeFrom="column">
                  <wp:posOffset>6361430</wp:posOffset>
                </wp:positionH>
                <wp:positionV relativeFrom="paragraph">
                  <wp:posOffset>1158875</wp:posOffset>
                </wp:positionV>
                <wp:extent cx="198755" cy="0"/>
                <wp:effectExtent l="15240" t="54610" r="5080" b="59690"/>
                <wp:wrapNone/>
                <wp:docPr id="41" name="AutoShap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36D09" id="AutoShape 455" o:spid="_x0000_s1026" type="#_x0000_t32" style="position:absolute;margin-left:500.9pt;margin-top:91.25pt;width:15.65pt;height:0;flip:x;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11520" behindDoc="0" locked="0" layoutInCell="1" allowOverlap="1" wp14:anchorId="45AC2E04" wp14:editId="796E1AFA">
                <wp:simplePos x="0" y="0"/>
                <wp:positionH relativeFrom="column">
                  <wp:posOffset>6556375</wp:posOffset>
                </wp:positionH>
                <wp:positionV relativeFrom="paragraph">
                  <wp:posOffset>-125095</wp:posOffset>
                </wp:positionV>
                <wp:extent cx="3810" cy="6943090"/>
                <wp:effectExtent l="10160" t="8890" r="5080" b="10795"/>
                <wp:wrapNone/>
                <wp:docPr id="40" name="AutoShap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6943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5297BA" id="AutoShape 454" o:spid="_x0000_s1026" type="#_x0000_t32" style="position:absolute;margin-left:516.25pt;margin-top:-9.85pt;width:.3pt;height:546.7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zJrJQIAAEE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"/>
            </w:pict>
          </mc:Fallback>
        </mc:AlternateContent>
      </w:r>
      <w:r w:rsidRPr="00E2052F">
        <w:rPr>
          <w:rFonts w:cstheme="majorBidi"/>
          <w:b/>
          <w:bCs/>
          <w:noProof/>
          <w:sz w:val="22"/>
          <w:lang w:eastAsia="fr-FR"/>
        </w:rPr>
        <mc:AlternateContent>
          <mc:Choice Requires="wps">
            <w:drawing>
              <wp:anchor distT="0" distB="0" distL="114300" distR="114300" simplePos="0" relativeHeight="252010496" behindDoc="0" locked="0" layoutInCell="1" allowOverlap="1" wp14:anchorId="100DEC9F" wp14:editId="013B56B9">
                <wp:simplePos x="0" y="0"/>
                <wp:positionH relativeFrom="column">
                  <wp:posOffset>-127000</wp:posOffset>
                </wp:positionH>
                <wp:positionV relativeFrom="paragraph">
                  <wp:posOffset>372745</wp:posOffset>
                </wp:positionV>
                <wp:extent cx="187325" cy="0"/>
                <wp:effectExtent l="13335" t="11430" r="8890" b="7620"/>
                <wp:wrapNone/>
                <wp:docPr id="39" name="AutoShap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0F4DA3" id="AutoShape 453" o:spid="_x0000_s1026" type="#_x0000_t32" style="position:absolute;margin-left:-10pt;margin-top:29.35pt;width:14.75pt;height:0;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4EKHwIAAD0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"/>
            </w:pict>
          </mc:Fallback>
        </mc:AlternateContent>
      </w:r>
      <w:r w:rsidRPr="00E2052F">
        <w:rPr>
          <w:rFonts w:cstheme="majorBidi"/>
          <w:b/>
          <w:bCs/>
          <w:noProof/>
          <w:sz w:val="22"/>
          <w:lang w:eastAsia="fr-FR"/>
        </w:rPr>
        <mc:AlternateContent>
          <mc:Choice Requires="wps">
            <w:drawing>
              <wp:anchor distT="0" distB="0" distL="114300" distR="114300" simplePos="0" relativeHeight="252009472" behindDoc="0" locked="0" layoutInCell="1" allowOverlap="1" wp14:anchorId="5C7AAB35" wp14:editId="6906EC57">
                <wp:simplePos x="0" y="0"/>
                <wp:positionH relativeFrom="column">
                  <wp:posOffset>5452745</wp:posOffset>
                </wp:positionH>
                <wp:positionV relativeFrom="paragraph">
                  <wp:posOffset>857885</wp:posOffset>
                </wp:positionV>
                <wp:extent cx="914400" cy="601345"/>
                <wp:effectExtent l="11430" t="10795" r="7620" b="6985"/>
                <wp:wrapNone/>
                <wp:docPr id="38"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4BF19CA" w14:textId="77777777" w:rsidR="00A36231" w:rsidRPr="004F59DF" w:rsidRDefault="00A36231" w:rsidP="004D0DDB">
                            <w:pPr>
                              <w:ind w:firstLine="0"/>
                            </w:pPr>
                            <w:r w:rsidRPr="004F59DF">
                              <w:rPr>
                                <w:rFonts w:cstheme="majorBidi"/>
                                <w:b/>
                                <w:bCs/>
                                <w:color w:val="FFFFFF" w:themeColor="background1"/>
                                <w:sz w:val="16"/>
                                <w:szCs w:val="16"/>
                              </w:rPr>
                              <w:t>Dép. QHSE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AAB35" id="Rectangle 452" o:spid="_x0000_s1121" style="position:absolute;left:0;text-align:left;margin-left:429.35pt;margin-top:67.55pt;width:1in;height:47.3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" fillcolor="black [3213]" strokecolor="#1f4d78 [1608]">
                <v:textbox>
                  <w:txbxContent>
                    <w:p w14:paraId="44BF19CA" w14:textId="77777777" w:rsidR="00A36231" w:rsidRPr="004F59DF" w:rsidRDefault="00A36231" w:rsidP="004D0DDB">
                      <w:pPr>
                        <w:ind w:firstLine="0"/>
                      </w:pPr>
                      <w:r w:rsidRPr="004F59DF">
                        <w:rPr>
                          <w:rFonts w:cstheme="majorBidi"/>
                          <w:b/>
                          <w:bCs/>
                          <w:color w:val="FFFFFF" w:themeColor="background1"/>
                          <w:sz w:val="16"/>
                          <w:szCs w:val="16"/>
                        </w:rPr>
                        <w:t>Dép. QHSE</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8448" behindDoc="0" locked="0" layoutInCell="1" allowOverlap="1" wp14:anchorId="49A5B3F9" wp14:editId="74F646A6">
                <wp:simplePos x="0" y="0"/>
                <wp:positionH relativeFrom="column">
                  <wp:posOffset>5457190</wp:posOffset>
                </wp:positionH>
                <wp:positionV relativeFrom="paragraph">
                  <wp:posOffset>64135</wp:posOffset>
                </wp:positionV>
                <wp:extent cx="914400" cy="601345"/>
                <wp:effectExtent l="6350" t="7620" r="12700" b="10160"/>
                <wp:wrapNone/>
                <wp:docPr id="37"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1865EE89" w14:textId="77777777" w:rsidR="00A36231" w:rsidRPr="00382AAA" w:rsidRDefault="00A36231" w:rsidP="004D0DDB">
                            <w:pPr>
                              <w:ind w:firstLine="0"/>
                            </w:pPr>
                            <w:r w:rsidRPr="00382AAA">
                              <w:rPr>
                                <w:rFonts w:cstheme="majorBidi"/>
                                <w:b/>
                                <w:bCs/>
                                <w:color w:val="FFFFFF" w:themeColor="background1"/>
                                <w:sz w:val="16"/>
                                <w:szCs w:val="16"/>
                              </w:rPr>
                              <w:t>Direction Juridique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5B3F9" id="Rectangle 451" o:spid="_x0000_s1122" style="position:absolute;left:0;text-align:left;margin-left:429.7pt;margin-top:5.05pt;width:1in;height:47.3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" fillcolor="#00b050" strokecolor="black [3213]">
                <v:textbox>
                  <w:txbxContent>
                    <w:p w14:paraId="1865EE89" w14:textId="77777777" w:rsidR="00A36231" w:rsidRPr="00382AAA" w:rsidRDefault="00A36231" w:rsidP="004D0DDB">
                      <w:pPr>
                        <w:ind w:firstLine="0"/>
                      </w:pPr>
                      <w:r w:rsidRPr="00382AAA">
                        <w:rPr>
                          <w:rFonts w:cstheme="majorBidi"/>
                          <w:b/>
                          <w:bCs/>
                          <w:color w:val="FFFFFF" w:themeColor="background1"/>
                          <w:sz w:val="16"/>
                          <w:szCs w:val="16"/>
                        </w:rPr>
                        <w:t>Direction Juridique</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7424" behindDoc="0" locked="0" layoutInCell="1" allowOverlap="1" wp14:anchorId="27013D6D" wp14:editId="759E4075">
                <wp:simplePos x="0" y="0"/>
                <wp:positionH relativeFrom="column">
                  <wp:posOffset>5914390</wp:posOffset>
                </wp:positionH>
                <wp:positionV relativeFrom="paragraph">
                  <wp:posOffset>-120650</wp:posOffset>
                </wp:positionV>
                <wp:extent cx="635" cy="173355"/>
                <wp:effectExtent l="53975" t="13335" r="59690" b="22860"/>
                <wp:wrapNone/>
                <wp:docPr id="36" name="AutoShap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DE5BC" id="AutoShape 450" o:spid="_x0000_s1026" type="#_x0000_t32" style="position:absolute;margin-left:465.7pt;margin-top:-9.5pt;width:.05pt;height:13.6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2006400" behindDoc="0" locked="0" layoutInCell="1" allowOverlap="1" wp14:anchorId="531BBBBE" wp14:editId="69FE4FF2">
                <wp:simplePos x="0" y="0"/>
                <wp:positionH relativeFrom="column">
                  <wp:posOffset>1819910</wp:posOffset>
                </wp:positionH>
                <wp:positionV relativeFrom="paragraph">
                  <wp:posOffset>2912745</wp:posOffset>
                </wp:positionV>
                <wp:extent cx="914400" cy="601345"/>
                <wp:effectExtent l="7620" t="8255" r="11430" b="9525"/>
                <wp:wrapNone/>
                <wp:docPr id="35" name="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609A04B2" w14:textId="77777777" w:rsidR="00A36231" w:rsidRPr="00382AAA" w:rsidRDefault="00A36231" w:rsidP="004D0DDB">
                            <w:pPr>
                              <w:ind w:firstLine="0"/>
                              <w:rPr>
                                <w:rFonts w:cstheme="majorBidi"/>
                                <w:b/>
                                <w:bCs/>
                                <w:color w:val="FFFFFF" w:themeColor="background1"/>
                                <w:sz w:val="16"/>
                                <w:szCs w:val="16"/>
                              </w:rPr>
                            </w:pPr>
                            <w:r w:rsidRPr="00382AAA">
                              <w:rPr>
                                <w:rFonts w:cstheme="majorBidi"/>
                                <w:b/>
                                <w:bCs/>
                                <w:color w:val="FFFFFF" w:themeColor="background1"/>
                                <w:sz w:val="16"/>
                                <w:szCs w:val="16"/>
                              </w:rPr>
                              <w:t>Dép. Patrimoine &amp;</w:t>
                            </w:r>
                            <w:r>
                              <w:rPr>
                                <w:rFonts w:cstheme="majorBidi"/>
                                <w:b/>
                                <w:bCs/>
                                <w:color w:val="FFFFFF" w:themeColor="background1"/>
                                <w:sz w:val="16"/>
                                <w:szCs w:val="16"/>
                              </w:rPr>
                              <w:t xml:space="preserve"> </w:t>
                            </w:r>
                            <w:r w:rsidRPr="00382AAA">
                              <w:rPr>
                                <w:rFonts w:cstheme="majorBidi"/>
                                <w:b/>
                                <w:bCs/>
                                <w:color w:val="FFFFFF" w:themeColor="background1"/>
                                <w:sz w:val="16"/>
                                <w:szCs w:val="16"/>
                              </w:rPr>
                              <w:t>Projets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BBBBE" id="Rectangle 449" o:spid="_x0000_s1123" style="position:absolute;left:0;text-align:left;margin-left:143.3pt;margin-top:229.35pt;width:1in;height:47.3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" fillcolor="black [3213]" strokecolor="#1f4d78 [1608]">
                <v:textbox>
                  <w:txbxContent>
                    <w:p w14:paraId="609A04B2" w14:textId="77777777" w:rsidR="00A36231" w:rsidRPr="00382AAA" w:rsidRDefault="00A36231" w:rsidP="004D0DDB">
                      <w:pPr>
                        <w:ind w:firstLine="0"/>
                        <w:rPr>
                          <w:rFonts w:cstheme="majorBidi"/>
                          <w:b/>
                          <w:bCs/>
                          <w:color w:val="FFFFFF" w:themeColor="background1"/>
                          <w:sz w:val="16"/>
                          <w:szCs w:val="16"/>
                        </w:rPr>
                      </w:pPr>
                      <w:r w:rsidRPr="00382AAA">
                        <w:rPr>
                          <w:rFonts w:cstheme="majorBidi"/>
                          <w:b/>
                          <w:bCs/>
                          <w:color w:val="FFFFFF" w:themeColor="background1"/>
                          <w:sz w:val="16"/>
                          <w:szCs w:val="16"/>
                        </w:rPr>
                        <w:t>Dép. Patrimoine &amp;</w:t>
                      </w:r>
                      <w:r>
                        <w:rPr>
                          <w:rFonts w:cstheme="majorBidi"/>
                          <w:b/>
                          <w:bCs/>
                          <w:color w:val="FFFFFF" w:themeColor="background1"/>
                          <w:sz w:val="16"/>
                          <w:szCs w:val="16"/>
                        </w:rPr>
                        <w:t xml:space="preserve"> </w:t>
                      </w:r>
                      <w:r w:rsidRPr="00382AAA">
                        <w:rPr>
                          <w:rFonts w:cstheme="majorBidi"/>
                          <w:b/>
                          <w:bCs/>
                          <w:color w:val="FFFFFF" w:themeColor="background1"/>
                          <w:sz w:val="16"/>
                          <w:szCs w:val="16"/>
                        </w:rPr>
                        <w:t>Projets</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5376" behindDoc="0" locked="0" layoutInCell="1" allowOverlap="1" wp14:anchorId="5C4DF4A4" wp14:editId="35AF2FD7">
                <wp:simplePos x="0" y="0"/>
                <wp:positionH relativeFrom="column">
                  <wp:posOffset>1821180</wp:posOffset>
                </wp:positionH>
                <wp:positionV relativeFrom="paragraph">
                  <wp:posOffset>2219960</wp:posOffset>
                </wp:positionV>
                <wp:extent cx="914400" cy="601345"/>
                <wp:effectExtent l="8890" t="10795" r="10160" b="6985"/>
                <wp:wrapNone/>
                <wp:docPr id="34"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600D3ADD" w14:textId="77777777" w:rsidR="00A36231" w:rsidRPr="00382AAA" w:rsidRDefault="00A36231" w:rsidP="004D0DDB">
                            <w:pPr>
                              <w:ind w:firstLine="0"/>
                              <w:rPr>
                                <w:rFonts w:cstheme="majorBidi"/>
                                <w:b/>
                                <w:bCs/>
                                <w:color w:val="FFFFFF" w:themeColor="background1"/>
                                <w:sz w:val="16"/>
                                <w:szCs w:val="16"/>
                              </w:rPr>
                            </w:pPr>
                            <w:r w:rsidRPr="00382AAA">
                              <w:rPr>
                                <w:rFonts w:cstheme="majorBidi"/>
                                <w:b/>
                                <w:bCs/>
                                <w:color w:val="FFFFFF" w:themeColor="background1"/>
                                <w:sz w:val="16"/>
                                <w:szCs w:val="16"/>
                              </w:rPr>
                              <w:t>Dép. Contrôle de</w:t>
                            </w:r>
                            <w:r>
                              <w:rPr>
                                <w:rFonts w:cstheme="majorBidi"/>
                                <w:b/>
                                <w:bCs/>
                                <w:color w:val="FFFFFF" w:themeColor="background1"/>
                                <w:sz w:val="16"/>
                                <w:szCs w:val="16"/>
                              </w:rPr>
                              <w:t xml:space="preserve"> </w:t>
                            </w:r>
                            <w:r w:rsidRPr="00382AAA">
                              <w:rPr>
                                <w:rFonts w:cstheme="majorBidi"/>
                                <w:b/>
                                <w:bCs/>
                                <w:color w:val="FFFFFF" w:themeColor="background1"/>
                                <w:sz w:val="16"/>
                                <w:szCs w:val="16"/>
                              </w:rPr>
                              <w:t>Gestion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DF4A4" id="Rectangle 448" o:spid="_x0000_s1124" style="position:absolute;left:0;text-align:left;margin-left:143.4pt;margin-top:174.8pt;width:1in;height:47.3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" fillcolor="black [3213]" strokecolor="#1f4d78 [1608]">
                <v:textbox>
                  <w:txbxContent>
                    <w:p w14:paraId="600D3ADD" w14:textId="77777777" w:rsidR="00A36231" w:rsidRPr="00382AAA" w:rsidRDefault="00A36231" w:rsidP="004D0DDB">
                      <w:pPr>
                        <w:ind w:firstLine="0"/>
                        <w:rPr>
                          <w:rFonts w:cstheme="majorBidi"/>
                          <w:b/>
                          <w:bCs/>
                          <w:color w:val="FFFFFF" w:themeColor="background1"/>
                          <w:sz w:val="16"/>
                          <w:szCs w:val="16"/>
                        </w:rPr>
                      </w:pPr>
                      <w:r w:rsidRPr="00382AAA">
                        <w:rPr>
                          <w:rFonts w:cstheme="majorBidi"/>
                          <w:b/>
                          <w:bCs/>
                          <w:color w:val="FFFFFF" w:themeColor="background1"/>
                          <w:sz w:val="16"/>
                          <w:szCs w:val="16"/>
                        </w:rPr>
                        <w:t>Dép. Contrôle de</w:t>
                      </w:r>
                      <w:r>
                        <w:rPr>
                          <w:rFonts w:cstheme="majorBidi"/>
                          <w:b/>
                          <w:bCs/>
                          <w:color w:val="FFFFFF" w:themeColor="background1"/>
                          <w:sz w:val="16"/>
                          <w:szCs w:val="16"/>
                        </w:rPr>
                        <w:t xml:space="preserve"> </w:t>
                      </w:r>
                      <w:r w:rsidRPr="00382AAA">
                        <w:rPr>
                          <w:rFonts w:cstheme="majorBidi"/>
                          <w:b/>
                          <w:bCs/>
                          <w:color w:val="FFFFFF" w:themeColor="background1"/>
                          <w:sz w:val="16"/>
                          <w:szCs w:val="16"/>
                        </w:rPr>
                        <w:t>Gestion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4352" behindDoc="0" locked="0" layoutInCell="1" allowOverlap="1" wp14:anchorId="1CCB130A" wp14:editId="35A6287F">
                <wp:simplePos x="0" y="0"/>
                <wp:positionH relativeFrom="column">
                  <wp:posOffset>1819910</wp:posOffset>
                </wp:positionH>
                <wp:positionV relativeFrom="paragraph">
                  <wp:posOffset>1541145</wp:posOffset>
                </wp:positionV>
                <wp:extent cx="914400" cy="601345"/>
                <wp:effectExtent l="7620" t="8255" r="11430" b="9525"/>
                <wp:wrapNone/>
                <wp:docPr id="33" name="Rectangl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1564478" w14:textId="77777777" w:rsidR="00A36231" w:rsidRPr="00382AAA" w:rsidRDefault="00A36231" w:rsidP="004D0DDB">
                            <w:pPr>
                              <w:ind w:firstLine="0"/>
                            </w:pPr>
                            <w:r w:rsidRPr="00382AAA">
                              <w:rPr>
                                <w:rFonts w:cstheme="majorBidi"/>
                                <w:b/>
                                <w:bCs/>
                                <w:color w:val="FFFFFF" w:themeColor="background1"/>
                                <w:sz w:val="16"/>
                                <w:szCs w:val="16"/>
                              </w:rPr>
                              <w:t>Dép. Finances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B130A" id="Rectangle 447" o:spid="_x0000_s1125" style="position:absolute;left:0;text-align:left;margin-left:143.3pt;margin-top:121.35pt;width:1in;height:47.3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" fillcolor="black [3213]" strokecolor="#1f4d78 [1608]">
                <v:textbox>
                  <w:txbxContent>
                    <w:p w14:paraId="41564478" w14:textId="77777777" w:rsidR="00A36231" w:rsidRPr="00382AAA" w:rsidRDefault="00A36231" w:rsidP="004D0DDB">
                      <w:pPr>
                        <w:ind w:firstLine="0"/>
                      </w:pPr>
                      <w:r w:rsidRPr="00382AAA">
                        <w:rPr>
                          <w:rFonts w:cstheme="majorBidi"/>
                          <w:b/>
                          <w:bCs/>
                          <w:color w:val="FFFFFF" w:themeColor="background1"/>
                          <w:sz w:val="16"/>
                          <w:szCs w:val="16"/>
                        </w:rPr>
                        <w:t>Dép. Finances</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3328" behindDoc="0" locked="0" layoutInCell="1" allowOverlap="1" wp14:anchorId="426C5D03" wp14:editId="523923DD">
                <wp:simplePos x="0" y="0"/>
                <wp:positionH relativeFrom="column">
                  <wp:posOffset>1821180</wp:posOffset>
                </wp:positionH>
                <wp:positionV relativeFrom="paragraph">
                  <wp:posOffset>857885</wp:posOffset>
                </wp:positionV>
                <wp:extent cx="914400" cy="601345"/>
                <wp:effectExtent l="8890" t="10795" r="10160" b="6985"/>
                <wp:wrapNone/>
                <wp:docPr id="32" name="Rectangl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4387A5DB" w14:textId="77777777" w:rsidR="00A36231" w:rsidRPr="00382AAA" w:rsidRDefault="00A36231" w:rsidP="004D0DDB">
                            <w:pPr>
                              <w:ind w:firstLine="0"/>
                            </w:pPr>
                            <w:r w:rsidRPr="00382AAA">
                              <w:rPr>
                                <w:rFonts w:cstheme="majorBidi"/>
                                <w:b/>
                                <w:bCs/>
                                <w:color w:val="FFFFFF" w:themeColor="background1"/>
                                <w:sz w:val="16"/>
                                <w:szCs w:val="16"/>
                              </w:rPr>
                              <w:t>Dép. Comptabilité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C5D03" id="Rectangle 446" o:spid="_x0000_s1126" style="position:absolute;left:0;text-align:left;margin-left:143.4pt;margin-top:67.55pt;width:1in;height:47.3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" fillcolor="black [3213]" strokecolor="#1f4d78 [1608]">
                <v:textbox>
                  <w:txbxContent>
                    <w:p w14:paraId="4387A5DB" w14:textId="77777777" w:rsidR="00A36231" w:rsidRPr="00382AAA" w:rsidRDefault="00A36231" w:rsidP="004D0DDB">
                      <w:pPr>
                        <w:ind w:firstLine="0"/>
                      </w:pPr>
                      <w:r w:rsidRPr="00382AAA">
                        <w:rPr>
                          <w:rFonts w:cstheme="majorBidi"/>
                          <w:b/>
                          <w:bCs/>
                          <w:color w:val="FFFFFF" w:themeColor="background1"/>
                          <w:sz w:val="16"/>
                          <w:szCs w:val="16"/>
                        </w:rPr>
                        <w:t>Dép. Comptabilité</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2304" behindDoc="0" locked="0" layoutInCell="1" allowOverlap="1" wp14:anchorId="7521C513" wp14:editId="2B926A68">
                <wp:simplePos x="0" y="0"/>
                <wp:positionH relativeFrom="column">
                  <wp:posOffset>1838325</wp:posOffset>
                </wp:positionH>
                <wp:positionV relativeFrom="paragraph">
                  <wp:posOffset>64135</wp:posOffset>
                </wp:positionV>
                <wp:extent cx="914400" cy="601345"/>
                <wp:effectExtent l="6985" t="7620" r="12065" b="10160"/>
                <wp:wrapNone/>
                <wp:docPr id="31"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07EB00C8" w14:textId="77777777" w:rsidR="00A36231" w:rsidRPr="00382AAA" w:rsidRDefault="00A36231" w:rsidP="00A01D7D">
                            <w:pPr>
                              <w:ind w:firstLine="0"/>
                              <w:rPr>
                                <w:rFonts w:cstheme="majorBidi"/>
                                <w:b/>
                                <w:bCs/>
                                <w:color w:val="FFFFFF" w:themeColor="background1"/>
                                <w:sz w:val="16"/>
                                <w:szCs w:val="16"/>
                              </w:rPr>
                            </w:pPr>
                            <w:r w:rsidRPr="00382AAA">
                              <w:rPr>
                                <w:rFonts w:cstheme="majorBidi"/>
                                <w:b/>
                                <w:bCs/>
                                <w:color w:val="FFFFFF" w:themeColor="background1"/>
                                <w:sz w:val="16"/>
                                <w:szCs w:val="16"/>
                              </w:rPr>
                              <w:t xml:space="preserve">Direction Finances </w:t>
                            </w:r>
                            <w:r>
                              <w:rPr>
                                <w:rFonts w:cstheme="majorBidi"/>
                                <w:b/>
                                <w:bCs/>
                                <w:color w:val="FFFFFF" w:themeColor="background1"/>
                                <w:sz w:val="16"/>
                                <w:szCs w:val="16"/>
                              </w:rPr>
                              <w:t xml:space="preserve">          </w:t>
                            </w:r>
                            <w:r w:rsidRPr="00382AAA">
                              <w:rPr>
                                <w:rFonts w:cstheme="majorBidi"/>
                                <w:b/>
                                <w:bCs/>
                                <w:color w:val="FFFFFF" w:themeColor="background1"/>
                                <w:sz w:val="16"/>
                                <w:szCs w:val="16"/>
                              </w:rPr>
                              <w:t>&amp;</w:t>
                            </w:r>
                            <w:r>
                              <w:rPr>
                                <w:rFonts w:cstheme="majorBidi"/>
                                <w:b/>
                                <w:bCs/>
                                <w:color w:val="FFFFFF" w:themeColor="background1"/>
                                <w:sz w:val="16"/>
                                <w:szCs w:val="16"/>
                              </w:rPr>
                              <w:t xml:space="preserve"> </w:t>
                            </w:r>
                            <w:r w:rsidRPr="00382AAA">
                              <w:rPr>
                                <w:rFonts w:cstheme="majorBidi"/>
                                <w:b/>
                                <w:bCs/>
                                <w:color w:val="FFFFFF" w:themeColor="background1"/>
                                <w:sz w:val="16"/>
                                <w:szCs w:val="16"/>
                              </w:rPr>
                              <w:t>Comptabilité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1C513" id="Rectangle 445" o:spid="_x0000_s1127" style="position:absolute;left:0;text-align:left;margin-left:144.75pt;margin-top:5.05pt;width:1in;height:47.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" fillcolor="#00b050" strokecolor="black [3213]">
                <v:textbox>
                  <w:txbxContent>
                    <w:p w14:paraId="07EB00C8" w14:textId="77777777" w:rsidR="00A36231" w:rsidRPr="00382AAA" w:rsidRDefault="00A36231" w:rsidP="00A01D7D">
                      <w:pPr>
                        <w:ind w:firstLine="0"/>
                        <w:rPr>
                          <w:rFonts w:cstheme="majorBidi"/>
                          <w:b/>
                          <w:bCs/>
                          <w:color w:val="FFFFFF" w:themeColor="background1"/>
                          <w:sz w:val="16"/>
                          <w:szCs w:val="16"/>
                        </w:rPr>
                      </w:pPr>
                      <w:r w:rsidRPr="00382AAA">
                        <w:rPr>
                          <w:rFonts w:cstheme="majorBidi"/>
                          <w:b/>
                          <w:bCs/>
                          <w:color w:val="FFFFFF" w:themeColor="background1"/>
                          <w:sz w:val="16"/>
                          <w:szCs w:val="16"/>
                        </w:rPr>
                        <w:t xml:space="preserve">Direction Finances </w:t>
                      </w:r>
                      <w:r>
                        <w:rPr>
                          <w:rFonts w:cstheme="majorBidi"/>
                          <w:b/>
                          <w:bCs/>
                          <w:color w:val="FFFFFF" w:themeColor="background1"/>
                          <w:sz w:val="16"/>
                          <w:szCs w:val="16"/>
                        </w:rPr>
                        <w:t xml:space="preserve">          </w:t>
                      </w:r>
                      <w:r w:rsidRPr="00382AAA">
                        <w:rPr>
                          <w:rFonts w:cstheme="majorBidi"/>
                          <w:b/>
                          <w:bCs/>
                          <w:color w:val="FFFFFF" w:themeColor="background1"/>
                          <w:sz w:val="16"/>
                          <w:szCs w:val="16"/>
                        </w:rPr>
                        <w:t>&amp;</w:t>
                      </w:r>
                      <w:r>
                        <w:rPr>
                          <w:rFonts w:cstheme="majorBidi"/>
                          <w:b/>
                          <w:bCs/>
                          <w:color w:val="FFFFFF" w:themeColor="background1"/>
                          <w:sz w:val="16"/>
                          <w:szCs w:val="16"/>
                        </w:rPr>
                        <w:t xml:space="preserve"> </w:t>
                      </w:r>
                      <w:r w:rsidRPr="00382AAA">
                        <w:rPr>
                          <w:rFonts w:cstheme="majorBidi"/>
                          <w:b/>
                          <w:bCs/>
                          <w:color w:val="FFFFFF" w:themeColor="background1"/>
                          <w:sz w:val="16"/>
                          <w:szCs w:val="16"/>
                        </w:rPr>
                        <w:t>Comptabilité</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1280" behindDoc="0" locked="0" layoutInCell="1" allowOverlap="1" wp14:anchorId="2B08DF0A" wp14:editId="0E615282">
                <wp:simplePos x="0" y="0"/>
                <wp:positionH relativeFrom="column">
                  <wp:posOffset>640715</wp:posOffset>
                </wp:positionH>
                <wp:positionV relativeFrom="paragraph">
                  <wp:posOffset>2783205</wp:posOffset>
                </wp:positionV>
                <wp:extent cx="774065" cy="533400"/>
                <wp:effectExtent l="9525" t="12065" r="6985" b="6985"/>
                <wp:wrapNone/>
                <wp:docPr id="30"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05E262EC" w14:textId="77777777" w:rsidR="00A36231" w:rsidRPr="00382AAA" w:rsidRDefault="00A36231" w:rsidP="004D0DDB">
                            <w:pPr>
                              <w:ind w:firstLine="0"/>
                            </w:pPr>
                            <w:r w:rsidRPr="00382AAA">
                              <w:rPr>
                                <w:rFonts w:cstheme="majorBidi"/>
                                <w:b/>
                                <w:bCs/>
                                <w:sz w:val="18"/>
                                <w:szCs w:val="18"/>
                                <w:vertAlign w:val="subscript"/>
                              </w:rPr>
                              <w:t>Ser. Social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8DF0A" id="Rectangle 444" o:spid="_x0000_s1128" style="position:absolute;left:0;text-align:left;margin-left:50.45pt;margin-top:219.15pt;width:60.95pt;height:4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">
                <v:textbox>
                  <w:txbxContent>
                    <w:p w14:paraId="05E262EC" w14:textId="77777777" w:rsidR="00A36231" w:rsidRPr="00382AAA" w:rsidRDefault="00A36231" w:rsidP="004D0DDB">
                      <w:pPr>
                        <w:ind w:firstLine="0"/>
                      </w:pPr>
                      <w:r w:rsidRPr="00382AAA">
                        <w:rPr>
                          <w:rFonts w:cstheme="majorBidi"/>
                          <w:b/>
                          <w:bCs/>
                          <w:sz w:val="18"/>
                          <w:szCs w:val="18"/>
                          <w:vertAlign w:val="subscript"/>
                        </w:rPr>
                        <w:t>Ser. Social</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2000256" behindDoc="0" locked="0" layoutInCell="1" allowOverlap="1" wp14:anchorId="46A710D4" wp14:editId="123D796C">
                <wp:simplePos x="0" y="0"/>
                <wp:positionH relativeFrom="column">
                  <wp:posOffset>640715</wp:posOffset>
                </wp:positionH>
                <wp:positionV relativeFrom="paragraph">
                  <wp:posOffset>2168525</wp:posOffset>
                </wp:positionV>
                <wp:extent cx="774065" cy="533400"/>
                <wp:effectExtent l="9525" t="6985" r="6985" b="12065"/>
                <wp:wrapNone/>
                <wp:docPr id="29" name="Rectangl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7F85AD21" w14:textId="77777777" w:rsidR="00A36231" w:rsidRPr="00382AAA" w:rsidRDefault="00A36231" w:rsidP="004D0DDB">
                            <w:pPr>
                              <w:ind w:firstLine="0"/>
                              <w:rPr>
                                <w:rFonts w:cstheme="majorBidi"/>
                                <w:b/>
                                <w:bCs/>
                                <w:sz w:val="18"/>
                                <w:szCs w:val="18"/>
                                <w:vertAlign w:val="subscript"/>
                              </w:rPr>
                            </w:pPr>
                            <w:r w:rsidRPr="00382AAA">
                              <w:rPr>
                                <w:rFonts w:cstheme="majorBidi"/>
                                <w:b/>
                                <w:bCs/>
                                <w:sz w:val="18"/>
                                <w:szCs w:val="18"/>
                                <w:vertAlign w:val="subscript"/>
                              </w:rPr>
                              <w:t>Ser.</w:t>
                            </w:r>
                            <w:r>
                              <w:rPr>
                                <w:rFonts w:cstheme="majorBidi"/>
                                <w:b/>
                                <w:bCs/>
                                <w:sz w:val="18"/>
                                <w:szCs w:val="18"/>
                                <w:vertAlign w:val="subscript"/>
                              </w:rPr>
                              <w:t xml:space="preserve"> </w:t>
                            </w:r>
                            <w:r w:rsidRPr="00382AAA">
                              <w:rPr>
                                <w:rFonts w:cstheme="majorBidi"/>
                                <w:b/>
                                <w:bCs/>
                                <w:sz w:val="18"/>
                                <w:szCs w:val="18"/>
                                <w:vertAlign w:val="subscript"/>
                              </w:rPr>
                              <w:t>Formation &amp;Développement RH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710D4" id="Rectangle 443" o:spid="_x0000_s1129" style="position:absolute;left:0;text-align:left;margin-left:50.45pt;margin-top:170.75pt;width:60.95pt;height:42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">
                <v:textbox>
                  <w:txbxContent>
                    <w:p w14:paraId="7F85AD21" w14:textId="77777777" w:rsidR="00A36231" w:rsidRPr="00382AAA" w:rsidRDefault="00A36231" w:rsidP="004D0DDB">
                      <w:pPr>
                        <w:ind w:firstLine="0"/>
                        <w:rPr>
                          <w:rFonts w:cstheme="majorBidi"/>
                          <w:b/>
                          <w:bCs/>
                          <w:sz w:val="18"/>
                          <w:szCs w:val="18"/>
                          <w:vertAlign w:val="subscript"/>
                        </w:rPr>
                      </w:pPr>
                      <w:r w:rsidRPr="00382AAA">
                        <w:rPr>
                          <w:rFonts w:cstheme="majorBidi"/>
                          <w:b/>
                          <w:bCs/>
                          <w:sz w:val="18"/>
                          <w:szCs w:val="18"/>
                          <w:vertAlign w:val="subscript"/>
                        </w:rPr>
                        <w:t>Ser.</w:t>
                      </w:r>
                      <w:r>
                        <w:rPr>
                          <w:rFonts w:cstheme="majorBidi"/>
                          <w:b/>
                          <w:bCs/>
                          <w:sz w:val="18"/>
                          <w:szCs w:val="18"/>
                          <w:vertAlign w:val="subscript"/>
                        </w:rPr>
                        <w:t xml:space="preserve"> </w:t>
                      </w:r>
                      <w:r w:rsidRPr="00382AAA">
                        <w:rPr>
                          <w:rFonts w:cstheme="majorBidi"/>
                          <w:b/>
                          <w:bCs/>
                          <w:sz w:val="18"/>
                          <w:szCs w:val="18"/>
                          <w:vertAlign w:val="subscript"/>
                        </w:rPr>
                        <w:t>Formation &amp;Développement RH</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1999232" behindDoc="0" locked="0" layoutInCell="1" allowOverlap="1" wp14:anchorId="5B67E6FE" wp14:editId="3C159868">
                <wp:simplePos x="0" y="0"/>
                <wp:positionH relativeFrom="column">
                  <wp:posOffset>640715</wp:posOffset>
                </wp:positionH>
                <wp:positionV relativeFrom="paragraph">
                  <wp:posOffset>1562100</wp:posOffset>
                </wp:positionV>
                <wp:extent cx="774065" cy="533400"/>
                <wp:effectExtent l="9525" t="10160" r="6985" b="8890"/>
                <wp:wrapNone/>
                <wp:docPr id="28" name="Rectangl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533400"/>
                        </a:xfrm>
                        <a:prstGeom prst="rect">
                          <a:avLst/>
                        </a:prstGeom>
                        <a:solidFill>
                          <a:srgbClr val="FFFFFF"/>
                        </a:solidFill>
                        <a:ln w="9525">
                          <a:solidFill>
                            <a:srgbClr val="000000"/>
                          </a:solidFill>
                          <a:miter lim="800000"/>
                          <a:headEnd/>
                          <a:tailEnd/>
                        </a:ln>
                      </wps:spPr>
                      <wps:txbx>
                        <w:txbxContent>
                          <w:p w14:paraId="7AEB8E4F" w14:textId="77777777" w:rsidR="00A36231" w:rsidRPr="0061275C" w:rsidRDefault="00A36231" w:rsidP="004D0DDB">
                            <w:pPr>
                              <w:ind w:firstLine="0"/>
                              <w:rPr>
                                <w:rFonts w:cstheme="majorBidi"/>
                                <w:b/>
                                <w:bCs/>
                                <w:sz w:val="18"/>
                                <w:szCs w:val="18"/>
                                <w:vertAlign w:val="subscript"/>
                              </w:rPr>
                            </w:pPr>
                            <w:r w:rsidRPr="0061275C">
                              <w:rPr>
                                <w:rFonts w:cstheme="majorBidi"/>
                                <w:b/>
                                <w:bCs/>
                                <w:sz w:val="18"/>
                                <w:szCs w:val="18"/>
                                <w:vertAlign w:val="subscript"/>
                              </w:rPr>
                              <w:t>Ser. Recrutement</w:t>
                            </w:r>
                            <w:r>
                              <w:rPr>
                                <w:rFonts w:cstheme="majorBidi"/>
                                <w:b/>
                                <w:bCs/>
                                <w:sz w:val="18"/>
                                <w:szCs w:val="18"/>
                                <w:vertAlign w:val="subscript"/>
                              </w:rPr>
                              <w:t xml:space="preserve"> &amp;Administration RH</w:t>
                            </w:r>
                          </w:p>
                          <w:p w14:paraId="39BF5B25" w14:textId="77777777" w:rsidR="00A36231" w:rsidRPr="0061275C" w:rsidRDefault="00A36231" w:rsidP="001B1E6C">
                            <w:r w:rsidRPr="0061275C">
                              <w:rPr>
                                <w:rFonts w:cstheme="majorBidi"/>
                                <w:b/>
                                <w:bCs/>
                                <w:sz w:val="18"/>
                                <w:szCs w:val="18"/>
                                <w:vertAlign w:val="subscript"/>
                              </w:rPr>
                              <w:t>&amp; 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7E6FE" id="Rectangle 442" o:spid="_x0000_s1130" style="position:absolute;left:0;text-align:left;margin-left:50.45pt;margin-top:123pt;width:60.95pt;height:42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">
                <v:textbox>
                  <w:txbxContent>
                    <w:p w14:paraId="7AEB8E4F" w14:textId="77777777" w:rsidR="00A36231" w:rsidRPr="0061275C" w:rsidRDefault="00A36231" w:rsidP="004D0DDB">
                      <w:pPr>
                        <w:ind w:firstLine="0"/>
                        <w:rPr>
                          <w:rFonts w:cstheme="majorBidi"/>
                          <w:b/>
                          <w:bCs/>
                          <w:sz w:val="18"/>
                          <w:szCs w:val="18"/>
                          <w:vertAlign w:val="subscript"/>
                        </w:rPr>
                      </w:pPr>
                      <w:r w:rsidRPr="0061275C">
                        <w:rPr>
                          <w:rFonts w:cstheme="majorBidi"/>
                          <w:b/>
                          <w:bCs/>
                          <w:sz w:val="18"/>
                          <w:szCs w:val="18"/>
                          <w:vertAlign w:val="subscript"/>
                        </w:rPr>
                        <w:t>Ser. Recrutement</w:t>
                      </w:r>
                      <w:r>
                        <w:rPr>
                          <w:rFonts w:cstheme="majorBidi"/>
                          <w:b/>
                          <w:bCs/>
                          <w:sz w:val="18"/>
                          <w:szCs w:val="18"/>
                          <w:vertAlign w:val="subscript"/>
                        </w:rPr>
                        <w:t xml:space="preserve"> &amp;Administration RH</w:t>
                      </w:r>
                    </w:p>
                    <w:p w14:paraId="39BF5B25" w14:textId="77777777" w:rsidR="00A36231" w:rsidRPr="0061275C" w:rsidRDefault="00A36231" w:rsidP="001B1E6C">
                      <w:r w:rsidRPr="0061275C">
                        <w:rPr>
                          <w:rFonts w:cstheme="majorBidi"/>
                          <w:b/>
                          <w:bCs/>
                          <w:sz w:val="18"/>
                          <w:szCs w:val="18"/>
                          <w:vertAlign w:val="subscript"/>
                        </w:rPr>
                        <w:t>&amp; Administration</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1998208" behindDoc="0" locked="0" layoutInCell="1" allowOverlap="1" wp14:anchorId="2384AA78" wp14:editId="338C8B85">
                <wp:simplePos x="0" y="0"/>
                <wp:positionH relativeFrom="column">
                  <wp:posOffset>-121285</wp:posOffset>
                </wp:positionH>
                <wp:positionV relativeFrom="paragraph">
                  <wp:posOffset>7424420</wp:posOffset>
                </wp:positionV>
                <wp:extent cx="157480" cy="0"/>
                <wp:effectExtent l="9525" t="52705" r="23495" b="61595"/>
                <wp:wrapNone/>
                <wp:docPr id="27" name="AutoShap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0D113D" id="AutoShape 441" o:spid="_x0000_s1026" type="#_x0000_t32" style="position:absolute;margin-left:-9.55pt;margin-top:584.6pt;width:12.4pt;height:0;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mmNQIAAF8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1997184" behindDoc="0" locked="0" layoutInCell="1" allowOverlap="1" wp14:anchorId="31D1438F" wp14:editId="4419A169">
                <wp:simplePos x="0" y="0"/>
                <wp:positionH relativeFrom="column">
                  <wp:posOffset>-122555</wp:posOffset>
                </wp:positionH>
                <wp:positionV relativeFrom="paragraph">
                  <wp:posOffset>4899660</wp:posOffset>
                </wp:positionV>
                <wp:extent cx="157480" cy="0"/>
                <wp:effectExtent l="8255" t="61595" r="15240" b="52705"/>
                <wp:wrapNone/>
                <wp:docPr id="25" name="AutoShap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03BD9D" id="AutoShape 440" o:spid="_x0000_s1026" type="#_x0000_t32" style="position:absolute;margin-left:-9.65pt;margin-top:385.8pt;width:12.4pt;height:0;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1996160" behindDoc="0" locked="0" layoutInCell="1" allowOverlap="1" wp14:anchorId="26521888" wp14:editId="3683D5A6">
                <wp:simplePos x="0" y="0"/>
                <wp:positionH relativeFrom="column">
                  <wp:posOffset>31750</wp:posOffset>
                </wp:positionH>
                <wp:positionV relativeFrom="paragraph">
                  <wp:posOffset>7115810</wp:posOffset>
                </wp:positionV>
                <wp:extent cx="914400" cy="601345"/>
                <wp:effectExtent l="10160" t="10795" r="8890" b="6985"/>
                <wp:wrapNone/>
                <wp:docPr id="24" name="Rectangl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2CB650E7" w14:textId="77777777" w:rsidR="00A36231" w:rsidRPr="00ED773E" w:rsidRDefault="00A36231" w:rsidP="004D0DDB">
                            <w:pPr>
                              <w:ind w:firstLine="0"/>
                              <w:rPr>
                                <w:rFonts w:cstheme="majorBidi"/>
                                <w:b/>
                                <w:bCs/>
                                <w:color w:val="FFFFFF" w:themeColor="background1"/>
                                <w:sz w:val="16"/>
                                <w:szCs w:val="16"/>
                              </w:rPr>
                            </w:pPr>
                            <w:r w:rsidRPr="00ED773E">
                              <w:rPr>
                                <w:rFonts w:cstheme="majorBidi"/>
                                <w:b/>
                                <w:bCs/>
                                <w:color w:val="FFFFFF" w:themeColor="background1"/>
                                <w:sz w:val="16"/>
                                <w:szCs w:val="16"/>
                              </w:rPr>
                              <w:t>CMS</w:t>
                            </w:r>
                            <w:r>
                              <w:rPr>
                                <w:rFonts w:cstheme="majorBidi"/>
                                <w:b/>
                                <w:bCs/>
                                <w:color w:val="FFFFFF" w:themeColor="background1"/>
                                <w:sz w:val="16"/>
                                <w:szCs w:val="16"/>
                              </w:rPr>
                              <w:t xml:space="preserve"> </w:t>
                            </w:r>
                            <w:r w:rsidRPr="00ED773E">
                              <w:rPr>
                                <w:rFonts w:cstheme="majorBidi"/>
                                <w:b/>
                                <w:bCs/>
                                <w:color w:val="FFFFFF" w:themeColor="background1"/>
                                <w:sz w:val="16"/>
                                <w:szCs w:val="16"/>
                              </w:rPr>
                              <w:t>Médecin de Travail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21888" id="Rectangle 439" o:spid="_x0000_s1131" style="position:absolute;left:0;text-align:left;margin-left:2.5pt;margin-top:560.3pt;width:1in;height:47.3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" fillcolor="black [3213]" strokecolor="#1f4d78 [1608]">
                <v:textbox>
                  <w:txbxContent>
                    <w:p w14:paraId="2CB650E7" w14:textId="77777777" w:rsidR="00A36231" w:rsidRPr="00ED773E" w:rsidRDefault="00A36231" w:rsidP="004D0DDB">
                      <w:pPr>
                        <w:ind w:firstLine="0"/>
                        <w:rPr>
                          <w:rFonts w:cstheme="majorBidi"/>
                          <w:b/>
                          <w:bCs/>
                          <w:color w:val="FFFFFF" w:themeColor="background1"/>
                          <w:sz w:val="16"/>
                          <w:szCs w:val="16"/>
                        </w:rPr>
                      </w:pPr>
                      <w:r w:rsidRPr="00ED773E">
                        <w:rPr>
                          <w:rFonts w:cstheme="majorBidi"/>
                          <w:b/>
                          <w:bCs/>
                          <w:color w:val="FFFFFF" w:themeColor="background1"/>
                          <w:sz w:val="16"/>
                          <w:szCs w:val="16"/>
                        </w:rPr>
                        <w:t>CMS</w:t>
                      </w:r>
                      <w:r>
                        <w:rPr>
                          <w:rFonts w:cstheme="majorBidi"/>
                          <w:b/>
                          <w:bCs/>
                          <w:color w:val="FFFFFF" w:themeColor="background1"/>
                          <w:sz w:val="16"/>
                          <w:szCs w:val="16"/>
                        </w:rPr>
                        <w:t xml:space="preserve"> </w:t>
                      </w:r>
                      <w:r w:rsidRPr="00ED773E">
                        <w:rPr>
                          <w:rFonts w:cstheme="majorBidi"/>
                          <w:b/>
                          <w:bCs/>
                          <w:color w:val="FFFFFF" w:themeColor="background1"/>
                          <w:sz w:val="16"/>
                          <w:szCs w:val="16"/>
                        </w:rPr>
                        <w:t>Médecin de Travail</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1995136" behindDoc="0" locked="0" layoutInCell="1" allowOverlap="1" wp14:anchorId="7AA81CA4" wp14:editId="1E5FA987">
                <wp:simplePos x="0" y="0"/>
                <wp:positionH relativeFrom="column">
                  <wp:posOffset>31750</wp:posOffset>
                </wp:positionH>
                <wp:positionV relativeFrom="paragraph">
                  <wp:posOffset>4591050</wp:posOffset>
                </wp:positionV>
                <wp:extent cx="914400" cy="601345"/>
                <wp:effectExtent l="10160" t="10160" r="8890" b="7620"/>
                <wp:wrapNone/>
                <wp:docPr id="23"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668425FB" w14:textId="77777777" w:rsidR="00A36231" w:rsidRPr="00ED773E" w:rsidRDefault="00A36231" w:rsidP="004D0DDB">
                            <w:pPr>
                              <w:ind w:firstLine="0"/>
                              <w:rPr>
                                <w:rFonts w:cstheme="majorBidi"/>
                                <w:b/>
                                <w:bCs/>
                                <w:color w:val="FFFFFF" w:themeColor="background1"/>
                                <w:sz w:val="16"/>
                                <w:szCs w:val="16"/>
                              </w:rPr>
                            </w:pPr>
                            <w:r w:rsidRPr="00ED773E">
                              <w:rPr>
                                <w:rFonts w:cstheme="majorBidi"/>
                                <w:b/>
                                <w:bCs/>
                                <w:color w:val="FFFFFF" w:themeColor="background1"/>
                                <w:sz w:val="16"/>
                                <w:szCs w:val="16"/>
                              </w:rPr>
                              <w:t>Dép. Moyens</w:t>
                            </w:r>
                            <w:r>
                              <w:rPr>
                                <w:rFonts w:cstheme="majorBidi"/>
                                <w:b/>
                                <w:bCs/>
                                <w:color w:val="FFFFFF" w:themeColor="background1"/>
                                <w:sz w:val="16"/>
                                <w:szCs w:val="16"/>
                              </w:rPr>
                              <w:t xml:space="preserve"> </w:t>
                            </w:r>
                            <w:r w:rsidRPr="00ED773E">
                              <w:rPr>
                                <w:rFonts w:cstheme="majorBidi"/>
                                <w:b/>
                                <w:bCs/>
                                <w:color w:val="FFFFFF" w:themeColor="background1"/>
                                <w:sz w:val="16"/>
                                <w:szCs w:val="16"/>
                              </w:rPr>
                              <w:t>Généraux</w:t>
                            </w:r>
                            <w:r>
                              <w:rPr>
                                <w:rFonts w:cstheme="majorBidi"/>
                                <w:b/>
                                <w:bCs/>
                                <w:color w:val="FFFFFF" w:themeColor="background1"/>
                                <w:sz w:val="16"/>
                                <w:szCs w:val="16"/>
                              </w:rPr>
                              <w:t xml:space="preserve">         </w:t>
                            </w:r>
                            <w:r w:rsidRPr="00ED773E">
                              <w:rPr>
                                <w:rFonts w:cstheme="majorBidi"/>
                                <w:b/>
                                <w:bCs/>
                                <w:color w:val="FFFFFF" w:themeColor="background1"/>
                                <w:sz w:val="16"/>
                                <w:szCs w:val="16"/>
                              </w:rPr>
                              <w:t xml:space="preserve"> &amp;</w:t>
                            </w:r>
                            <w:r>
                              <w:rPr>
                                <w:rFonts w:cstheme="majorBidi"/>
                                <w:b/>
                                <w:bCs/>
                                <w:color w:val="FFFFFF" w:themeColor="background1"/>
                                <w:sz w:val="16"/>
                                <w:szCs w:val="16"/>
                              </w:rPr>
                              <w:t xml:space="preserve"> </w:t>
                            </w:r>
                            <w:r w:rsidRPr="00ED773E">
                              <w:rPr>
                                <w:rFonts w:cstheme="majorBidi"/>
                                <w:b/>
                                <w:bCs/>
                                <w:color w:val="FFFFFF" w:themeColor="background1"/>
                                <w:sz w:val="16"/>
                                <w:szCs w:val="16"/>
                              </w:rPr>
                              <w:t>Logement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81CA4" id="Rectangle 438" o:spid="_x0000_s1132" style="position:absolute;left:0;text-align:left;margin-left:2.5pt;margin-top:361.5pt;width:1in;height:47.3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" fillcolor="black [3213]" strokecolor="#1f4d78 [1608]">
                <v:textbox>
                  <w:txbxContent>
                    <w:p w14:paraId="668425FB" w14:textId="77777777" w:rsidR="00A36231" w:rsidRPr="00ED773E" w:rsidRDefault="00A36231" w:rsidP="004D0DDB">
                      <w:pPr>
                        <w:ind w:firstLine="0"/>
                        <w:rPr>
                          <w:rFonts w:cstheme="majorBidi"/>
                          <w:b/>
                          <w:bCs/>
                          <w:color w:val="FFFFFF" w:themeColor="background1"/>
                          <w:sz w:val="16"/>
                          <w:szCs w:val="16"/>
                        </w:rPr>
                      </w:pPr>
                      <w:r w:rsidRPr="00ED773E">
                        <w:rPr>
                          <w:rFonts w:cstheme="majorBidi"/>
                          <w:b/>
                          <w:bCs/>
                          <w:color w:val="FFFFFF" w:themeColor="background1"/>
                          <w:sz w:val="16"/>
                          <w:szCs w:val="16"/>
                        </w:rPr>
                        <w:t>Dép. Moyens</w:t>
                      </w:r>
                      <w:r>
                        <w:rPr>
                          <w:rFonts w:cstheme="majorBidi"/>
                          <w:b/>
                          <w:bCs/>
                          <w:color w:val="FFFFFF" w:themeColor="background1"/>
                          <w:sz w:val="16"/>
                          <w:szCs w:val="16"/>
                        </w:rPr>
                        <w:t xml:space="preserve"> </w:t>
                      </w:r>
                      <w:r w:rsidRPr="00ED773E">
                        <w:rPr>
                          <w:rFonts w:cstheme="majorBidi"/>
                          <w:b/>
                          <w:bCs/>
                          <w:color w:val="FFFFFF" w:themeColor="background1"/>
                          <w:sz w:val="16"/>
                          <w:szCs w:val="16"/>
                        </w:rPr>
                        <w:t>Généraux</w:t>
                      </w:r>
                      <w:r>
                        <w:rPr>
                          <w:rFonts w:cstheme="majorBidi"/>
                          <w:b/>
                          <w:bCs/>
                          <w:color w:val="FFFFFF" w:themeColor="background1"/>
                          <w:sz w:val="16"/>
                          <w:szCs w:val="16"/>
                        </w:rPr>
                        <w:t xml:space="preserve">         </w:t>
                      </w:r>
                      <w:r w:rsidRPr="00ED773E">
                        <w:rPr>
                          <w:rFonts w:cstheme="majorBidi"/>
                          <w:b/>
                          <w:bCs/>
                          <w:color w:val="FFFFFF" w:themeColor="background1"/>
                          <w:sz w:val="16"/>
                          <w:szCs w:val="16"/>
                        </w:rPr>
                        <w:t xml:space="preserve"> &amp;</w:t>
                      </w:r>
                      <w:r>
                        <w:rPr>
                          <w:rFonts w:cstheme="majorBidi"/>
                          <w:b/>
                          <w:bCs/>
                          <w:color w:val="FFFFFF" w:themeColor="background1"/>
                          <w:sz w:val="16"/>
                          <w:szCs w:val="16"/>
                        </w:rPr>
                        <w:t xml:space="preserve"> </w:t>
                      </w:r>
                      <w:r w:rsidRPr="00ED773E">
                        <w:rPr>
                          <w:rFonts w:cstheme="majorBidi"/>
                          <w:b/>
                          <w:bCs/>
                          <w:color w:val="FFFFFF" w:themeColor="background1"/>
                          <w:sz w:val="16"/>
                          <w:szCs w:val="16"/>
                        </w:rPr>
                        <w:t>Logement</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1994112" behindDoc="0" locked="0" layoutInCell="1" allowOverlap="1" wp14:anchorId="56F773E3" wp14:editId="6E25AF1E">
                <wp:simplePos x="0" y="0"/>
                <wp:positionH relativeFrom="column">
                  <wp:posOffset>52070</wp:posOffset>
                </wp:positionH>
                <wp:positionV relativeFrom="paragraph">
                  <wp:posOffset>857885</wp:posOffset>
                </wp:positionV>
                <wp:extent cx="914400" cy="601345"/>
                <wp:effectExtent l="11430" t="10795" r="7620" b="6985"/>
                <wp:wrapNone/>
                <wp:docPr id="22" name="Rectangle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chemeClr val="tx1">
                            <a:lumMod val="100000"/>
                            <a:lumOff val="0"/>
                          </a:schemeClr>
                        </a:solidFill>
                        <a:ln w="9525">
                          <a:solidFill>
                            <a:schemeClr val="accent5">
                              <a:lumMod val="50000"/>
                              <a:lumOff val="0"/>
                            </a:schemeClr>
                          </a:solidFill>
                          <a:miter lim="800000"/>
                          <a:headEnd/>
                          <a:tailEnd/>
                        </a:ln>
                      </wps:spPr>
                      <wps:txbx>
                        <w:txbxContent>
                          <w:p w14:paraId="25329C6B" w14:textId="77777777" w:rsidR="00A36231" w:rsidRPr="0061275C" w:rsidRDefault="00A36231" w:rsidP="004D0DDB">
                            <w:pPr>
                              <w:ind w:firstLine="0"/>
                              <w:rPr>
                                <w:rFonts w:cstheme="majorBidi"/>
                                <w:b/>
                                <w:bCs/>
                                <w:color w:val="FFFFFF" w:themeColor="background1"/>
                                <w:sz w:val="16"/>
                                <w:szCs w:val="16"/>
                              </w:rPr>
                            </w:pPr>
                            <w:r w:rsidRPr="0061275C">
                              <w:rPr>
                                <w:rFonts w:cstheme="majorBidi"/>
                                <w:b/>
                                <w:bCs/>
                                <w:color w:val="FFFFFF" w:themeColor="background1"/>
                                <w:sz w:val="16"/>
                                <w:szCs w:val="16"/>
                              </w:rPr>
                              <w:t>Dép. Ressources</w:t>
                            </w:r>
                            <w:r>
                              <w:rPr>
                                <w:rFonts w:cstheme="majorBidi"/>
                                <w:b/>
                                <w:bCs/>
                                <w:color w:val="FFFFFF" w:themeColor="background1"/>
                                <w:sz w:val="16"/>
                                <w:szCs w:val="16"/>
                              </w:rPr>
                              <w:t xml:space="preserve"> </w:t>
                            </w:r>
                            <w:r w:rsidRPr="0061275C">
                              <w:rPr>
                                <w:rFonts w:cstheme="majorBidi"/>
                                <w:b/>
                                <w:bCs/>
                                <w:color w:val="FFFFFF" w:themeColor="background1"/>
                                <w:sz w:val="16"/>
                                <w:szCs w:val="16"/>
                              </w:rPr>
                              <w:t>Humaines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773E3" id="Rectangle 437" o:spid="_x0000_s1133" style="position:absolute;left:0;text-align:left;margin-left:4.1pt;margin-top:67.55pt;width:1in;height:47.3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" fillcolor="black [3213]" strokecolor="#1f4d78 [1608]">
                <v:textbox>
                  <w:txbxContent>
                    <w:p w14:paraId="25329C6B" w14:textId="77777777" w:rsidR="00A36231" w:rsidRPr="0061275C" w:rsidRDefault="00A36231" w:rsidP="004D0DDB">
                      <w:pPr>
                        <w:ind w:firstLine="0"/>
                        <w:rPr>
                          <w:rFonts w:cstheme="majorBidi"/>
                          <w:b/>
                          <w:bCs/>
                          <w:color w:val="FFFFFF" w:themeColor="background1"/>
                          <w:sz w:val="16"/>
                          <w:szCs w:val="16"/>
                        </w:rPr>
                      </w:pPr>
                      <w:r w:rsidRPr="0061275C">
                        <w:rPr>
                          <w:rFonts w:cstheme="majorBidi"/>
                          <w:b/>
                          <w:bCs/>
                          <w:color w:val="FFFFFF" w:themeColor="background1"/>
                          <w:sz w:val="16"/>
                          <w:szCs w:val="16"/>
                        </w:rPr>
                        <w:t>Dép. Ressources</w:t>
                      </w:r>
                      <w:r>
                        <w:rPr>
                          <w:rFonts w:cstheme="majorBidi"/>
                          <w:b/>
                          <w:bCs/>
                          <w:color w:val="FFFFFF" w:themeColor="background1"/>
                          <w:sz w:val="16"/>
                          <w:szCs w:val="16"/>
                        </w:rPr>
                        <w:t xml:space="preserve"> </w:t>
                      </w:r>
                      <w:r w:rsidRPr="0061275C">
                        <w:rPr>
                          <w:rFonts w:cstheme="majorBidi"/>
                          <w:b/>
                          <w:bCs/>
                          <w:color w:val="FFFFFF" w:themeColor="background1"/>
                          <w:sz w:val="16"/>
                          <w:szCs w:val="16"/>
                        </w:rPr>
                        <w:t>Humaines</w:t>
                      </w:r>
                    </w:p>
                  </w:txbxContent>
                </v:textbox>
              </v:rect>
            </w:pict>
          </mc:Fallback>
        </mc:AlternateContent>
      </w:r>
      <w:r w:rsidRPr="00E2052F">
        <w:rPr>
          <w:rFonts w:cstheme="majorBidi"/>
          <w:b/>
          <w:bCs/>
          <w:noProof/>
          <w:sz w:val="22"/>
          <w:lang w:eastAsia="fr-FR"/>
        </w:rPr>
        <mc:AlternateContent>
          <mc:Choice Requires="wps">
            <w:drawing>
              <wp:anchor distT="0" distB="0" distL="114300" distR="114300" simplePos="0" relativeHeight="251993088" behindDoc="0" locked="0" layoutInCell="1" allowOverlap="1" wp14:anchorId="36BC0211" wp14:editId="65A81CDE">
                <wp:simplePos x="0" y="0"/>
                <wp:positionH relativeFrom="column">
                  <wp:posOffset>-120015</wp:posOffset>
                </wp:positionH>
                <wp:positionV relativeFrom="paragraph">
                  <wp:posOffset>1160145</wp:posOffset>
                </wp:positionV>
                <wp:extent cx="157480" cy="0"/>
                <wp:effectExtent l="10795" t="55880" r="22225" b="58420"/>
                <wp:wrapNone/>
                <wp:docPr id="20" name="AutoShap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A08671" id="AutoShape 436" o:spid="_x0000_s1026" type="#_x0000_t32" style="position:absolute;margin-left:-9.45pt;margin-top:91.35pt;width:12.4pt;height: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zwNQIAAF8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1992064" behindDoc="0" locked="0" layoutInCell="1" allowOverlap="1" wp14:anchorId="7D68508E" wp14:editId="25E7449C">
                <wp:simplePos x="0" y="0"/>
                <wp:positionH relativeFrom="column">
                  <wp:posOffset>-127000</wp:posOffset>
                </wp:positionH>
                <wp:positionV relativeFrom="paragraph">
                  <wp:posOffset>372110</wp:posOffset>
                </wp:positionV>
                <wp:extent cx="0" cy="7052310"/>
                <wp:effectExtent l="13335" t="10795" r="5715" b="13970"/>
                <wp:wrapNone/>
                <wp:docPr id="19" name="AutoShap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52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3FCF54" id="AutoShape 435" o:spid="_x0000_s1026" type="#_x0000_t32" style="position:absolute;margin-left:-10pt;margin-top:29.3pt;width:0;height:555.3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1991040" behindDoc="0" locked="0" layoutInCell="1" allowOverlap="1" wp14:anchorId="343FD33D" wp14:editId="0F979857">
                <wp:simplePos x="0" y="0"/>
                <wp:positionH relativeFrom="column">
                  <wp:posOffset>513715</wp:posOffset>
                </wp:positionH>
                <wp:positionV relativeFrom="paragraph">
                  <wp:posOffset>-125095</wp:posOffset>
                </wp:positionV>
                <wp:extent cx="635" cy="173355"/>
                <wp:effectExtent l="53975" t="8890" r="59690" b="17780"/>
                <wp:wrapNone/>
                <wp:docPr id="18" name="AutoShap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756151" id="AutoShape 434" o:spid="_x0000_s1026" type="#_x0000_t32" style="position:absolute;margin-left:40.45pt;margin-top:-9.85pt;width:.05pt;height:13.6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1990016" behindDoc="0" locked="0" layoutInCell="1" allowOverlap="1" wp14:anchorId="45BBF887" wp14:editId="573A325A">
                <wp:simplePos x="0" y="0"/>
                <wp:positionH relativeFrom="column">
                  <wp:posOffset>2295525</wp:posOffset>
                </wp:positionH>
                <wp:positionV relativeFrom="paragraph">
                  <wp:posOffset>-120650</wp:posOffset>
                </wp:positionV>
                <wp:extent cx="635" cy="173355"/>
                <wp:effectExtent l="54610" t="13335" r="59055" b="22860"/>
                <wp:wrapNone/>
                <wp:docPr id="17" name="AutoShap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A2B9C2" id="AutoShape 433" o:spid="_x0000_s1026" type="#_x0000_t32" style="position:absolute;margin-left:180.75pt;margin-top:-9.5pt;width:.05pt;height:13.6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FYNwIAAGE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">
                <v:stroke endarrow="block"/>
              </v:shape>
            </w:pict>
          </mc:Fallback>
        </mc:AlternateContent>
      </w:r>
      <w:r w:rsidRPr="00E2052F">
        <w:rPr>
          <w:rFonts w:cstheme="majorBidi"/>
          <w:b/>
          <w:bCs/>
          <w:noProof/>
          <w:sz w:val="22"/>
          <w:lang w:eastAsia="fr-FR"/>
        </w:rPr>
        <mc:AlternateContent>
          <mc:Choice Requires="wps">
            <w:drawing>
              <wp:anchor distT="0" distB="0" distL="114300" distR="114300" simplePos="0" relativeHeight="251988992" behindDoc="0" locked="0" layoutInCell="1" allowOverlap="1" wp14:anchorId="6EAA8255" wp14:editId="1E56D657">
                <wp:simplePos x="0" y="0"/>
                <wp:positionH relativeFrom="column">
                  <wp:posOffset>509905</wp:posOffset>
                </wp:positionH>
                <wp:positionV relativeFrom="paragraph">
                  <wp:posOffset>-125095</wp:posOffset>
                </wp:positionV>
                <wp:extent cx="6046470" cy="0"/>
                <wp:effectExtent l="12065" t="8890" r="8890" b="10160"/>
                <wp:wrapNone/>
                <wp:docPr id="16" name="AutoShap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6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30DDC4" id="AutoShape 432" o:spid="_x0000_s1026" type="#_x0000_t32" style="position:absolute;margin-left:40.15pt;margin-top:-9.85pt;width:476.1pt;height:0;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"/>
            </w:pict>
          </mc:Fallback>
        </mc:AlternateContent>
      </w:r>
      <w:r w:rsidRPr="00E2052F">
        <w:rPr>
          <w:rFonts w:cstheme="majorBidi"/>
          <w:b/>
          <w:bCs/>
          <w:noProof/>
          <w:sz w:val="22"/>
          <w:lang w:eastAsia="fr-FR"/>
        </w:rPr>
        <mc:AlternateContent>
          <mc:Choice Requires="wps">
            <w:drawing>
              <wp:anchor distT="0" distB="0" distL="114300" distR="114300" simplePos="0" relativeHeight="251987968" behindDoc="0" locked="0" layoutInCell="1" allowOverlap="1" wp14:anchorId="04698AF8" wp14:editId="60050AE2">
                <wp:simplePos x="0" y="0"/>
                <wp:positionH relativeFrom="column">
                  <wp:posOffset>60325</wp:posOffset>
                </wp:positionH>
                <wp:positionV relativeFrom="paragraph">
                  <wp:posOffset>64135</wp:posOffset>
                </wp:positionV>
                <wp:extent cx="914400" cy="601345"/>
                <wp:effectExtent l="10160" t="7620" r="8890" b="10160"/>
                <wp:wrapNone/>
                <wp:docPr id="15" name="Rectangle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1345"/>
                        </a:xfrm>
                        <a:prstGeom prst="rect">
                          <a:avLst/>
                        </a:prstGeom>
                        <a:solidFill>
                          <a:srgbClr val="00B050"/>
                        </a:solidFill>
                        <a:ln w="9525">
                          <a:solidFill>
                            <a:schemeClr val="tx1">
                              <a:lumMod val="100000"/>
                              <a:lumOff val="0"/>
                            </a:schemeClr>
                          </a:solidFill>
                          <a:miter lim="800000"/>
                          <a:headEnd/>
                          <a:tailEnd/>
                        </a:ln>
                      </wps:spPr>
                      <wps:txbx>
                        <w:txbxContent>
                          <w:p w14:paraId="318B4B47" w14:textId="77777777" w:rsidR="00A36231" w:rsidRPr="0061275C" w:rsidRDefault="00A36231" w:rsidP="004D0DDB">
                            <w:pPr>
                              <w:ind w:firstLine="0"/>
                              <w:rPr>
                                <w:rFonts w:cstheme="majorBidi"/>
                                <w:b/>
                                <w:bCs/>
                                <w:color w:val="FFFFFF" w:themeColor="background1"/>
                                <w:sz w:val="16"/>
                                <w:szCs w:val="16"/>
                              </w:rPr>
                            </w:pPr>
                            <w:r w:rsidRPr="0061275C">
                              <w:rPr>
                                <w:rFonts w:cstheme="majorBidi"/>
                                <w:b/>
                                <w:bCs/>
                                <w:color w:val="FFFFFF" w:themeColor="background1"/>
                                <w:sz w:val="16"/>
                                <w:szCs w:val="16"/>
                              </w:rPr>
                              <w:t xml:space="preserve">D. des </w:t>
                            </w:r>
                            <w:r>
                              <w:rPr>
                                <w:rFonts w:cstheme="majorBidi"/>
                                <w:b/>
                                <w:bCs/>
                                <w:color w:val="FFFFFF" w:themeColor="background1"/>
                                <w:sz w:val="16"/>
                                <w:szCs w:val="16"/>
                              </w:rPr>
                              <w:t>RH</w:t>
                            </w:r>
                            <w:r w:rsidRPr="0061275C">
                              <w:rPr>
                                <w:rFonts w:cstheme="majorBidi"/>
                                <w:b/>
                                <w:bCs/>
                                <w:color w:val="FFFFFF" w:themeColor="background1"/>
                                <w:sz w:val="16"/>
                                <w:szCs w:val="16"/>
                              </w:rPr>
                              <w:t xml:space="preserve"> et de</w:t>
                            </w:r>
                            <w:r>
                              <w:rPr>
                                <w:rFonts w:cstheme="majorBidi"/>
                                <w:b/>
                                <w:bCs/>
                                <w:color w:val="FFFFFF" w:themeColor="background1"/>
                                <w:sz w:val="16"/>
                                <w:szCs w:val="16"/>
                              </w:rPr>
                              <w:t xml:space="preserve"> l’Administration</w:t>
                            </w:r>
                            <w:r w:rsidRPr="0061275C">
                              <w:rPr>
                                <w:rFonts w:cstheme="majorBidi"/>
                                <w:b/>
                                <w:bCs/>
                                <w:color w:val="FFFFFF" w:themeColor="background1"/>
                                <w:sz w:val="16"/>
                                <w:szCs w:val="16"/>
                              </w:rPr>
                              <w:t xml:space="preserve"> Générale</w:t>
                            </w:r>
                          </w:p>
                          <w:p w14:paraId="47D3A8B3" w14:textId="77777777" w:rsidR="00A36231" w:rsidRPr="0061275C" w:rsidRDefault="00A36231" w:rsidP="001B1E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8AF8" id="Rectangle 431" o:spid="_x0000_s1134" style="position:absolute;left:0;text-align:left;margin-left:4.75pt;margin-top:5.05pt;width:1in;height:47.3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" fillcolor="#00b050" strokecolor="black [3213]">
                <v:textbox>
                  <w:txbxContent>
                    <w:p w14:paraId="318B4B47" w14:textId="77777777" w:rsidR="00A36231" w:rsidRPr="0061275C" w:rsidRDefault="00A36231" w:rsidP="004D0DDB">
                      <w:pPr>
                        <w:ind w:firstLine="0"/>
                        <w:rPr>
                          <w:rFonts w:cstheme="majorBidi"/>
                          <w:b/>
                          <w:bCs/>
                          <w:color w:val="FFFFFF" w:themeColor="background1"/>
                          <w:sz w:val="16"/>
                          <w:szCs w:val="16"/>
                        </w:rPr>
                      </w:pPr>
                      <w:r w:rsidRPr="0061275C">
                        <w:rPr>
                          <w:rFonts w:cstheme="majorBidi"/>
                          <w:b/>
                          <w:bCs/>
                          <w:color w:val="FFFFFF" w:themeColor="background1"/>
                          <w:sz w:val="16"/>
                          <w:szCs w:val="16"/>
                        </w:rPr>
                        <w:t xml:space="preserve">D. des </w:t>
                      </w:r>
                      <w:r>
                        <w:rPr>
                          <w:rFonts w:cstheme="majorBidi"/>
                          <w:b/>
                          <w:bCs/>
                          <w:color w:val="FFFFFF" w:themeColor="background1"/>
                          <w:sz w:val="16"/>
                          <w:szCs w:val="16"/>
                        </w:rPr>
                        <w:t>RH</w:t>
                      </w:r>
                      <w:r w:rsidRPr="0061275C">
                        <w:rPr>
                          <w:rFonts w:cstheme="majorBidi"/>
                          <w:b/>
                          <w:bCs/>
                          <w:color w:val="FFFFFF" w:themeColor="background1"/>
                          <w:sz w:val="16"/>
                          <w:szCs w:val="16"/>
                        </w:rPr>
                        <w:t xml:space="preserve"> et de</w:t>
                      </w:r>
                      <w:r>
                        <w:rPr>
                          <w:rFonts w:cstheme="majorBidi"/>
                          <w:b/>
                          <w:bCs/>
                          <w:color w:val="FFFFFF" w:themeColor="background1"/>
                          <w:sz w:val="16"/>
                          <w:szCs w:val="16"/>
                        </w:rPr>
                        <w:t xml:space="preserve"> l’Administration</w:t>
                      </w:r>
                      <w:r w:rsidRPr="0061275C">
                        <w:rPr>
                          <w:rFonts w:cstheme="majorBidi"/>
                          <w:b/>
                          <w:bCs/>
                          <w:color w:val="FFFFFF" w:themeColor="background1"/>
                          <w:sz w:val="16"/>
                          <w:szCs w:val="16"/>
                        </w:rPr>
                        <w:t xml:space="preserve"> Générale</w:t>
                      </w:r>
                    </w:p>
                    <w:p w14:paraId="47D3A8B3" w14:textId="77777777" w:rsidR="00A36231" w:rsidRPr="0061275C" w:rsidRDefault="00A36231" w:rsidP="001B1E6C"/>
                  </w:txbxContent>
                </v:textbox>
              </v:rect>
            </w:pict>
          </mc:Fallback>
        </mc:AlternateContent>
      </w:r>
      <w:r w:rsidR="001B1E6C" w:rsidRPr="00E2052F">
        <w:rPr>
          <w:rFonts w:cstheme="majorBidi"/>
          <w:b/>
          <w:bCs/>
          <w:sz w:val="22"/>
        </w:rPr>
        <w:br w:type="page"/>
      </w:r>
      <w:r w:rsidR="00A01D7D" w:rsidRPr="00E2052F">
        <w:rPr>
          <w:rFonts w:cstheme="majorBidi"/>
          <w:b/>
          <w:bCs/>
          <w:sz w:val="22"/>
        </w:rPr>
        <w:lastRenderedPageBreak/>
        <w:t xml:space="preserve">Source : </w:t>
      </w:r>
      <w:r w:rsidR="00A01D7D" w:rsidRPr="00E2052F">
        <w:rPr>
          <w:rFonts w:cstheme="majorBidi"/>
          <w:sz w:val="22"/>
        </w:rPr>
        <w:t>MRH de l’entreprise.</w:t>
      </w:r>
    </w:p>
    <w:p w14:paraId="3A015123" w14:textId="77777777" w:rsidR="00D75E60" w:rsidRPr="00E2052F" w:rsidRDefault="00D75E60" w:rsidP="00D61875">
      <w:pPr>
        <w:pStyle w:val="Titre3"/>
        <w:numPr>
          <w:ilvl w:val="1"/>
          <w:numId w:val="8"/>
        </w:numPr>
        <w:spacing w:before="0" w:beforeAutospacing="0" w:after="160"/>
        <w:ind w:left="641" w:hanging="357"/>
        <w:rPr>
          <w:rFonts w:asciiTheme="majorBidi" w:hAnsiTheme="majorBidi"/>
          <w:b w:val="0"/>
          <w:bCs w:val="0"/>
          <w:color w:val="000000" w:themeColor="text1"/>
          <w:sz w:val="22"/>
        </w:rPr>
      </w:pPr>
      <w:bookmarkStart w:id="1445" w:name="_Toc229155976"/>
      <w:bookmarkStart w:id="1446" w:name="_Toc231746974"/>
      <w:bookmarkStart w:id="1447" w:name="_Toc231752380"/>
      <w:bookmarkStart w:id="1448" w:name="_Toc231810683"/>
      <w:bookmarkStart w:id="1449" w:name="_Toc231812026"/>
      <w:bookmarkStart w:id="1450" w:name="_Toc231812304"/>
      <w:bookmarkStart w:id="1451" w:name="_Toc231815188"/>
      <w:r w:rsidRPr="00E2052F">
        <w:rPr>
          <w:rFonts w:asciiTheme="majorBidi" w:hAnsiTheme="majorBidi"/>
          <w:color w:val="000000" w:themeColor="text1"/>
          <w:sz w:val="22"/>
        </w:rPr>
        <w:t>Le conseil d’administration :</w:t>
      </w:r>
      <w:bookmarkEnd w:id="1445"/>
      <w:bookmarkEnd w:id="1446"/>
      <w:bookmarkEnd w:id="1447"/>
      <w:bookmarkEnd w:id="1448"/>
      <w:bookmarkEnd w:id="1449"/>
      <w:bookmarkEnd w:id="1450"/>
      <w:bookmarkEnd w:id="1451"/>
    </w:p>
    <w:p w14:paraId="5F92845A" w14:textId="77777777" w:rsidR="00D75E60" w:rsidRPr="00E2052F" w:rsidRDefault="00D75E60" w:rsidP="00D23BF3">
      <w:pPr>
        <w:spacing w:before="0" w:beforeAutospacing="0"/>
        <w:rPr>
          <w:rFonts w:cstheme="majorBidi"/>
          <w:sz w:val="22"/>
          <w:lang w:eastAsia="fr-FR"/>
        </w:rPr>
      </w:pPr>
      <w:r w:rsidRPr="00E2052F">
        <w:rPr>
          <w:rFonts w:cstheme="majorBidi"/>
          <w:sz w:val="22"/>
          <w:lang w:eastAsia="fr-FR"/>
        </w:rPr>
        <w:t>Le Conseil d'Administration de TAYAL S.P.A est l'entité suprême de gouvernance responsable de diriger et superviser la stratégie globale de la société. Il défend les intérêts des actionnaires fondateurs, notamment C&amp;H Group, E.P.E TEXALG, MADAR Holding et INTERTAY (associé du groupe textile turc TAY Group). Sa fonction principale est d'établir les lignes directrices stratégiques à long terme, de valider les budgets et les investissements industriels, y compris ceux relatifs à l'extension des unités de production et aux initiatives énergétiques, ainsi que de superviser la gestion de la Direction Générale. Il assure également le respect des normes juridiques et réglementaires, la transparence financière ainsi que l'adhésion aux engagements relatifs à la performance, à la gouvernance et à la responsabilité sociétale ;</w:t>
      </w:r>
      <w:r w:rsidR="00F562CA">
        <w:rPr>
          <w:rFonts w:cstheme="majorBidi"/>
          <w:sz w:val="22"/>
          <w:lang w:eastAsia="fr-FR"/>
        </w:rPr>
        <w:t xml:space="preserve"> </w:t>
      </w:r>
      <w:r w:rsidRPr="00E2052F">
        <w:rPr>
          <w:rFonts w:cstheme="majorBidi"/>
          <w:sz w:val="22"/>
          <w:lang w:eastAsia="fr-FR"/>
        </w:rPr>
        <w:t>Par ses fonctions décisionnelles et de supervision, assure la stabilité institutionnelle et la durabilité stratégique du complexe textile intégré.</w:t>
      </w:r>
    </w:p>
    <w:p w14:paraId="12EC6C54"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000000" w:themeColor="text1"/>
          <w:sz w:val="22"/>
        </w:rPr>
      </w:pPr>
      <w:bookmarkStart w:id="1452" w:name="_Toc229155977"/>
      <w:bookmarkStart w:id="1453" w:name="_Toc231746975"/>
      <w:bookmarkStart w:id="1454" w:name="_Toc231752381"/>
      <w:bookmarkStart w:id="1455" w:name="_Toc231810684"/>
      <w:bookmarkStart w:id="1456" w:name="_Toc231812027"/>
      <w:bookmarkStart w:id="1457" w:name="_Toc231812305"/>
      <w:bookmarkStart w:id="1458" w:name="_Toc231815189"/>
      <w:r w:rsidRPr="00E2052F">
        <w:rPr>
          <w:rFonts w:asciiTheme="majorBidi" w:hAnsiTheme="majorBidi"/>
          <w:color w:val="000000" w:themeColor="text1"/>
          <w:sz w:val="22"/>
        </w:rPr>
        <w:t>La direction générale :</w:t>
      </w:r>
      <w:bookmarkEnd w:id="1452"/>
      <w:bookmarkEnd w:id="1453"/>
      <w:bookmarkEnd w:id="1454"/>
      <w:bookmarkEnd w:id="1455"/>
      <w:bookmarkEnd w:id="1456"/>
      <w:bookmarkEnd w:id="1457"/>
      <w:bookmarkEnd w:id="1458"/>
    </w:p>
    <w:p w14:paraId="1304A11E" w14:textId="77777777" w:rsidR="00D75E60" w:rsidRPr="00E2052F" w:rsidRDefault="00D75E60" w:rsidP="00D23BF3">
      <w:pPr>
        <w:spacing w:before="0" w:beforeAutospacing="0"/>
        <w:rPr>
          <w:rFonts w:eastAsia="Times New Roman" w:cstheme="majorBidi"/>
          <w:sz w:val="22"/>
          <w:lang w:eastAsia="fr-FR"/>
        </w:rPr>
      </w:pPr>
      <w:r w:rsidRPr="00E2052F">
        <w:rPr>
          <w:rFonts w:eastAsia="Times New Roman" w:cstheme="majorBidi"/>
          <w:sz w:val="22"/>
          <w:lang w:eastAsia="fr-FR"/>
        </w:rPr>
        <w:t>Elle représenté l'organe exécutif clé responsable de la gestion globale et de l'application des orientations stratégiques établies par le Conseil d’Administration. Elle coordonne et supervise toutes les directions opérationnelles et fonctionnelles, y compris la production textile, la confection, la chaîne d'approvisionnement, la direction commerciale, les finances, les ressources humaines et les systèmes d’information, tout en assurant l'harmonie entre les différentes unités du complexe intégré, depuis l'approvisionnement en coton jusqu'à l'exportation des produits finis. Elle traduit les objectifs stratégiques en actions concrètes, améliore les performances industrielles et financières, surveille les indicateurs de rentabilité et de qualité, et veille au respect des normes nationales et internationales en matière de qualité, de sécurité et d'environnement. Grâce à son rôle de pilotage et de coordination, la Direction Générale garantit la stabilité organisationnelle, la compétitivité sur le marché international et le développement durable de l'entreprise.</w:t>
      </w:r>
      <w:r w:rsidR="0020071A">
        <w:rPr>
          <w:rStyle w:val="Appelnotedebasdep"/>
          <w:rFonts w:eastAsia="Times New Roman" w:cstheme="majorBidi"/>
          <w:sz w:val="22"/>
          <w:lang w:eastAsia="fr-FR"/>
        </w:rPr>
        <w:footnoteReference w:id="277"/>
      </w:r>
    </w:p>
    <w:p w14:paraId="33A5C421" w14:textId="77777777" w:rsidR="00D75E60" w:rsidRPr="00E2052F" w:rsidRDefault="00D75E60" w:rsidP="00D61875">
      <w:pPr>
        <w:pStyle w:val="Titre3"/>
        <w:numPr>
          <w:ilvl w:val="1"/>
          <w:numId w:val="8"/>
        </w:numPr>
        <w:spacing w:before="0" w:beforeAutospacing="0" w:after="160"/>
        <w:rPr>
          <w:rFonts w:asciiTheme="majorBidi" w:eastAsia="Times New Roman" w:hAnsiTheme="majorBidi"/>
          <w:b w:val="0"/>
          <w:bCs w:val="0"/>
          <w:color w:val="000000" w:themeColor="text1"/>
          <w:sz w:val="22"/>
          <w:lang w:eastAsia="fr-FR"/>
        </w:rPr>
      </w:pPr>
      <w:bookmarkStart w:id="1459" w:name="_Toc229155978"/>
      <w:bookmarkStart w:id="1460" w:name="_Toc231746976"/>
      <w:bookmarkStart w:id="1461" w:name="_Toc231752382"/>
      <w:bookmarkStart w:id="1462" w:name="_Toc231810685"/>
      <w:bookmarkStart w:id="1463" w:name="_Toc231812028"/>
      <w:bookmarkStart w:id="1464" w:name="_Toc231812306"/>
      <w:bookmarkStart w:id="1465" w:name="_Toc231815190"/>
      <w:r w:rsidRPr="00E2052F">
        <w:rPr>
          <w:rFonts w:asciiTheme="majorBidi" w:eastAsia="Times New Roman" w:hAnsiTheme="majorBidi"/>
          <w:color w:val="000000" w:themeColor="text1"/>
          <w:sz w:val="22"/>
          <w:lang w:eastAsia="fr-FR"/>
        </w:rPr>
        <w:t>La direction audit interne :</w:t>
      </w:r>
      <w:bookmarkEnd w:id="1459"/>
      <w:bookmarkEnd w:id="1460"/>
      <w:bookmarkEnd w:id="1461"/>
      <w:bookmarkEnd w:id="1462"/>
      <w:bookmarkEnd w:id="1463"/>
      <w:bookmarkEnd w:id="1464"/>
      <w:bookmarkEnd w:id="1465"/>
      <w:r w:rsidRPr="00E2052F">
        <w:rPr>
          <w:rFonts w:asciiTheme="majorBidi" w:eastAsia="Times New Roman" w:hAnsiTheme="majorBidi"/>
          <w:color w:val="000000" w:themeColor="text1"/>
          <w:sz w:val="22"/>
          <w:lang w:eastAsia="fr-FR"/>
        </w:rPr>
        <w:t xml:space="preserve"> </w:t>
      </w:r>
    </w:p>
    <w:p w14:paraId="796203B8" w14:textId="77777777" w:rsidR="00D75E60" w:rsidRPr="00E2052F" w:rsidRDefault="00D75E60" w:rsidP="00D23BF3">
      <w:pPr>
        <w:pStyle w:val="NormalWeb"/>
        <w:spacing w:before="0" w:beforeAutospacing="0" w:line="360" w:lineRule="auto"/>
        <w:rPr>
          <w:rFonts w:asciiTheme="majorBidi" w:hAnsiTheme="majorBidi" w:cstheme="majorBidi"/>
          <w:sz w:val="22"/>
          <w:szCs w:val="22"/>
        </w:rPr>
      </w:pPr>
      <w:r w:rsidRPr="00E2052F">
        <w:rPr>
          <w:rStyle w:val="lev"/>
          <w:rFonts w:asciiTheme="majorBidi" w:hAnsiTheme="majorBidi" w:cstheme="majorBidi"/>
          <w:b w:val="0"/>
          <w:bCs w:val="0"/>
          <w:sz w:val="22"/>
          <w:szCs w:val="22"/>
        </w:rPr>
        <w:t>Elle</w:t>
      </w:r>
      <w:r w:rsidRPr="00E2052F">
        <w:rPr>
          <w:rStyle w:val="lev"/>
          <w:rFonts w:asciiTheme="majorBidi" w:hAnsiTheme="majorBidi" w:cstheme="majorBidi"/>
          <w:sz w:val="22"/>
          <w:szCs w:val="22"/>
        </w:rPr>
        <w:t xml:space="preserve"> </w:t>
      </w:r>
      <w:r w:rsidRPr="00E2052F">
        <w:rPr>
          <w:rFonts w:asciiTheme="majorBidi" w:hAnsiTheme="majorBidi" w:cstheme="majorBidi"/>
          <w:sz w:val="22"/>
          <w:szCs w:val="22"/>
        </w:rPr>
        <w:t>contrôle et évalue de manière indépendante les processus organisationnels afin de garantir la conformité et la performance de l’entreprise. Elle supervise le respect des normes de qualité et des certifications environnementales et sociales, identifie les risques opérationnels, financiers et réglementaires, et propose des mesures correctives. Son rôle est central pour renforcer la gouvernance, la transparence et la fiabilité des opérations du complexe industriel. Elle contribue à la maîtrise des risques, à l’efficacité des processus et à la conformité réglementaire, tout en soutenant la stratégie globale et la compétitivité de l’entreprise.</w:t>
      </w:r>
    </w:p>
    <w:p w14:paraId="4035B2F6" w14:textId="77777777" w:rsidR="00D75E60" w:rsidRPr="00E2052F" w:rsidRDefault="00D75E60" w:rsidP="00D61875">
      <w:pPr>
        <w:pStyle w:val="Titre3"/>
        <w:numPr>
          <w:ilvl w:val="1"/>
          <w:numId w:val="8"/>
        </w:numPr>
        <w:spacing w:before="0" w:beforeAutospacing="0" w:after="160"/>
        <w:rPr>
          <w:rFonts w:asciiTheme="majorBidi" w:hAnsiTheme="majorBidi"/>
          <w:color w:val="000000" w:themeColor="text1"/>
          <w:sz w:val="22"/>
        </w:rPr>
      </w:pPr>
      <w:bookmarkStart w:id="1466" w:name="_Toc229155979"/>
      <w:bookmarkStart w:id="1467" w:name="_Toc231746977"/>
      <w:bookmarkStart w:id="1468" w:name="_Toc231752383"/>
      <w:bookmarkStart w:id="1469" w:name="_Toc231810686"/>
      <w:bookmarkStart w:id="1470" w:name="_Toc231812029"/>
      <w:bookmarkStart w:id="1471" w:name="_Toc231812307"/>
      <w:bookmarkStart w:id="1472" w:name="_Toc231815191"/>
      <w:r w:rsidRPr="00E2052F">
        <w:rPr>
          <w:rFonts w:asciiTheme="majorBidi" w:hAnsiTheme="majorBidi"/>
          <w:color w:val="000000" w:themeColor="text1"/>
          <w:sz w:val="22"/>
        </w:rPr>
        <w:lastRenderedPageBreak/>
        <w:t xml:space="preserve">La </w:t>
      </w:r>
      <w:r w:rsidRPr="00E2052F">
        <w:rPr>
          <w:rStyle w:val="lev"/>
          <w:rFonts w:asciiTheme="majorBidi" w:hAnsiTheme="majorBidi"/>
          <w:b/>
          <w:bCs/>
          <w:color w:val="000000" w:themeColor="text1"/>
          <w:sz w:val="22"/>
        </w:rPr>
        <w:t>Direction Production Textile</w:t>
      </w:r>
      <w:r w:rsidRPr="00E2052F">
        <w:rPr>
          <w:rFonts w:asciiTheme="majorBidi" w:hAnsiTheme="majorBidi"/>
          <w:color w:val="000000" w:themeColor="text1"/>
          <w:sz w:val="22"/>
        </w:rPr>
        <w:t> :</w:t>
      </w:r>
      <w:bookmarkEnd w:id="1466"/>
      <w:bookmarkEnd w:id="1467"/>
      <w:bookmarkEnd w:id="1468"/>
      <w:bookmarkEnd w:id="1469"/>
      <w:bookmarkEnd w:id="1470"/>
      <w:bookmarkEnd w:id="1471"/>
      <w:bookmarkEnd w:id="1472"/>
      <w:r w:rsidRPr="00E2052F">
        <w:rPr>
          <w:rFonts w:asciiTheme="majorBidi" w:hAnsiTheme="majorBidi"/>
          <w:color w:val="000000" w:themeColor="text1"/>
          <w:sz w:val="22"/>
        </w:rPr>
        <w:t xml:space="preserve"> </w:t>
      </w:r>
    </w:p>
    <w:p w14:paraId="671F70CA" w14:textId="77777777" w:rsidR="00D75E60" w:rsidRPr="00E2052F" w:rsidRDefault="00D75E60" w:rsidP="00D23BF3">
      <w:pPr>
        <w:spacing w:before="0" w:beforeAutospacing="0"/>
        <w:rPr>
          <w:rFonts w:cstheme="majorBidi"/>
          <w:sz w:val="22"/>
        </w:rPr>
      </w:pPr>
      <w:r w:rsidRPr="00E2052F">
        <w:rPr>
          <w:rFonts w:cstheme="majorBidi"/>
          <w:sz w:val="22"/>
        </w:rPr>
        <w:t>Constitue</w:t>
      </w:r>
      <w:r w:rsidR="00FD787F" w:rsidRPr="00E2052F">
        <w:rPr>
          <w:rFonts w:cstheme="majorBidi"/>
          <w:sz w:val="22"/>
        </w:rPr>
        <w:t xml:space="preserve"> </w:t>
      </w:r>
      <w:r w:rsidRPr="00E2052F">
        <w:rPr>
          <w:rFonts w:cstheme="majorBidi"/>
          <w:sz w:val="22"/>
        </w:rPr>
        <w:t xml:space="preserve">le cœur industriel du complexe intégré, assurant la transformation complète de la fibre de coton en tissus finis de haute qualité. Elle supervise l’ensemble des étapes de production, incluant la filature (production annuelle pouvant atteindre 36 000 tonnes de fil), le tissage (jusqu’à 54–55 millions de mètres de tissus denim et non denim), le tricotage (environ 5 500 tonnes/an), ainsi que les unités de teinture et de finissage. Cette direction gère les procédés techniques avancés tels que la teinture indigo, le traitement chimique et biologique, ainsi que le contrôle strict des paramètres industriels. Elle garantit la continuité et la stabilité de la production grâce à un suivi rigoureux de la performance, de la qualité et de la maintenance énergétique, notamment via l’unité de tri-génération qui assure l’autonomie énergétique du site. La Direction Production Textile est structurée en deux départements principaux : </w:t>
      </w:r>
      <w:r w:rsidRPr="00E2052F">
        <w:rPr>
          <w:rStyle w:val="lev"/>
          <w:rFonts w:cstheme="majorBidi"/>
          <w:b w:val="0"/>
          <w:bCs w:val="0"/>
          <w:sz w:val="22"/>
        </w:rPr>
        <w:t>le département de production textile</w:t>
      </w:r>
      <w:r w:rsidRPr="00E2052F">
        <w:rPr>
          <w:rFonts w:cstheme="majorBidi"/>
          <w:b/>
          <w:bCs/>
          <w:sz w:val="22"/>
        </w:rPr>
        <w:t xml:space="preserve"> </w:t>
      </w:r>
      <w:r w:rsidRPr="00E2052F">
        <w:rPr>
          <w:rFonts w:cstheme="majorBidi"/>
          <w:sz w:val="22"/>
        </w:rPr>
        <w:t>et</w:t>
      </w:r>
      <w:r w:rsidRPr="00E2052F">
        <w:rPr>
          <w:rFonts w:cstheme="majorBidi"/>
          <w:b/>
          <w:bCs/>
          <w:sz w:val="22"/>
        </w:rPr>
        <w:t xml:space="preserve"> </w:t>
      </w:r>
      <w:r w:rsidRPr="00E2052F">
        <w:rPr>
          <w:rStyle w:val="lev"/>
          <w:rFonts w:cstheme="majorBidi"/>
          <w:b w:val="0"/>
          <w:bCs w:val="0"/>
          <w:sz w:val="22"/>
        </w:rPr>
        <w:t>le département technique et maintenance</w:t>
      </w:r>
      <w:r w:rsidRPr="00E2052F">
        <w:rPr>
          <w:rFonts w:cstheme="majorBidi"/>
          <w:sz w:val="22"/>
        </w:rPr>
        <w:t>, afin d’assurer une coordination optimale entre opérations industrielles et innovation technologique.</w:t>
      </w:r>
    </w:p>
    <w:p w14:paraId="3C36E507" w14:textId="77777777" w:rsidR="00D75E60" w:rsidRPr="00E2052F" w:rsidRDefault="00D75E60" w:rsidP="00D61875">
      <w:pPr>
        <w:pStyle w:val="Titre3"/>
        <w:numPr>
          <w:ilvl w:val="1"/>
          <w:numId w:val="8"/>
        </w:numPr>
        <w:spacing w:before="0" w:beforeAutospacing="0" w:after="160"/>
        <w:rPr>
          <w:rFonts w:asciiTheme="majorBidi" w:hAnsiTheme="majorBidi"/>
          <w:color w:val="000000" w:themeColor="text1"/>
          <w:sz w:val="22"/>
        </w:rPr>
      </w:pPr>
      <w:bookmarkStart w:id="1473" w:name="_Toc229155980"/>
      <w:bookmarkStart w:id="1474" w:name="_Toc231746978"/>
      <w:bookmarkStart w:id="1475" w:name="_Toc231752384"/>
      <w:bookmarkStart w:id="1476" w:name="_Toc231810687"/>
      <w:bookmarkStart w:id="1477" w:name="_Toc231812030"/>
      <w:bookmarkStart w:id="1478" w:name="_Toc231812308"/>
      <w:bookmarkStart w:id="1479" w:name="_Toc231815192"/>
      <w:r w:rsidRPr="00E2052F">
        <w:rPr>
          <w:rFonts w:asciiTheme="majorBidi" w:hAnsiTheme="majorBidi"/>
          <w:color w:val="000000" w:themeColor="text1"/>
          <w:sz w:val="22"/>
        </w:rPr>
        <w:t>La</w:t>
      </w:r>
      <w:r w:rsidR="00685E4A" w:rsidRPr="00E2052F">
        <w:rPr>
          <w:rFonts w:asciiTheme="majorBidi" w:hAnsiTheme="majorBidi"/>
          <w:color w:val="000000" w:themeColor="text1"/>
          <w:sz w:val="22"/>
        </w:rPr>
        <w:t xml:space="preserve"> </w:t>
      </w:r>
      <w:r w:rsidRPr="00E2052F">
        <w:rPr>
          <w:rStyle w:val="lev"/>
          <w:rFonts w:asciiTheme="majorBidi" w:hAnsiTheme="majorBidi"/>
          <w:b/>
          <w:bCs/>
          <w:color w:val="000000" w:themeColor="text1"/>
          <w:sz w:val="22"/>
        </w:rPr>
        <w:t>Direction Production Confection</w:t>
      </w:r>
      <w:r w:rsidRPr="00E2052F">
        <w:rPr>
          <w:rFonts w:asciiTheme="majorBidi" w:hAnsiTheme="majorBidi"/>
          <w:b w:val="0"/>
          <w:bCs w:val="0"/>
          <w:color w:val="000000" w:themeColor="text1"/>
          <w:sz w:val="22"/>
        </w:rPr>
        <w:t> </w:t>
      </w:r>
      <w:r w:rsidRPr="00E2052F">
        <w:rPr>
          <w:rFonts w:asciiTheme="majorBidi" w:hAnsiTheme="majorBidi"/>
          <w:color w:val="000000" w:themeColor="text1"/>
          <w:sz w:val="22"/>
        </w:rPr>
        <w:t>:</w:t>
      </w:r>
      <w:bookmarkEnd w:id="1473"/>
      <w:bookmarkEnd w:id="1474"/>
      <w:bookmarkEnd w:id="1475"/>
      <w:bookmarkEnd w:id="1476"/>
      <w:bookmarkEnd w:id="1477"/>
      <w:bookmarkEnd w:id="1478"/>
      <w:bookmarkEnd w:id="1479"/>
    </w:p>
    <w:p w14:paraId="20FD09BF" w14:textId="77777777" w:rsidR="00D75E60" w:rsidRPr="00E2052F" w:rsidRDefault="00D75E60" w:rsidP="00D23BF3">
      <w:pPr>
        <w:pStyle w:val="NormalWeb"/>
        <w:spacing w:before="0" w:beforeAutospacing="0" w:line="360" w:lineRule="auto"/>
        <w:rPr>
          <w:rFonts w:asciiTheme="majorBidi" w:hAnsiTheme="majorBidi" w:cstheme="majorBidi"/>
          <w:sz w:val="22"/>
          <w:szCs w:val="22"/>
        </w:rPr>
      </w:pPr>
      <w:r w:rsidRPr="00E2052F">
        <w:rPr>
          <w:rFonts w:asciiTheme="majorBidi" w:hAnsiTheme="majorBidi" w:cstheme="majorBidi"/>
          <w:sz w:val="22"/>
          <w:szCs w:val="22"/>
        </w:rPr>
        <w:t>Elle est responsable de la transformation des tissus produits en amont en articles de prêt-à-porter finis. Elle supervise l’ensemble des unités spécialisées en confection denim, non denim, tricot et chemiserie, avec une capacité pouvant atteindre 30 millions de pièces par an, réparties entre vêtements en denim et non denim, articles en maille (t-shirts, polos, sweatshirts) et chemises. Cette direction coordonne les différentes étapes du processus industriel, notamment la préparation et la coupe des tissus, l’assemblage, la couture, le lavage industriel pour les produits denim, la sérigraphie et la broderie, ainsi que la finition, le contrôle qualité final et l’emballage. Elle s’appuie sur les services de planning pour le respect des délais, sur la maintenance pour la disponibilité des équipements et sur le contrôle qualité pour assurer la conformité aux exigences des clients internationaux. Par son organisation structurée et son intégration avec la production textile, la Direction Production Confection garantit la qualité des produits finis, la productivité des unités et le respect des engagements contractuels, notamment à l’export.</w:t>
      </w:r>
      <w:r w:rsidR="0020071A">
        <w:rPr>
          <w:rStyle w:val="Appelnotedebasdep"/>
          <w:rFonts w:asciiTheme="majorBidi" w:hAnsiTheme="majorBidi" w:cstheme="majorBidi"/>
          <w:sz w:val="22"/>
          <w:szCs w:val="22"/>
        </w:rPr>
        <w:footnoteReference w:id="278"/>
      </w:r>
    </w:p>
    <w:p w14:paraId="266BB3D0"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000000" w:themeColor="text1"/>
          <w:sz w:val="22"/>
        </w:rPr>
      </w:pPr>
      <w:bookmarkStart w:id="1480" w:name="_Toc229155981"/>
      <w:bookmarkStart w:id="1481" w:name="_Toc231746979"/>
      <w:bookmarkStart w:id="1482" w:name="_Toc231752385"/>
      <w:bookmarkStart w:id="1483" w:name="_Toc231810688"/>
      <w:bookmarkStart w:id="1484" w:name="_Toc231812031"/>
      <w:bookmarkStart w:id="1485" w:name="_Toc231812309"/>
      <w:bookmarkStart w:id="1486" w:name="_Toc231815193"/>
      <w:r w:rsidRPr="00E2052F">
        <w:rPr>
          <w:rFonts w:asciiTheme="majorBidi" w:hAnsiTheme="majorBidi"/>
          <w:color w:val="000000" w:themeColor="text1"/>
          <w:sz w:val="22"/>
        </w:rPr>
        <w:t>La direction commerciale :</w:t>
      </w:r>
      <w:bookmarkEnd w:id="1480"/>
      <w:bookmarkEnd w:id="1481"/>
      <w:bookmarkEnd w:id="1482"/>
      <w:bookmarkEnd w:id="1483"/>
      <w:bookmarkEnd w:id="1484"/>
      <w:bookmarkEnd w:id="1485"/>
      <w:bookmarkEnd w:id="1486"/>
    </w:p>
    <w:p w14:paraId="0CDDFAB9" w14:textId="77777777" w:rsidR="00D75E60" w:rsidRPr="00E2052F" w:rsidRDefault="00D75E60" w:rsidP="00D23BF3">
      <w:pPr>
        <w:spacing w:before="0" w:beforeAutospacing="0"/>
        <w:rPr>
          <w:rFonts w:cstheme="majorBidi"/>
          <w:sz w:val="22"/>
        </w:rPr>
      </w:pPr>
      <w:r w:rsidRPr="00E2052F">
        <w:rPr>
          <w:rFonts w:cstheme="majorBidi"/>
          <w:sz w:val="22"/>
        </w:rPr>
        <w:t xml:space="preserve">Elle joue un rôle central dans la croissance et le rayonnement de l’entreprise sur les marchés nationaux et internationaux. Elle est responsable de la prospection, de la négociation des contrats et de la fidélisation des clients, garantissant la satisfaction et la confiance des partenaires stratégiques. En lien étroit avec les équipes de production et de recherche et développement, elle contribue à l’innovation produit et à l’adaptation aux tendances du marché. Elle veille également au respect des normes de qualité et des certifications internationales, renforçant la crédibilité de l’entreprise. Par ses actions, elle soutient le positionnement stratégique de l’entreprise comme acteur textile intégré et exportateur majeur. Elle </w:t>
      </w:r>
      <w:r w:rsidRPr="00E2052F">
        <w:rPr>
          <w:rFonts w:cstheme="majorBidi"/>
          <w:sz w:val="22"/>
        </w:rPr>
        <w:lastRenderedPageBreak/>
        <w:t>favorise l’optimisation des ventes, l’efficacité commerciale et la compétitivité globale du complexe industriel. Sa mission contribue directement à la performance économique et à la pérennité de l’entreprise sur les marchés locaux et internationaux.</w:t>
      </w:r>
    </w:p>
    <w:p w14:paraId="3AE83B9D"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000000" w:themeColor="text1"/>
          <w:sz w:val="22"/>
        </w:rPr>
      </w:pPr>
      <w:bookmarkStart w:id="1487" w:name="_Toc229155982"/>
      <w:bookmarkStart w:id="1488" w:name="_Toc231746980"/>
      <w:bookmarkStart w:id="1489" w:name="_Toc231752386"/>
      <w:bookmarkStart w:id="1490" w:name="_Toc231810689"/>
      <w:bookmarkStart w:id="1491" w:name="_Toc231812032"/>
      <w:bookmarkStart w:id="1492" w:name="_Toc231812310"/>
      <w:bookmarkStart w:id="1493" w:name="_Toc231815194"/>
      <w:r w:rsidRPr="00E2052F">
        <w:rPr>
          <w:rFonts w:asciiTheme="majorBidi" w:hAnsiTheme="majorBidi"/>
          <w:color w:val="000000" w:themeColor="text1"/>
          <w:sz w:val="22"/>
        </w:rPr>
        <w:t>La Direction des Ressources Humaines et Administration Générale :</w:t>
      </w:r>
      <w:bookmarkEnd w:id="1487"/>
      <w:bookmarkEnd w:id="1488"/>
      <w:bookmarkEnd w:id="1489"/>
      <w:bookmarkEnd w:id="1490"/>
      <w:bookmarkEnd w:id="1491"/>
      <w:bookmarkEnd w:id="1492"/>
      <w:bookmarkEnd w:id="1493"/>
    </w:p>
    <w:p w14:paraId="7A43B68C" w14:textId="77777777" w:rsidR="00D75E60" w:rsidRPr="00E2052F" w:rsidRDefault="00D75E60" w:rsidP="00D23BF3">
      <w:pPr>
        <w:spacing w:before="0" w:beforeAutospacing="0"/>
        <w:rPr>
          <w:rFonts w:cstheme="majorBidi"/>
          <w:sz w:val="22"/>
        </w:rPr>
      </w:pPr>
      <w:r w:rsidRPr="00E2052F">
        <w:rPr>
          <w:rFonts w:cstheme="majorBidi"/>
          <w:sz w:val="22"/>
        </w:rPr>
        <w:t>Elle gère le capital humain de l’entreprise, assurant le recrutement, la formation, la rémunération et la gestion sociale d’un effectif important. Elle veille à la motivation et à la performance des équipes en garantissant des conditions de travail conformes aux standards internationaux. Elle encadre également les programmes de formation et de développement des compétences, favorisant l’adaptation aux besoins industriels et aux évolutions du marché. En supervisant les services généraux tels que le transport, la restauration, le logement et la santé au travail, elle contribue à un environnement professionnel stable et sécurisant. Sa mission est essentielle pour soutenir la performance globale et la pérennité de l’entreprise.</w:t>
      </w:r>
    </w:p>
    <w:p w14:paraId="12BF01C3"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000000" w:themeColor="text1"/>
          <w:sz w:val="22"/>
        </w:rPr>
      </w:pPr>
      <w:bookmarkStart w:id="1494" w:name="_Toc229155983"/>
      <w:bookmarkStart w:id="1495" w:name="_Toc231746981"/>
      <w:bookmarkStart w:id="1496" w:name="_Toc231752387"/>
      <w:bookmarkStart w:id="1497" w:name="_Toc231810690"/>
      <w:bookmarkStart w:id="1498" w:name="_Toc231812033"/>
      <w:bookmarkStart w:id="1499" w:name="_Toc231812311"/>
      <w:bookmarkStart w:id="1500" w:name="_Toc231815195"/>
      <w:r w:rsidRPr="00E2052F">
        <w:rPr>
          <w:rFonts w:asciiTheme="majorBidi" w:hAnsiTheme="majorBidi"/>
          <w:color w:val="000000" w:themeColor="text1"/>
          <w:sz w:val="22"/>
        </w:rPr>
        <w:t>La direction Finances &amp; Comptabilité :</w:t>
      </w:r>
      <w:bookmarkEnd w:id="1494"/>
      <w:bookmarkEnd w:id="1495"/>
      <w:bookmarkEnd w:id="1496"/>
      <w:bookmarkEnd w:id="1497"/>
      <w:bookmarkEnd w:id="1498"/>
      <w:bookmarkEnd w:id="1499"/>
      <w:bookmarkEnd w:id="1500"/>
    </w:p>
    <w:p w14:paraId="44B354B4" w14:textId="77777777" w:rsidR="00D75E60" w:rsidRPr="00E2052F" w:rsidRDefault="00D75E60" w:rsidP="00D23BF3">
      <w:pPr>
        <w:spacing w:before="0" w:beforeAutospacing="0"/>
        <w:rPr>
          <w:rFonts w:cstheme="majorBidi"/>
          <w:sz w:val="22"/>
        </w:rPr>
      </w:pPr>
      <w:r w:rsidRPr="00E2052F">
        <w:rPr>
          <w:rFonts w:cstheme="majorBidi"/>
          <w:sz w:val="22"/>
        </w:rPr>
        <w:t>Elle assure la stabilité financière et la transparence économique de l’entreprise. Elle supervise la gestion de la trésorerie, les relations bancaires, le contrôle de gestion et le suivi des investissements industriels, en analysant les coûts de production et la rentabilité globale. Elle fournit des informations financières stratégiques à la Direction Générale pour orienter les décisions et garantir l’efficience des opérations. Son rôle est essentiel pour maintenir l’équilibre économique du complexe industriel et soutenir la croissance de l’entreprise. Elle contribue également à l’optimisation des ressources, à la maîtrise des coûts et à la pérennité financière sur les marchés nationaux et internationaux. Sa mission renforce la performance globale et la compétitivité stratégique de l’entreprise.</w:t>
      </w:r>
    </w:p>
    <w:p w14:paraId="2EC56671" w14:textId="77777777" w:rsidR="00D75E60" w:rsidRPr="00E2052F" w:rsidRDefault="00D75E60" w:rsidP="00D61875">
      <w:pPr>
        <w:pStyle w:val="Titre3"/>
        <w:numPr>
          <w:ilvl w:val="1"/>
          <w:numId w:val="8"/>
        </w:numPr>
        <w:spacing w:before="0" w:beforeAutospacing="0" w:after="160"/>
        <w:rPr>
          <w:rFonts w:asciiTheme="majorBidi" w:hAnsiTheme="majorBidi"/>
          <w:sz w:val="22"/>
        </w:rPr>
      </w:pPr>
      <w:bookmarkStart w:id="1501" w:name="_Toc229155984"/>
      <w:bookmarkStart w:id="1502" w:name="_Toc231746982"/>
      <w:bookmarkStart w:id="1503" w:name="_Toc231752388"/>
      <w:bookmarkStart w:id="1504" w:name="_Toc231810691"/>
      <w:bookmarkStart w:id="1505" w:name="_Toc231812034"/>
      <w:bookmarkStart w:id="1506" w:name="_Toc231812312"/>
      <w:bookmarkStart w:id="1507" w:name="_Toc231815196"/>
      <w:r w:rsidRPr="00E2052F">
        <w:rPr>
          <w:rFonts w:asciiTheme="majorBidi" w:hAnsiTheme="majorBidi"/>
          <w:color w:val="000000" w:themeColor="text1"/>
          <w:sz w:val="22"/>
        </w:rPr>
        <w:t>La</w:t>
      </w:r>
      <w:r w:rsidR="00685E4A" w:rsidRPr="00E2052F">
        <w:rPr>
          <w:rFonts w:asciiTheme="majorBidi" w:hAnsiTheme="majorBidi"/>
          <w:color w:val="000000" w:themeColor="text1"/>
          <w:sz w:val="22"/>
        </w:rPr>
        <w:t xml:space="preserve"> </w:t>
      </w:r>
      <w:r w:rsidRPr="00E2052F">
        <w:rPr>
          <w:rStyle w:val="lev"/>
          <w:rFonts w:asciiTheme="majorBidi" w:hAnsiTheme="majorBidi"/>
          <w:b/>
          <w:bCs/>
          <w:color w:val="000000" w:themeColor="text1"/>
          <w:sz w:val="22"/>
        </w:rPr>
        <w:t>direction Supply Chain :</w:t>
      </w:r>
      <w:bookmarkEnd w:id="1501"/>
      <w:bookmarkEnd w:id="1502"/>
      <w:bookmarkEnd w:id="1503"/>
      <w:bookmarkEnd w:id="1504"/>
      <w:bookmarkEnd w:id="1505"/>
      <w:bookmarkEnd w:id="1506"/>
      <w:bookmarkEnd w:id="1507"/>
    </w:p>
    <w:p w14:paraId="65F7C9DA" w14:textId="77777777" w:rsidR="000A6052" w:rsidRPr="00E2052F" w:rsidRDefault="00D75E60" w:rsidP="00D23BF3">
      <w:pPr>
        <w:spacing w:before="0" w:beforeAutospacing="0"/>
        <w:rPr>
          <w:rFonts w:cstheme="majorBidi"/>
          <w:sz w:val="22"/>
        </w:rPr>
      </w:pPr>
      <w:r w:rsidRPr="00E2052F">
        <w:rPr>
          <w:rFonts w:cstheme="majorBidi"/>
          <w:sz w:val="22"/>
        </w:rPr>
        <w:t>Elle joue un rôle stratégique en assurant la gestion des flux physiques e</w:t>
      </w:r>
      <w:r w:rsidR="000A6052" w:rsidRPr="00E2052F">
        <w:rPr>
          <w:rFonts w:cstheme="majorBidi"/>
          <w:sz w:val="22"/>
        </w:rPr>
        <w:t xml:space="preserve">t informationnels de l’ensemble </w:t>
      </w:r>
      <w:r w:rsidRPr="00E2052F">
        <w:rPr>
          <w:rFonts w:cstheme="majorBidi"/>
          <w:sz w:val="22"/>
        </w:rPr>
        <w:t>du complexe industriel. Elle supervise les achats locaux et internationaux, l’approvisionnement en coton (jusqu’à 40 000 tonnes/an), la gestion des stocks, la planification industrielle, ainsi que les opérations d’importation et d’exportation. Elle optimise les coûts logistiques, réduit les délais et coordonne efficacement la production textile et la confection. Par ailleurs, elle veille à la conformité douanière et documentaire des opérations commerciales internationales, garantissant une fluidité dans les échanges et le respect des réglementations.</w:t>
      </w:r>
      <w:r w:rsidR="0020071A">
        <w:rPr>
          <w:rStyle w:val="Appelnotedebasdep"/>
          <w:rFonts w:cstheme="majorBidi"/>
          <w:sz w:val="22"/>
        </w:rPr>
        <w:footnoteReference w:id="279"/>
      </w:r>
    </w:p>
    <w:p w14:paraId="6E079100" w14:textId="77777777" w:rsidR="00D75E60" w:rsidRPr="00E2052F" w:rsidRDefault="00D75E60" w:rsidP="00D61875">
      <w:pPr>
        <w:pStyle w:val="Paragraphedeliste"/>
        <w:numPr>
          <w:ilvl w:val="1"/>
          <w:numId w:val="8"/>
        </w:numPr>
        <w:spacing w:before="0" w:beforeAutospacing="0"/>
        <w:ind w:left="641" w:hanging="357"/>
        <w:rPr>
          <w:rFonts w:cstheme="majorBidi"/>
          <w:sz w:val="22"/>
        </w:rPr>
      </w:pPr>
      <w:r w:rsidRPr="00E2052F">
        <w:rPr>
          <w:rFonts w:cstheme="majorBidi"/>
          <w:b/>
          <w:bCs/>
          <w:color w:val="000000" w:themeColor="text1"/>
          <w:sz w:val="22"/>
        </w:rPr>
        <w:t>La direction Juridique :</w:t>
      </w:r>
    </w:p>
    <w:p w14:paraId="3352A0EA" w14:textId="77777777" w:rsidR="00D75E60" w:rsidRPr="00E2052F" w:rsidRDefault="00D75E60" w:rsidP="00D23BF3">
      <w:pPr>
        <w:spacing w:before="0" w:beforeAutospacing="0"/>
        <w:rPr>
          <w:rFonts w:cstheme="majorBidi"/>
          <w:color w:val="000000" w:themeColor="text1"/>
          <w:sz w:val="22"/>
        </w:rPr>
      </w:pPr>
      <w:r w:rsidRPr="00E2052F">
        <w:rPr>
          <w:rFonts w:cstheme="majorBidi"/>
          <w:sz w:val="22"/>
        </w:rPr>
        <w:t>Elle</w:t>
      </w:r>
      <w:r w:rsidR="000A6052" w:rsidRPr="00E2052F">
        <w:rPr>
          <w:rFonts w:cstheme="majorBidi"/>
          <w:sz w:val="22"/>
        </w:rPr>
        <w:t xml:space="preserve"> </w:t>
      </w:r>
      <w:r w:rsidRPr="00E2052F">
        <w:rPr>
          <w:rFonts w:cstheme="majorBidi"/>
          <w:color w:val="000000" w:themeColor="text1"/>
          <w:sz w:val="22"/>
        </w:rPr>
        <w:t xml:space="preserve">joue un rôle central dans la croissance et le rayonnement de l’entreprise sur les marchés nationaux et internationaux. Elle est responsable de la prospection, de la négociation des contrats et de </w:t>
      </w:r>
      <w:r w:rsidRPr="00E2052F">
        <w:rPr>
          <w:rFonts w:cstheme="majorBidi"/>
          <w:color w:val="000000" w:themeColor="text1"/>
          <w:sz w:val="22"/>
        </w:rPr>
        <w:lastRenderedPageBreak/>
        <w:t>la fidélisation des clients, garantissant la satisfaction et la confiance des partenaires stratégiques. En lien étroit avec les équipes de production et de recherche et développement, elle contribue à l’innovation produit et à l’adaptation aux tendances du marché. Elle veille également au respect des normes de qualité et des certifications internationales, renforçant la crédibilité de l’entreprise. Par ses actions, elle soutient le positionnement stratégique de l’entreprise comme acteur textile intégré et exportateur majeur. Elle favorise l’optimisation des ventes, l’efficacité commerciale et la compétitivité globale du complexe industriel. Sa mission contribue directement à la performance économique et à la pérennité de l’entreprise sur les marchés locaux et internationaux.</w:t>
      </w:r>
    </w:p>
    <w:p w14:paraId="03F40ADA"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000000" w:themeColor="text1"/>
          <w:sz w:val="22"/>
        </w:rPr>
      </w:pPr>
      <w:bookmarkStart w:id="1508" w:name="_Toc229155985"/>
      <w:bookmarkStart w:id="1509" w:name="_Toc231746983"/>
      <w:bookmarkStart w:id="1510" w:name="_Toc231752389"/>
      <w:bookmarkStart w:id="1511" w:name="_Toc231810692"/>
      <w:bookmarkStart w:id="1512" w:name="_Toc231812035"/>
      <w:bookmarkStart w:id="1513" w:name="_Toc231812313"/>
      <w:bookmarkStart w:id="1514" w:name="_Toc231815197"/>
      <w:r w:rsidRPr="00E2052F">
        <w:rPr>
          <w:rFonts w:asciiTheme="majorBidi" w:hAnsiTheme="majorBidi"/>
          <w:color w:val="000000" w:themeColor="text1"/>
          <w:sz w:val="22"/>
        </w:rPr>
        <w:t>Le département IT &amp; Sécurité des Systèmes d’Information :</w:t>
      </w:r>
      <w:bookmarkEnd w:id="1508"/>
      <w:bookmarkEnd w:id="1509"/>
      <w:bookmarkEnd w:id="1510"/>
      <w:bookmarkEnd w:id="1511"/>
      <w:bookmarkEnd w:id="1512"/>
      <w:bookmarkEnd w:id="1513"/>
      <w:bookmarkEnd w:id="1514"/>
    </w:p>
    <w:p w14:paraId="4450F881" w14:textId="77777777" w:rsidR="00D75E60" w:rsidRPr="00E2052F" w:rsidRDefault="00D75E60" w:rsidP="00D23BF3">
      <w:pPr>
        <w:spacing w:before="0" w:beforeAutospacing="0"/>
        <w:rPr>
          <w:rFonts w:cstheme="majorBidi"/>
          <w:sz w:val="22"/>
        </w:rPr>
      </w:pPr>
      <w:r w:rsidRPr="00E2052F">
        <w:rPr>
          <w:rFonts w:cstheme="majorBidi"/>
          <w:sz w:val="22"/>
        </w:rPr>
        <w:t>Elle assure la gestion et la protection des infrastructures informatiques et des données stratégiques. Il supervise les systèmes intégrés reliant production, logistique, finances et commercial, garantit la maintenance des réseaux et développe des applications internes pour optimiser les processus industriels et administratifs. Sa mission est essentielle pour sécuriser l’information, améliorer l’efficacité opérationnelle et soutenir la transformation numérique de l’entreprise. Il contribue directement à la performance globale et à la compétitivité du complexe industriel sur les marchés nationaux et internationaux.</w:t>
      </w:r>
    </w:p>
    <w:p w14:paraId="715A4640" w14:textId="77777777" w:rsidR="00D75E60" w:rsidRPr="00E2052F" w:rsidRDefault="00D75E60" w:rsidP="00D61875">
      <w:pPr>
        <w:pStyle w:val="Titre3"/>
        <w:numPr>
          <w:ilvl w:val="1"/>
          <w:numId w:val="8"/>
        </w:numPr>
        <w:spacing w:before="0" w:beforeAutospacing="0" w:after="160"/>
        <w:rPr>
          <w:rStyle w:val="lev"/>
          <w:rFonts w:asciiTheme="majorBidi" w:hAnsiTheme="majorBidi"/>
          <w:b/>
          <w:bCs/>
          <w:color w:val="000000" w:themeColor="text1"/>
          <w:sz w:val="22"/>
        </w:rPr>
      </w:pPr>
      <w:bookmarkStart w:id="1515" w:name="_Toc229155986"/>
      <w:bookmarkStart w:id="1516" w:name="_Toc231746984"/>
      <w:bookmarkStart w:id="1517" w:name="_Toc231752390"/>
      <w:bookmarkStart w:id="1518" w:name="_Toc231810693"/>
      <w:bookmarkStart w:id="1519" w:name="_Toc231812036"/>
      <w:bookmarkStart w:id="1520" w:name="_Toc231812314"/>
      <w:bookmarkStart w:id="1521" w:name="_Toc231815198"/>
      <w:r w:rsidRPr="00E2052F">
        <w:rPr>
          <w:rStyle w:val="lev"/>
          <w:rFonts w:asciiTheme="majorBidi" w:hAnsiTheme="majorBidi"/>
          <w:b/>
          <w:bCs/>
          <w:color w:val="000000" w:themeColor="text1"/>
          <w:sz w:val="22"/>
        </w:rPr>
        <w:t>Le département QHSE / Sécurité :</w:t>
      </w:r>
      <w:bookmarkEnd w:id="1515"/>
      <w:bookmarkEnd w:id="1516"/>
      <w:bookmarkEnd w:id="1517"/>
      <w:bookmarkEnd w:id="1518"/>
      <w:bookmarkEnd w:id="1519"/>
      <w:bookmarkEnd w:id="1520"/>
      <w:bookmarkEnd w:id="1521"/>
    </w:p>
    <w:p w14:paraId="2F45F9D7" w14:textId="77777777" w:rsidR="00D75E60" w:rsidRPr="00E2052F" w:rsidRDefault="00D75E60" w:rsidP="00D23BF3">
      <w:pPr>
        <w:spacing w:before="0" w:beforeAutospacing="0"/>
        <w:rPr>
          <w:rFonts w:cstheme="majorBidi"/>
          <w:sz w:val="22"/>
        </w:rPr>
      </w:pPr>
      <w:r w:rsidRPr="00E2052F">
        <w:rPr>
          <w:rFonts w:cstheme="majorBidi"/>
          <w:sz w:val="22"/>
        </w:rPr>
        <w:t>Elle veille à la conformité aux normes de qualité, d’hygiène, de sécurité et d’environnement. Il supervise les procédés industriels, la prévention des risques professionnels et le traitement des eaux usées, tout en assurant le respect des exigences des audits clients et des certifications internationales. Son rôle est central pour garantir un environnement de travail sûr, durable et conforme aux standards industriels. Il contribue à la responsabilité sociale et environnementale de l’entreprise, à la sécurité des employés et à la performance globale du complexe industriel.</w:t>
      </w:r>
    </w:p>
    <w:p w14:paraId="2A8E78DC" w14:textId="77777777" w:rsidR="00D75E60" w:rsidRPr="00E2052F" w:rsidRDefault="00D75E60" w:rsidP="00D61875">
      <w:pPr>
        <w:pStyle w:val="Titre3"/>
        <w:numPr>
          <w:ilvl w:val="1"/>
          <w:numId w:val="8"/>
        </w:numPr>
        <w:spacing w:before="0" w:beforeAutospacing="0" w:after="160"/>
        <w:rPr>
          <w:rFonts w:asciiTheme="majorBidi" w:hAnsiTheme="majorBidi"/>
          <w:b w:val="0"/>
          <w:bCs w:val="0"/>
          <w:color w:val="auto"/>
          <w:sz w:val="22"/>
        </w:rPr>
      </w:pPr>
      <w:bookmarkStart w:id="1522" w:name="_Toc229155987"/>
      <w:bookmarkStart w:id="1523" w:name="_Toc231746985"/>
      <w:bookmarkStart w:id="1524" w:name="_Toc231752391"/>
      <w:bookmarkStart w:id="1525" w:name="_Toc231810694"/>
      <w:bookmarkStart w:id="1526" w:name="_Toc231812037"/>
      <w:bookmarkStart w:id="1527" w:name="_Toc231812315"/>
      <w:bookmarkStart w:id="1528" w:name="_Toc231815199"/>
      <w:r w:rsidRPr="00E2052F">
        <w:rPr>
          <w:rFonts w:asciiTheme="majorBidi" w:hAnsiTheme="majorBidi"/>
          <w:color w:val="auto"/>
          <w:sz w:val="22"/>
        </w:rPr>
        <w:t>Le département communication, relations publiques et marketing :</w:t>
      </w:r>
      <w:bookmarkEnd w:id="1522"/>
      <w:bookmarkEnd w:id="1523"/>
      <w:bookmarkEnd w:id="1524"/>
      <w:bookmarkEnd w:id="1525"/>
      <w:bookmarkEnd w:id="1526"/>
      <w:bookmarkEnd w:id="1527"/>
      <w:bookmarkEnd w:id="1528"/>
    </w:p>
    <w:p w14:paraId="36BF5BE6" w14:textId="77777777" w:rsidR="00D75E60" w:rsidRPr="00E2052F" w:rsidRDefault="00D75E60" w:rsidP="00D23BF3">
      <w:pPr>
        <w:spacing w:before="0" w:beforeAutospacing="0"/>
        <w:rPr>
          <w:rFonts w:cstheme="majorBidi"/>
          <w:sz w:val="22"/>
        </w:rPr>
      </w:pPr>
      <w:r w:rsidRPr="00E2052F">
        <w:rPr>
          <w:rFonts w:cstheme="majorBidi"/>
          <w:sz w:val="22"/>
        </w:rPr>
        <w:t xml:space="preserve">Il est chargé de développer et de promouvoir l’image institutionnelle de l’entreprise ainsi que de renforcer sa visibilité sur les marchés nationaux et internationaux. Il élabore et met en œuvre les stratégies de communication interne et externe afin d’assurer une circulation efficace de l’information entre les différentes structures de l’entreprise et ses partenaires. Ce département gère les relations avec les médias, les institutions, les partenaires économiques et les clients, tout en organisant des événements professionnels, des participations à des salons internationaux et des actions de promotion de la marque. Il intervient également dans l’analyse du marché, l’identification des opportunités commerciales et le développement des stratégies marketing visant à valoriser les produits textiles et d’habillement de l’entreprise. À travers ces activités, il contribue au renforcement de la notoriété de l’entreprise, à </w:t>
      </w:r>
      <w:r w:rsidRPr="00E2052F">
        <w:rPr>
          <w:rFonts w:cstheme="majorBidi"/>
          <w:sz w:val="22"/>
        </w:rPr>
        <w:lastRenderedPageBreak/>
        <w:t>l’amélioration de sa réputation institutionnelle et au soutien des activités commerciales et d’exportation.</w:t>
      </w:r>
      <w:r w:rsidR="00C9001C" w:rsidRPr="00E2052F">
        <w:rPr>
          <w:rStyle w:val="Appelnotedebasdep"/>
          <w:rFonts w:cstheme="majorBidi"/>
          <w:sz w:val="22"/>
        </w:rPr>
        <w:footnoteReference w:id="280"/>
      </w:r>
    </w:p>
    <w:p w14:paraId="6635676F" w14:textId="77777777" w:rsidR="00D75E60" w:rsidRPr="00E2052F" w:rsidRDefault="00D75E60" w:rsidP="00C8480E">
      <w:pPr>
        <w:pStyle w:val="Titre2"/>
        <w:numPr>
          <w:ilvl w:val="0"/>
          <w:numId w:val="8"/>
        </w:numPr>
      </w:pPr>
      <w:bookmarkStart w:id="1529" w:name="_Toc229155988"/>
      <w:bookmarkStart w:id="1530" w:name="_Toc231746986"/>
      <w:bookmarkStart w:id="1531" w:name="_Toc231752392"/>
      <w:bookmarkStart w:id="1532" w:name="_Toc231810695"/>
      <w:bookmarkStart w:id="1533" w:name="_Toc231812038"/>
      <w:bookmarkStart w:id="1534" w:name="_Toc231812316"/>
      <w:bookmarkStart w:id="1535" w:name="_Toc231815200"/>
      <w:r w:rsidRPr="00E2052F">
        <w:t>L’approche systémique :</w:t>
      </w:r>
      <w:bookmarkEnd w:id="1529"/>
      <w:bookmarkEnd w:id="1530"/>
      <w:bookmarkEnd w:id="1531"/>
      <w:bookmarkEnd w:id="1532"/>
      <w:bookmarkEnd w:id="1533"/>
      <w:bookmarkEnd w:id="1534"/>
      <w:bookmarkEnd w:id="1535"/>
    </w:p>
    <w:p w14:paraId="29CE0835" w14:textId="77777777" w:rsidR="00D75E60" w:rsidRPr="00E2052F" w:rsidRDefault="00D75E60" w:rsidP="00D23BF3">
      <w:pPr>
        <w:spacing w:before="0" w:beforeAutospacing="0"/>
        <w:rPr>
          <w:rFonts w:cstheme="majorBidi"/>
          <w:sz w:val="22"/>
        </w:rPr>
      </w:pPr>
      <w:r w:rsidRPr="00E2052F">
        <w:rPr>
          <w:rFonts w:cstheme="majorBidi"/>
          <w:sz w:val="22"/>
        </w:rPr>
        <w:t xml:space="preserve">Dans le cadre de cette recherche, une approche méthodologique rigoureuse a été adoptée afin d’analyser la relation entre </w:t>
      </w:r>
      <w:r w:rsidRPr="00E2052F">
        <w:rPr>
          <w:rStyle w:val="lev"/>
          <w:rFonts w:cstheme="majorBidi"/>
          <w:b w:val="0"/>
          <w:bCs w:val="0"/>
          <w:sz w:val="22"/>
        </w:rPr>
        <w:t xml:space="preserve">la gouvernance d’entreprise et la promotion de la responsabilité sociale des </w:t>
      </w:r>
      <w:r w:rsidR="00C74DF5" w:rsidRPr="00E2052F">
        <w:rPr>
          <w:rStyle w:val="lev"/>
          <w:rFonts w:cstheme="majorBidi"/>
          <w:b w:val="0"/>
          <w:bCs w:val="0"/>
          <w:sz w:val="22"/>
        </w:rPr>
        <w:t>entreprises.</w:t>
      </w:r>
      <w:r w:rsidR="00C74DF5" w:rsidRPr="00E2052F">
        <w:rPr>
          <w:rFonts w:cstheme="majorBidi"/>
          <w:sz w:val="22"/>
        </w:rPr>
        <w:t xml:space="preserve"> Cette</w:t>
      </w:r>
      <w:r w:rsidRPr="00E2052F">
        <w:rPr>
          <w:rFonts w:cstheme="majorBidi"/>
          <w:sz w:val="22"/>
        </w:rPr>
        <w:t xml:space="preserve"> démarche vise à examiner dans quelle mesure les mécanismes de gouvernance influencent l’intégration et le développement des pratiques socialement responsables au sein de l’organisation. À cet effet, nous présenterons dans un premier temps la </w:t>
      </w:r>
      <w:r w:rsidRPr="00E2052F">
        <w:rPr>
          <w:rStyle w:val="lev"/>
          <w:rFonts w:cstheme="majorBidi"/>
          <w:b w:val="0"/>
          <w:bCs w:val="0"/>
          <w:sz w:val="22"/>
        </w:rPr>
        <w:t>méthode d’enquête</w:t>
      </w:r>
      <w:r w:rsidRPr="00E2052F">
        <w:rPr>
          <w:rFonts w:cstheme="majorBidi"/>
          <w:sz w:val="22"/>
        </w:rPr>
        <w:t xml:space="preserve"> retenue pour la réalisation de cette étude, puis nous préciserons les modalités de </w:t>
      </w:r>
      <w:r w:rsidRPr="00E2052F">
        <w:rPr>
          <w:rStyle w:val="lev"/>
          <w:rFonts w:cstheme="majorBidi"/>
          <w:b w:val="0"/>
          <w:bCs w:val="0"/>
          <w:sz w:val="22"/>
        </w:rPr>
        <w:t>détermination de l’échantillon de recherche</w:t>
      </w:r>
      <w:r w:rsidRPr="00E2052F">
        <w:rPr>
          <w:rFonts w:cstheme="majorBidi"/>
          <w:sz w:val="22"/>
        </w:rPr>
        <w:t xml:space="preserve">. Par la suite, nous exposerons les différentes étapes relatives à </w:t>
      </w:r>
      <w:r w:rsidRPr="00E2052F">
        <w:rPr>
          <w:rStyle w:val="lev"/>
          <w:rFonts w:cstheme="majorBidi"/>
          <w:b w:val="0"/>
          <w:bCs w:val="0"/>
          <w:sz w:val="22"/>
        </w:rPr>
        <w:t>l’élaboration et à la structuration du questionnaire</w:t>
      </w:r>
      <w:r w:rsidRPr="00E2052F">
        <w:rPr>
          <w:rFonts w:cstheme="majorBidi"/>
          <w:sz w:val="22"/>
        </w:rPr>
        <w:t xml:space="preserve"> utilisé comme principal outil de collecte de données. Enfin, nous aborderons </w:t>
      </w:r>
      <w:r w:rsidRPr="00E2052F">
        <w:rPr>
          <w:rStyle w:val="lev"/>
          <w:rFonts w:cstheme="majorBidi"/>
          <w:b w:val="0"/>
          <w:bCs w:val="0"/>
          <w:sz w:val="22"/>
        </w:rPr>
        <w:t>les techniques de traitement statistique</w:t>
      </w:r>
      <w:r w:rsidRPr="00E2052F">
        <w:rPr>
          <w:rFonts w:cstheme="majorBidi"/>
          <w:sz w:val="22"/>
        </w:rPr>
        <w:t xml:space="preserve"> mobilisées pour analyser les données recueillies et interpréter les résultats obtenus.</w:t>
      </w:r>
    </w:p>
    <w:p w14:paraId="601DAEE5" w14:textId="77777777" w:rsidR="00D75E60" w:rsidRPr="00E2052F" w:rsidRDefault="00D75E60" w:rsidP="00D61875">
      <w:pPr>
        <w:pStyle w:val="Titre3"/>
        <w:numPr>
          <w:ilvl w:val="0"/>
          <w:numId w:val="6"/>
        </w:numPr>
        <w:spacing w:before="0" w:beforeAutospacing="0" w:after="160"/>
        <w:ind w:left="641" w:hanging="357"/>
        <w:rPr>
          <w:rFonts w:asciiTheme="majorBidi" w:hAnsiTheme="majorBidi"/>
          <w:color w:val="auto"/>
          <w:sz w:val="22"/>
        </w:rPr>
      </w:pPr>
      <w:bookmarkStart w:id="1536" w:name="_Toc229155989"/>
      <w:bookmarkStart w:id="1537" w:name="_Toc231746987"/>
      <w:bookmarkStart w:id="1538" w:name="_Toc231752393"/>
      <w:bookmarkStart w:id="1539" w:name="_Toc231810696"/>
      <w:bookmarkStart w:id="1540" w:name="_Toc231812039"/>
      <w:bookmarkStart w:id="1541" w:name="_Toc231812317"/>
      <w:bookmarkStart w:id="1542" w:name="_Toc231815201"/>
      <w:r w:rsidRPr="00E2052F">
        <w:rPr>
          <w:rFonts w:asciiTheme="majorBidi" w:hAnsiTheme="majorBidi"/>
          <w:color w:val="auto"/>
          <w:sz w:val="22"/>
        </w:rPr>
        <w:t>Méthodologie de recherche :</w:t>
      </w:r>
      <w:bookmarkEnd w:id="1536"/>
      <w:bookmarkEnd w:id="1537"/>
      <w:bookmarkEnd w:id="1538"/>
      <w:bookmarkEnd w:id="1539"/>
      <w:bookmarkEnd w:id="1540"/>
      <w:bookmarkEnd w:id="1541"/>
      <w:bookmarkEnd w:id="1542"/>
    </w:p>
    <w:p w14:paraId="6DCB78A1" w14:textId="77777777" w:rsidR="00D75E60" w:rsidRPr="00E2052F" w:rsidRDefault="00D75E60" w:rsidP="00D61875">
      <w:pPr>
        <w:pStyle w:val="Paragraphedeliste"/>
        <w:numPr>
          <w:ilvl w:val="0"/>
          <w:numId w:val="7"/>
        </w:numPr>
        <w:spacing w:before="0" w:beforeAutospacing="0"/>
        <w:ind w:left="641" w:hanging="357"/>
        <w:rPr>
          <w:rFonts w:cstheme="majorBidi"/>
          <w:b/>
          <w:bCs/>
          <w:sz w:val="22"/>
        </w:rPr>
      </w:pPr>
      <w:r w:rsidRPr="00E2052F">
        <w:rPr>
          <w:rFonts w:cstheme="majorBidi"/>
          <w:b/>
          <w:bCs/>
          <w:sz w:val="22"/>
        </w:rPr>
        <w:t>Variable de recherche :</w:t>
      </w:r>
    </w:p>
    <w:p w14:paraId="31DFB8D7" w14:textId="77777777" w:rsidR="00D75E60" w:rsidRPr="00E2052F" w:rsidRDefault="00D75E60" w:rsidP="00D23BF3">
      <w:pPr>
        <w:spacing w:before="0" w:beforeAutospacing="0"/>
        <w:rPr>
          <w:rFonts w:cstheme="majorBidi"/>
          <w:sz w:val="22"/>
        </w:rPr>
      </w:pPr>
      <w:r w:rsidRPr="00E2052F">
        <w:rPr>
          <w:rFonts w:cstheme="majorBidi"/>
          <w:sz w:val="22"/>
        </w:rPr>
        <w:t>Sur la base de l’analyse critique des travaux scientifiques existants et des études empiriques précédentes, les variables de cette recherche ont été établies de la manière suivante :</w:t>
      </w:r>
    </w:p>
    <w:p w14:paraId="6EC2EFC9" w14:textId="77777777" w:rsidR="00D75E60" w:rsidRPr="00E2052F" w:rsidRDefault="00D75E60" w:rsidP="00D61875">
      <w:pPr>
        <w:pStyle w:val="Paragraphedeliste"/>
        <w:numPr>
          <w:ilvl w:val="0"/>
          <w:numId w:val="7"/>
        </w:numPr>
        <w:spacing w:before="0" w:beforeAutospacing="0"/>
        <w:rPr>
          <w:rFonts w:cstheme="majorBidi"/>
          <w:b/>
          <w:bCs/>
          <w:sz w:val="22"/>
        </w:rPr>
      </w:pPr>
      <w:r w:rsidRPr="00E2052F">
        <w:rPr>
          <w:rFonts w:cstheme="majorBidi"/>
          <w:b/>
          <w:bCs/>
          <w:sz w:val="22"/>
        </w:rPr>
        <w:t>Variable indépendant :</w:t>
      </w:r>
    </w:p>
    <w:p w14:paraId="4775F080" w14:textId="77777777" w:rsidR="00D75E60" w:rsidRPr="00E2052F" w:rsidRDefault="00D75E60" w:rsidP="00D23BF3">
      <w:pPr>
        <w:spacing w:before="0" w:beforeAutospacing="0"/>
        <w:rPr>
          <w:rFonts w:cstheme="majorBidi"/>
          <w:sz w:val="22"/>
          <w:rtl/>
        </w:rPr>
      </w:pPr>
      <w:r w:rsidRPr="00E2052F">
        <w:rPr>
          <w:rFonts w:cstheme="majorBidi"/>
          <w:sz w:val="22"/>
        </w:rPr>
        <w:t>Les principes de la gouvernance d’entreprise (L’existence d’une base pour un cadre efficace de gouvernance, La préservation des droits des actionnaires, Le Traitement équitable des actionnaires, Le rôle des parties prenantes dans la gouvernance, La Divulgation et transparence, La responsabilité du conseil d’administration).</w:t>
      </w:r>
    </w:p>
    <w:p w14:paraId="1298295B" w14:textId="77777777" w:rsidR="00D75E60" w:rsidRPr="00E2052F" w:rsidRDefault="00D75E60" w:rsidP="00D61875">
      <w:pPr>
        <w:pStyle w:val="Paragraphedeliste"/>
        <w:numPr>
          <w:ilvl w:val="0"/>
          <w:numId w:val="9"/>
        </w:numPr>
        <w:spacing w:before="0" w:beforeAutospacing="0"/>
        <w:rPr>
          <w:rFonts w:cstheme="majorBidi"/>
          <w:b/>
          <w:bCs/>
          <w:sz w:val="22"/>
        </w:rPr>
      </w:pPr>
      <w:r w:rsidRPr="00E2052F">
        <w:rPr>
          <w:rFonts w:cstheme="majorBidi"/>
          <w:b/>
          <w:bCs/>
          <w:sz w:val="22"/>
        </w:rPr>
        <w:t>Variable dépendant :</w:t>
      </w:r>
    </w:p>
    <w:p w14:paraId="72774D24" w14:textId="77777777" w:rsidR="00D75E60" w:rsidRPr="00E2052F" w:rsidRDefault="00D75E60" w:rsidP="00D23BF3">
      <w:pPr>
        <w:spacing w:before="0" w:beforeAutospacing="0"/>
        <w:rPr>
          <w:rFonts w:cstheme="majorBidi"/>
          <w:sz w:val="22"/>
        </w:rPr>
      </w:pPr>
      <w:r w:rsidRPr="00E2052F">
        <w:rPr>
          <w:rFonts w:cstheme="majorBidi"/>
          <w:sz w:val="22"/>
        </w:rPr>
        <w:t>La responsabilité sociale des entreprises.</w:t>
      </w:r>
    </w:p>
    <w:p w14:paraId="65D74A0C" w14:textId="77777777" w:rsidR="00D75E60" w:rsidRPr="00E2052F" w:rsidRDefault="00637854" w:rsidP="00D61875">
      <w:pPr>
        <w:pStyle w:val="Titre3"/>
        <w:numPr>
          <w:ilvl w:val="1"/>
          <w:numId w:val="10"/>
        </w:numPr>
        <w:spacing w:before="0" w:beforeAutospacing="0" w:after="160"/>
        <w:rPr>
          <w:rFonts w:asciiTheme="majorBidi" w:hAnsiTheme="majorBidi"/>
          <w:color w:val="auto"/>
          <w:sz w:val="22"/>
        </w:rPr>
      </w:pPr>
      <w:r w:rsidRPr="00E2052F">
        <w:rPr>
          <w:rFonts w:asciiTheme="majorBidi" w:hAnsiTheme="majorBidi"/>
          <w:color w:val="auto"/>
          <w:sz w:val="22"/>
        </w:rPr>
        <w:t xml:space="preserve"> </w:t>
      </w:r>
      <w:bookmarkStart w:id="1543" w:name="_Toc229155990"/>
      <w:bookmarkStart w:id="1544" w:name="_Toc231746988"/>
      <w:bookmarkStart w:id="1545" w:name="_Toc231752394"/>
      <w:bookmarkStart w:id="1546" w:name="_Toc231810697"/>
      <w:bookmarkStart w:id="1547" w:name="_Toc231812040"/>
      <w:bookmarkStart w:id="1548" w:name="_Toc231812318"/>
      <w:bookmarkStart w:id="1549" w:name="_Toc231815202"/>
      <w:r w:rsidR="00D75E60" w:rsidRPr="00E2052F">
        <w:rPr>
          <w:rFonts w:asciiTheme="majorBidi" w:hAnsiTheme="majorBidi"/>
          <w:color w:val="auto"/>
          <w:sz w:val="22"/>
        </w:rPr>
        <w:t>Méthode d’étude :</w:t>
      </w:r>
      <w:bookmarkEnd w:id="1543"/>
      <w:bookmarkEnd w:id="1544"/>
      <w:bookmarkEnd w:id="1545"/>
      <w:bookmarkEnd w:id="1546"/>
      <w:bookmarkEnd w:id="1547"/>
      <w:bookmarkEnd w:id="1548"/>
      <w:bookmarkEnd w:id="1549"/>
    </w:p>
    <w:p w14:paraId="0F40A4D3" w14:textId="77777777" w:rsidR="008C548C" w:rsidRPr="00E2052F" w:rsidRDefault="008C548C" w:rsidP="00D23BF3">
      <w:pPr>
        <w:spacing w:before="0" w:beforeAutospacing="0"/>
        <w:jc w:val="left"/>
        <w:rPr>
          <w:rFonts w:eastAsia="Times New Roman" w:cstheme="majorBidi"/>
          <w:sz w:val="22"/>
          <w:lang w:eastAsia="fr-FR"/>
        </w:rPr>
      </w:pPr>
      <w:r w:rsidRPr="00E2052F">
        <w:rPr>
          <w:rFonts w:eastAsia="Times New Roman" w:cstheme="majorBidi"/>
          <w:sz w:val="22"/>
          <w:lang w:eastAsia="fr-FR"/>
        </w:rPr>
        <w:t>Dans le cadre de notre recherche, nous avons adopté une démarche méthodologique basée à la fois sur l’étude de cas et l’analyse descriptive. L’étude de cas a permis d’examiner de manière approfondie l’entreprise objet de l’étude, en analysant ses pratiques de gouvernance ainsi que leur impact sur la</w:t>
      </w:r>
      <w:r w:rsidR="0071257C" w:rsidRPr="00E2052F">
        <w:rPr>
          <w:rFonts w:eastAsia="Times New Roman" w:cstheme="majorBidi"/>
          <w:sz w:val="22"/>
          <w:lang w:eastAsia="fr-FR"/>
        </w:rPr>
        <w:t xml:space="preserve"> responsabilité sociale des entreprises</w:t>
      </w:r>
      <w:r w:rsidRPr="00E2052F">
        <w:rPr>
          <w:rFonts w:eastAsia="Times New Roman" w:cstheme="majorBidi"/>
          <w:sz w:val="22"/>
          <w:lang w:eastAsia="fr-FR"/>
        </w:rPr>
        <w:t xml:space="preserve">. Cette approche offre une compréhension détaillée du contexte réel de l’entreprise et des relations entre les différentes variables </w:t>
      </w:r>
      <w:r w:rsidR="0071257C" w:rsidRPr="00E2052F">
        <w:rPr>
          <w:rFonts w:eastAsia="Times New Roman" w:cstheme="majorBidi"/>
          <w:sz w:val="22"/>
          <w:lang w:eastAsia="fr-FR"/>
        </w:rPr>
        <w:t>étudiées. Par</w:t>
      </w:r>
      <w:r w:rsidRPr="00E2052F">
        <w:rPr>
          <w:rFonts w:eastAsia="Times New Roman" w:cstheme="majorBidi"/>
          <w:sz w:val="22"/>
          <w:lang w:eastAsia="fr-FR"/>
        </w:rPr>
        <w:t xml:space="preserve"> ailleurs, nous avons </w:t>
      </w:r>
      <w:r w:rsidRPr="00E2052F">
        <w:rPr>
          <w:rFonts w:eastAsia="Times New Roman" w:cstheme="majorBidi"/>
          <w:sz w:val="22"/>
          <w:lang w:eastAsia="fr-FR"/>
        </w:rPr>
        <w:lastRenderedPageBreak/>
        <w:t xml:space="preserve">utilisé l’analyse descriptive, considérée comme l’une des méthodes scientifiques les plus répandues, afin de caractériser les données collectées et d’étudier les variations au sein de l’échantillon. Cette méthode a permis d’identifier les relations existantes entre les variables de recherche et d’interpréter les résultats de manière </w:t>
      </w:r>
      <w:r w:rsidR="0071257C" w:rsidRPr="00E2052F">
        <w:rPr>
          <w:rFonts w:eastAsia="Times New Roman" w:cstheme="majorBidi"/>
          <w:sz w:val="22"/>
          <w:lang w:eastAsia="fr-FR"/>
        </w:rPr>
        <w:t>objective. Pour</w:t>
      </w:r>
      <w:r w:rsidRPr="00E2052F">
        <w:rPr>
          <w:rFonts w:eastAsia="Times New Roman" w:cstheme="majorBidi"/>
          <w:sz w:val="22"/>
          <w:lang w:eastAsia="fr-FR"/>
        </w:rPr>
        <w:t xml:space="preserve"> le traitement et l’analyse des données, nous avons eu recours à la version 27 du logiciel SPSS, ce qui a contribué à garantir la rigueur scientifique, la précision ainsi que la fiabilité des résultats obtenus.</w:t>
      </w:r>
    </w:p>
    <w:p w14:paraId="3DFFECCC" w14:textId="77777777" w:rsidR="00D75E60" w:rsidRPr="00E2052F" w:rsidRDefault="00D75E60" w:rsidP="00D61875">
      <w:pPr>
        <w:pStyle w:val="Titre3"/>
        <w:numPr>
          <w:ilvl w:val="1"/>
          <w:numId w:val="10"/>
        </w:numPr>
        <w:spacing w:before="0" w:beforeAutospacing="0" w:after="160"/>
        <w:rPr>
          <w:rFonts w:asciiTheme="majorBidi" w:hAnsiTheme="majorBidi"/>
          <w:color w:val="auto"/>
          <w:sz w:val="22"/>
        </w:rPr>
      </w:pPr>
      <w:bookmarkStart w:id="1550" w:name="_Toc229155991"/>
      <w:bookmarkStart w:id="1551" w:name="_Toc231746989"/>
      <w:bookmarkStart w:id="1552" w:name="_Toc231752395"/>
      <w:bookmarkStart w:id="1553" w:name="_Toc231810698"/>
      <w:bookmarkStart w:id="1554" w:name="_Toc231812041"/>
      <w:bookmarkStart w:id="1555" w:name="_Toc231812319"/>
      <w:bookmarkStart w:id="1556" w:name="_Toc231815203"/>
      <w:r w:rsidRPr="00E2052F">
        <w:rPr>
          <w:rFonts w:asciiTheme="majorBidi" w:hAnsiTheme="majorBidi"/>
          <w:color w:val="auto"/>
          <w:sz w:val="22"/>
        </w:rPr>
        <w:t>Communauté et échantillon de recherche :</w:t>
      </w:r>
      <w:bookmarkEnd w:id="1550"/>
      <w:bookmarkEnd w:id="1551"/>
      <w:bookmarkEnd w:id="1552"/>
      <w:bookmarkEnd w:id="1553"/>
      <w:bookmarkEnd w:id="1554"/>
      <w:bookmarkEnd w:id="1555"/>
      <w:bookmarkEnd w:id="1556"/>
    </w:p>
    <w:p w14:paraId="1E2C2627" w14:textId="77777777" w:rsidR="00AF522A" w:rsidRPr="00E2052F" w:rsidRDefault="006A05AE" w:rsidP="00D23BF3">
      <w:pPr>
        <w:spacing w:before="0" w:beforeAutospacing="0"/>
        <w:rPr>
          <w:rFonts w:cstheme="majorBidi"/>
          <w:sz w:val="22"/>
        </w:rPr>
      </w:pPr>
      <w:r w:rsidRPr="00E2052F">
        <w:rPr>
          <w:rFonts w:cstheme="majorBidi"/>
          <w:sz w:val="22"/>
        </w:rPr>
        <w:t>La communauté d’étude ou la communauté statistique désigne "La somme des unités statistiques à étudier et les caractéristiques exactes de la communauté statistique, où elles peuvent être distinguées des autres unités qui se trouvent dans une autre société, en d’autres termes, c’est le groupe d’unités statistiques impliquées dans la fonction de base du chercheur dans son étude, qui varie en fonction du problème ou de la situation ".</w:t>
      </w:r>
      <w:r w:rsidRPr="00E2052F">
        <w:rPr>
          <w:rStyle w:val="Appelnotedebasdep"/>
          <w:rFonts w:cstheme="majorBidi"/>
          <w:sz w:val="22"/>
        </w:rPr>
        <w:footnoteReference w:id="281"/>
      </w:r>
    </w:p>
    <w:p w14:paraId="1EC06A0E" w14:textId="77777777" w:rsidR="00A0711D" w:rsidRPr="00E2052F" w:rsidRDefault="00A0711D" w:rsidP="00D23BF3">
      <w:pPr>
        <w:spacing w:before="0" w:beforeAutospacing="0"/>
        <w:rPr>
          <w:rFonts w:cstheme="majorBidi"/>
          <w:sz w:val="22"/>
        </w:rPr>
      </w:pPr>
      <w:r w:rsidRPr="00E2052F">
        <w:rPr>
          <w:rFonts w:cstheme="majorBidi"/>
          <w:sz w:val="22"/>
        </w:rPr>
        <w:t>Dans le cadre de cette recherche, l’étude empirique a été réalisée au sein de Tayal SPA, dont l’effectif global s’élève à 4022 employés. Étant donné que cette étude s’inscrit dans une perspective stratégique, le choix de l’échantillon s’est porté exclusivement sur le personnel de direction, considéré comme le plus pertinent pour appréhender les mécanismes de gouvernance et leur influence sur la responsabilité sociale de l’entreprise.</w:t>
      </w:r>
    </w:p>
    <w:p w14:paraId="56B1644A" w14:textId="77777777" w:rsidR="00A0711D" w:rsidRPr="00E2052F" w:rsidRDefault="00A0711D" w:rsidP="00D23BF3">
      <w:pPr>
        <w:spacing w:before="0" w:beforeAutospacing="0"/>
        <w:rPr>
          <w:rFonts w:cstheme="majorBidi"/>
          <w:sz w:val="22"/>
        </w:rPr>
      </w:pPr>
      <w:r w:rsidRPr="00E2052F">
        <w:rPr>
          <w:rFonts w:cstheme="majorBidi"/>
          <w:sz w:val="22"/>
        </w:rPr>
        <w:t>Ainsi, le questionnaire a été administré auprès de l’ensemble des cadres supérieurs</w:t>
      </w:r>
      <w:r w:rsidR="007A3747" w:rsidRPr="00E2052F">
        <w:rPr>
          <w:rFonts w:cstheme="majorBidi"/>
          <w:sz w:val="22"/>
        </w:rPr>
        <w:t>, dont le nombre total de questionnaires distribués pour collecter les données de l'étude est de 302, avec 1 formulaires qui n'a pas été complètement répondus et 1 qui n'a pas été obtenus</w:t>
      </w:r>
      <w:r w:rsidRPr="00E2052F">
        <w:rPr>
          <w:rFonts w:cstheme="majorBidi"/>
          <w:sz w:val="22"/>
        </w:rPr>
        <w:t>. Cette démarche vise à collecter des informations fiables auprès d’acteurs directement impliqués dans les processus décisionnels et stratégiques de l’</w:t>
      </w:r>
      <w:r w:rsidR="00C9001C" w:rsidRPr="00E2052F">
        <w:rPr>
          <w:rFonts w:cstheme="majorBidi"/>
          <w:sz w:val="22"/>
        </w:rPr>
        <w:t>organisation, Alors l’échantillon de notre étude est 300.</w:t>
      </w:r>
    </w:p>
    <w:p w14:paraId="6E61567A" w14:textId="77777777" w:rsidR="00804C85" w:rsidRPr="00E2052F" w:rsidRDefault="00C26EA4" w:rsidP="00333999">
      <w:pPr>
        <w:spacing w:before="0" w:beforeAutospacing="0"/>
        <w:rPr>
          <w:rFonts w:cstheme="majorBidi"/>
          <w:b/>
          <w:bCs/>
          <w:sz w:val="22"/>
        </w:rPr>
      </w:pPr>
      <w:r w:rsidRPr="00E2052F">
        <w:rPr>
          <w:rFonts w:cstheme="majorBidi"/>
          <w:b/>
          <w:bCs/>
          <w:sz w:val="22"/>
          <w:u w:val="single"/>
        </w:rPr>
        <w:t>Tableau 0</w:t>
      </w:r>
      <w:r w:rsidR="009A559A" w:rsidRPr="00E2052F">
        <w:rPr>
          <w:rFonts w:cstheme="majorBidi"/>
          <w:b/>
          <w:bCs/>
          <w:sz w:val="22"/>
          <w:u w:val="single"/>
        </w:rPr>
        <w:t>9</w:t>
      </w:r>
      <w:r w:rsidR="00722030" w:rsidRPr="00E2052F">
        <w:rPr>
          <w:rFonts w:cstheme="majorBidi"/>
          <w:b/>
          <w:bCs/>
          <w:sz w:val="22"/>
          <w:u w:val="single"/>
        </w:rPr>
        <w:t xml:space="preserve"> :</w:t>
      </w:r>
      <w:r w:rsidR="00722030" w:rsidRPr="00E2052F">
        <w:rPr>
          <w:rFonts w:cstheme="majorBidi"/>
          <w:sz w:val="22"/>
        </w:rPr>
        <w:t xml:space="preserve"> </w:t>
      </w:r>
      <w:r w:rsidR="00722030" w:rsidRPr="00E2052F">
        <w:rPr>
          <w:rFonts w:cstheme="majorBidi"/>
          <w:b/>
          <w:bCs/>
          <w:sz w:val="22"/>
        </w:rPr>
        <w:t>Statistiques sur les questionnaires distribués, perdus ou rejetés au sein des entreprises enquêtées.</w:t>
      </w:r>
    </w:p>
    <w:tbl>
      <w:tblPr>
        <w:tblStyle w:val="Grilledutableau"/>
        <w:tblW w:w="9072" w:type="dxa"/>
        <w:tblLook w:val="04A0" w:firstRow="1" w:lastRow="0" w:firstColumn="1" w:lastColumn="0" w:noHBand="0" w:noVBand="1"/>
      </w:tblPr>
      <w:tblGrid>
        <w:gridCol w:w="3072"/>
        <w:gridCol w:w="2968"/>
        <w:gridCol w:w="3032"/>
      </w:tblGrid>
      <w:tr w:rsidR="00804C85" w:rsidRPr="00E2052F" w14:paraId="3D31A513" w14:textId="77777777" w:rsidTr="00B679BA">
        <w:tc>
          <w:tcPr>
            <w:tcW w:w="3398" w:type="dxa"/>
            <w:shd w:val="clear" w:color="auto" w:fill="D9E2F3" w:themeFill="accent1" w:themeFillTint="33"/>
          </w:tcPr>
          <w:p w14:paraId="273F803B" w14:textId="77777777" w:rsidR="00804C85" w:rsidRPr="00E2052F" w:rsidRDefault="00804C85" w:rsidP="00333999">
            <w:pPr>
              <w:spacing w:before="0" w:beforeAutospacing="0"/>
              <w:ind w:firstLine="0"/>
              <w:rPr>
                <w:rFonts w:cstheme="majorBidi"/>
                <w:sz w:val="22"/>
              </w:rPr>
            </w:pPr>
          </w:p>
        </w:tc>
        <w:tc>
          <w:tcPr>
            <w:tcW w:w="3398" w:type="dxa"/>
            <w:shd w:val="clear" w:color="auto" w:fill="D9E2F3" w:themeFill="accent1" w:themeFillTint="33"/>
          </w:tcPr>
          <w:p w14:paraId="4A271F4A" w14:textId="77777777" w:rsidR="00804C85" w:rsidRPr="00E2052F" w:rsidRDefault="00804C85" w:rsidP="00333999">
            <w:pPr>
              <w:spacing w:before="0" w:beforeAutospacing="0"/>
              <w:ind w:firstLine="0"/>
              <w:jc w:val="center"/>
              <w:rPr>
                <w:rFonts w:cstheme="majorBidi"/>
                <w:sz w:val="22"/>
              </w:rPr>
            </w:pPr>
            <w:r w:rsidRPr="00E2052F">
              <w:rPr>
                <w:rFonts w:cstheme="majorBidi"/>
                <w:sz w:val="22"/>
              </w:rPr>
              <w:t>Nombre</w:t>
            </w:r>
          </w:p>
        </w:tc>
        <w:tc>
          <w:tcPr>
            <w:tcW w:w="3398" w:type="dxa"/>
            <w:shd w:val="clear" w:color="auto" w:fill="D9E2F3" w:themeFill="accent1" w:themeFillTint="33"/>
          </w:tcPr>
          <w:p w14:paraId="59E83B23" w14:textId="77777777" w:rsidR="00804C85" w:rsidRPr="00E2052F" w:rsidRDefault="00804C85" w:rsidP="00333999">
            <w:pPr>
              <w:spacing w:before="0" w:beforeAutospacing="0"/>
              <w:ind w:firstLine="0"/>
              <w:jc w:val="center"/>
              <w:rPr>
                <w:rFonts w:cstheme="majorBidi"/>
                <w:sz w:val="22"/>
              </w:rPr>
            </w:pPr>
            <w:r w:rsidRPr="00E2052F">
              <w:rPr>
                <w:rFonts w:cstheme="majorBidi"/>
                <w:sz w:val="22"/>
              </w:rPr>
              <w:t>Pourcentage</w:t>
            </w:r>
          </w:p>
        </w:tc>
      </w:tr>
      <w:tr w:rsidR="00804C85" w:rsidRPr="00E2052F" w14:paraId="3F999303" w14:textId="77777777" w:rsidTr="00B679BA">
        <w:tc>
          <w:tcPr>
            <w:tcW w:w="3398" w:type="dxa"/>
            <w:shd w:val="clear" w:color="auto" w:fill="D9E2F3" w:themeFill="accent1" w:themeFillTint="33"/>
          </w:tcPr>
          <w:p w14:paraId="3496B14E" w14:textId="77777777" w:rsidR="00804C85" w:rsidRPr="00E2052F" w:rsidRDefault="00804C85" w:rsidP="00333999">
            <w:pPr>
              <w:spacing w:before="0" w:beforeAutospacing="0"/>
              <w:ind w:firstLine="0"/>
              <w:rPr>
                <w:rFonts w:cstheme="majorBidi"/>
                <w:sz w:val="22"/>
              </w:rPr>
            </w:pPr>
            <w:r w:rsidRPr="00E2052F">
              <w:rPr>
                <w:rFonts w:cstheme="majorBidi"/>
                <w:sz w:val="22"/>
              </w:rPr>
              <w:t>Questionnaires distribués</w:t>
            </w:r>
          </w:p>
        </w:tc>
        <w:tc>
          <w:tcPr>
            <w:tcW w:w="3398" w:type="dxa"/>
          </w:tcPr>
          <w:p w14:paraId="141CCA4A"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302</w:t>
            </w:r>
          </w:p>
        </w:tc>
        <w:tc>
          <w:tcPr>
            <w:tcW w:w="3398" w:type="dxa"/>
          </w:tcPr>
          <w:p w14:paraId="2F894144" w14:textId="77777777" w:rsidR="00804C85" w:rsidRPr="00E2052F" w:rsidRDefault="00804C85" w:rsidP="00333999">
            <w:pPr>
              <w:spacing w:before="0" w:beforeAutospacing="0"/>
              <w:ind w:firstLine="0"/>
              <w:jc w:val="center"/>
              <w:rPr>
                <w:rFonts w:cstheme="majorBidi"/>
                <w:sz w:val="22"/>
              </w:rPr>
            </w:pPr>
            <w:r w:rsidRPr="00E2052F">
              <w:rPr>
                <w:rFonts w:cstheme="majorBidi"/>
                <w:sz w:val="22"/>
              </w:rPr>
              <w:t>100%</w:t>
            </w:r>
          </w:p>
        </w:tc>
      </w:tr>
      <w:tr w:rsidR="00804C85" w:rsidRPr="00E2052F" w14:paraId="05E88C8B" w14:textId="77777777" w:rsidTr="00B679BA">
        <w:tc>
          <w:tcPr>
            <w:tcW w:w="3398" w:type="dxa"/>
            <w:shd w:val="clear" w:color="auto" w:fill="D9E2F3" w:themeFill="accent1" w:themeFillTint="33"/>
          </w:tcPr>
          <w:p w14:paraId="01A9B49B" w14:textId="77777777" w:rsidR="00804C85" w:rsidRPr="00E2052F" w:rsidRDefault="00804C85" w:rsidP="00333999">
            <w:pPr>
              <w:spacing w:before="0" w:beforeAutospacing="0"/>
              <w:ind w:firstLine="0"/>
              <w:rPr>
                <w:rFonts w:cstheme="majorBidi"/>
                <w:sz w:val="22"/>
              </w:rPr>
            </w:pPr>
            <w:r w:rsidRPr="00E2052F">
              <w:rPr>
                <w:rFonts w:cstheme="majorBidi"/>
                <w:sz w:val="22"/>
              </w:rPr>
              <w:t>Questionnaires refusé</w:t>
            </w:r>
          </w:p>
        </w:tc>
        <w:tc>
          <w:tcPr>
            <w:tcW w:w="3398" w:type="dxa"/>
          </w:tcPr>
          <w:p w14:paraId="668261F8"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1</w:t>
            </w:r>
          </w:p>
        </w:tc>
        <w:tc>
          <w:tcPr>
            <w:tcW w:w="3398" w:type="dxa"/>
          </w:tcPr>
          <w:p w14:paraId="32F541C2"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0,33</w:t>
            </w:r>
            <w:r w:rsidR="00804C85" w:rsidRPr="00E2052F">
              <w:rPr>
                <w:rFonts w:cstheme="majorBidi"/>
                <w:sz w:val="22"/>
              </w:rPr>
              <w:t>%</w:t>
            </w:r>
          </w:p>
        </w:tc>
      </w:tr>
      <w:tr w:rsidR="00804C85" w:rsidRPr="00E2052F" w14:paraId="0A102DB2" w14:textId="77777777" w:rsidTr="00B679BA">
        <w:tc>
          <w:tcPr>
            <w:tcW w:w="3398" w:type="dxa"/>
            <w:shd w:val="clear" w:color="auto" w:fill="D9E2F3" w:themeFill="accent1" w:themeFillTint="33"/>
          </w:tcPr>
          <w:p w14:paraId="45645489" w14:textId="77777777" w:rsidR="00804C85" w:rsidRPr="00E2052F" w:rsidRDefault="00804C85" w:rsidP="00333999">
            <w:pPr>
              <w:spacing w:before="0" w:beforeAutospacing="0"/>
              <w:ind w:firstLine="0"/>
              <w:rPr>
                <w:rFonts w:cstheme="majorBidi"/>
                <w:sz w:val="22"/>
              </w:rPr>
            </w:pPr>
            <w:r w:rsidRPr="00E2052F">
              <w:rPr>
                <w:rFonts w:cstheme="majorBidi"/>
                <w:sz w:val="22"/>
              </w:rPr>
              <w:t>Questionnaires perdus</w:t>
            </w:r>
          </w:p>
        </w:tc>
        <w:tc>
          <w:tcPr>
            <w:tcW w:w="3398" w:type="dxa"/>
          </w:tcPr>
          <w:p w14:paraId="350BF3C5"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1</w:t>
            </w:r>
          </w:p>
        </w:tc>
        <w:tc>
          <w:tcPr>
            <w:tcW w:w="3398" w:type="dxa"/>
          </w:tcPr>
          <w:p w14:paraId="2693AAE7"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0,33</w:t>
            </w:r>
            <w:r w:rsidR="00722030" w:rsidRPr="00E2052F">
              <w:rPr>
                <w:rFonts w:cstheme="majorBidi"/>
                <w:sz w:val="22"/>
              </w:rPr>
              <w:t>%</w:t>
            </w:r>
          </w:p>
        </w:tc>
      </w:tr>
      <w:tr w:rsidR="00804C85" w:rsidRPr="00E2052F" w14:paraId="7CE911AB" w14:textId="77777777" w:rsidTr="00B679BA">
        <w:tc>
          <w:tcPr>
            <w:tcW w:w="3398" w:type="dxa"/>
            <w:shd w:val="clear" w:color="auto" w:fill="D9E2F3" w:themeFill="accent1" w:themeFillTint="33"/>
          </w:tcPr>
          <w:p w14:paraId="29B5CDF9" w14:textId="77777777" w:rsidR="00804C85" w:rsidRPr="00E2052F" w:rsidRDefault="00804C85" w:rsidP="00333999">
            <w:pPr>
              <w:spacing w:before="0" w:beforeAutospacing="0"/>
              <w:ind w:firstLine="0"/>
              <w:rPr>
                <w:rFonts w:cstheme="majorBidi"/>
                <w:sz w:val="22"/>
              </w:rPr>
            </w:pPr>
            <w:r w:rsidRPr="00E2052F">
              <w:rPr>
                <w:rFonts w:cstheme="majorBidi"/>
                <w:sz w:val="22"/>
              </w:rPr>
              <w:t>Questionnaires étudiées</w:t>
            </w:r>
          </w:p>
        </w:tc>
        <w:tc>
          <w:tcPr>
            <w:tcW w:w="3398" w:type="dxa"/>
          </w:tcPr>
          <w:p w14:paraId="3EAB87CC" w14:textId="77777777" w:rsidR="00804C85" w:rsidRPr="00E2052F" w:rsidRDefault="00804C85" w:rsidP="00333999">
            <w:pPr>
              <w:spacing w:before="0" w:beforeAutospacing="0"/>
              <w:ind w:firstLine="0"/>
              <w:jc w:val="center"/>
              <w:rPr>
                <w:rFonts w:cstheme="majorBidi"/>
                <w:sz w:val="22"/>
              </w:rPr>
            </w:pPr>
            <w:r w:rsidRPr="00E2052F">
              <w:rPr>
                <w:rFonts w:cstheme="majorBidi"/>
                <w:sz w:val="22"/>
              </w:rPr>
              <w:t>300</w:t>
            </w:r>
          </w:p>
        </w:tc>
        <w:tc>
          <w:tcPr>
            <w:tcW w:w="3398" w:type="dxa"/>
          </w:tcPr>
          <w:p w14:paraId="55857BBE" w14:textId="77777777" w:rsidR="00804C85" w:rsidRPr="00E2052F" w:rsidRDefault="00755160" w:rsidP="00333999">
            <w:pPr>
              <w:spacing w:before="0" w:beforeAutospacing="0"/>
              <w:ind w:firstLine="0"/>
              <w:jc w:val="center"/>
              <w:rPr>
                <w:rFonts w:cstheme="majorBidi"/>
                <w:sz w:val="22"/>
              </w:rPr>
            </w:pPr>
            <w:r w:rsidRPr="00E2052F">
              <w:rPr>
                <w:rFonts w:cstheme="majorBidi"/>
                <w:sz w:val="22"/>
              </w:rPr>
              <w:t>99,33</w:t>
            </w:r>
            <w:r w:rsidR="00722030" w:rsidRPr="00E2052F">
              <w:rPr>
                <w:rFonts w:cstheme="majorBidi"/>
                <w:sz w:val="22"/>
              </w:rPr>
              <w:t>%</w:t>
            </w:r>
          </w:p>
        </w:tc>
      </w:tr>
    </w:tbl>
    <w:p w14:paraId="1457D1AC" w14:textId="77777777" w:rsidR="00804C85" w:rsidRPr="00E2052F" w:rsidRDefault="00722030" w:rsidP="00333999">
      <w:pPr>
        <w:spacing w:before="0" w:beforeAutospacing="0" w:line="240" w:lineRule="auto"/>
        <w:jc w:val="center"/>
        <w:rPr>
          <w:rFonts w:cstheme="majorBidi"/>
          <w:sz w:val="22"/>
        </w:rPr>
      </w:pPr>
      <w:r w:rsidRPr="00E2052F">
        <w:rPr>
          <w:rFonts w:cstheme="majorBidi"/>
          <w:b/>
          <w:bCs/>
          <w:sz w:val="22"/>
        </w:rPr>
        <w:t>Source :</w:t>
      </w:r>
      <w:r w:rsidR="000036D1">
        <w:rPr>
          <w:rFonts w:cstheme="majorBidi"/>
          <w:sz w:val="22"/>
        </w:rPr>
        <w:t xml:space="preserve"> établi</w:t>
      </w:r>
      <w:r w:rsidRPr="00E2052F">
        <w:rPr>
          <w:rFonts w:cstheme="majorBidi"/>
          <w:sz w:val="22"/>
        </w:rPr>
        <w:t xml:space="preserve"> par nous-même.</w:t>
      </w:r>
    </w:p>
    <w:p w14:paraId="08137367" w14:textId="77777777" w:rsidR="00D75E60" w:rsidRPr="00E2052F" w:rsidRDefault="00D75E60" w:rsidP="00C8480E">
      <w:pPr>
        <w:pStyle w:val="Titre2"/>
        <w:numPr>
          <w:ilvl w:val="0"/>
          <w:numId w:val="10"/>
        </w:numPr>
      </w:pPr>
      <w:bookmarkStart w:id="1557" w:name="_Toc229155992"/>
      <w:bookmarkStart w:id="1558" w:name="_Toc231746990"/>
      <w:bookmarkStart w:id="1559" w:name="_Toc231752396"/>
      <w:bookmarkStart w:id="1560" w:name="_Toc231810699"/>
      <w:bookmarkStart w:id="1561" w:name="_Toc231812042"/>
      <w:bookmarkStart w:id="1562" w:name="_Toc231812320"/>
      <w:bookmarkStart w:id="1563" w:name="_Toc231815204"/>
      <w:r w:rsidRPr="00E2052F">
        <w:lastRenderedPageBreak/>
        <w:t>Outils de collecte de données et méthodes de traitement statistique :</w:t>
      </w:r>
      <w:bookmarkEnd w:id="1557"/>
      <w:bookmarkEnd w:id="1558"/>
      <w:bookmarkEnd w:id="1559"/>
      <w:bookmarkEnd w:id="1560"/>
      <w:bookmarkEnd w:id="1561"/>
      <w:bookmarkEnd w:id="1562"/>
      <w:bookmarkEnd w:id="1563"/>
    </w:p>
    <w:p w14:paraId="6D3EE792" w14:textId="77777777" w:rsidR="00D75E60" w:rsidRPr="00E2052F" w:rsidRDefault="00D75E60" w:rsidP="00D23BF3">
      <w:pPr>
        <w:spacing w:before="0" w:beforeAutospacing="0"/>
        <w:rPr>
          <w:rFonts w:cstheme="majorBidi"/>
          <w:sz w:val="22"/>
        </w:rPr>
      </w:pPr>
      <w:r w:rsidRPr="00E2052F">
        <w:rPr>
          <w:rFonts w:cstheme="majorBidi"/>
          <w:sz w:val="22"/>
        </w:rPr>
        <w:t>Des outils méthodologiques ont été mobilisés pour recueillir et analyser les données issues de l’échantillon, dans le but d’examiner la formulation, la clarté et l’efficacité du questionnaire utilisé dans cette recherche.</w:t>
      </w:r>
    </w:p>
    <w:p w14:paraId="2146ABE0" w14:textId="77777777" w:rsidR="00D75E60" w:rsidRPr="00E2052F" w:rsidRDefault="00D75E60" w:rsidP="00D61875">
      <w:pPr>
        <w:pStyle w:val="Titre3"/>
        <w:numPr>
          <w:ilvl w:val="2"/>
          <w:numId w:val="13"/>
        </w:numPr>
        <w:spacing w:before="0" w:beforeAutospacing="0" w:after="160"/>
        <w:ind w:left="641" w:hanging="357"/>
        <w:rPr>
          <w:rFonts w:asciiTheme="majorBidi" w:hAnsiTheme="majorBidi"/>
          <w:color w:val="auto"/>
          <w:sz w:val="22"/>
        </w:rPr>
      </w:pPr>
      <w:bookmarkStart w:id="1564" w:name="_Toc229155993"/>
      <w:bookmarkStart w:id="1565" w:name="_Toc231746991"/>
      <w:bookmarkStart w:id="1566" w:name="_Toc231752397"/>
      <w:bookmarkStart w:id="1567" w:name="_Toc231810700"/>
      <w:bookmarkStart w:id="1568" w:name="_Toc231812043"/>
      <w:bookmarkStart w:id="1569" w:name="_Toc231812321"/>
      <w:bookmarkStart w:id="1570" w:name="_Toc231815205"/>
      <w:r w:rsidRPr="00E2052F">
        <w:rPr>
          <w:rFonts w:asciiTheme="majorBidi" w:hAnsiTheme="majorBidi"/>
          <w:color w:val="auto"/>
          <w:sz w:val="22"/>
        </w:rPr>
        <w:t>Outils de collecte de données de la recherche :</w:t>
      </w:r>
      <w:bookmarkEnd w:id="1564"/>
      <w:bookmarkEnd w:id="1565"/>
      <w:bookmarkEnd w:id="1566"/>
      <w:bookmarkEnd w:id="1567"/>
      <w:bookmarkEnd w:id="1568"/>
      <w:bookmarkEnd w:id="1569"/>
      <w:bookmarkEnd w:id="1570"/>
    </w:p>
    <w:p w14:paraId="2F3C7024" w14:textId="77777777" w:rsidR="00D75E60" w:rsidRPr="00E2052F" w:rsidRDefault="00D75E60" w:rsidP="00D61875">
      <w:pPr>
        <w:pStyle w:val="Titre4"/>
        <w:numPr>
          <w:ilvl w:val="2"/>
          <w:numId w:val="11"/>
        </w:numPr>
        <w:spacing w:before="0" w:beforeAutospacing="0" w:after="160"/>
        <w:rPr>
          <w:rFonts w:asciiTheme="majorBidi" w:hAnsiTheme="majorBidi"/>
          <w:i w:val="0"/>
          <w:iCs w:val="0"/>
          <w:color w:val="auto"/>
          <w:sz w:val="22"/>
        </w:rPr>
      </w:pPr>
      <w:bookmarkStart w:id="1571" w:name="_Toc229155994"/>
      <w:bookmarkStart w:id="1572" w:name="_Toc231746992"/>
      <w:bookmarkStart w:id="1573" w:name="_Toc231752398"/>
      <w:bookmarkStart w:id="1574" w:name="_Toc231810701"/>
      <w:bookmarkStart w:id="1575" w:name="_Toc231812044"/>
      <w:bookmarkStart w:id="1576" w:name="_Toc231812322"/>
      <w:bookmarkStart w:id="1577" w:name="_Toc231815206"/>
      <w:r w:rsidRPr="00E2052F">
        <w:rPr>
          <w:rFonts w:asciiTheme="majorBidi" w:hAnsiTheme="majorBidi"/>
          <w:i w:val="0"/>
          <w:iCs w:val="0"/>
          <w:color w:val="auto"/>
          <w:sz w:val="22"/>
        </w:rPr>
        <w:t>Le questionnaire :</w:t>
      </w:r>
      <w:bookmarkEnd w:id="1571"/>
      <w:bookmarkEnd w:id="1572"/>
      <w:bookmarkEnd w:id="1573"/>
      <w:bookmarkEnd w:id="1574"/>
      <w:bookmarkEnd w:id="1575"/>
      <w:bookmarkEnd w:id="1576"/>
      <w:bookmarkEnd w:id="1577"/>
    </w:p>
    <w:p w14:paraId="3CA6DEA9" w14:textId="77777777" w:rsidR="00D75E60" w:rsidRPr="00E2052F" w:rsidRDefault="00D75E60" w:rsidP="00D23BF3">
      <w:pPr>
        <w:spacing w:before="0" w:beforeAutospacing="0"/>
        <w:rPr>
          <w:rFonts w:cstheme="majorBidi"/>
          <w:sz w:val="22"/>
        </w:rPr>
      </w:pPr>
      <w:r w:rsidRPr="00E2052F">
        <w:rPr>
          <w:rFonts w:cstheme="majorBidi"/>
          <w:sz w:val="22"/>
        </w:rPr>
        <w:t xml:space="preserve">Le </w:t>
      </w:r>
      <w:r w:rsidRPr="00E2052F">
        <w:rPr>
          <w:rStyle w:val="lev"/>
          <w:rFonts w:cstheme="majorBidi"/>
          <w:b w:val="0"/>
          <w:bCs w:val="0"/>
          <w:sz w:val="22"/>
        </w:rPr>
        <w:t>questionnaire</w:t>
      </w:r>
      <w:r w:rsidRPr="00E2052F">
        <w:rPr>
          <w:rFonts w:cstheme="majorBidi"/>
          <w:sz w:val="22"/>
        </w:rPr>
        <w:t xml:space="preserve"> est un outil fondamental de collecte de données en recherche scientifique, qui permet d’obtenir des informations de manière structurée auprès des répondants. Selon ANGERS M. « technique directe pour interroger les individus ».Tandis que JAVEAU C. précise que «le questionnaire est un document sur lequel sont notés les réponses sur les réactions d’un sujet déterminé ». Il se présente donc sous la forme d’un formulaire structuré de questions, destiné à un public ciblé, permettant de recueillir des données fiables. La réussite de cette méthode dépend de la maîtrise méthodologique du chercheur, qui doit concevoir un questionnaire clair et adapté aux objectifs de l’étude.</w:t>
      </w:r>
      <w:r w:rsidRPr="00E2052F">
        <w:rPr>
          <w:rStyle w:val="Appelnotedebasdep"/>
          <w:rFonts w:cstheme="majorBidi"/>
          <w:sz w:val="22"/>
        </w:rPr>
        <w:footnoteReference w:id="282"/>
      </w:r>
    </w:p>
    <w:p w14:paraId="68B8BB1B" w14:textId="77777777" w:rsidR="00D75E60" w:rsidRPr="00E2052F" w:rsidRDefault="00D75E60" w:rsidP="00D61875">
      <w:pPr>
        <w:pStyle w:val="Titre4"/>
        <w:numPr>
          <w:ilvl w:val="2"/>
          <w:numId w:val="11"/>
        </w:numPr>
        <w:spacing w:before="0" w:beforeAutospacing="0" w:after="160"/>
        <w:rPr>
          <w:rFonts w:asciiTheme="majorBidi" w:hAnsiTheme="majorBidi"/>
          <w:i w:val="0"/>
          <w:iCs w:val="0"/>
          <w:color w:val="auto"/>
          <w:sz w:val="22"/>
        </w:rPr>
      </w:pPr>
      <w:bookmarkStart w:id="1578" w:name="_Toc229155995"/>
      <w:bookmarkStart w:id="1579" w:name="_Toc231746993"/>
      <w:bookmarkStart w:id="1580" w:name="_Toc231752399"/>
      <w:bookmarkStart w:id="1581" w:name="_Toc231810702"/>
      <w:bookmarkStart w:id="1582" w:name="_Toc231812045"/>
      <w:bookmarkStart w:id="1583" w:name="_Toc231812323"/>
      <w:bookmarkStart w:id="1584" w:name="_Toc231815207"/>
      <w:r w:rsidRPr="00E2052F">
        <w:rPr>
          <w:rFonts w:asciiTheme="majorBidi" w:hAnsiTheme="majorBidi"/>
          <w:i w:val="0"/>
          <w:iCs w:val="0"/>
          <w:color w:val="auto"/>
          <w:sz w:val="22"/>
        </w:rPr>
        <w:t>Structure du questionnaire :</w:t>
      </w:r>
      <w:bookmarkEnd w:id="1578"/>
      <w:bookmarkEnd w:id="1579"/>
      <w:bookmarkEnd w:id="1580"/>
      <w:bookmarkEnd w:id="1581"/>
      <w:bookmarkEnd w:id="1582"/>
      <w:bookmarkEnd w:id="1583"/>
      <w:bookmarkEnd w:id="1584"/>
    </w:p>
    <w:p w14:paraId="11EEE01D" w14:textId="77777777" w:rsidR="00D75E60" w:rsidRPr="00E2052F" w:rsidRDefault="00D75E60" w:rsidP="00D23BF3">
      <w:pPr>
        <w:spacing w:before="0" w:beforeAutospacing="0"/>
        <w:rPr>
          <w:rFonts w:eastAsia="Times New Roman" w:cstheme="majorBidi"/>
          <w:sz w:val="22"/>
          <w:lang w:eastAsia="fr-FR"/>
        </w:rPr>
      </w:pPr>
      <w:r w:rsidRPr="00E2052F">
        <w:rPr>
          <w:rFonts w:eastAsia="Times New Roman" w:cstheme="majorBidi"/>
          <w:sz w:val="22"/>
          <w:lang w:eastAsia="fr-FR"/>
        </w:rPr>
        <w:t>Le questionnaire de recherche est structuré autour de deux axes principaux : le premier porte sur la variable indépendante, relative aux principes de la gouvernance d’entreprise, tandis que le second concerne la variable dépendante, à savoir la responsabilité sociale des entreprises.</w:t>
      </w:r>
    </w:p>
    <w:p w14:paraId="14188231" w14:textId="77777777" w:rsidR="00D75E60" w:rsidRPr="00E2052F" w:rsidRDefault="00D75E60" w:rsidP="00D61875">
      <w:pPr>
        <w:pStyle w:val="Paragraphedeliste"/>
        <w:numPr>
          <w:ilvl w:val="0"/>
          <w:numId w:val="12"/>
        </w:numPr>
        <w:spacing w:before="0" w:beforeAutospacing="0"/>
        <w:rPr>
          <w:rFonts w:cstheme="majorBidi"/>
          <w:sz w:val="22"/>
        </w:rPr>
      </w:pPr>
      <w:r w:rsidRPr="00E2052F">
        <w:rPr>
          <w:rFonts w:cstheme="majorBidi"/>
          <w:sz w:val="22"/>
        </w:rPr>
        <w:t>Les différentes parties du questionnaire et ses destinataires :</w:t>
      </w:r>
    </w:p>
    <w:p w14:paraId="0B475A7C" w14:textId="77777777" w:rsidR="00D75E60" w:rsidRPr="00E2052F" w:rsidRDefault="00D75E60" w:rsidP="00D23BF3">
      <w:pPr>
        <w:spacing w:before="0" w:beforeAutospacing="0"/>
        <w:rPr>
          <w:rFonts w:cstheme="majorBidi"/>
          <w:sz w:val="22"/>
        </w:rPr>
      </w:pPr>
      <w:r w:rsidRPr="00E2052F">
        <w:rPr>
          <w:rFonts w:cstheme="majorBidi"/>
          <w:sz w:val="22"/>
        </w:rPr>
        <w:t>Le questionnaire conçu se compose de trois parties :</w:t>
      </w:r>
    </w:p>
    <w:p w14:paraId="4B6701DD" w14:textId="77777777" w:rsidR="00D75E60" w:rsidRPr="00E2052F" w:rsidRDefault="00D75E60" w:rsidP="00D23BF3">
      <w:pPr>
        <w:spacing w:before="0" w:beforeAutospacing="0"/>
        <w:rPr>
          <w:rFonts w:cstheme="majorBidi"/>
          <w:sz w:val="22"/>
        </w:rPr>
      </w:pPr>
      <w:r w:rsidRPr="00E2052F">
        <w:rPr>
          <w:rFonts w:cstheme="majorBidi"/>
          <w:b/>
          <w:bCs/>
          <w:sz w:val="22"/>
        </w:rPr>
        <w:t>Partie01 :</w:t>
      </w:r>
      <w:r w:rsidRPr="00E2052F">
        <w:rPr>
          <w:rFonts w:cstheme="majorBidi"/>
          <w:sz w:val="22"/>
        </w:rPr>
        <w:t xml:space="preserve"> La première partie comprend : Les facteurs personnels des employés de l'entreprise, comprenaient : le sexe, l’âge, le niveau d’étude, le domaine d’étude, le poste actuel et l’expérience professionnelle.</w:t>
      </w:r>
    </w:p>
    <w:p w14:paraId="49BF6BAD" w14:textId="77777777" w:rsidR="00D75E60" w:rsidRPr="00E2052F" w:rsidRDefault="00D75E60" w:rsidP="00D23BF3">
      <w:pPr>
        <w:spacing w:before="0" w:beforeAutospacing="0"/>
        <w:rPr>
          <w:rFonts w:cstheme="majorBidi"/>
          <w:sz w:val="22"/>
        </w:rPr>
      </w:pPr>
      <w:r w:rsidRPr="00E2052F">
        <w:rPr>
          <w:rFonts w:cstheme="majorBidi"/>
          <w:sz w:val="22"/>
        </w:rPr>
        <w:t xml:space="preserve">Les questions des deuxième et troisième parties sont conçues pour recueillir des réponses sur une échelle graduée allant de « tout à fait d’accord » à « pas du tout d’accord », avec une option neutre intermédiaire. Les répondants peuvent également sélectionner plusieurs propositions afin d’exprimer précisément leur degré d’accord ou de désaccord. La majorité des réponses a été collectée selon l’échelle de type </w:t>
      </w:r>
      <w:r w:rsidRPr="00E2052F">
        <w:rPr>
          <w:rStyle w:val="lev"/>
          <w:rFonts w:cstheme="majorBidi"/>
          <w:b w:val="0"/>
          <w:bCs w:val="0"/>
          <w:sz w:val="22"/>
        </w:rPr>
        <w:t>LICERT</w:t>
      </w:r>
      <w:r w:rsidRPr="00E2052F">
        <w:rPr>
          <w:rFonts w:cstheme="majorBidi"/>
          <w:sz w:val="22"/>
        </w:rPr>
        <w:t>.</w:t>
      </w:r>
    </w:p>
    <w:p w14:paraId="4F92B75E" w14:textId="77777777" w:rsidR="00D75E60" w:rsidRPr="00E2052F" w:rsidRDefault="00D75E60" w:rsidP="00333999">
      <w:pPr>
        <w:spacing w:before="0" w:beforeAutospacing="0"/>
        <w:rPr>
          <w:rFonts w:cstheme="majorBidi"/>
          <w:b/>
          <w:bCs/>
          <w:sz w:val="22"/>
        </w:rPr>
      </w:pPr>
      <w:r w:rsidRPr="00E2052F">
        <w:rPr>
          <w:rFonts w:cstheme="majorBidi"/>
          <w:b/>
          <w:bCs/>
          <w:sz w:val="22"/>
          <w:u w:val="single"/>
        </w:rPr>
        <w:t xml:space="preserve">Tableau </w:t>
      </w:r>
      <w:r w:rsidR="009A559A" w:rsidRPr="00E2052F">
        <w:rPr>
          <w:rFonts w:cstheme="majorBidi"/>
          <w:b/>
          <w:bCs/>
          <w:sz w:val="22"/>
          <w:u w:val="single"/>
        </w:rPr>
        <w:t>10</w:t>
      </w:r>
      <w:r w:rsidRPr="00E2052F">
        <w:rPr>
          <w:rFonts w:cstheme="majorBidi"/>
          <w:b/>
          <w:bCs/>
          <w:sz w:val="22"/>
          <w:u w:val="single"/>
        </w:rPr>
        <w:t> :</w:t>
      </w:r>
      <w:r w:rsidRPr="00E2052F">
        <w:rPr>
          <w:rFonts w:cstheme="majorBidi"/>
          <w:sz w:val="22"/>
        </w:rPr>
        <w:t xml:space="preserve"> </w:t>
      </w:r>
      <w:r w:rsidRPr="00E2052F">
        <w:rPr>
          <w:rFonts w:cstheme="majorBidi"/>
          <w:b/>
          <w:bCs/>
          <w:sz w:val="22"/>
        </w:rPr>
        <w:t>l’échelle de mesure selon « LIKERT ».</w:t>
      </w:r>
    </w:p>
    <w:tbl>
      <w:tblPr>
        <w:tblStyle w:val="Grilledutableau"/>
        <w:tblW w:w="0" w:type="auto"/>
        <w:jc w:val="center"/>
        <w:tblLook w:val="04A0" w:firstRow="1" w:lastRow="0" w:firstColumn="1" w:lastColumn="0" w:noHBand="0" w:noVBand="1"/>
      </w:tblPr>
      <w:tblGrid>
        <w:gridCol w:w="1524"/>
        <w:gridCol w:w="1438"/>
        <w:gridCol w:w="1438"/>
        <w:gridCol w:w="1415"/>
        <w:gridCol w:w="1450"/>
        <w:gridCol w:w="1795"/>
      </w:tblGrid>
      <w:tr w:rsidR="00D75E60" w:rsidRPr="00E2052F" w14:paraId="5C8C7EB2" w14:textId="77777777" w:rsidTr="00B679BA">
        <w:trPr>
          <w:trHeight w:val="651"/>
          <w:jc w:val="center"/>
        </w:trPr>
        <w:tc>
          <w:tcPr>
            <w:tcW w:w="1536" w:type="dxa"/>
            <w:shd w:val="clear" w:color="auto" w:fill="D9E2F3" w:themeFill="accent1" w:themeFillTint="33"/>
          </w:tcPr>
          <w:p w14:paraId="4A918417" w14:textId="77777777" w:rsidR="00D75E60" w:rsidRPr="00E2052F" w:rsidRDefault="00D75E60" w:rsidP="00333999">
            <w:pPr>
              <w:spacing w:before="0" w:beforeAutospacing="0"/>
              <w:ind w:firstLine="0"/>
              <w:rPr>
                <w:rFonts w:cstheme="majorBidi"/>
                <w:sz w:val="22"/>
                <w:u w:val="single"/>
              </w:rPr>
            </w:pPr>
            <w:r w:rsidRPr="00E2052F">
              <w:rPr>
                <w:rFonts w:cstheme="majorBidi"/>
                <w:sz w:val="22"/>
              </w:rPr>
              <w:lastRenderedPageBreak/>
              <w:t>Classification</w:t>
            </w:r>
          </w:p>
        </w:tc>
        <w:tc>
          <w:tcPr>
            <w:tcW w:w="1485" w:type="dxa"/>
            <w:shd w:val="clear" w:color="auto" w:fill="D9E2F3" w:themeFill="accent1" w:themeFillTint="33"/>
          </w:tcPr>
          <w:p w14:paraId="4B853242" w14:textId="77777777" w:rsidR="00D75E60" w:rsidRPr="00E2052F" w:rsidRDefault="00D75E60" w:rsidP="00333999">
            <w:pPr>
              <w:spacing w:before="0" w:beforeAutospacing="0"/>
              <w:ind w:firstLine="0"/>
              <w:rPr>
                <w:rFonts w:cstheme="majorBidi"/>
                <w:sz w:val="22"/>
              </w:rPr>
            </w:pPr>
            <w:r w:rsidRPr="00E2052F">
              <w:rPr>
                <w:rFonts w:cstheme="majorBidi"/>
                <w:sz w:val="22"/>
              </w:rPr>
              <w:t>Tout à fait</w:t>
            </w:r>
            <w:r w:rsidR="00637854" w:rsidRPr="00E2052F">
              <w:rPr>
                <w:rFonts w:cstheme="majorBidi"/>
                <w:sz w:val="22"/>
              </w:rPr>
              <w:t xml:space="preserve"> </w:t>
            </w:r>
            <w:r w:rsidRPr="00E2052F">
              <w:rPr>
                <w:rFonts w:cstheme="majorBidi"/>
                <w:sz w:val="22"/>
              </w:rPr>
              <w:t>D’accord</w:t>
            </w:r>
          </w:p>
        </w:tc>
        <w:tc>
          <w:tcPr>
            <w:tcW w:w="1485" w:type="dxa"/>
            <w:shd w:val="clear" w:color="auto" w:fill="D9E2F3" w:themeFill="accent1" w:themeFillTint="33"/>
          </w:tcPr>
          <w:p w14:paraId="4FE5E7E4" w14:textId="77777777" w:rsidR="00D75E60" w:rsidRPr="00E2052F" w:rsidRDefault="00D75E60" w:rsidP="00333999">
            <w:pPr>
              <w:spacing w:before="0" w:beforeAutospacing="0"/>
              <w:ind w:firstLine="0"/>
              <w:rPr>
                <w:rFonts w:cstheme="majorBidi"/>
                <w:sz w:val="22"/>
                <w:u w:val="single"/>
              </w:rPr>
            </w:pPr>
            <w:r w:rsidRPr="00E2052F">
              <w:rPr>
                <w:rFonts w:cstheme="majorBidi"/>
                <w:sz w:val="22"/>
              </w:rPr>
              <w:t>D’accord</w:t>
            </w:r>
          </w:p>
        </w:tc>
        <w:tc>
          <w:tcPr>
            <w:tcW w:w="1486" w:type="dxa"/>
            <w:shd w:val="clear" w:color="auto" w:fill="D9E2F3" w:themeFill="accent1" w:themeFillTint="33"/>
          </w:tcPr>
          <w:p w14:paraId="41FDEE78" w14:textId="77777777" w:rsidR="00D75E60" w:rsidRPr="00E2052F" w:rsidRDefault="00D75E60" w:rsidP="00333999">
            <w:pPr>
              <w:spacing w:before="0" w:beforeAutospacing="0"/>
              <w:ind w:firstLine="0"/>
              <w:rPr>
                <w:rFonts w:cstheme="majorBidi"/>
                <w:sz w:val="22"/>
                <w:u w:val="single"/>
              </w:rPr>
            </w:pPr>
            <w:r w:rsidRPr="00E2052F">
              <w:rPr>
                <w:rFonts w:cstheme="majorBidi"/>
                <w:sz w:val="22"/>
              </w:rPr>
              <w:t>Neutre</w:t>
            </w:r>
          </w:p>
        </w:tc>
        <w:tc>
          <w:tcPr>
            <w:tcW w:w="1486" w:type="dxa"/>
            <w:shd w:val="clear" w:color="auto" w:fill="D9E2F3" w:themeFill="accent1" w:themeFillTint="33"/>
          </w:tcPr>
          <w:p w14:paraId="45B246DD" w14:textId="77777777" w:rsidR="00D75E60" w:rsidRPr="00E2052F" w:rsidRDefault="00D75E60" w:rsidP="00333999">
            <w:pPr>
              <w:spacing w:before="0" w:beforeAutospacing="0"/>
              <w:ind w:firstLine="0"/>
              <w:rPr>
                <w:rFonts w:cstheme="majorBidi"/>
                <w:sz w:val="22"/>
                <w:u w:val="single"/>
              </w:rPr>
            </w:pPr>
            <w:r w:rsidRPr="00E2052F">
              <w:rPr>
                <w:rFonts w:cstheme="majorBidi"/>
                <w:sz w:val="22"/>
              </w:rPr>
              <w:t>Désaccord</w:t>
            </w:r>
          </w:p>
        </w:tc>
        <w:tc>
          <w:tcPr>
            <w:tcW w:w="1877" w:type="dxa"/>
            <w:shd w:val="clear" w:color="auto" w:fill="D9E2F3" w:themeFill="accent1" w:themeFillTint="33"/>
          </w:tcPr>
          <w:p w14:paraId="63555AE2" w14:textId="77777777" w:rsidR="00D75E60" w:rsidRPr="00E2052F" w:rsidRDefault="00D75E60" w:rsidP="00333999">
            <w:pPr>
              <w:spacing w:before="0" w:beforeAutospacing="0"/>
              <w:ind w:firstLine="0"/>
              <w:rPr>
                <w:rFonts w:cstheme="majorBidi"/>
                <w:sz w:val="22"/>
                <w:u w:val="single"/>
              </w:rPr>
            </w:pPr>
            <w:r w:rsidRPr="00E2052F">
              <w:rPr>
                <w:rFonts w:cstheme="majorBidi"/>
                <w:sz w:val="22"/>
              </w:rPr>
              <w:t>Tout à fait désaccord</w:t>
            </w:r>
          </w:p>
        </w:tc>
      </w:tr>
      <w:tr w:rsidR="00D75E60" w:rsidRPr="00E2052F" w14:paraId="0F9C58E1" w14:textId="77777777" w:rsidTr="00B679BA">
        <w:trPr>
          <w:trHeight w:val="314"/>
          <w:jc w:val="center"/>
        </w:trPr>
        <w:tc>
          <w:tcPr>
            <w:tcW w:w="1536" w:type="dxa"/>
            <w:shd w:val="clear" w:color="auto" w:fill="D9E2F3" w:themeFill="accent1" w:themeFillTint="33"/>
          </w:tcPr>
          <w:p w14:paraId="14E55067" w14:textId="77777777" w:rsidR="00D75E60" w:rsidRPr="00E2052F" w:rsidRDefault="00D75E60" w:rsidP="00333999">
            <w:pPr>
              <w:spacing w:before="0" w:beforeAutospacing="0"/>
              <w:rPr>
                <w:rFonts w:cstheme="majorBidi"/>
                <w:sz w:val="22"/>
                <w:u w:val="single"/>
              </w:rPr>
            </w:pPr>
            <w:r w:rsidRPr="00E2052F">
              <w:rPr>
                <w:rFonts w:cstheme="majorBidi"/>
                <w:sz w:val="22"/>
              </w:rPr>
              <w:t>Degré</w:t>
            </w:r>
          </w:p>
        </w:tc>
        <w:tc>
          <w:tcPr>
            <w:tcW w:w="1485" w:type="dxa"/>
          </w:tcPr>
          <w:p w14:paraId="3C4A3BD0" w14:textId="77777777" w:rsidR="00D75E60" w:rsidRPr="00E2052F" w:rsidRDefault="00D75E60" w:rsidP="00333999">
            <w:pPr>
              <w:spacing w:before="0" w:beforeAutospacing="0"/>
              <w:rPr>
                <w:rFonts w:cstheme="majorBidi"/>
                <w:sz w:val="22"/>
              </w:rPr>
            </w:pPr>
            <w:r w:rsidRPr="00E2052F">
              <w:rPr>
                <w:rFonts w:cstheme="majorBidi"/>
                <w:sz w:val="22"/>
              </w:rPr>
              <w:t>5</w:t>
            </w:r>
          </w:p>
        </w:tc>
        <w:tc>
          <w:tcPr>
            <w:tcW w:w="1485" w:type="dxa"/>
          </w:tcPr>
          <w:p w14:paraId="06E55D7A" w14:textId="77777777" w:rsidR="00D75E60" w:rsidRPr="00E2052F" w:rsidRDefault="00D75E60" w:rsidP="00333999">
            <w:pPr>
              <w:spacing w:before="0" w:beforeAutospacing="0"/>
              <w:rPr>
                <w:rFonts w:cstheme="majorBidi"/>
                <w:sz w:val="22"/>
              </w:rPr>
            </w:pPr>
            <w:r w:rsidRPr="00E2052F">
              <w:rPr>
                <w:rFonts w:cstheme="majorBidi"/>
                <w:sz w:val="22"/>
              </w:rPr>
              <w:t>4</w:t>
            </w:r>
          </w:p>
        </w:tc>
        <w:tc>
          <w:tcPr>
            <w:tcW w:w="1486" w:type="dxa"/>
          </w:tcPr>
          <w:p w14:paraId="283FCCAA" w14:textId="77777777" w:rsidR="00D75E60" w:rsidRPr="00E2052F" w:rsidRDefault="00D75E60" w:rsidP="00333999">
            <w:pPr>
              <w:spacing w:before="0" w:beforeAutospacing="0"/>
              <w:rPr>
                <w:rFonts w:cstheme="majorBidi"/>
                <w:sz w:val="22"/>
              </w:rPr>
            </w:pPr>
            <w:r w:rsidRPr="00E2052F">
              <w:rPr>
                <w:rFonts w:cstheme="majorBidi"/>
                <w:sz w:val="22"/>
              </w:rPr>
              <w:t>3</w:t>
            </w:r>
          </w:p>
        </w:tc>
        <w:tc>
          <w:tcPr>
            <w:tcW w:w="1486" w:type="dxa"/>
          </w:tcPr>
          <w:p w14:paraId="329B6A34" w14:textId="77777777" w:rsidR="00D75E60" w:rsidRPr="00E2052F" w:rsidRDefault="00D75E60" w:rsidP="00333999">
            <w:pPr>
              <w:spacing w:before="0" w:beforeAutospacing="0"/>
              <w:rPr>
                <w:rFonts w:cstheme="majorBidi"/>
                <w:sz w:val="22"/>
              </w:rPr>
            </w:pPr>
            <w:r w:rsidRPr="00E2052F">
              <w:rPr>
                <w:rFonts w:cstheme="majorBidi"/>
                <w:sz w:val="22"/>
              </w:rPr>
              <w:t>2</w:t>
            </w:r>
          </w:p>
        </w:tc>
        <w:tc>
          <w:tcPr>
            <w:tcW w:w="1877" w:type="dxa"/>
          </w:tcPr>
          <w:p w14:paraId="0F461B92" w14:textId="77777777" w:rsidR="00D75E60" w:rsidRPr="00E2052F" w:rsidRDefault="00D75E60" w:rsidP="00333999">
            <w:pPr>
              <w:spacing w:before="0" w:beforeAutospacing="0"/>
              <w:rPr>
                <w:rFonts w:cstheme="majorBidi"/>
                <w:sz w:val="22"/>
              </w:rPr>
            </w:pPr>
            <w:r w:rsidRPr="00E2052F">
              <w:rPr>
                <w:rFonts w:cstheme="majorBidi"/>
                <w:sz w:val="22"/>
              </w:rPr>
              <w:t>1</w:t>
            </w:r>
          </w:p>
        </w:tc>
      </w:tr>
    </w:tbl>
    <w:p w14:paraId="7C0A62FC" w14:textId="77777777" w:rsidR="00D75E60" w:rsidRPr="00E2052F" w:rsidRDefault="00D75E60" w:rsidP="00333999">
      <w:pPr>
        <w:spacing w:before="0" w:beforeAutospacing="0" w:line="240" w:lineRule="auto"/>
        <w:jc w:val="center"/>
        <w:rPr>
          <w:rFonts w:cstheme="majorBidi"/>
          <w:sz w:val="22"/>
        </w:rPr>
      </w:pPr>
      <w:r w:rsidRPr="00E2052F">
        <w:rPr>
          <w:rFonts w:cstheme="majorBidi"/>
          <w:b/>
          <w:bCs/>
          <w:sz w:val="22"/>
        </w:rPr>
        <w:t>Source :</w:t>
      </w:r>
      <w:r w:rsidR="000036D1">
        <w:rPr>
          <w:rFonts w:cstheme="majorBidi"/>
          <w:sz w:val="22"/>
        </w:rPr>
        <w:t xml:space="preserve"> établi</w:t>
      </w:r>
      <w:r w:rsidRPr="00E2052F">
        <w:rPr>
          <w:rFonts w:cstheme="majorBidi"/>
          <w:sz w:val="22"/>
        </w:rPr>
        <w:t xml:space="preserve"> par nous-même.</w:t>
      </w:r>
    </w:p>
    <w:p w14:paraId="3584670B" w14:textId="77777777" w:rsidR="00D75E60" w:rsidRPr="00E2052F" w:rsidRDefault="00D75E60" w:rsidP="00D23BF3">
      <w:pPr>
        <w:spacing w:before="0" w:beforeAutospacing="0"/>
        <w:rPr>
          <w:rFonts w:cstheme="majorBidi"/>
          <w:sz w:val="22"/>
        </w:rPr>
      </w:pPr>
      <w:r w:rsidRPr="00E2052F">
        <w:rPr>
          <w:rFonts w:cstheme="majorBidi"/>
          <w:b/>
          <w:bCs/>
          <w:sz w:val="22"/>
        </w:rPr>
        <w:t>Partie 02 :</w:t>
      </w:r>
      <w:r w:rsidRPr="00E2052F">
        <w:rPr>
          <w:rFonts w:cstheme="majorBidi"/>
          <w:sz w:val="22"/>
        </w:rPr>
        <w:t xml:space="preserve"> comporte un ensemble de questions portant sur les principes de la gouvernance, structurées en six axes représentant la variable indépendante. Ces axes sont présentés dans le tableau suivant :</w:t>
      </w:r>
    </w:p>
    <w:p w14:paraId="3371D076" w14:textId="77777777" w:rsidR="00D75E60" w:rsidRPr="00E2052F" w:rsidRDefault="009A559A" w:rsidP="00D23BF3">
      <w:pPr>
        <w:spacing w:before="0" w:beforeAutospacing="0"/>
        <w:rPr>
          <w:rFonts w:cstheme="majorBidi"/>
          <w:b/>
          <w:bCs/>
          <w:sz w:val="22"/>
        </w:rPr>
      </w:pPr>
      <w:r w:rsidRPr="00E2052F">
        <w:rPr>
          <w:rFonts w:cstheme="majorBidi"/>
          <w:b/>
          <w:bCs/>
          <w:sz w:val="22"/>
          <w:u w:val="single"/>
        </w:rPr>
        <w:t xml:space="preserve">Tableau 11 </w:t>
      </w:r>
      <w:r w:rsidR="00037523" w:rsidRPr="00E2052F">
        <w:rPr>
          <w:rFonts w:cstheme="majorBidi"/>
          <w:b/>
          <w:bCs/>
          <w:sz w:val="22"/>
          <w:u w:val="single"/>
        </w:rPr>
        <w:t>:</w:t>
      </w:r>
      <w:r w:rsidR="00037523" w:rsidRPr="00E2052F">
        <w:rPr>
          <w:rFonts w:cstheme="majorBidi"/>
          <w:sz w:val="22"/>
        </w:rPr>
        <w:t xml:space="preserve"> </w:t>
      </w:r>
      <w:r w:rsidR="00037523" w:rsidRPr="00E2052F">
        <w:rPr>
          <w:rFonts w:cstheme="majorBidi"/>
          <w:b/>
          <w:bCs/>
          <w:sz w:val="22"/>
        </w:rPr>
        <w:t>Les</w:t>
      </w:r>
      <w:r w:rsidR="00D75E60" w:rsidRPr="00E2052F">
        <w:rPr>
          <w:rFonts w:cstheme="majorBidi"/>
          <w:b/>
          <w:bCs/>
          <w:sz w:val="22"/>
        </w:rPr>
        <w:t xml:space="preserve"> axes de l’étude de la deuxième partie de questionnaire (les principes de la gouvernance).</w:t>
      </w:r>
    </w:p>
    <w:tbl>
      <w:tblPr>
        <w:tblStyle w:val="Grilledutableau"/>
        <w:tblW w:w="9072" w:type="dxa"/>
        <w:jc w:val="center"/>
        <w:tblLook w:val="04A0" w:firstRow="1" w:lastRow="0" w:firstColumn="1" w:lastColumn="0" w:noHBand="0" w:noVBand="1"/>
      </w:tblPr>
      <w:tblGrid>
        <w:gridCol w:w="4526"/>
        <w:gridCol w:w="4546"/>
      </w:tblGrid>
      <w:tr w:rsidR="00D75E60" w:rsidRPr="00E2052F" w14:paraId="6451BA67" w14:textId="77777777" w:rsidTr="00B679BA">
        <w:trPr>
          <w:trHeight w:val="377"/>
          <w:jc w:val="center"/>
        </w:trPr>
        <w:tc>
          <w:tcPr>
            <w:tcW w:w="4718" w:type="dxa"/>
            <w:shd w:val="clear" w:color="auto" w:fill="D9E2F3" w:themeFill="accent1" w:themeFillTint="33"/>
          </w:tcPr>
          <w:p w14:paraId="305712F0" w14:textId="77777777" w:rsidR="00D75E60" w:rsidRPr="00E2052F" w:rsidRDefault="00D75E60" w:rsidP="00C87007">
            <w:pPr>
              <w:spacing w:before="0" w:beforeAutospacing="0"/>
              <w:rPr>
                <w:rFonts w:cstheme="majorBidi"/>
                <w:sz w:val="22"/>
              </w:rPr>
            </w:pPr>
            <w:r w:rsidRPr="00E2052F">
              <w:rPr>
                <w:rFonts w:cstheme="majorBidi"/>
                <w:sz w:val="22"/>
              </w:rPr>
              <w:t>Axe de l’étude</w:t>
            </w:r>
          </w:p>
        </w:tc>
        <w:tc>
          <w:tcPr>
            <w:tcW w:w="4779" w:type="dxa"/>
            <w:shd w:val="clear" w:color="auto" w:fill="D9E2F3" w:themeFill="accent1" w:themeFillTint="33"/>
          </w:tcPr>
          <w:p w14:paraId="177E5363" w14:textId="77777777" w:rsidR="00D75E60" w:rsidRPr="00E2052F" w:rsidRDefault="00D75E60" w:rsidP="00C87007">
            <w:pPr>
              <w:spacing w:before="0" w:beforeAutospacing="0"/>
              <w:rPr>
                <w:rFonts w:cstheme="majorBidi"/>
                <w:sz w:val="22"/>
              </w:rPr>
            </w:pPr>
            <w:r w:rsidRPr="00E2052F">
              <w:rPr>
                <w:rFonts w:cstheme="majorBidi"/>
                <w:sz w:val="22"/>
              </w:rPr>
              <w:t>Les questions</w:t>
            </w:r>
          </w:p>
        </w:tc>
      </w:tr>
      <w:tr w:rsidR="00D75E60" w:rsidRPr="00E2052F" w14:paraId="0D66A0C7" w14:textId="77777777" w:rsidTr="00C87007">
        <w:trPr>
          <w:trHeight w:val="741"/>
          <w:jc w:val="center"/>
        </w:trPr>
        <w:tc>
          <w:tcPr>
            <w:tcW w:w="4718" w:type="dxa"/>
          </w:tcPr>
          <w:p w14:paraId="2E68FF86" w14:textId="77777777" w:rsidR="00D75E60" w:rsidRPr="00E2052F" w:rsidRDefault="00D75E60" w:rsidP="00C87007">
            <w:pPr>
              <w:spacing w:before="0" w:beforeAutospacing="0"/>
              <w:ind w:firstLine="0"/>
              <w:rPr>
                <w:rFonts w:cstheme="majorBidi"/>
                <w:sz w:val="22"/>
              </w:rPr>
            </w:pPr>
            <w:r w:rsidRPr="00E2052F">
              <w:rPr>
                <w:rFonts w:cstheme="majorBidi"/>
                <w:sz w:val="22"/>
              </w:rPr>
              <w:t>L'existence d'une base pour un cadre efficace de la gouvernance</w:t>
            </w:r>
          </w:p>
        </w:tc>
        <w:tc>
          <w:tcPr>
            <w:tcW w:w="4779" w:type="dxa"/>
          </w:tcPr>
          <w:p w14:paraId="0D1F860F"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01 à la question 05</w:t>
            </w:r>
          </w:p>
        </w:tc>
      </w:tr>
      <w:tr w:rsidR="00D75E60" w:rsidRPr="00E2052F" w14:paraId="7FA5E7D2" w14:textId="77777777" w:rsidTr="00C87007">
        <w:trPr>
          <w:trHeight w:val="362"/>
          <w:jc w:val="center"/>
        </w:trPr>
        <w:tc>
          <w:tcPr>
            <w:tcW w:w="4718" w:type="dxa"/>
          </w:tcPr>
          <w:p w14:paraId="3532B607" w14:textId="77777777" w:rsidR="00D75E60" w:rsidRPr="00E2052F" w:rsidRDefault="00D75E60" w:rsidP="00C87007">
            <w:pPr>
              <w:spacing w:before="0" w:beforeAutospacing="0"/>
              <w:ind w:firstLine="0"/>
              <w:rPr>
                <w:rFonts w:cstheme="majorBidi"/>
                <w:sz w:val="22"/>
              </w:rPr>
            </w:pPr>
            <w:r w:rsidRPr="00E2052F">
              <w:rPr>
                <w:rFonts w:cstheme="majorBidi"/>
                <w:sz w:val="22"/>
              </w:rPr>
              <w:t>La préservation des droits des actionnaires</w:t>
            </w:r>
          </w:p>
        </w:tc>
        <w:tc>
          <w:tcPr>
            <w:tcW w:w="4779" w:type="dxa"/>
          </w:tcPr>
          <w:p w14:paraId="757E0C2C"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06 à la question 10</w:t>
            </w:r>
          </w:p>
        </w:tc>
      </w:tr>
      <w:tr w:rsidR="00D75E60" w:rsidRPr="00E2052F" w14:paraId="3B2082BC" w14:textId="77777777" w:rsidTr="00C87007">
        <w:trPr>
          <w:trHeight w:val="362"/>
          <w:jc w:val="center"/>
        </w:trPr>
        <w:tc>
          <w:tcPr>
            <w:tcW w:w="4718" w:type="dxa"/>
          </w:tcPr>
          <w:p w14:paraId="1ABB5C9A" w14:textId="77777777" w:rsidR="00D75E60" w:rsidRPr="00E2052F" w:rsidRDefault="00D75E60" w:rsidP="00C87007">
            <w:pPr>
              <w:spacing w:before="0" w:beforeAutospacing="0"/>
              <w:ind w:firstLine="0"/>
              <w:rPr>
                <w:rFonts w:cstheme="majorBidi"/>
                <w:sz w:val="22"/>
              </w:rPr>
            </w:pPr>
            <w:r w:rsidRPr="00E2052F">
              <w:rPr>
                <w:rFonts w:cstheme="majorBidi"/>
                <w:sz w:val="22"/>
              </w:rPr>
              <w:t>Le traitement équitable des actionnaires</w:t>
            </w:r>
          </w:p>
        </w:tc>
        <w:tc>
          <w:tcPr>
            <w:tcW w:w="4779" w:type="dxa"/>
          </w:tcPr>
          <w:p w14:paraId="20DC366C"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11 à la question 15</w:t>
            </w:r>
          </w:p>
        </w:tc>
      </w:tr>
      <w:tr w:rsidR="00D75E60" w:rsidRPr="00E2052F" w14:paraId="596C64A1" w14:textId="77777777" w:rsidTr="00C87007">
        <w:trPr>
          <w:trHeight w:val="362"/>
          <w:jc w:val="center"/>
        </w:trPr>
        <w:tc>
          <w:tcPr>
            <w:tcW w:w="4718" w:type="dxa"/>
          </w:tcPr>
          <w:p w14:paraId="6944344C" w14:textId="77777777" w:rsidR="00D75E60" w:rsidRPr="00E2052F" w:rsidRDefault="00D75E60" w:rsidP="00C87007">
            <w:pPr>
              <w:spacing w:before="0" w:beforeAutospacing="0"/>
              <w:ind w:firstLine="0"/>
              <w:rPr>
                <w:rFonts w:cstheme="majorBidi"/>
                <w:sz w:val="22"/>
              </w:rPr>
            </w:pPr>
            <w:r w:rsidRPr="00E2052F">
              <w:rPr>
                <w:rFonts w:cstheme="majorBidi"/>
                <w:sz w:val="22"/>
              </w:rPr>
              <w:t>Le rôle des parties prenantes</w:t>
            </w:r>
          </w:p>
        </w:tc>
        <w:tc>
          <w:tcPr>
            <w:tcW w:w="4779" w:type="dxa"/>
          </w:tcPr>
          <w:p w14:paraId="789724D1"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16 à la question 20</w:t>
            </w:r>
          </w:p>
        </w:tc>
      </w:tr>
      <w:tr w:rsidR="00D75E60" w:rsidRPr="00E2052F" w14:paraId="2A982815" w14:textId="77777777" w:rsidTr="00C87007">
        <w:trPr>
          <w:trHeight w:val="377"/>
          <w:jc w:val="center"/>
        </w:trPr>
        <w:tc>
          <w:tcPr>
            <w:tcW w:w="4718" w:type="dxa"/>
          </w:tcPr>
          <w:p w14:paraId="2E5D5453" w14:textId="77777777" w:rsidR="00D75E60" w:rsidRPr="00E2052F" w:rsidRDefault="00D75E60" w:rsidP="00C87007">
            <w:pPr>
              <w:spacing w:before="0" w:beforeAutospacing="0"/>
              <w:ind w:firstLine="0"/>
              <w:rPr>
                <w:rFonts w:cstheme="majorBidi"/>
                <w:sz w:val="22"/>
              </w:rPr>
            </w:pPr>
            <w:r w:rsidRPr="00E2052F">
              <w:rPr>
                <w:rFonts w:cstheme="majorBidi"/>
                <w:sz w:val="22"/>
              </w:rPr>
              <w:t>La divulgation et transparence</w:t>
            </w:r>
          </w:p>
        </w:tc>
        <w:tc>
          <w:tcPr>
            <w:tcW w:w="4779" w:type="dxa"/>
          </w:tcPr>
          <w:p w14:paraId="4D78B3D7"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21 à la question 25</w:t>
            </w:r>
          </w:p>
        </w:tc>
      </w:tr>
      <w:tr w:rsidR="00D75E60" w:rsidRPr="00E2052F" w14:paraId="0050114A" w14:textId="77777777" w:rsidTr="00C87007">
        <w:trPr>
          <w:trHeight w:val="362"/>
          <w:jc w:val="center"/>
        </w:trPr>
        <w:tc>
          <w:tcPr>
            <w:tcW w:w="4718" w:type="dxa"/>
          </w:tcPr>
          <w:p w14:paraId="2A467377" w14:textId="77777777" w:rsidR="00D75E60" w:rsidRPr="00E2052F" w:rsidRDefault="00D75E60" w:rsidP="00C87007">
            <w:pPr>
              <w:spacing w:before="0" w:beforeAutospacing="0"/>
              <w:ind w:firstLine="0"/>
              <w:rPr>
                <w:rFonts w:cstheme="majorBidi"/>
                <w:sz w:val="22"/>
              </w:rPr>
            </w:pPr>
            <w:r w:rsidRPr="00E2052F">
              <w:rPr>
                <w:rFonts w:cstheme="majorBidi"/>
                <w:sz w:val="22"/>
              </w:rPr>
              <w:t>La responsabilité du conseil d'administration</w:t>
            </w:r>
          </w:p>
        </w:tc>
        <w:tc>
          <w:tcPr>
            <w:tcW w:w="4779" w:type="dxa"/>
          </w:tcPr>
          <w:p w14:paraId="6BC85ACB" w14:textId="77777777" w:rsidR="00D75E60" w:rsidRPr="00E2052F" w:rsidRDefault="00D75E60" w:rsidP="00C87007">
            <w:pPr>
              <w:spacing w:before="0" w:beforeAutospacing="0"/>
              <w:ind w:firstLine="0"/>
              <w:rPr>
                <w:rFonts w:cstheme="majorBidi"/>
                <w:sz w:val="22"/>
              </w:rPr>
            </w:pPr>
            <w:r w:rsidRPr="00E2052F">
              <w:rPr>
                <w:rFonts w:cstheme="majorBidi"/>
                <w:sz w:val="22"/>
              </w:rPr>
              <w:t>De la question 26 à la question 30</w:t>
            </w:r>
          </w:p>
        </w:tc>
      </w:tr>
    </w:tbl>
    <w:p w14:paraId="1AB3FAF5" w14:textId="77777777" w:rsidR="00D75E60" w:rsidRPr="00E2052F" w:rsidRDefault="00D75E60" w:rsidP="00C87007">
      <w:pPr>
        <w:spacing w:before="0" w:beforeAutospacing="0" w:line="240" w:lineRule="auto"/>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nous-même.</w:t>
      </w:r>
    </w:p>
    <w:p w14:paraId="05AF4FE4" w14:textId="77777777" w:rsidR="00D75E60" w:rsidRPr="00E2052F" w:rsidRDefault="00D75E60" w:rsidP="00D23BF3">
      <w:pPr>
        <w:spacing w:before="0" w:beforeAutospacing="0"/>
        <w:rPr>
          <w:rFonts w:cstheme="majorBidi"/>
          <w:sz w:val="22"/>
        </w:rPr>
      </w:pPr>
      <w:r w:rsidRPr="00E2052F">
        <w:rPr>
          <w:rFonts w:cstheme="majorBidi"/>
          <w:b/>
          <w:bCs/>
          <w:sz w:val="22"/>
        </w:rPr>
        <w:t>Partie 03 :</w:t>
      </w:r>
      <w:r w:rsidR="009F5C3A" w:rsidRPr="00E2052F">
        <w:rPr>
          <w:rFonts w:cstheme="majorBidi"/>
          <w:sz w:val="22"/>
        </w:rPr>
        <w:t xml:space="preserve"> </w:t>
      </w:r>
      <w:r w:rsidRPr="00E2052F">
        <w:rPr>
          <w:rFonts w:cstheme="majorBidi"/>
          <w:sz w:val="22"/>
        </w:rPr>
        <w:t>Cette partie contient un ensemble de questions liées à la responsabilité sociale des entreprises composé de trente questions qui reflètent la variable dépendante.</w:t>
      </w:r>
    </w:p>
    <w:p w14:paraId="3198993F" w14:textId="77777777" w:rsidR="00D75E60" w:rsidRPr="00E2052F" w:rsidRDefault="00D75E60" w:rsidP="00D61875">
      <w:pPr>
        <w:pStyle w:val="Titre4"/>
        <w:numPr>
          <w:ilvl w:val="2"/>
          <w:numId w:val="11"/>
        </w:numPr>
        <w:spacing w:before="0" w:beforeAutospacing="0" w:after="160"/>
        <w:rPr>
          <w:rFonts w:asciiTheme="majorBidi" w:hAnsiTheme="majorBidi"/>
          <w:i w:val="0"/>
          <w:iCs w:val="0"/>
          <w:color w:val="auto"/>
          <w:sz w:val="22"/>
        </w:rPr>
      </w:pPr>
      <w:bookmarkStart w:id="1585" w:name="_Toc229155996"/>
      <w:bookmarkStart w:id="1586" w:name="_Toc231746994"/>
      <w:bookmarkStart w:id="1587" w:name="_Toc231752400"/>
      <w:bookmarkStart w:id="1588" w:name="_Toc231810703"/>
      <w:bookmarkStart w:id="1589" w:name="_Toc231812046"/>
      <w:bookmarkStart w:id="1590" w:name="_Toc231812324"/>
      <w:bookmarkStart w:id="1591" w:name="_Toc231815208"/>
      <w:r w:rsidRPr="00E2052F">
        <w:rPr>
          <w:rFonts w:asciiTheme="majorBidi" w:hAnsiTheme="majorBidi"/>
          <w:i w:val="0"/>
          <w:iCs w:val="0"/>
          <w:color w:val="auto"/>
          <w:sz w:val="22"/>
        </w:rPr>
        <w:t>L’interview :</w:t>
      </w:r>
      <w:bookmarkEnd w:id="1585"/>
      <w:bookmarkEnd w:id="1586"/>
      <w:bookmarkEnd w:id="1587"/>
      <w:bookmarkEnd w:id="1588"/>
      <w:bookmarkEnd w:id="1589"/>
      <w:bookmarkEnd w:id="1590"/>
      <w:bookmarkEnd w:id="1591"/>
    </w:p>
    <w:p w14:paraId="463BE14D" w14:textId="77777777" w:rsidR="00D75E60" w:rsidRPr="00E2052F" w:rsidRDefault="00D75E60" w:rsidP="00D23BF3">
      <w:pPr>
        <w:spacing w:before="0" w:beforeAutospacing="0"/>
        <w:rPr>
          <w:rFonts w:cstheme="majorBidi"/>
          <w:sz w:val="22"/>
        </w:rPr>
      </w:pPr>
      <w:r w:rsidRPr="00E2052F">
        <w:rPr>
          <w:rFonts w:cstheme="majorBidi"/>
          <w:sz w:val="22"/>
        </w:rPr>
        <w:t xml:space="preserve">Divers auteurs ont défendu l'interview comme un genre indépendant qui a son origine dans le reportage, et qui a évolué au fil du temps, acquérant sa propre structure. Bien qu'à l'origine l'interview soit née comme une modalité du genre « reportage », depuis que le journalisme informatif a cédé la place au journalisme interprétatif, l'entretien est devenu un genre indépendant, capable de se différencier selon une typologie clairement différenciée avec ses propres caractéristiques et structures. </w:t>
      </w:r>
    </w:p>
    <w:p w14:paraId="023F1188" w14:textId="77777777" w:rsidR="00D75E60" w:rsidRPr="00E2052F" w:rsidRDefault="00D75E60" w:rsidP="00D23BF3">
      <w:pPr>
        <w:spacing w:before="0" w:beforeAutospacing="0"/>
        <w:rPr>
          <w:rFonts w:cstheme="majorBidi"/>
          <w:sz w:val="22"/>
        </w:rPr>
      </w:pPr>
      <w:r w:rsidRPr="00E2052F">
        <w:rPr>
          <w:rFonts w:cstheme="majorBidi"/>
          <w:sz w:val="22"/>
        </w:rPr>
        <w:t>L’interview est considérée aussi comme une conversation entre un interviewer, qui pose des questions, et un interviewé, qui y répond. Cela indique que l’interview est un jeu : questions/réponses. Dans un tel échange, chaque locuteur a un rôle spécifique qui n’est pas interchangeable. C’est pourquoi beaucoup d’auteurs mettent en évidence la relation établie entre enquêteur et interviewé afin d'apporter l'information à l'opinion publique. L'interaction joue un rôle essentiel dans l'entretien, car son succès dépend de la manière dont il est abordé.</w:t>
      </w:r>
      <w:r w:rsidRPr="00E2052F">
        <w:rPr>
          <w:rStyle w:val="Appelnotedebasdep"/>
          <w:rFonts w:cstheme="majorBidi"/>
          <w:sz w:val="22"/>
        </w:rPr>
        <w:footnoteReference w:id="283"/>
      </w:r>
    </w:p>
    <w:p w14:paraId="4890379E" w14:textId="77777777" w:rsidR="00D75E60" w:rsidRPr="00E2052F" w:rsidRDefault="00D75E60" w:rsidP="00D61875">
      <w:pPr>
        <w:pStyle w:val="Titre4"/>
        <w:numPr>
          <w:ilvl w:val="2"/>
          <w:numId w:val="11"/>
        </w:numPr>
        <w:spacing w:before="0" w:beforeAutospacing="0" w:after="160"/>
        <w:rPr>
          <w:rFonts w:asciiTheme="majorBidi" w:hAnsiTheme="majorBidi"/>
          <w:b w:val="0"/>
          <w:bCs w:val="0"/>
          <w:i w:val="0"/>
          <w:iCs w:val="0"/>
          <w:color w:val="auto"/>
          <w:sz w:val="22"/>
        </w:rPr>
      </w:pPr>
      <w:bookmarkStart w:id="1592" w:name="_Toc229155997"/>
      <w:bookmarkStart w:id="1593" w:name="_Toc231746995"/>
      <w:bookmarkStart w:id="1594" w:name="_Toc231752401"/>
      <w:bookmarkStart w:id="1595" w:name="_Toc231810704"/>
      <w:bookmarkStart w:id="1596" w:name="_Toc231812047"/>
      <w:bookmarkStart w:id="1597" w:name="_Toc231812325"/>
      <w:bookmarkStart w:id="1598" w:name="_Toc231815209"/>
      <w:r w:rsidRPr="00E2052F">
        <w:rPr>
          <w:rFonts w:asciiTheme="majorBidi" w:hAnsiTheme="majorBidi"/>
          <w:i w:val="0"/>
          <w:iCs w:val="0"/>
          <w:color w:val="auto"/>
          <w:sz w:val="22"/>
        </w:rPr>
        <w:lastRenderedPageBreak/>
        <w:t>L’observation</w:t>
      </w:r>
      <w:r w:rsidRPr="00E2052F">
        <w:rPr>
          <w:rFonts w:asciiTheme="majorBidi" w:hAnsiTheme="majorBidi"/>
          <w:b w:val="0"/>
          <w:bCs w:val="0"/>
          <w:i w:val="0"/>
          <w:iCs w:val="0"/>
          <w:color w:val="auto"/>
          <w:sz w:val="22"/>
        </w:rPr>
        <w:t> :</w:t>
      </w:r>
      <w:bookmarkEnd w:id="1592"/>
      <w:bookmarkEnd w:id="1593"/>
      <w:bookmarkEnd w:id="1594"/>
      <w:bookmarkEnd w:id="1595"/>
      <w:bookmarkEnd w:id="1596"/>
      <w:bookmarkEnd w:id="1597"/>
      <w:bookmarkEnd w:id="1598"/>
    </w:p>
    <w:p w14:paraId="5FB27E7E" w14:textId="77777777" w:rsidR="00037523" w:rsidRPr="00E2052F" w:rsidRDefault="00D75E60" w:rsidP="00D23BF3">
      <w:pPr>
        <w:spacing w:before="0" w:beforeAutospacing="0"/>
        <w:rPr>
          <w:rFonts w:cstheme="majorBidi"/>
          <w:sz w:val="22"/>
        </w:rPr>
      </w:pPr>
      <w:r w:rsidRPr="00E2052F">
        <w:rPr>
          <w:rFonts w:cstheme="majorBidi"/>
          <w:sz w:val="22"/>
        </w:rPr>
        <w:t>L’observation est « l’action de regarder avec attention les êtres, les choses, les évènements, les phénomènes, pour les étudier, les surveiller, mieux les connaitre, en tirer des conclusions. Le terme observation désigne à la fois l’</w:t>
      </w:r>
      <w:r w:rsidR="00037523" w:rsidRPr="00E2052F">
        <w:rPr>
          <w:rFonts w:cstheme="majorBidi"/>
          <w:sz w:val="22"/>
        </w:rPr>
        <w:t>activité d’identification</w:t>
      </w:r>
      <w:r w:rsidRPr="00E2052F">
        <w:rPr>
          <w:rFonts w:cstheme="majorBidi"/>
          <w:sz w:val="22"/>
        </w:rPr>
        <w:t xml:space="preserve"> et la description des comportements : recueil des signe</w:t>
      </w:r>
      <w:r w:rsidR="00106A37" w:rsidRPr="00E2052F">
        <w:rPr>
          <w:rFonts w:cstheme="majorBidi"/>
          <w:sz w:val="22"/>
        </w:rPr>
        <w:t>s de souffrance diagnostique »</w:t>
      </w:r>
      <w:r w:rsidRPr="00E2052F">
        <w:rPr>
          <w:rFonts w:cstheme="majorBidi"/>
          <w:sz w:val="22"/>
        </w:rPr>
        <w:t>.</w:t>
      </w:r>
      <w:r w:rsidRPr="00E2052F">
        <w:rPr>
          <w:rStyle w:val="Appelnotedebasdep"/>
          <w:rFonts w:cstheme="majorBidi"/>
          <w:sz w:val="22"/>
        </w:rPr>
        <w:footnoteReference w:id="284"/>
      </w:r>
    </w:p>
    <w:p w14:paraId="5DAB8D4D" w14:textId="77777777" w:rsidR="00D75E60" w:rsidRPr="00E2052F" w:rsidRDefault="00D75E60" w:rsidP="00D61875">
      <w:pPr>
        <w:pStyle w:val="Titre3"/>
        <w:numPr>
          <w:ilvl w:val="2"/>
          <w:numId w:val="13"/>
        </w:numPr>
        <w:spacing w:before="0" w:beforeAutospacing="0" w:after="160"/>
        <w:ind w:left="641" w:hanging="357"/>
        <w:rPr>
          <w:rFonts w:asciiTheme="majorBidi" w:hAnsiTheme="majorBidi"/>
          <w:color w:val="auto"/>
          <w:sz w:val="22"/>
        </w:rPr>
      </w:pPr>
      <w:bookmarkStart w:id="1599" w:name="_Toc229155998"/>
      <w:bookmarkStart w:id="1600" w:name="_Toc231746996"/>
      <w:bookmarkStart w:id="1601" w:name="_Toc231752402"/>
      <w:bookmarkStart w:id="1602" w:name="_Toc231810705"/>
      <w:bookmarkStart w:id="1603" w:name="_Toc231812048"/>
      <w:bookmarkStart w:id="1604" w:name="_Toc231812326"/>
      <w:bookmarkStart w:id="1605" w:name="_Toc231815210"/>
      <w:r w:rsidRPr="00E2052F">
        <w:rPr>
          <w:rFonts w:asciiTheme="majorBidi" w:hAnsiTheme="majorBidi"/>
          <w:color w:val="auto"/>
          <w:sz w:val="22"/>
        </w:rPr>
        <w:t>Outils utilisés pour analyser le questionnaire :</w:t>
      </w:r>
      <w:bookmarkEnd w:id="1599"/>
      <w:bookmarkEnd w:id="1600"/>
      <w:bookmarkEnd w:id="1601"/>
      <w:bookmarkEnd w:id="1602"/>
      <w:bookmarkEnd w:id="1603"/>
      <w:bookmarkEnd w:id="1604"/>
      <w:bookmarkEnd w:id="1605"/>
    </w:p>
    <w:p w14:paraId="1958A189" w14:textId="77777777" w:rsidR="00D75E60" w:rsidRPr="00E2052F" w:rsidRDefault="00D75E60" w:rsidP="00D23BF3">
      <w:pPr>
        <w:spacing w:before="0" w:beforeAutospacing="0"/>
        <w:rPr>
          <w:rFonts w:cstheme="majorBidi"/>
          <w:sz w:val="22"/>
          <w:rtl/>
        </w:rPr>
      </w:pPr>
      <w:r w:rsidRPr="00E2052F">
        <w:rPr>
          <w:rFonts w:cstheme="majorBidi"/>
          <w:sz w:val="22"/>
        </w:rPr>
        <w:t>Le traitement des données obtenues grâce l’étude sur le terrain, s’est fait l’aide de l’ordinateur, via un logiciel ou un package d’analyse des données statistiques des science</w:t>
      </w:r>
      <w:r w:rsidR="006E35B0" w:rsidRPr="00E2052F">
        <w:rPr>
          <w:rFonts w:cstheme="majorBidi"/>
          <w:sz w:val="22"/>
        </w:rPr>
        <w:t>s sociale version 27 (spss IBM27</w:t>
      </w:r>
      <w:r w:rsidRPr="00E2052F">
        <w:rPr>
          <w:rFonts w:cstheme="majorBidi"/>
          <w:sz w:val="22"/>
        </w:rPr>
        <w:t>), et pour le dessin des graphes en a utilisé l’EXEL, Grâce Au SPSS, toutes sortes de tableaux statistiques et de mesures adaptés à cette étude ont été examinés, qui sont représentés dans ce qui suit :</w:t>
      </w:r>
      <w:r w:rsidRPr="00E2052F">
        <w:rPr>
          <w:rStyle w:val="Appelnotedebasdep"/>
          <w:rFonts w:cstheme="majorBidi"/>
          <w:sz w:val="22"/>
        </w:rPr>
        <w:footnoteReference w:id="285"/>
      </w:r>
    </w:p>
    <w:p w14:paraId="7839C115"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 xml:space="preserve">La </w:t>
      </w:r>
      <w:r w:rsidR="00F21F8C" w:rsidRPr="00E2052F">
        <w:rPr>
          <w:rFonts w:cstheme="majorBidi"/>
          <w:b/>
          <w:bCs/>
          <w:sz w:val="22"/>
        </w:rPr>
        <w:t xml:space="preserve">corrélation entre les variables : </w:t>
      </w:r>
      <w:r w:rsidRPr="00E2052F">
        <w:rPr>
          <w:rFonts w:cstheme="majorBidi"/>
          <w:sz w:val="22"/>
        </w:rPr>
        <w:t xml:space="preserve">utilisé pour mesurer la force de la relation entre deux variables quantitatives. </w:t>
      </w:r>
    </w:p>
    <w:p w14:paraId="5AB14B4C"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Répétitions :</w:t>
      </w:r>
      <w:r w:rsidRPr="00E2052F">
        <w:rPr>
          <w:rFonts w:cstheme="majorBidi"/>
          <w:sz w:val="22"/>
        </w:rPr>
        <w:t xml:space="preserve"> Pour connaître le choix de chaque alternative aux questions du Questionnaire. </w:t>
      </w:r>
    </w:p>
    <w:p w14:paraId="5EA2886F" w14:textId="77777777" w:rsidR="00D75E60" w:rsidRPr="00E2052F" w:rsidRDefault="00D75E60" w:rsidP="00D61875">
      <w:pPr>
        <w:pStyle w:val="Paragraphedeliste"/>
        <w:numPr>
          <w:ilvl w:val="0"/>
          <w:numId w:val="7"/>
        </w:numPr>
        <w:spacing w:before="0" w:beforeAutospacing="0"/>
        <w:ind w:left="357" w:firstLine="0"/>
        <w:rPr>
          <w:rFonts w:cstheme="majorBidi"/>
          <w:sz w:val="22"/>
        </w:rPr>
      </w:pPr>
      <w:r w:rsidRPr="00E2052F">
        <w:rPr>
          <w:rFonts w:cstheme="majorBidi"/>
          <w:b/>
          <w:bCs/>
          <w:sz w:val="22"/>
        </w:rPr>
        <w:t>Écart type :</w:t>
      </w:r>
      <w:r w:rsidRPr="00E2052F">
        <w:rPr>
          <w:rFonts w:cstheme="majorBidi"/>
          <w:sz w:val="22"/>
        </w:rPr>
        <w:t xml:space="preserve"> Il est possible de connaître l’étendue de la dispersion entre les cercles mathématiques. </w:t>
      </w:r>
    </w:p>
    <w:p w14:paraId="1C5904C2"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Pourcentages :</w:t>
      </w:r>
      <w:r w:rsidRPr="00E2052F">
        <w:rPr>
          <w:rFonts w:cstheme="majorBidi"/>
          <w:sz w:val="22"/>
        </w:rPr>
        <w:t xml:space="preserve"> Pour connaître le pourcentage de sélection de chaque solution de rechange du questionnaire. </w:t>
      </w:r>
    </w:p>
    <w:p w14:paraId="1E1858AD"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Arithmétique moyenne :</w:t>
      </w:r>
      <w:r w:rsidRPr="00E2052F">
        <w:rPr>
          <w:rFonts w:cstheme="majorBidi"/>
          <w:sz w:val="22"/>
        </w:rPr>
        <w:t xml:space="preserve"> Obtenir les réponses moyennes des membres de l’échantillon aux questions du questionnaire, c’est-à-dire calculer la valeur donnée par les membres de la communauté d’étude pour chaque phrase ou ensemble de phrases. </w:t>
      </w:r>
    </w:p>
    <w:p w14:paraId="270EA24A"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Graphique circulaire :</w:t>
      </w:r>
      <w:r w:rsidRPr="00E2052F">
        <w:rPr>
          <w:rFonts w:cstheme="majorBidi"/>
          <w:sz w:val="22"/>
        </w:rPr>
        <w:t xml:space="preserve"> pour illustrer les valeurs obtenues. </w:t>
      </w:r>
    </w:p>
    <w:p w14:paraId="7774C89F"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L’indicatif (Alpha de Cronbach) :</w:t>
      </w:r>
      <w:r w:rsidRPr="00E2052F">
        <w:rPr>
          <w:rFonts w:cstheme="majorBidi"/>
          <w:sz w:val="22"/>
        </w:rPr>
        <w:t xml:space="preserve"> en utilise pour mesurer la fiabilité du questionnaire. </w:t>
      </w:r>
    </w:p>
    <w:p w14:paraId="56417080"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Test T sur échantillon unique :</w:t>
      </w:r>
      <w:r w:rsidRPr="00E2052F">
        <w:rPr>
          <w:rFonts w:cstheme="majorBidi"/>
          <w:sz w:val="22"/>
        </w:rPr>
        <w:t xml:space="preserve"> Son but est de mesurer la validité des hypothèses de l’étude, afin de déterminer dans quelle mesure il existe une indication statistique dans les réponses des institutions au sujet du questionnaire.</w:t>
      </w:r>
    </w:p>
    <w:p w14:paraId="2785B857" w14:textId="77777777" w:rsidR="00D75E60" w:rsidRPr="00E2052F" w:rsidRDefault="00D75E60" w:rsidP="00D61875">
      <w:pPr>
        <w:pStyle w:val="Paragraphedeliste"/>
        <w:numPr>
          <w:ilvl w:val="0"/>
          <w:numId w:val="7"/>
        </w:numPr>
        <w:spacing w:before="0" w:beforeAutospacing="0"/>
        <w:ind w:left="357" w:firstLine="0"/>
        <w:rPr>
          <w:rFonts w:cstheme="majorBidi"/>
          <w:sz w:val="22"/>
          <w:rtl/>
        </w:rPr>
      </w:pPr>
      <w:r w:rsidRPr="00E2052F">
        <w:rPr>
          <w:rFonts w:cstheme="majorBidi"/>
          <w:b/>
          <w:bCs/>
          <w:sz w:val="22"/>
        </w:rPr>
        <w:t>La régression linéaire simple :</w:t>
      </w:r>
      <w:r w:rsidRPr="00E2052F">
        <w:rPr>
          <w:rFonts w:cstheme="majorBidi"/>
          <w:sz w:val="22"/>
        </w:rPr>
        <w:t xml:space="preserve"> pour évaluer la relation de dépendance entre deux variables métriques. </w:t>
      </w:r>
    </w:p>
    <w:p w14:paraId="4FFDB347" w14:textId="77777777" w:rsidR="00D75E60" w:rsidRPr="00E2052F" w:rsidRDefault="00D75E60" w:rsidP="00D61875">
      <w:pPr>
        <w:pStyle w:val="Paragraphedeliste"/>
        <w:numPr>
          <w:ilvl w:val="0"/>
          <w:numId w:val="7"/>
        </w:numPr>
        <w:spacing w:before="0" w:beforeAutospacing="0"/>
        <w:ind w:left="357" w:firstLine="0"/>
        <w:rPr>
          <w:rFonts w:cstheme="majorBidi"/>
          <w:sz w:val="22"/>
        </w:rPr>
      </w:pPr>
      <w:r w:rsidRPr="00E2052F">
        <w:rPr>
          <w:rFonts w:cstheme="majorBidi"/>
          <w:b/>
          <w:bCs/>
          <w:sz w:val="22"/>
        </w:rPr>
        <w:t>L’analyse de variance à un facteur (ANOVA) :</w:t>
      </w:r>
      <w:r w:rsidRPr="00E2052F">
        <w:rPr>
          <w:rFonts w:cstheme="majorBidi"/>
          <w:sz w:val="22"/>
        </w:rPr>
        <w:t xml:space="preserve"> en utilisant pour mesurer la dispersion.</w:t>
      </w:r>
    </w:p>
    <w:p w14:paraId="52D3842E" w14:textId="77777777" w:rsidR="00086FF4" w:rsidRPr="00E2052F" w:rsidRDefault="00086FF4" w:rsidP="00BC1AEC">
      <w:pPr>
        <w:pStyle w:val="Titre1"/>
      </w:pPr>
      <w:bookmarkStart w:id="1606" w:name="_Toc229155999"/>
      <w:bookmarkStart w:id="1607" w:name="_Toc231742176"/>
      <w:bookmarkStart w:id="1608" w:name="_Toc231746997"/>
      <w:bookmarkStart w:id="1609" w:name="_Toc231752403"/>
      <w:bookmarkStart w:id="1610" w:name="_Toc231810706"/>
      <w:bookmarkStart w:id="1611" w:name="_Toc231811434"/>
      <w:bookmarkStart w:id="1612" w:name="_Toc231812049"/>
      <w:bookmarkStart w:id="1613" w:name="_Toc231812327"/>
      <w:bookmarkStart w:id="1614" w:name="_Toc231815211"/>
      <w:r w:rsidRPr="00E2052F">
        <w:lastRenderedPageBreak/>
        <w:t>Section 02 : Analyse des données d’étude</w:t>
      </w:r>
      <w:bookmarkEnd w:id="1606"/>
      <w:bookmarkEnd w:id="1607"/>
      <w:bookmarkEnd w:id="1608"/>
      <w:bookmarkEnd w:id="1609"/>
      <w:bookmarkEnd w:id="1610"/>
      <w:r w:rsidR="003B6F7B">
        <w:t> :</w:t>
      </w:r>
      <w:bookmarkEnd w:id="1611"/>
      <w:bookmarkEnd w:id="1612"/>
      <w:bookmarkEnd w:id="1613"/>
      <w:bookmarkEnd w:id="1614"/>
    </w:p>
    <w:p w14:paraId="1782CD4D" w14:textId="77777777" w:rsidR="00086FF4" w:rsidRPr="00E2052F" w:rsidRDefault="00086FF4" w:rsidP="00D23BF3">
      <w:pPr>
        <w:spacing w:before="0" w:beforeAutospacing="0"/>
        <w:ind w:firstLine="709"/>
        <w:rPr>
          <w:rFonts w:cstheme="majorBidi"/>
          <w:sz w:val="22"/>
        </w:rPr>
      </w:pPr>
      <w:r w:rsidRPr="00E2052F">
        <w:rPr>
          <w:rFonts w:cstheme="majorBidi"/>
          <w:sz w:val="22"/>
        </w:rPr>
        <w:t>C'est le chemin qui mène à la présentation souhaitée à travers l'étude des obstacles. Dans la pensée contemporaine, cela signifie le chemin qui conduit à la découverte de la vérité dans les sciences au moyen d'un ensemble de règles générales qui dominent le cours de l'esprit et déterminent ses opérations jusqu'à ce qu'il atteigne un résultat connu. L’échantillon est perçu comme appartenant à la population étudiée, et sa sélection a pour objectif de recueillir des informations en lien avec celle-ci, afin d’atteindre des résultats généralisables à l’ensemble de la société.</w:t>
      </w:r>
    </w:p>
    <w:p w14:paraId="100ACEBA" w14:textId="77777777" w:rsidR="00C87007" w:rsidRPr="00E2052F" w:rsidRDefault="00086FF4" w:rsidP="00C87007">
      <w:pPr>
        <w:spacing w:before="0" w:beforeAutospacing="0"/>
        <w:ind w:firstLine="709"/>
        <w:rPr>
          <w:rFonts w:cstheme="majorBidi"/>
          <w:sz w:val="22"/>
        </w:rPr>
      </w:pPr>
      <w:r w:rsidRPr="00E2052F">
        <w:rPr>
          <w:rFonts w:cstheme="majorBidi"/>
          <w:sz w:val="22"/>
        </w:rPr>
        <w:t xml:space="preserve"> Cette L'étude a été menée au sein du groupe TAYAL.  Et nous avons sélectionné un échantillon aléatoire de 300 répondants. Les données ont été traitées et analysées à l’aide du logiciel SPSS version 27, l’un des programmes Statistiques les plus populaires utilisées dans l'analyse des données statistiques pour les sciences sociales, où il a étudié des méthodes de collecte, d'analyse et d'interprétation des données à l'aide d'un ensemble de méthodes mathématiques et graphiques.</w:t>
      </w:r>
    </w:p>
    <w:p w14:paraId="09A9818D" w14:textId="77777777" w:rsidR="00086FF4" w:rsidRPr="00E2052F" w:rsidRDefault="00086FF4" w:rsidP="00F36332">
      <w:pPr>
        <w:pStyle w:val="Titre2"/>
        <w:numPr>
          <w:ilvl w:val="0"/>
          <w:numId w:val="226"/>
        </w:numPr>
      </w:pPr>
      <w:bookmarkStart w:id="1615" w:name="_Toc229156000"/>
      <w:bookmarkStart w:id="1616" w:name="_Toc231746998"/>
      <w:bookmarkStart w:id="1617" w:name="_Toc231752404"/>
      <w:bookmarkStart w:id="1618" w:name="_Toc231810707"/>
      <w:bookmarkStart w:id="1619" w:name="_Toc231812050"/>
      <w:bookmarkStart w:id="1620" w:name="_Toc231812328"/>
      <w:bookmarkStart w:id="1621" w:name="_Toc231815212"/>
      <w:r w:rsidRPr="00E2052F">
        <w:t>Données générales des employés :</w:t>
      </w:r>
      <w:bookmarkEnd w:id="1615"/>
      <w:bookmarkEnd w:id="1616"/>
      <w:bookmarkEnd w:id="1617"/>
      <w:bookmarkEnd w:id="1618"/>
      <w:bookmarkEnd w:id="1619"/>
      <w:bookmarkEnd w:id="1620"/>
      <w:bookmarkEnd w:id="1621"/>
    </w:p>
    <w:p w14:paraId="46DBB8BE" w14:textId="77777777" w:rsidR="00086FF4" w:rsidRPr="00E2052F" w:rsidRDefault="00086FF4" w:rsidP="00D61875">
      <w:pPr>
        <w:pStyle w:val="Titre3"/>
        <w:numPr>
          <w:ilvl w:val="0"/>
          <w:numId w:val="32"/>
        </w:numPr>
        <w:spacing w:before="0" w:beforeAutospacing="0" w:after="160"/>
        <w:ind w:left="568" w:hanging="284"/>
        <w:rPr>
          <w:rStyle w:val="fontstyle01"/>
          <w:rFonts w:asciiTheme="majorBidi" w:hAnsiTheme="majorBidi"/>
          <w:b w:val="0"/>
          <w:bCs w:val="0"/>
          <w:color w:val="auto"/>
          <w:sz w:val="22"/>
          <w:szCs w:val="22"/>
        </w:rPr>
      </w:pPr>
      <w:bookmarkStart w:id="1622" w:name="_Toc229156001"/>
      <w:bookmarkStart w:id="1623" w:name="_Toc231746999"/>
      <w:bookmarkStart w:id="1624" w:name="_Toc231752405"/>
      <w:bookmarkStart w:id="1625" w:name="_Toc231810708"/>
      <w:bookmarkStart w:id="1626" w:name="_Toc231812051"/>
      <w:bookmarkStart w:id="1627" w:name="_Toc231812329"/>
      <w:bookmarkStart w:id="1628" w:name="_Toc231815213"/>
      <w:r w:rsidRPr="00E2052F">
        <w:rPr>
          <w:rStyle w:val="fontstyle01"/>
          <w:rFonts w:asciiTheme="majorBidi" w:hAnsiTheme="majorBidi"/>
          <w:color w:val="auto"/>
          <w:sz w:val="22"/>
          <w:szCs w:val="22"/>
        </w:rPr>
        <w:t>Répartition de l’échantillon de recherche selon Le sexe :</w:t>
      </w:r>
      <w:bookmarkEnd w:id="1622"/>
      <w:bookmarkEnd w:id="1623"/>
      <w:bookmarkEnd w:id="1624"/>
      <w:bookmarkEnd w:id="1625"/>
      <w:bookmarkEnd w:id="1626"/>
      <w:bookmarkEnd w:id="1627"/>
      <w:bookmarkEnd w:id="1628"/>
    </w:p>
    <w:p w14:paraId="764B258A" w14:textId="77777777" w:rsidR="00086FF4" w:rsidRPr="00E2052F" w:rsidRDefault="00086FF4" w:rsidP="00D23BF3">
      <w:pPr>
        <w:spacing w:before="0" w:beforeAutospacing="0"/>
        <w:rPr>
          <w:rFonts w:cstheme="majorBidi"/>
          <w:sz w:val="22"/>
        </w:rPr>
      </w:pPr>
      <w:r w:rsidRPr="00E2052F">
        <w:rPr>
          <w:rFonts w:cstheme="majorBidi"/>
          <w:color w:val="000000"/>
          <w:sz w:val="22"/>
        </w:rPr>
        <w:t>Voici le tableau représentant la répartition par sexe des membres de l'échantillon interrogés.</w:t>
      </w:r>
    </w:p>
    <w:p w14:paraId="3BEC1B24" w14:textId="77777777" w:rsidR="00086FF4" w:rsidRPr="00E2052F" w:rsidRDefault="009A559A" w:rsidP="00C87007">
      <w:pPr>
        <w:spacing w:before="0" w:beforeAutospacing="0"/>
        <w:jc w:val="left"/>
        <w:rPr>
          <w:rStyle w:val="fontstyle01"/>
          <w:rFonts w:asciiTheme="majorBidi" w:hAnsiTheme="majorBidi" w:cstheme="majorBidi"/>
          <w:b/>
          <w:bCs/>
          <w:sz w:val="22"/>
          <w:szCs w:val="22"/>
        </w:rPr>
      </w:pPr>
      <w:r w:rsidRPr="00E2052F">
        <w:rPr>
          <w:rFonts w:cstheme="majorBidi"/>
          <w:b/>
          <w:bCs/>
          <w:sz w:val="22"/>
          <w:u w:val="single"/>
        </w:rPr>
        <w:t>Tableau 12</w:t>
      </w:r>
      <w:r w:rsidR="00086FF4" w:rsidRPr="00E2052F">
        <w:rPr>
          <w:rFonts w:cstheme="majorBidi"/>
          <w:b/>
          <w:bCs/>
          <w:sz w:val="22"/>
          <w:u w:val="single"/>
        </w:rPr>
        <w:t> :</w:t>
      </w:r>
      <w:r w:rsidR="00086FF4" w:rsidRPr="00E2052F">
        <w:rPr>
          <w:rFonts w:cstheme="majorBidi"/>
          <w:sz w:val="22"/>
        </w:rPr>
        <w:t xml:space="preserve"> </w:t>
      </w:r>
      <w:r w:rsidR="00086FF4" w:rsidRPr="00E2052F">
        <w:rPr>
          <w:rStyle w:val="fontstyle01"/>
          <w:rFonts w:asciiTheme="majorBidi" w:hAnsiTheme="majorBidi" w:cstheme="majorBidi"/>
          <w:b/>
          <w:bCs/>
          <w:sz w:val="22"/>
          <w:szCs w:val="22"/>
        </w:rPr>
        <w:t>Répartition des membres de l'échantillon interrogés par sexe.</w:t>
      </w:r>
    </w:p>
    <w:tbl>
      <w:tblPr>
        <w:tblStyle w:val="Grilledutableau"/>
        <w:tblW w:w="9072" w:type="dxa"/>
        <w:jc w:val="center"/>
        <w:tblLook w:val="04A0" w:firstRow="1" w:lastRow="0" w:firstColumn="1" w:lastColumn="0" w:noHBand="0" w:noVBand="1"/>
      </w:tblPr>
      <w:tblGrid>
        <w:gridCol w:w="2092"/>
        <w:gridCol w:w="3344"/>
        <w:gridCol w:w="3636"/>
      </w:tblGrid>
      <w:tr w:rsidR="00086FF4" w:rsidRPr="00E2052F" w14:paraId="42987130" w14:textId="77777777" w:rsidTr="00B679BA">
        <w:trPr>
          <w:trHeight w:val="518"/>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D9FF3B"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Sexe</w:t>
            </w:r>
          </w:p>
        </w:tc>
        <w:tc>
          <w:tcPr>
            <w:tcW w:w="354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5215B65"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Effectifs</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BBE6F8"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Pourcentage</w:t>
            </w:r>
          </w:p>
        </w:tc>
      </w:tr>
      <w:tr w:rsidR="00086FF4" w:rsidRPr="00E2052F" w14:paraId="2E6AF792" w14:textId="77777777" w:rsidTr="00B679BA">
        <w:trPr>
          <w:trHeight w:val="261"/>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D3B2802"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Homme</w:t>
            </w:r>
          </w:p>
        </w:tc>
        <w:tc>
          <w:tcPr>
            <w:tcW w:w="3544" w:type="dxa"/>
            <w:tcBorders>
              <w:top w:val="single" w:sz="4" w:space="0" w:color="auto"/>
              <w:left w:val="single" w:sz="4" w:space="0" w:color="auto"/>
              <w:bottom w:val="single" w:sz="4" w:space="0" w:color="auto"/>
              <w:right w:val="single" w:sz="4" w:space="0" w:color="auto"/>
            </w:tcBorders>
            <w:hideMark/>
          </w:tcPr>
          <w:p w14:paraId="117AD24F"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207</w:t>
            </w:r>
          </w:p>
        </w:tc>
        <w:tc>
          <w:tcPr>
            <w:tcW w:w="3827" w:type="dxa"/>
            <w:tcBorders>
              <w:top w:val="single" w:sz="4" w:space="0" w:color="auto"/>
              <w:left w:val="single" w:sz="4" w:space="0" w:color="auto"/>
              <w:bottom w:val="single" w:sz="4" w:space="0" w:color="auto"/>
              <w:right w:val="single" w:sz="4" w:space="0" w:color="auto"/>
            </w:tcBorders>
            <w:hideMark/>
          </w:tcPr>
          <w:p w14:paraId="2FE2E4A9"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69,0 %</w:t>
            </w:r>
          </w:p>
        </w:tc>
      </w:tr>
      <w:tr w:rsidR="00086FF4" w:rsidRPr="00E2052F" w14:paraId="21A2EE15" w14:textId="77777777" w:rsidTr="00B679BA">
        <w:trPr>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A85D27"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Femme</w:t>
            </w:r>
          </w:p>
        </w:tc>
        <w:tc>
          <w:tcPr>
            <w:tcW w:w="3544" w:type="dxa"/>
            <w:tcBorders>
              <w:top w:val="single" w:sz="4" w:space="0" w:color="auto"/>
              <w:left w:val="single" w:sz="4" w:space="0" w:color="auto"/>
              <w:bottom w:val="single" w:sz="4" w:space="0" w:color="auto"/>
              <w:right w:val="single" w:sz="4" w:space="0" w:color="auto"/>
            </w:tcBorders>
            <w:hideMark/>
          </w:tcPr>
          <w:p w14:paraId="4E0A7516"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93</w:t>
            </w:r>
          </w:p>
        </w:tc>
        <w:tc>
          <w:tcPr>
            <w:tcW w:w="3827" w:type="dxa"/>
            <w:tcBorders>
              <w:top w:val="single" w:sz="4" w:space="0" w:color="auto"/>
              <w:left w:val="single" w:sz="4" w:space="0" w:color="auto"/>
              <w:bottom w:val="single" w:sz="4" w:space="0" w:color="auto"/>
              <w:right w:val="single" w:sz="4" w:space="0" w:color="auto"/>
            </w:tcBorders>
            <w:hideMark/>
          </w:tcPr>
          <w:p w14:paraId="023AB79F"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31,0 %</w:t>
            </w:r>
          </w:p>
        </w:tc>
      </w:tr>
      <w:tr w:rsidR="00086FF4" w:rsidRPr="00E2052F" w14:paraId="11DE72AE" w14:textId="77777777" w:rsidTr="00B679BA">
        <w:trPr>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9472A1" w14:textId="77777777" w:rsidR="00086FF4" w:rsidRPr="00E2052F" w:rsidRDefault="00086FF4" w:rsidP="00C87007">
            <w:pPr>
              <w:spacing w:before="0" w:beforeAutospacing="0"/>
              <w:jc w:val="center"/>
              <w:rPr>
                <w:rFonts w:cstheme="majorBidi"/>
                <w:b/>
                <w:bCs/>
                <w:color w:val="000000"/>
                <w:sz w:val="22"/>
              </w:rPr>
            </w:pPr>
            <w:r w:rsidRPr="00E2052F">
              <w:rPr>
                <w:rFonts w:cstheme="majorBidi"/>
                <w:b/>
                <w:bCs/>
                <w:color w:val="000000"/>
                <w:sz w:val="22"/>
              </w:rPr>
              <w:t>Total</w:t>
            </w:r>
          </w:p>
        </w:tc>
        <w:tc>
          <w:tcPr>
            <w:tcW w:w="3544" w:type="dxa"/>
            <w:tcBorders>
              <w:top w:val="single" w:sz="4" w:space="0" w:color="auto"/>
              <w:left w:val="single" w:sz="4" w:space="0" w:color="auto"/>
              <w:bottom w:val="single" w:sz="4" w:space="0" w:color="auto"/>
              <w:right w:val="single" w:sz="4" w:space="0" w:color="auto"/>
            </w:tcBorders>
            <w:hideMark/>
          </w:tcPr>
          <w:p w14:paraId="13FE2A30"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300</w:t>
            </w:r>
          </w:p>
        </w:tc>
        <w:tc>
          <w:tcPr>
            <w:tcW w:w="3827" w:type="dxa"/>
            <w:tcBorders>
              <w:top w:val="single" w:sz="4" w:space="0" w:color="auto"/>
              <w:left w:val="single" w:sz="4" w:space="0" w:color="auto"/>
              <w:bottom w:val="single" w:sz="4" w:space="0" w:color="auto"/>
              <w:right w:val="single" w:sz="4" w:space="0" w:color="auto"/>
            </w:tcBorders>
            <w:hideMark/>
          </w:tcPr>
          <w:p w14:paraId="18A5208D" w14:textId="77777777" w:rsidR="00086FF4" w:rsidRPr="00E2052F" w:rsidRDefault="00086FF4" w:rsidP="00C87007">
            <w:pPr>
              <w:spacing w:before="0" w:beforeAutospacing="0"/>
              <w:jc w:val="center"/>
              <w:rPr>
                <w:rFonts w:cstheme="majorBidi"/>
                <w:color w:val="000000"/>
                <w:sz w:val="22"/>
              </w:rPr>
            </w:pPr>
            <w:r w:rsidRPr="00E2052F">
              <w:rPr>
                <w:rFonts w:cstheme="majorBidi"/>
                <w:color w:val="000000"/>
                <w:sz w:val="22"/>
              </w:rPr>
              <w:t>100,0 %</w:t>
            </w:r>
          </w:p>
        </w:tc>
      </w:tr>
    </w:tbl>
    <w:p w14:paraId="1DE22C32" w14:textId="77777777" w:rsidR="00086FF4" w:rsidRPr="00E2052F" w:rsidRDefault="00086FF4" w:rsidP="00C87007">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Réalisé par nous-même en fonction des résultats de SPSS.</w:t>
      </w:r>
    </w:p>
    <w:p w14:paraId="08C6295F" w14:textId="77777777" w:rsidR="00086FF4" w:rsidRPr="00E2052F" w:rsidRDefault="00106A37" w:rsidP="00C87007">
      <w:pPr>
        <w:spacing w:before="0" w:beforeAutospacing="0"/>
        <w:rPr>
          <w:rFonts w:cstheme="majorBidi"/>
          <w:b/>
          <w:bCs/>
          <w:color w:val="000000"/>
          <w:sz w:val="22"/>
        </w:rPr>
      </w:pPr>
      <w:r w:rsidRPr="00E2052F">
        <w:rPr>
          <w:rFonts w:cstheme="majorBidi"/>
          <w:b/>
          <w:bCs/>
          <w:color w:val="000000"/>
          <w:sz w:val="22"/>
          <w:u w:val="single"/>
        </w:rPr>
        <w:t>Figure 16</w:t>
      </w:r>
      <w:r w:rsidR="00086FF4" w:rsidRPr="00E2052F">
        <w:rPr>
          <w:rFonts w:cstheme="majorBidi"/>
          <w:b/>
          <w:bCs/>
          <w:color w:val="000000"/>
          <w:sz w:val="22"/>
          <w:u w:val="single"/>
        </w:rPr>
        <w:t xml:space="preserve"> :</w:t>
      </w:r>
      <w:r w:rsidR="00086FF4" w:rsidRPr="00E2052F">
        <w:rPr>
          <w:rFonts w:cstheme="majorBidi"/>
          <w:b/>
          <w:bCs/>
          <w:color w:val="000000"/>
          <w:sz w:val="22"/>
        </w:rPr>
        <w:t xml:space="preserve"> Représentation graphique de la répartition des employées de l’échantillon selon le sexe.</w:t>
      </w:r>
    </w:p>
    <w:p w14:paraId="352DE59F" w14:textId="77777777" w:rsidR="00086FF4" w:rsidRPr="00E2052F" w:rsidRDefault="00086FF4" w:rsidP="00D23BF3">
      <w:pPr>
        <w:spacing w:before="0" w:beforeAutospacing="0"/>
        <w:jc w:val="center"/>
        <w:rPr>
          <w:rFonts w:cstheme="majorBidi"/>
          <w:sz w:val="22"/>
        </w:rPr>
      </w:pPr>
      <w:r w:rsidRPr="00E2052F">
        <w:rPr>
          <w:rFonts w:cstheme="majorBidi"/>
          <w:noProof/>
          <w:sz w:val="22"/>
          <w:lang w:eastAsia="fr-FR"/>
        </w:rPr>
        <w:drawing>
          <wp:inline distT="0" distB="0" distL="0" distR="0" wp14:anchorId="3C7F622F" wp14:editId="7DE675FE">
            <wp:extent cx="3181350" cy="1990725"/>
            <wp:effectExtent l="0" t="0" r="0" b="9525"/>
            <wp:docPr id="240"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CCEE2DF" w14:textId="636A6B75" w:rsidR="00086FF4" w:rsidRPr="00E2052F" w:rsidRDefault="00086FF4" w:rsidP="00D23BF3">
      <w:pPr>
        <w:spacing w:before="0" w:beforeAutospacing="0"/>
        <w:jc w:val="center"/>
        <w:rPr>
          <w:rFonts w:cstheme="majorBidi"/>
          <w:color w:val="000000"/>
          <w:sz w:val="22"/>
        </w:rPr>
      </w:pPr>
      <w:r w:rsidRPr="00E2052F">
        <w:rPr>
          <w:rFonts w:cstheme="majorBidi"/>
          <w:b/>
          <w:bCs/>
          <w:color w:val="000000"/>
          <w:sz w:val="22"/>
        </w:rPr>
        <w:t xml:space="preserve">Source : </w:t>
      </w:r>
      <w:r w:rsidR="000036D1">
        <w:rPr>
          <w:rFonts w:cstheme="majorBidi"/>
          <w:color w:val="000000"/>
          <w:sz w:val="22"/>
        </w:rPr>
        <w:t>Etabli</w:t>
      </w:r>
      <w:r w:rsidR="00B44E67">
        <w:rPr>
          <w:rFonts w:cstheme="majorBidi"/>
          <w:color w:val="000000"/>
          <w:sz w:val="22"/>
        </w:rPr>
        <w:t xml:space="preserve"> par nous-mêmes partir de l’E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67E2643E" w14:textId="77777777" w:rsidR="00086FF4" w:rsidRPr="00E2052F" w:rsidRDefault="00086FF4" w:rsidP="00D23BF3">
      <w:pPr>
        <w:spacing w:before="0" w:beforeAutospacing="0"/>
        <w:rPr>
          <w:rFonts w:cstheme="majorBidi"/>
          <w:b/>
          <w:bCs/>
          <w:color w:val="000000"/>
          <w:sz w:val="22"/>
        </w:rPr>
      </w:pPr>
      <w:r w:rsidRPr="00E2052F">
        <w:rPr>
          <w:rFonts w:cstheme="majorBidi"/>
          <w:color w:val="000000"/>
          <w:sz w:val="22"/>
        </w:rPr>
        <w:lastRenderedPageBreak/>
        <w:t>Selon les données du tableau et du graphe ci-dessus, il est observé que les hommes constituent la majorité des individus de l'échantillon, représentant 69%, soit près de deux fois le nombre de femmes qui représente 31%. Cela reflète la composition des effectifs cadres au sein du groupe TAYAL.</w:t>
      </w:r>
    </w:p>
    <w:p w14:paraId="732C998E" w14:textId="77777777" w:rsidR="00086FF4" w:rsidRPr="00E2052F" w:rsidRDefault="00086FF4" w:rsidP="00D61875">
      <w:pPr>
        <w:pStyle w:val="Titre3"/>
        <w:numPr>
          <w:ilvl w:val="0"/>
          <w:numId w:val="32"/>
        </w:numPr>
        <w:spacing w:before="0" w:beforeAutospacing="0" w:after="160"/>
        <w:ind w:left="568" w:hanging="284"/>
        <w:rPr>
          <w:rFonts w:asciiTheme="majorBidi" w:hAnsiTheme="majorBidi"/>
          <w:color w:val="auto"/>
          <w:sz w:val="22"/>
        </w:rPr>
      </w:pPr>
      <w:bookmarkStart w:id="1629" w:name="_Toc229156002"/>
      <w:bookmarkStart w:id="1630" w:name="_Toc231747000"/>
      <w:bookmarkStart w:id="1631" w:name="_Toc231752406"/>
      <w:bookmarkStart w:id="1632" w:name="_Toc231810709"/>
      <w:bookmarkStart w:id="1633" w:name="_Toc231812052"/>
      <w:bookmarkStart w:id="1634" w:name="_Toc231812330"/>
      <w:bookmarkStart w:id="1635" w:name="_Toc231815214"/>
      <w:r w:rsidRPr="00E2052F">
        <w:rPr>
          <w:rFonts w:asciiTheme="majorBidi" w:hAnsiTheme="majorBidi"/>
          <w:color w:val="auto"/>
          <w:sz w:val="22"/>
        </w:rPr>
        <w:t>Répartition de l’échantillon de recherche selon l’âge :</w:t>
      </w:r>
      <w:bookmarkEnd w:id="1629"/>
      <w:bookmarkEnd w:id="1630"/>
      <w:bookmarkEnd w:id="1631"/>
      <w:bookmarkEnd w:id="1632"/>
      <w:bookmarkEnd w:id="1633"/>
      <w:bookmarkEnd w:id="1634"/>
      <w:bookmarkEnd w:id="1635"/>
    </w:p>
    <w:p w14:paraId="110BC02B" w14:textId="77777777" w:rsidR="00086FF4" w:rsidRPr="00E2052F" w:rsidRDefault="00086FF4" w:rsidP="005969EE">
      <w:pPr>
        <w:spacing w:before="0" w:beforeAutospacing="0"/>
        <w:rPr>
          <w:rFonts w:cstheme="majorBidi"/>
          <w:color w:val="000000"/>
          <w:sz w:val="22"/>
        </w:rPr>
      </w:pPr>
      <w:r w:rsidRPr="00E2052F">
        <w:rPr>
          <w:rFonts w:cstheme="majorBidi"/>
          <w:color w:val="000000"/>
          <w:sz w:val="22"/>
        </w:rPr>
        <w:t>Voici le tableau représentant la répartition par âge des membres de l'échantillon interrogés.</w:t>
      </w:r>
    </w:p>
    <w:p w14:paraId="0AD7F489" w14:textId="77777777" w:rsidR="00086FF4" w:rsidRPr="00E2052F" w:rsidRDefault="009A559A" w:rsidP="005969EE">
      <w:pPr>
        <w:spacing w:before="0" w:beforeAutospacing="0"/>
        <w:rPr>
          <w:rFonts w:cstheme="majorBidi"/>
          <w:color w:val="000000"/>
          <w:sz w:val="22"/>
        </w:rPr>
      </w:pPr>
      <w:r w:rsidRPr="00E2052F">
        <w:rPr>
          <w:rFonts w:cstheme="majorBidi"/>
          <w:b/>
          <w:bCs/>
          <w:color w:val="000000"/>
          <w:sz w:val="22"/>
          <w:u w:val="single"/>
        </w:rPr>
        <w:t>Tableau 13</w:t>
      </w:r>
      <w:r w:rsidR="00086FF4" w:rsidRPr="00E2052F">
        <w:rPr>
          <w:rFonts w:cstheme="majorBidi"/>
          <w:b/>
          <w:bCs/>
          <w:color w:val="000000"/>
          <w:sz w:val="22"/>
          <w:u w:val="single"/>
        </w:rPr>
        <w:t> :</w:t>
      </w:r>
      <w:r w:rsidR="00086FF4" w:rsidRPr="00E2052F">
        <w:rPr>
          <w:rFonts w:cstheme="majorBidi"/>
          <w:color w:val="000000"/>
          <w:sz w:val="22"/>
        </w:rPr>
        <w:t xml:space="preserve"> </w:t>
      </w:r>
      <w:r w:rsidR="00086FF4" w:rsidRPr="00E2052F">
        <w:rPr>
          <w:rFonts w:cstheme="majorBidi"/>
          <w:b/>
          <w:bCs/>
          <w:color w:val="000000"/>
          <w:sz w:val="22"/>
        </w:rPr>
        <w:t>Répartition des membres de l'échantillon interrogés selon l’âge.</w:t>
      </w:r>
    </w:p>
    <w:tbl>
      <w:tblPr>
        <w:tblStyle w:val="Grilledutableau"/>
        <w:tblW w:w="9072" w:type="dxa"/>
        <w:jc w:val="center"/>
        <w:tblLook w:val="04A0" w:firstRow="1" w:lastRow="0" w:firstColumn="1" w:lastColumn="0" w:noHBand="0" w:noVBand="1"/>
      </w:tblPr>
      <w:tblGrid>
        <w:gridCol w:w="3196"/>
        <w:gridCol w:w="2922"/>
        <w:gridCol w:w="2954"/>
      </w:tblGrid>
      <w:tr w:rsidR="00086FF4" w:rsidRPr="00E2052F" w14:paraId="34D0B51F"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CCE71E" w14:textId="77777777" w:rsidR="00086FF4" w:rsidRPr="00E2052F" w:rsidRDefault="00086FF4" w:rsidP="005969EE">
            <w:pPr>
              <w:spacing w:before="0" w:beforeAutospacing="0"/>
              <w:jc w:val="center"/>
              <w:rPr>
                <w:rFonts w:cstheme="majorBidi"/>
                <w:b/>
                <w:bCs/>
                <w:color w:val="000000"/>
                <w:sz w:val="22"/>
              </w:rPr>
            </w:pPr>
            <w:bookmarkStart w:id="1636" w:name="_Hlk228446009"/>
            <w:r w:rsidRPr="00E2052F">
              <w:rPr>
                <w:rFonts w:cstheme="majorBidi"/>
                <w:b/>
                <w:bCs/>
                <w:color w:val="000000"/>
                <w:sz w:val="22"/>
              </w:rPr>
              <w:t>Âge</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CB17FA"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Effectifs</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63C6DB"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Pourcentage</w:t>
            </w:r>
          </w:p>
        </w:tc>
      </w:tr>
      <w:tr w:rsidR="00086FF4" w:rsidRPr="00E2052F" w14:paraId="3090DB80"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C13FE0"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Moins de 30 ans</w:t>
            </w:r>
          </w:p>
        </w:tc>
        <w:tc>
          <w:tcPr>
            <w:tcW w:w="3071" w:type="dxa"/>
            <w:tcBorders>
              <w:top w:val="single" w:sz="4" w:space="0" w:color="auto"/>
              <w:left w:val="single" w:sz="4" w:space="0" w:color="auto"/>
              <w:bottom w:val="single" w:sz="4" w:space="0" w:color="auto"/>
              <w:right w:val="single" w:sz="4" w:space="0" w:color="auto"/>
            </w:tcBorders>
            <w:hideMark/>
          </w:tcPr>
          <w:p w14:paraId="21BC5782"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28</w:t>
            </w:r>
          </w:p>
        </w:tc>
        <w:tc>
          <w:tcPr>
            <w:tcW w:w="3071" w:type="dxa"/>
            <w:tcBorders>
              <w:top w:val="single" w:sz="4" w:space="0" w:color="auto"/>
              <w:left w:val="single" w:sz="4" w:space="0" w:color="auto"/>
              <w:bottom w:val="single" w:sz="4" w:space="0" w:color="auto"/>
              <w:right w:val="single" w:sz="4" w:space="0" w:color="auto"/>
            </w:tcBorders>
            <w:hideMark/>
          </w:tcPr>
          <w:p w14:paraId="5175D59D"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9,3 %</w:t>
            </w:r>
          </w:p>
        </w:tc>
      </w:tr>
      <w:tr w:rsidR="00086FF4" w:rsidRPr="00E2052F" w14:paraId="0B636EC6"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4193D1"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De 30 à 45 ans</w:t>
            </w:r>
          </w:p>
        </w:tc>
        <w:tc>
          <w:tcPr>
            <w:tcW w:w="3071" w:type="dxa"/>
            <w:tcBorders>
              <w:top w:val="single" w:sz="4" w:space="0" w:color="auto"/>
              <w:left w:val="single" w:sz="4" w:space="0" w:color="auto"/>
              <w:bottom w:val="single" w:sz="4" w:space="0" w:color="auto"/>
              <w:right w:val="single" w:sz="4" w:space="0" w:color="auto"/>
            </w:tcBorders>
            <w:hideMark/>
          </w:tcPr>
          <w:p w14:paraId="2ED09C5B"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166</w:t>
            </w:r>
          </w:p>
        </w:tc>
        <w:tc>
          <w:tcPr>
            <w:tcW w:w="3071" w:type="dxa"/>
            <w:tcBorders>
              <w:top w:val="single" w:sz="4" w:space="0" w:color="auto"/>
              <w:left w:val="single" w:sz="4" w:space="0" w:color="auto"/>
              <w:bottom w:val="single" w:sz="4" w:space="0" w:color="auto"/>
              <w:right w:val="single" w:sz="4" w:space="0" w:color="auto"/>
            </w:tcBorders>
            <w:hideMark/>
          </w:tcPr>
          <w:p w14:paraId="140B2A53"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55,3 %</w:t>
            </w:r>
          </w:p>
        </w:tc>
      </w:tr>
      <w:tr w:rsidR="00086FF4" w:rsidRPr="00E2052F" w14:paraId="2FA4BCA9"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09D5363"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De 45 à 55 ans</w:t>
            </w:r>
          </w:p>
        </w:tc>
        <w:tc>
          <w:tcPr>
            <w:tcW w:w="3071" w:type="dxa"/>
            <w:tcBorders>
              <w:top w:val="single" w:sz="4" w:space="0" w:color="auto"/>
              <w:left w:val="single" w:sz="4" w:space="0" w:color="auto"/>
              <w:bottom w:val="single" w:sz="4" w:space="0" w:color="auto"/>
              <w:right w:val="single" w:sz="4" w:space="0" w:color="auto"/>
            </w:tcBorders>
            <w:hideMark/>
          </w:tcPr>
          <w:p w14:paraId="2E94ABF2"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94</w:t>
            </w:r>
          </w:p>
        </w:tc>
        <w:tc>
          <w:tcPr>
            <w:tcW w:w="3071" w:type="dxa"/>
            <w:tcBorders>
              <w:top w:val="single" w:sz="4" w:space="0" w:color="auto"/>
              <w:left w:val="single" w:sz="4" w:space="0" w:color="auto"/>
              <w:bottom w:val="single" w:sz="4" w:space="0" w:color="auto"/>
              <w:right w:val="single" w:sz="4" w:space="0" w:color="auto"/>
            </w:tcBorders>
            <w:hideMark/>
          </w:tcPr>
          <w:p w14:paraId="1895387C"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31,3 %</w:t>
            </w:r>
          </w:p>
        </w:tc>
      </w:tr>
      <w:tr w:rsidR="00086FF4" w:rsidRPr="00E2052F" w14:paraId="5EFE9D3D"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E665CA"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Plus de 55 ans</w:t>
            </w:r>
          </w:p>
        </w:tc>
        <w:tc>
          <w:tcPr>
            <w:tcW w:w="3071" w:type="dxa"/>
            <w:tcBorders>
              <w:top w:val="single" w:sz="4" w:space="0" w:color="auto"/>
              <w:left w:val="single" w:sz="4" w:space="0" w:color="auto"/>
              <w:bottom w:val="single" w:sz="4" w:space="0" w:color="auto"/>
              <w:right w:val="single" w:sz="4" w:space="0" w:color="auto"/>
            </w:tcBorders>
            <w:hideMark/>
          </w:tcPr>
          <w:p w14:paraId="6ADBD607"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12</w:t>
            </w:r>
          </w:p>
        </w:tc>
        <w:tc>
          <w:tcPr>
            <w:tcW w:w="3071" w:type="dxa"/>
            <w:tcBorders>
              <w:top w:val="single" w:sz="4" w:space="0" w:color="auto"/>
              <w:left w:val="single" w:sz="4" w:space="0" w:color="auto"/>
              <w:bottom w:val="single" w:sz="4" w:space="0" w:color="auto"/>
              <w:right w:val="single" w:sz="4" w:space="0" w:color="auto"/>
            </w:tcBorders>
            <w:hideMark/>
          </w:tcPr>
          <w:p w14:paraId="0EAEB266"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4,0 %</w:t>
            </w:r>
          </w:p>
        </w:tc>
      </w:tr>
      <w:tr w:rsidR="00086FF4" w:rsidRPr="00E2052F" w14:paraId="4252A9F9" w14:textId="77777777" w:rsidTr="00B679BA">
        <w:trPr>
          <w:trHeight w:val="187"/>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E3111D"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Total</w:t>
            </w:r>
          </w:p>
        </w:tc>
        <w:tc>
          <w:tcPr>
            <w:tcW w:w="3071" w:type="dxa"/>
            <w:tcBorders>
              <w:top w:val="single" w:sz="4" w:space="0" w:color="auto"/>
              <w:left w:val="single" w:sz="4" w:space="0" w:color="auto"/>
              <w:bottom w:val="single" w:sz="4" w:space="0" w:color="auto"/>
              <w:right w:val="single" w:sz="4" w:space="0" w:color="auto"/>
            </w:tcBorders>
            <w:hideMark/>
          </w:tcPr>
          <w:p w14:paraId="6A146B36"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300</w:t>
            </w:r>
          </w:p>
        </w:tc>
        <w:tc>
          <w:tcPr>
            <w:tcW w:w="3071" w:type="dxa"/>
            <w:tcBorders>
              <w:top w:val="single" w:sz="4" w:space="0" w:color="auto"/>
              <w:left w:val="single" w:sz="4" w:space="0" w:color="auto"/>
              <w:bottom w:val="single" w:sz="4" w:space="0" w:color="auto"/>
              <w:right w:val="single" w:sz="4" w:space="0" w:color="auto"/>
            </w:tcBorders>
            <w:hideMark/>
          </w:tcPr>
          <w:p w14:paraId="2C61E31D"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100,0 %</w:t>
            </w:r>
          </w:p>
        </w:tc>
      </w:tr>
    </w:tbl>
    <w:bookmarkEnd w:id="1636"/>
    <w:p w14:paraId="784F9882" w14:textId="365188B0" w:rsidR="00086FF4" w:rsidRPr="00E2052F" w:rsidRDefault="00086FF4" w:rsidP="005969EE">
      <w:pPr>
        <w:spacing w:before="0" w:beforeAutospacing="0" w:line="240" w:lineRule="auto"/>
        <w:ind w:firstLine="0"/>
        <w:jc w:val="center"/>
        <w:rPr>
          <w:rFonts w:cstheme="majorBidi"/>
          <w:color w:val="000000"/>
          <w:sz w:val="22"/>
        </w:rPr>
      </w:pPr>
      <w:r w:rsidRPr="00E2052F">
        <w:rPr>
          <w:rFonts w:cstheme="majorBidi"/>
          <w:b/>
          <w:bCs/>
          <w:color w:val="000000"/>
          <w:sz w:val="22"/>
        </w:rPr>
        <w:t xml:space="preserve">Source : </w:t>
      </w:r>
      <w:r w:rsidR="000036D1">
        <w:rPr>
          <w:rFonts w:cstheme="majorBidi"/>
          <w:color w:val="000000"/>
          <w:sz w:val="22"/>
        </w:rPr>
        <w:t>Etabli</w:t>
      </w:r>
      <w:r w:rsidR="00B44E67">
        <w:rPr>
          <w:rFonts w:cstheme="majorBidi"/>
          <w:color w:val="000000"/>
          <w:sz w:val="22"/>
        </w:rPr>
        <w:t xml:space="preserve"> par nous-mêmes partir de l’E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209AB860" w14:textId="77777777" w:rsidR="00086FF4" w:rsidRPr="00E2052F" w:rsidRDefault="00106A37" w:rsidP="00D23BF3">
      <w:pPr>
        <w:spacing w:before="0" w:beforeAutospacing="0"/>
        <w:rPr>
          <w:rFonts w:cstheme="majorBidi"/>
          <w:color w:val="000000"/>
          <w:sz w:val="22"/>
        </w:rPr>
      </w:pPr>
      <w:r w:rsidRPr="00E2052F">
        <w:rPr>
          <w:rFonts w:cstheme="majorBidi"/>
          <w:b/>
          <w:bCs/>
          <w:color w:val="000000"/>
          <w:sz w:val="22"/>
          <w:u w:val="single"/>
        </w:rPr>
        <w:t>Figure 17</w:t>
      </w:r>
      <w:r w:rsidR="00086FF4" w:rsidRPr="00E2052F">
        <w:rPr>
          <w:rFonts w:cstheme="majorBidi"/>
          <w:b/>
          <w:bCs/>
          <w:color w:val="000000"/>
          <w:sz w:val="22"/>
          <w:u w:val="single"/>
        </w:rPr>
        <w:t xml:space="preserve"> :</w:t>
      </w:r>
      <w:r w:rsidR="00086FF4" w:rsidRPr="00E2052F">
        <w:rPr>
          <w:rFonts w:cstheme="majorBidi"/>
          <w:color w:val="000000"/>
          <w:sz w:val="22"/>
        </w:rPr>
        <w:t xml:space="preserve"> </w:t>
      </w:r>
      <w:r w:rsidR="00F906E4" w:rsidRPr="00E2052F">
        <w:rPr>
          <w:rFonts w:cstheme="majorBidi"/>
          <w:b/>
          <w:bCs/>
          <w:color w:val="000000"/>
          <w:sz w:val="22"/>
        </w:rPr>
        <w:t>R</w:t>
      </w:r>
      <w:r w:rsidR="00086FF4" w:rsidRPr="00E2052F">
        <w:rPr>
          <w:rFonts w:cstheme="majorBidi"/>
          <w:b/>
          <w:bCs/>
          <w:color w:val="000000"/>
          <w:sz w:val="22"/>
        </w:rPr>
        <w:t>eprésentation graphique de la répartition des employées de l’échantillon selon l’âge.</w:t>
      </w:r>
    </w:p>
    <w:p w14:paraId="6AA00C2B" w14:textId="77777777" w:rsidR="00086FF4" w:rsidRPr="00E2052F" w:rsidRDefault="00086FF4" w:rsidP="00D23BF3">
      <w:pPr>
        <w:spacing w:before="0" w:beforeAutospacing="0"/>
        <w:jc w:val="center"/>
        <w:rPr>
          <w:rFonts w:cstheme="majorBidi"/>
          <w:color w:val="000000"/>
          <w:sz w:val="22"/>
        </w:rPr>
      </w:pPr>
      <w:r w:rsidRPr="00E2052F">
        <w:rPr>
          <w:rFonts w:cstheme="majorBidi"/>
          <w:noProof/>
          <w:color w:val="000000"/>
          <w:sz w:val="22"/>
          <w:lang w:eastAsia="fr-FR"/>
        </w:rPr>
        <w:drawing>
          <wp:inline distT="0" distB="0" distL="0" distR="0" wp14:anchorId="0D499813" wp14:editId="5B5BBBAF">
            <wp:extent cx="3219450" cy="2133600"/>
            <wp:effectExtent l="0" t="0" r="0" b="0"/>
            <wp:docPr id="24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8FFD0E6" w14:textId="176F553B" w:rsidR="00086FF4" w:rsidRPr="00E2052F" w:rsidRDefault="00086FF4" w:rsidP="00D23BF3">
      <w:pPr>
        <w:spacing w:before="0" w:beforeAutospacing="0"/>
        <w:jc w:val="center"/>
        <w:rPr>
          <w:rFonts w:cstheme="majorBidi"/>
          <w:color w:val="000000"/>
          <w:sz w:val="22"/>
        </w:rPr>
      </w:pPr>
      <w:r w:rsidRPr="00E2052F">
        <w:rPr>
          <w:rFonts w:cstheme="majorBidi"/>
          <w:b/>
          <w:bCs/>
          <w:color w:val="000000"/>
          <w:sz w:val="22"/>
        </w:rPr>
        <w:t xml:space="preserve">Source : </w:t>
      </w:r>
      <w:r w:rsidR="000036D1">
        <w:rPr>
          <w:rFonts w:cstheme="majorBidi"/>
          <w:color w:val="000000"/>
          <w:sz w:val="22"/>
        </w:rPr>
        <w:t>Etabli</w:t>
      </w:r>
      <w:r w:rsidRPr="00E2052F">
        <w:rPr>
          <w:rFonts w:cstheme="majorBidi"/>
          <w:color w:val="000000"/>
          <w:sz w:val="22"/>
        </w:rPr>
        <w:t xml:space="preserve"> par </w:t>
      </w:r>
      <w:r w:rsidR="009A559A" w:rsidRPr="00E2052F">
        <w:rPr>
          <w:rFonts w:cstheme="majorBidi"/>
          <w:color w:val="000000"/>
          <w:sz w:val="22"/>
        </w:rPr>
        <w:t>nous-mêmes</w:t>
      </w:r>
      <w:r w:rsidR="00B44E67">
        <w:rPr>
          <w:rFonts w:cstheme="majorBidi"/>
          <w:color w:val="000000"/>
          <w:sz w:val="22"/>
        </w:rPr>
        <w:t xml:space="preserve"> partir de l’E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28FDC40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On notera que la majorité des répondants, soit 55,3 %, appartient à la tranche d’âge de 30 à 45 ans, On remarquera également que 31,3 % des individus se situent entre 45 et 55 ans. Les moins de 30 ans et les plus de 55 ans sont faiblement représentés (9,3 % et 4,0 %). Cela indique une population majoritairement jeune et active.</w:t>
      </w:r>
    </w:p>
    <w:p w14:paraId="2A55E410" w14:textId="77777777" w:rsidR="00086FF4" w:rsidRPr="00E2052F" w:rsidRDefault="00086FF4" w:rsidP="00D61875">
      <w:pPr>
        <w:pStyle w:val="Titre3"/>
        <w:numPr>
          <w:ilvl w:val="0"/>
          <w:numId w:val="32"/>
        </w:numPr>
        <w:spacing w:before="0" w:beforeAutospacing="0" w:after="160"/>
        <w:ind w:left="568" w:hanging="284"/>
        <w:rPr>
          <w:rFonts w:asciiTheme="majorBidi" w:hAnsiTheme="majorBidi"/>
          <w:color w:val="auto"/>
          <w:sz w:val="22"/>
        </w:rPr>
      </w:pPr>
      <w:bookmarkStart w:id="1637" w:name="_Toc229156003"/>
      <w:bookmarkStart w:id="1638" w:name="_Toc231747001"/>
      <w:bookmarkStart w:id="1639" w:name="_Toc231752407"/>
      <w:bookmarkStart w:id="1640" w:name="_Toc231810710"/>
      <w:bookmarkStart w:id="1641" w:name="_Toc231812053"/>
      <w:bookmarkStart w:id="1642" w:name="_Toc231812331"/>
      <w:bookmarkStart w:id="1643" w:name="_Toc231815215"/>
      <w:r w:rsidRPr="00E2052F">
        <w:rPr>
          <w:rFonts w:asciiTheme="majorBidi" w:hAnsiTheme="majorBidi"/>
          <w:color w:val="auto"/>
          <w:sz w:val="22"/>
        </w:rPr>
        <w:t>Répartition de l’échantillon de recherche par niveaux d'étude :</w:t>
      </w:r>
      <w:bookmarkEnd w:id="1637"/>
      <w:bookmarkEnd w:id="1638"/>
      <w:bookmarkEnd w:id="1639"/>
      <w:bookmarkEnd w:id="1640"/>
      <w:bookmarkEnd w:id="1641"/>
      <w:bookmarkEnd w:id="1642"/>
      <w:bookmarkEnd w:id="1643"/>
    </w:p>
    <w:p w14:paraId="3C1AF109" w14:textId="77777777" w:rsidR="005969EE" w:rsidRPr="00E2052F" w:rsidRDefault="00086FF4" w:rsidP="005969EE">
      <w:pPr>
        <w:spacing w:before="0" w:beforeAutospacing="0"/>
        <w:rPr>
          <w:rFonts w:cstheme="majorBidi"/>
          <w:color w:val="000000"/>
          <w:sz w:val="22"/>
        </w:rPr>
      </w:pPr>
      <w:r w:rsidRPr="00E2052F">
        <w:rPr>
          <w:rFonts w:cstheme="majorBidi"/>
          <w:color w:val="000000"/>
          <w:sz w:val="22"/>
        </w:rPr>
        <w:t>Voici le tableau représentant la répartition par niveaux d’étude de l'échanti</w:t>
      </w:r>
      <w:bookmarkStart w:id="1644" w:name="_Hlk228480102"/>
      <w:r w:rsidR="005969EE" w:rsidRPr="00E2052F">
        <w:rPr>
          <w:rFonts w:cstheme="majorBidi"/>
          <w:color w:val="000000"/>
          <w:sz w:val="22"/>
        </w:rPr>
        <w:t>llon interrogés.</w:t>
      </w:r>
    </w:p>
    <w:p w14:paraId="709DBB16" w14:textId="77777777" w:rsidR="00086FF4" w:rsidRPr="00E2052F" w:rsidRDefault="009A559A" w:rsidP="005969EE">
      <w:pPr>
        <w:spacing w:before="0" w:beforeAutospacing="0"/>
        <w:rPr>
          <w:rFonts w:cstheme="majorBidi"/>
          <w:color w:val="000000"/>
          <w:sz w:val="22"/>
        </w:rPr>
      </w:pPr>
      <w:r w:rsidRPr="00E2052F">
        <w:rPr>
          <w:rFonts w:cstheme="majorBidi"/>
          <w:b/>
          <w:bCs/>
          <w:color w:val="000000"/>
          <w:sz w:val="22"/>
          <w:u w:val="single"/>
        </w:rPr>
        <w:t>Tableau 14</w:t>
      </w:r>
      <w:r w:rsidR="00086FF4" w:rsidRPr="00E2052F">
        <w:rPr>
          <w:rFonts w:cstheme="majorBidi"/>
          <w:color w:val="000000"/>
          <w:sz w:val="22"/>
          <w:u w:val="single"/>
        </w:rPr>
        <w:t xml:space="preserve"> :</w:t>
      </w:r>
      <w:r w:rsidR="00086FF4" w:rsidRPr="00E2052F">
        <w:rPr>
          <w:rFonts w:cstheme="majorBidi"/>
          <w:color w:val="000000"/>
          <w:sz w:val="22"/>
        </w:rPr>
        <w:t xml:space="preserve"> </w:t>
      </w:r>
      <w:r w:rsidR="00086FF4" w:rsidRPr="00E2052F">
        <w:rPr>
          <w:rFonts w:cstheme="majorBidi"/>
          <w:b/>
          <w:bCs/>
          <w:color w:val="000000"/>
          <w:sz w:val="22"/>
        </w:rPr>
        <w:t>Répartition des membres de l'échantillon interrogés par niveaux d'étude</w:t>
      </w:r>
      <w:bookmarkEnd w:id="1644"/>
      <w:r w:rsidR="00086FF4" w:rsidRPr="00E2052F">
        <w:rPr>
          <w:rFonts w:cstheme="majorBidi"/>
          <w:b/>
          <w:bCs/>
          <w:color w:val="000000"/>
          <w:sz w:val="22"/>
        </w:rPr>
        <w:t>.</w:t>
      </w:r>
    </w:p>
    <w:tbl>
      <w:tblPr>
        <w:tblStyle w:val="Grilledutableau"/>
        <w:tblW w:w="9072" w:type="dxa"/>
        <w:tblInd w:w="-5" w:type="dxa"/>
        <w:tblLook w:val="04A0" w:firstRow="1" w:lastRow="0" w:firstColumn="1" w:lastColumn="0" w:noHBand="0" w:noVBand="1"/>
      </w:tblPr>
      <w:tblGrid>
        <w:gridCol w:w="3207"/>
        <w:gridCol w:w="2913"/>
        <w:gridCol w:w="2952"/>
      </w:tblGrid>
      <w:tr w:rsidR="00086FF4" w:rsidRPr="00E2052F" w14:paraId="6D1A5598"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1F2C82" w14:textId="77777777" w:rsidR="00086FF4" w:rsidRPr="00E2052F" w:rsidRDefault="00086FF4" w:rsidP="005969EE">
            <w:pPr>
              <w:spacing w:before="0" w:beforeAutospacing="0"/>
              <w:jc w:val="center"/>
              <w:rPr>
                <w:rFonts w:cstheme="majorBidi"/>
                <w:b/>
                <w:bCs/>
                <w:color w:val="000000"/>
                <w:sz w:val="22"/>
              </w:rPr>
            </w:pPr>
            <w:bookmarkStart w:id="1645" w:name="_Hlk228446175"/>
            <w:r w:rsidRPr="00E2052F">
              <w:rPr>
                <w:rFonts w:cstheme="majorBidi"/>
                <w:b/>
                <w:bCs/>
                <w:color w:val="000000"/>
                <w:sz w:val="22"/>
              </w:rPr>
              <w:t>Niveau d'étude</w:t>
            </w:r>
          </w:p>
        </w:tc>
        <w:tc>
          <w:tcPr>
            <w:tcW w:w="291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FB5842"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Effectifs</w:t>
            </w:r>
          </w:p>
        </w:tc>
        <w:tc>
          <w:tcPr>
            <w:tcW w:w="295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75BE83"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Pourcentage</w:t>
            </w:r>
          </w:p>
        </w:tc>
      </w:tr>
      <w:tr w:rsidR="00086FF4" w:rsidRPr="00E2052F" w14:paraId="5A857E88"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52964A"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Licence</w:t>
            </w:r>
          </w:p>
        </w:tc>
        <w:tc>
          <w:tcPr>
            <w:tcW w:w="2913" w:type="dxa"/>
            <w:tcBorders>
              <w:top w:val="single" w:sz="4" w:space="0" w:color="auto"/>
              <w:left w:val="single" w:sz="4" w:space="0" w:color="auto"/>
              <w:bottom w:val="single" w:sz="4" w:space="0" w:color="auto"/>
              <w:right w:val="single" w:sz="4" w:space="0" w:color="auto"/>
            </w:tcBorders>
            <w:hideMark/>
          </w:tcPr>
          <w:p w14:paraId="495C6847"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57</w:t>
            </w:r>
          </w:p>
        </w:tc>
        <w:tc>
          <w:tcPr>
            <w:tcW w:w="2952" w:type="dxa"/>
            <w:tcBorders>
              <w:top w:val="single" w:sz="4" w:space="0" w:color="auto"/>
              <w:left w:val="single" w:sz="4" w:space="0" w:color="auto"/>
              <w:bottom w:val="single" w:sz="4" w:space="0" w:color="auto"/>
              <w:right w:val="single" w:sz="4" w:space="0" w:color="auto"/>
            </w:tcBorders>
            <w:hideMark/>
          </w:tcPr>
          <w:p w14:paraId="79194BFF"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19,0 %</w:t>
            </w:r>
          </w:p>
        </w:tc>
      </w:tr>
      <w:tr w:rsidR="00086FF4" w:rsidRPr="00E2052F" w14:paraId="0C40EB3C"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53FBDA"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Master</w:t>
            </w:r>
          </w:p>
        </w:tc>
        <w:tc>
          <w:tcPr>
            <w:tcW w:w="2913" w:type="dxa"/>
            <w:tcBorders>
              <w:top w:val="single" w:sz="4" w:space="0" w:color="auto"/>
              <w:left w:val="single" w:sz="4" w:space="0" w:color="auto"/>
              <w:bottom w:val="single" w:sz="4" w:space="0" w:color="auto"/>
              <w:right w:val="single" w:sz="4" w:space="0" w:color="auto"/>
            </w:tcBorders>
            <w:hideMark/>
          </w:tcPr>
          <w:p w14:paraId="06F1A8E0"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148</w:t>
            </w:r>
          </w:p>
        </w:tc>
        <w:tc>
          <w:tcPr>
            <w:tcW w:w="2952" w:type="dxa"/>
            <w:tcBorders>
              <w:top w:val="single" w:sz="4" w:space="0" w:color="auto"/>
              <w:left w:val="single" w:sz="4" w:space="0" w:color="auto"/>
              <w:bottom w:val="single" w:sz="4" w:space="0" w:color="auto"/>
              <w:right w:val="single" w:sz="4" w:space="0" w:color="auto"/>
            </w:tcBorders>
            <w:hideMark/>
          </w:tcPr>
          <w:p w14:paraId="7FE84235"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49,3 %</w:t>
            </w:r>
          </w:p>
        </w:tc>
      </w:tr>
      <w:tr w:rsidR="00086FF4" w:rsidRPr="00E2052F" w14:paraId="4D4E161C"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18D1991"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lastRenderedPageBreak/>
              <w:t>Magister</w:t>
            </w:r>
          </w:p>
        </w:tc>
        <w:tc>
          <w:tcPr>
            <w:tcW w:w="2913" w:type="dxa"/>
            <w:tcBorders>
              <w:top w:val="single" w:sz="4" w:space="0" w:color="auto"/>
              <w:left w:val="single" w:sz="4" w:space="0" w:color="auto"/>
              <w:bottom w:val="single" w:sz="4" w:space="0" w:color="auto"/>
              <w:right w:val="single" w:sz="4" w:space="0" w:color="auto"/>
            </w:tcBorders>
            <w:hideMark/>
          </w:tcPr>
          <w:p w14:paraId="0D1A8F12"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61</w:t>
            </w:r>
          </w:p>
        </w:tc>
        <w:tc>
          <w:tcPr>
            <w:tcW w:w="2952" w:type="dxa"/>
            <w:tcBorders>
              <w:top w:val="single" w:sz="4" w:space="0" w:color="auto"/>
              <w:left w:val="single" w:sz="4" w:space="0" w:color="auto"/>
              <w:bottom w:val="single" w:sz="4" w:space="0" w:color="auto"/>
              <w:right w:val="single" w:sz="4" w:space="0" w:color="auto"/>
            </w:tcBorders>
            <w:hideMark/>
          </w:tcPr>
          <w:p w14:paraId="4EEF4C47"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20,3 %</w:t>
            </w:r>
          </w:p>
        </w:tc>
      </w:tr>
      <w:tr w:rsidR="00086FF4" w:rsidRPr="00E2052F" w14:paraId="271FDF9D"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B3139A"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Doctorat</w:t>
            </w:r>
          </w:p>
        </w:tc>
        <w:tc>
          <w:tcPr>
            <w:tcW w:w="2913" w:type="dxa"/>
            <w:tcBorders>
              <w:top w:val="single" w:sz="4" w:space="0" w:color="auto"/>
              <w:left w:val="single" w:sz="4" w:space="0" w:color="auto"/>
              <w:bottom w:val="single" w:sz="4" w:space="0" w:color="auto"/>
              <w:right w:val="single" w:sz="4" w:space="0" w:color="auto"/>
            </w:tcBorders>
            <w:hideMark/>
          </w:tcPr>
          <w:p w14:paraId="3C03D635"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34</w:t>
            </w:r>
          </w:p>
        </w:tc>
        <w:tc>
          <w:tcPr>
            <w:tcW w:w="2952" w:type="dxa"/>
            <w:tcBorders>
              <w:top w:val="single" w:sz="4" w:space="0" w:color="auto"/>
              <w:left w:val="single" w:sz="4" w:space="0" w:color="auto"/>
              <w:bottom w:val="single" w:sz="4" w:space="0" w:color="auto"/>
              <w:right w:val="single" w:sz="4" w:space="0" w:color="auto"/>
            </w:tcBorders>
            <w:hideMark/>
          </w:tcPr>
          <w:p w14:paraId="7A3D923B"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11,3 %</w:t>
            </w:r>
          </w:p>
        </w:tc>
      </w:tr>
      <w:tr w:rsidR="00086FF4" w:rsidRPr="00E2052F" w14:paraId="000D62E3" w14:textId="77777777" w:rsidTr="00B679BA">
        <w:tc>
          <w:tcPr>
            <w:tcW w:w="3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CD25F62" w14:textId="77777777" w:rsidR="00086FF4" w:rsidRPr="00E2052F" w:rsidRDefault="00086FF4" w:rsidP="005969EE">
            <w:pPr>
              <w:spacing w:before="0" w:beforeAutospacing="0"/>
              <w:jc w:val="center"/>
              <w:rPr>
                <w:rFonts w:cstheme="majorBidi"/>
                <w:b/>
                <w:bCs/>
                <w:color w:val="000000"/>
                <w:sz w:val="22"/>
              </w:rPr>
            </w:pPr>
            <w:r w:rsidRPr="00E2052F">
              <w:rPr>
                <w:rFonts w:cstheme="majorBidi"/>
                <w:b/>
                <w:bCs/>
                <w:color w:val="000000"/>
                <w:sz w:val="22"/>
              </w:rPr>
              <w:t>Total</w:t>
            </w:r>
          </w:p>
        </w:tc>
        <w:tc>
          <w:tcPr>
            <w:tcW w:w="2913" w:type="dxa"/>
            <w:tcBorders>
              <w:top w:val="single" w:sz="4" w:space="0" w:color="auto"/>
              <w:left w:val="single" w:sz="4" w:space="0" w:color="auto"/>
              <w:bottom w:val="single" w:sz="4" w:space="0" w:color="auto"/>
              <w:right w:val="single" w:sz="4" w:space="0" w:color="auto"/>
            </w:tcBorders>
            <w:hideMark/>
          </w:tcPr>
          <w:p w14:paraId="7DA1E1CE"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300</w:t>
            </w:r>
          </w:p>
        </w:tc>
        <w:tc>
          <w:tcPr>
            <w:tcW w:w="2952" w:type="dxa"/>
            <w:tcBorders>
              <w:top w:val="single" w:sz="4" w:space="0" w:color="auto"/>
              <w:left w:val="single" w:sz="4" w:space="0" w:color="auto"/>
              <w:bottom w:val="single" w:sz="4" w:space="0" w:color="auto"/>
              <w:right w:val="single" w:sz="4" w:space="0" w:color="auto"/>
            </w:tcBorders>
            <w:hideMark/>
          </w:tcPr>
          <w:p w14:paraId="4660864F" w14:textId="77777777" w:rsidR="00086FF4" w:rsidRPr="00E2052F" w:rsidRDefault="00086FF4" w:rsidP="005969EE">
            <w:pPr>
              <w:spacing w:before="0" w:beforeAutospacing="0"/>
              <w:jc w:val="center"/>
              <w:rPr>
                <w:rFonts w:cstheme="majorBidi"/>
                <w:color w:val="000000"/>
                <w:sz w:val="22"/>
              </w:rPr>
            </w:pPr>
            <w:r w:rsidRPr="00E2052F">
              <w:rPr>
                <w:rFonts w:cstheme="majorBidi"/>
                <w:color w:val="000000"/>
                <w:sz w:val="22"/>
              </w:rPr>
              <w:t>100,0 %</w:t>
            </w:r>
          </w:p>
        </w:tc>
      </w:tr>
    </w:tbl>
    <w:bookmarkEnd w:id="1645"/>
    <w:p w14:paraId="1C975E4E" w14:textId="16C793EB" w:rsidR="00086FF4" w:rsidRPr="00E2052F" w:rsidRDefault="00086FF4" w:rsidP="005969EE">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7609A6E2" w14:textId="77777777" w:rsidR="00086FF4" w:rsidRPr="00E2052F" w:rsidRDefault="00106A37" w:rsidP="005969EE">
      <w:pPr>
        <w:spacing w:before="0" w:beforeAutospacing="0"/>
        <w:rPr>
          <w:rFonts w:cstheme="majorBidi"/>
          <w:color w:val="000000"/>
          <w:sz w:val="22"/>
        </w:rPr>
      </w:pPr>
      <w:bookmarkStart w:id="1646" w:name="_Hlk228449322"/>
      <w:r w:rsidRPr="00E2052F">
        <w:rPr>
          <w:rFonts w:cstheme="majorBidi"/>
          <w:b/>
          <w:bCs/>
          <w:color w:val="000000"/>
          <w:sz w:val="22"/>
          <w:u w:val="single"/>
        </w:rPr>
        <w:t>Figure 18</w:t>
      </w:r>
      <w:r w:rsidR="00086FF4" w:rsidRPr="00E2052F">
        <w:rPr>
          <w:rFonts w:cstheme="majorBidi"/>
          <w:color w:val="000000"/>
          <w:sz w:val="22"/>
          <w:u w:val="single"/>
        </w:rPr>
        <w:t xml:space="preserve"> </w:t>
      </w:r>
      <w:r w:rsidR="00F906E4" w:rsidRPr="00E2052F">
        <w:rPr>
          <w:rFonts w:cstheme="majorBidi"/>
          <w:b/>
          <w:bCs/>
          <w:color w:val="000000"/>
          <w:sz w:val="22"/>
          <w:u w:val="single"/>
        </w:rPr>
        <w:t>:</w:t>
      </w:r>
      <w:r w:rsidR="00F906E4" w:rsidRPr="00E2052F">
        <w:rPr>
          <w:rFonts w:cstheme="majorBidi"/>
          <w:b/>
          <w:bCs/>
          <w:color w:val="000000"/>
          <w:sz w:val="22"/>
        </w:rPr>
        <w:t xml:space="preserve"> Répartition</w:t>
      </w:r>
      <w:r w:rsidR="00086FF4" w:rsidRPr="00E2052F">
        <w:rPr>
          <w:rFonts w:cstheme="majorBidi"/>
          <w:b/>
          <w:bCs/>
          <w:color w:val="000000"/>
          <w:sz w:val="22"/>
        </w:rPr>
        <w:t xml:space="preserve"> relative des membres de l'échantillon d'étude par niveaux d'étude</w:t>
      </w:r>
      <w:bookmarkEnd w:id="1646"/>
      <w:r w:rsidR="00086FF4" w:rsidRPr="00E2052F">
        <w:rPr>
          <w:rFonts w:cstheme="majorBidi"/>
          <w:b/>
          <w:bCs/>
          <w:color w:val="000000"/>
          <w:sz w:val="22"/>
        </w:rPr>
        <w:t>.</w:t>
      </w:r>
    </w:p>
    <w:p w14:paraId="6B541DB1" w14:textId="77777777" w:rsidR="00086FF4" w:rsidRPr="00E2052F" w:rsidRDefault="00086FF4" w:rsidP="00D23BF3">
      <w:pPr>
        <w:spacing w:before="0" w:beforeAutospacing="0"/>
        <w:jc w:val="center"/>
        <w:rPr>
          <w:rFonts w:cstheme="majorBidi"/>
          <w:color w:val="000000"/>
          <w:sz w:val="22"/>
        </w:rPr>
      </w:pPr>
      <w:r w:rsidRPr="00E2052F">
        <w:rPr>
          <w:rFonts w:cstheme="majorBidi"/>
          <w:noProof/>
          <w:color w:val="000000"/>
          <w:sz w:val="22"/>
          <w:lang w:eastAsia="fr-FR"/>
        </w:rPr>
        <w:drawing>
          <wp:inline distT="0" distB="0" distL="0" distR="0" wp14:anchorId="693C1DE9" wp14:editId="42545EB8">
            <wp:extent cx="3773606" cy="2579427"/>
            <wp:effectExtent l="0" t="0" r="17780" b="11430"/>
            <wp:docPr id="24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503F73B" w14:textId="7ECF66D5" w:rsidR="00086FF4" w:rsidRPr="00E2052F" w:rsidRDefault="00172C7A" w:rsidP="00172C7A">
      <w:pPr>
        <w:tabs>
          <w:tab w:val="left" w:pos="1920"/>
          <w:tab w:val="center" w:pos="4677"/>
        </w:tabs>
        <w:spacing w:before="0" w:beforeAutospacing="0"/>
        <w:jc w:val="left"/>
        <w:rPr>
          <w:rFonts w:cstheme="majorBidi"/>
          <w:color w:val="000000"/>
          <w:sz w:val="22"/>
        </w:rPr>
      </w:pPr>
      <w:r w:rsidRPr="00E2052F">
        <w:rPr>
          <w:rFonts w:cstheme="majorBidi"/>
          <w:b/>
          <w:bCs/>
          <w:color w:val="000000"/>
          <w:sz w:val="22"/>
        </w:rPr>
        <w:tab/>
      </w:r>
      <w:r w:rsidRPr="00E2052F">
        <w:rPr>
          <w:rFonts w:cstheme="majorBidi"/>
          <w:b/>
          <w:bCs/>
          <w:color w:val="000000"/>
          <w:sz w:val="22"/>
        </w:rPr>
        <w:tab/>
      </w:r>
      <w:r w:rsidR="00086FF4" w:rsidRPr="00E2052F">
        <w:rPr>
          <w:rFonts w:cstheme="majorBidi"/>
          <w:b/>
          <w:bCs/>
          <w:color w:val="000000"/>
          <w:sz w:val="22"/>
        </w:rPr>
        <w:t>Source :</w:t>
      </w:r>
      <w:r w:rsidR="00086FF4" w:rsidRPr="00E2052F">
        <w:rPr>
          <w:rFonts w:cstheme="majorBidi"/>
          <w:color w:val="000000"/>
          <w:sz w:val="22"/>
        </w:rPr>
        <w:t xml:space="preserve"> Réal</w:t>
      </w:r>
      <w:r w:rsidR="00B44E67">
        <w:rPr>
          <w:rFonts w:cstheme="majorBidi"/>
          <w:color w:val="000000"/>
          <w:sz w:val="22"/>
        </w:rPr>
        <w:t>isé par nous-mêmes à partir d’E</w:t>
      </w:r>
      <w:r w:rsidR="00086FF4" w:rsidRPr="00E2052F">
        <w:rPr>
          <w:rFonts w:cstheme="majorBidi"/>
          <w:color w:val="000000"/>
          <w:sz w:val="22"/>
        </w:rPr>
        <w:t>X</w:t>
      </w:r>
      <w:r w:rsidR="00B44E67">
        <w:rPr>
          <w:rFonts w:cstheme="majorBidi"/>
          <w:color w:val="000000"/>
          <w:sz w:val="22"/>
        </w:rPr>
        <w:t>C</w:t>
      </w:r>
      <w:r w:rsidR="00086FF4" w:rsidRPr="00E2052F">
        <w:rPr>
          <w:rFonts w:cstheme="majorBidi"/>
          <w:color w:val="000000"/>
          <w:sz w:val="22"/>
        </w:rPr>
        <w:t>EL et SPSS v27.</w:t>
      </w:r>
    </w:p>
    <w:p w14:paraId="5430438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Près de la moitié des répondants sont de niveau Master avec un pourcentage de 49,3 %, suivis par le niveau Magister avec 20,3 % et Licence avec 19,0 %. Le niveau Doctorat représente 11,3 %. L'échantillon est donc hautement qualifié, ce qui garantit une bonne compréhension des questions sur la gouvernance et la RSE.</w:t>
      </w:r>
    </w:p>
    <w:p w14:paraId="5A9AD174" w14:textId="77777777" w:rsidR="00086FF4" w:rsidRPr="00E2052F" w:rsidRDefault="00086FF4" w:rsidP="00D61875">
      <w:pPr>
        <w:pStyle w:val="Titre3"/>
        <w:numPr>
          <w:ilvl w:val="0"/>
          <w:numId w:val="32"/>
        </w:numPr>
        <w:spacing w:before="0" w:beforeAutospacing="0" w:after="160"/>
        <w:ind w:left="641" w:hanging="357"/>
        <w:rPr>
          <w:rFonts w:asciiTheme="majorBidi" w:hAnsiTheme="majorBidi"/>
          <w:sz w:val="22"/>
        </w:rPr>
      </w:pPr>
      <w:bookmarkStart w:id="1647" w:name="_Toc229156004"/>
      <w:bookmarkStart w:id="1648" w:name="_Toc231747002"/>
      <w:bookmarkStart w:id="1649" w:name="_Toc231752408"/>
      <w:bookmarkStart w:id="1650" w:name="_Toc231810711"/>
      <w:bookmarkStart w:id="1651" w:name="_Toc231812054"/>
      <w:bookmarkStart w:id="1652" w:name="_Toc231812332"/>
      <w:bookmarkStart w:id="1653" w:name="_Toc231815216"/>
      <w:r w:rsidRPr="00E2052F">
        <w:rPr>
          <w:rFonts w:asciiTheme="majorBidi" w:hAnsiTheme="majorBidi"/>
          <w:color w:val="auto"/>
          <w:sz w:val="22"/>
        </w:rPr>
        <w:t>Répartition de l’échantillon de recherche par domaines d'étude :</w:t>
      </w:r>
      <w:bookmarkEnd w:id="1647"/>
      <w:bookmarkEnd w:id="1648"/>
      <w:bookmarkEnd w:id="1649"/>
      <w:bookmarkEnd w:id="1650"/>
      <w:bookmarkEnd w:id="1651"/>
      <w:bookmarkEnd w:id="1652"/>
      <w:bookmarkEnd w:id="1653"/>
    </w:p>
    <w:p w14:paraId="00623951" w14:textId="77777777" w:rsidR="005969EE" w:rsidRPr="00E2052F" w:rsidRDefault="00086FF4" w:rsidP="005969EE">
      <w:pPr>
        <w:spacing w:before="0" w:beforeAutospacing="0"/>
        <w:rPr>
          <w:rFonts w:cstheme="majorBidi"/>
          <w:color w:val="000000"/>
          <w:sz w:val="22"/>
        </w:rPr>
      </w:pPr>
      <w:r w:rsidRPr="00E2052F">
        <w:rPr>
          <w:rFonts w:cstheme="majorBidi"/>
          <w:color w:val="000000"/>
          <w:sz w:val="22"/>
        </w:rPr>
        <w:t>Voici le tableau représentant la répartition par niveaux d’étu</w:t>
      </w:r>
      <w:r w:rsidR="00F906E4" w:rsidRPr="00E2052F">
        <w:rPr>
          <w:rFonts w:cstheme="majorBidi"/>
          <w:color w:val="000000"/>
          <w:sz w:val="22"/>
        </w:rPr>
        <w:t>de de l'échantillon interrogés</w:t>
      </w:r>
    </w:p>
    <w:p w14:paraId="533D9AA9" w14:textId="77777777" w:rsidR="00086FF4" w:rsidRPr="00E2052F" w:rsidRDefault="009A559A" w:rsidP="005969EE">
      <w:pPr>
        <w:spacing w:before="0" w:beforeAutospacing="0"/>
        <w:rPr>
          <w:rFonts w:cstheme="majorBidi"/>
          <w:color w:val="000000"/>
          <w:sz w:val="22"/>
        </w:rPr>
      </w:pPr>
      <w:r w:rsidRPr="00E2052F">
        <w:rPr>
          <w:rFonts w:cstheme="majorBidi"/>
          <w:b/>
          <w:bCs/>
          <w:color w:val="000000"/>
          <w:sz w:val="22"/>
          <w:u w:val="single"/>
        </w:rPr>
        <w:t>Tableau 15</w:t>
      </w:r>
      <w:r w:rsidR="00086FF4" w:rsidRPr="00E2052F">
        <w:rPr>
          <w:rFonts w:cstheme="majorBidi"/>
          <w:color w:val="000000"/>
          <w:sz w:val="22"/>
          <w:u w:val="single"/>
        </w:rPr>
        <w:t xml:space="preserve"> :</w:t>
      </w:r>
      <w:r w:rsidR="00086FF4" w:rsidRPr="00E2052F">
        <w:rPr>
          <w:rFonts w:cstheme="majorBidi"/>
          <w:color w:val="000000"/>
          <w:sz w:val="22"/>
        </w:rPr>
        <w:t xml:space="preserve"> </w:t>
      </w:r>
      <w:r w:rsidR="00086FF4" w:rsidRPr="00E2052F">
        <w:rPr>
          <w:rFonts w:cstheme="majorBidi"/>
          <w:b/>
          <w:bCs/>
          <w:color w:val="000000"/>
          <w:sz w:val="22"/>
        </w:rPr>
        <w:t>Répartition des membres de l'échantillon interrogés par domaines d'étude.</w:t>
      </w:r>
    </w:p>
    <w:tbl>
      <w:tblPr>
        <w:tblStyle w:val="Grilledutableau"/>
        <w:tblW w:w="9072" w:type="dxa"/>
        <w:jc w:val="center"/>
        <w:tblLook w:val="04A0" w:firstRow="1" w:lastRow="0" w:firstColumn="1" w:lastColumn="0" w:noHBand="0" w:noVBand="1"/>
      </w:tblPr>
      <w:tblGrid>
        <w:gridCol w:w="3233"/>
        <w:gridCol w:w="2901"/>
        <w:gridCol w:w="2938"/>
      </w:tblGrid>
      <w:tr w:rsidR="00086FF4" w:rsidRPr="00E2052F" w14:paraId="3FD85DBB"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63351C"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Domain d'étude</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1F97B17"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Effectifs</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F40E60"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Pourcentage</w:t>
            </w:r>
          </w:p>
        </w:tc>
      </w:tr>
      <w:tr w:rsidR="00086FF4" w:rsidRPr="00E2052F" w14:paraId="71F32257"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909524"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Économie</w:t>
            </w:r>
          </w:p>
        </w:tc>
        <w:tc>
          <w:tcPr>
            <w:tcW w:w="3071" w:type="dxa"/>
            <w:tcBorders>
              <w:top w:val="single" w:sz="4" w:space="0" w:color="auto"/>
              <w:left w:val="single" w:sz="4" w:space="0" w:color="auto"/>
              <w:bottom w:val="single" w:sz="4" w:space="0" w:color="auto"/>
              <w:right w:val="single" w:sz="4" w:space="0" w:color="auto"/>
            </w:tcBorders>
            <w:hideMark/>
          </w:tcPr>
          <w:p w14:paraId="47B6677C"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25</w:t>
            </w:r>
          </w:p>
        </w:tc>
        <w:tc>
          <w:tcPr>
            <w:tcW w:w="3071" w:type="dxa"/>
            <w:tcBorders>
              <w:top w:val="single" w:sz="4" w:space="0" w:color="auto"/>
              <w:left w:val="single" w:sz="4" w:space="0" w:color="auto"/>
              <w:bottom w:val="single" w:sz="4" w:space="0" w:color="auto"/>
              <w:right w:val="single" w:sz="4" w:space="0" w:color="auto"/>
            </w:tcBorders>
            <w:hideMark/>
          </w:tcPr>
          <w:p w14:paraId="3BACDEFB"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8.3%</w:t>
            </w:r>
          </w:p>
        </w:tc>
      </w:tr>
      <w:tr w:rsidR="00086FF4" w:rsidRPr="00E2052F" w14:paraId="711E8FAF"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77957AC"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Gestion</w:t>
            </w:r>
          </w:p>
        </w:tc>
        <w:tc>
          <w:tcPr>
            <w:tcW w:w="3071" w:type="dxa"/>
            <w:tcBorders>
              <w:top w:val="single" w:sz="4" w:space="0" w:color="auto"/>
              <w:left w:val="single" w:sz="4" w:space="0" w:color="auto"/>
              <w:bottom w:val="single" w:sz="4" w:space="0" w:color="auto"/>
              <w:right w:val="single" w:sz="4" w:space="0" w:color="auto"/>
            </w:tcBorders>
            <w:hideMark/>
          </w:tcPr>
          <w:p w14:paraId="252522E6"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71</w:t>
            </w:r>
          </w:p>
        </w:tc>
        <w:tc>
          <w:tcPr>
            <w:tcW w:w="3071" w:type="dxa"/>
            <w:tcBorders>
              <w:top w:val="single" w:sz="4" w:space="0" w:color="auto"/>
              <w:left w:val="single" w:sz="4" w:space="0" w:color="auto"/>
              <w:bottom w:val="single" w:sz="4" w:space="0" w:color="auto"/>
              <w:right w:val="single" w:sz="4" w:space="0" w:color="auto"/>
            </w:tcBorders>
            <w:hideMark/>
          </w:tcPr>
          <w:p w14:paraId="1CB89AFD"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23.7%</w:t>
            </w:r>
          </w:p>
        </w:tc>
      </w:tr>
      <w:tr w:rsidR="00086FF4" w:rsidRPr="00E2052F" w14:paraId="22E864C8"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7B1A1F"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Commerce</w:t>
            </w:r>
          </w:p>
        </w:tc>
        <w:tc>
          <w:tcPr>
            <w:tcW w:w="3071" w:type="dxa"/>
            <w:tcBorders>
              <w:top w:val="single" w:sz="4" w:space="0" w:color="auto"/>
              <w:left w:val="single" w:sz="4" w:space="0" w:color="auto"/>
              <w:bottom w:val="single" w:sz="4" w:space="0" w:color="auto"/>
              <w:right w:val="single" w:sz="4" w:space="0" w:color="auto"/>
            </w:tcBorders>
            <w:hideMark/>
          </w:tcPr>
          <w:p w14:paraId="59A5E051"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67</w:t>
            </w:r>
          </w:p>
        </w:tc>
        <w:tc>
          <w:tcPr>
            <w:tcW w:w="3071" w:type="dxa"/>
            <w:tcBorders>
              <w:top w:val="single" w:sz="4" w:space="0" w:color="auto"/>
              <w:left w:val="single" w:sz="4" w:space="0" w:color="auto"/>
              <w:bottom w:val="single" w:sz="4" w:space="0" w:color="auto"/>
              <w:right w:val="single" w:sz="4" w:space="0" w:color="auto"/>
            </w:tcBorders>
            <w:hideMark/>
          </w:tcPr>
          <w:p w14:paraId="4B9B6116"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22.3%</w:t>
            </w:r>
          </w:p>
        </w:tc>
      </w:tr>
      <w:tr w:rsidR="00086FF4" w:rsidRPr="00E2052F" w14:paraId="09469131"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6F13B0"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Finance</w:t>
            </w:r>
          </w:p>
        </w:tc>
        <w:tc>
          <w:tcPr>
            <w:tcW w:w="3071" w:type="dxa"/>
            <w:tcBorders>
              <w:top w:val="single" w:sz="4" w:space="0" w:color="auto"/>
              <w:left w:val="single" w:sz="4" w:space="0" w:color="auto"/>
              <w:bottom w:val="single" w:sz="4" w:space="0" w:color="auto"/>
              <w:right w:val="single" w:sz="4" w:space="0" w:color="auto"/>
            </w:tcBorders>
            <w:hideMark/>
          </w:tcPr>
          <w:p w14:paraId="68532844"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42</w:t>
            </w:r>
          </w:p>
        </w:tc>
        <w:tc>
          <w:tcPr>
            <w:tcW w:w="3071" w:type="dxa"/>
            <w:tcBorders>
              <w:top w:val="single" w:sz="4" w:space="0" w:color="auto"/>
              <w:left w:val="single" w:sz="4" w:space="0" w:color="auto"/>
              <w:bottom w:val="single" w:sz="4" w:space="0" w:color="auto"/>
              <w:right w:val="single" w:sz="4" w:space="0" w:color="auto"/>
            </w:tcBorders>
            <w:hideMark/>
          </w:tcPr>
          <w:p w14:paraId="593CB708"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14.0%</w:t>
            </w:r>
          </w:p>
        </w:tc>
      </w:tr>
      <w:tr w:rsidR="00086FF4" w:rsidRPr="00E2052F" w14:paraId="1613DB13"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33CABC3"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Stratégie</w:t>
            </w:r>
          </w:p>
        </w:tc>
        <w:tc>
          <w:tcPr>
            <w:tcW w:w="3071" w:type="dxa"/>
            <w:tcBorders>
              <w:top w:val="single" w:sz="4" w:space="0" w:color="auto"/>
              <w:left w:val="single" w:sz="4" w:space="0" w:color="auto"/>
              <w:bottom w:val="single" w:sz="4" w:space="0" w:color="auto"/>
              <w:right w:val="single" w:sz="4" w:space="0" w:color="auto"/>
            </w:tcBorders>
            <w:hideMark/>
          </w:tcPr>
          <w:p w14:paraId="7996430F"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35</w:t>
            </w:r>
          </w:p>
        </w:tc>
        <w:tc>
          <w:tcPr>
            <w:tcW w:w="3071" w:type="dxa"/>
            <w:tcBorders>
              <w:top w:val="single" w:sz="4" w:space="0" w:color="auto"/>
              <w:left w:val="single" w:sz="4" w:space="0" w:color="auto"/>
              <w:bottom w:val="single" w:sz="4" w:space="0" w:color="auto"/>
              <w:right w:val="single" w:sz="4" w:space="0" w:color="auto"/>
            </w:tcBorders>
            <w:hideMark/>
          </w:tcPr>
          <w:p w14:paraId="149793F5"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11.7%</w:t>
            </w:r>
          </w:p>
        </w:tc>
      </w:tr>
      <w:tr w:rsidR="00086FF4" w:rsidRPr="00E2052F" w14:paraId="65168058"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C81CCE"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Droit</w:t>
            </w:r>
          </w:p>
        </w:tc>
        <w:tc>
          <w:tcPr>
            <w:tcW w:w="3071" w:type="dxa"/>
            <w:tcBorders>
              <w:top w:val="single" w:sz="4" w:space="0" w:color="auto"/>
              <w:left w:val="single" w:sz="4" w:space="0" w:color="auto"/>
              <w:bottom w:val="single" w:sz="4" w:space="0" w:color="auto"/>
              <w:right w:val="single" w:sz="4" w:space="0" w:color="auto"/>
            </w:tcBorders>
            <w:hideMark/>
          </w:tcPr>
          <w:p w14:paraId="2205C775"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14</w:t>
            </w:r>
          </w:p>
        </w:tc>
        <w:tc>
          <w:tcPr>
            <w:tcW w:w="3071" w:type="dxa"/>
            <w:tcBorders>
              <w:top w:val="single" w:sz="4" w:space="0" w:color="auto"/>
              <w:left w:val="single" w:sz="4" w:space="0" w:color="auto"/>
              <w:bottom w:val="single" w:sz="4" w:space="0" w:color="auto"/>
              <w:right w:val="single" w:sz="4" w:space="0" w:color="auto"/>
            </w:tcBorders>
            <w:hideMark/>
          </w:tcPr>
          <w:p w14:paraId="52C184F5"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4.7%</w:t>
            </w:r>
          </w:p>
        </w:tc>
      </w:tr>
      <w:tr w:rsidR="00086FF4" w:rsidRPr="00E2052F" w14:paraId="707730E6"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46ABE7"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Génie industriel</w:t>
            </w:r>
          </w:p>
        </w:tc>
        <w:tc>
          <w:tcPr>
            <w:tcW w:w="3071" w:type="dxa"/>
            <w:tcBorders>
              <w:top w:val="single" w:sz="4" w:space="0" w:color="auto"/>
              <w:left w:val="single" w:sz="4" w:space="0" w:color="auto"/>
              <w:bottom w:val="single" w:sz="4" w:space="0" w:color="auto"/>
              <w:right w:val="single" w:sz="4" w:space="0" w:color="auto"/>
            </w:tcBorders>
            <w:hideMark/>
          </w:tcPr>
          <w:p w14:paraId="513D8107"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12</w:t>
            </w:r>
          </w:p>
        </w:tc>
        <w:tc>
          <w:tcPr>
            <w:tcW w:w="3071" w:type="dxa"/>
            <w:tcBorders>
              <w:top w:val="single" w:sz="4" w:space="0" w:color="auto"/>
              <w:left w:val="single" w:sz="4" w:space="0" w:color="auto"/>
              <w:bottom w:val="single" w:sz="4" w:space="0" w:color="auto"/>
              <w:right w:val="single" w:sz="4" w:space="0" w:color="auto"/>
            </w:tcBorders>
            <w:hideMark/>
          </w:tcPr>
          <w:p w14:paraId="3F8BC7A7"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4.0%</w:t>
            </w:r>
          </w:p>
        </w:tc>
      </w:tr>
      <w:tr w:rsidR="00086FF4" w:rsidRPr="00E2052F" w14:paraId="7F29882D"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9BE297"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Informatique</w:t>
            </w:r>
          </w:p>
        </w:tc>
        <w:tc>
          <w:tcPr>
            <w:tcW w:w="3071" w:type="dxa"/>
            <w:tcBorders>
              <w:top w:val="single" w:sz="4" w:space="0" w:color="auto"/>
              <w:left w:val="single" w:sz="4" w:space="0" w:color="auto"/>
              <w:bottom w:val="single" w:sz="4" w:space="0" w:color="auto"/>
              <w:right w:val="single" w:sz="4" w:space="0" w:color="auto"/>
            </w:tcBorders>
            <w:hideMark/>
          </w:tcPr>
          <w:p w14:paraId="22507839"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7</w:t>
            </w:r>
          </w:p>
        </w:tc>
        <w:tc>
          <w:tcPr>
            <w:tcW w:w="3071" w:type="dxa"/>
            <w:tcBorders>
              <w:top w:val="single" w:sz="4" w:space="0" w:color="auto"/>
              <w:left w:val="single" w:sz="4" w:space="0" w:color="auto"/>
              <w:bottom w:val="single" w:sz="4" w:space="0" w:color="auto"/>
              <w:right w:val="single" w:sz="4" w:space="0" w:color="auto"/>
            </w:tcBorders>
            <w:hideMark/>
          </w:tcPr>
          <w:p w14:paraId="0420F37C"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2.3%</w:t>
            </w:r>
          </w:p>
        </w:tc>
      </w:tr>
      <w:tr w:rsidR="00086FF4" w:rsidRPr="00E2052F" w14:paraId="6431D2CE"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5A2606"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Automatique</w:t>
            </w:r>
          </w:p>
        </w:tc>
        <w:tc>
          <w:tcPr>
            <w:tcW w:w="3071" w:type="dxa"/>
            <w:tcBorders>
              <w:top w:val="single" w:sz="4" w:space="0" w:color="auto"/>
              <w:left w:val="single" w:sz="4" w:space="0" w:color="auto"/>
              <w:bottom w:val="single" w:sz="4" w:space="0" w:color="auto"/>
              <w:right w:val="single" w:sz="4" w:space="0" w:color="auto"/>
            </w:tcBorders>
            <w:hideMark/>
          </w:tcPr>
          <w:p w14:paraId="5871A1CC"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1A59056C"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0CB3626C"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71091E"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lastRenderedPageBreak/>
              <w:t>Comptabilité et audit</w:t>
            </w:r>
          </w:p>
        </w:tc>
        <w:tc>
          <w:tcPr>
            <w:tcW w:w="3071" w:type="dxa"/>
            <w:tcBorders>
              <w:top w:val="single" w:sz="4" w:space="0" w:color="auto"/>
              <w:left w:val="single" w:sz="4" w:space="0" w:color="auto"/>
              <w:bottom w:val="single" w:sz="4" w:space="0" w:color="auto"/>
              <w:right w:val="single" w:sz="4" w:space="0" w:color="auto"/>
            </w:tcBorders>
            <w:hideMark/>
          </w:tcPr>
          <w:p w14:paraId="1977AD66"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1F43F24E"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63CCDFFB"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8D372AB"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Génie électrique</w:t>
            </w:r>
          </w:p>
        </w:tc>
        <w:tc>
          <w:tcPr>
            <w:tcW w:w="3071" w:type="dxa"/>
            <w:tcBorders>
              <w:top w:val="single" w:sz="4" w:space="0" w:color="auto"/>
              <w:left w:val="single" w:sz="4" w:space="0" w:color="auto"/>
              <w:bottom w:val="single" w:sz="4" w:space="0" w:color="auto"/>
              <w:right w:val="single" w:sz="4" w:space="0" w:color="auto"/>
            </w:tcBorders>
            <w:hideMark/>
          </w:tcPr>
          <w:p w14:paraId="42E2F51E"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17E2686D"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1D910EB8"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B99DD7"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Assurance</w:t>
            </w:r>
          </w:p>
        </w:tc>
        <w:tc>
          <w:tcPr>
            <w:tcW w:w="3071" w:type="dxa"/>
            <w:tcBorders>
              <w:top w:val="single" w:sz="4" w:space="0" w:color="auto"/>
              <w:left w:val="single" w:sz="4" w:space="0" w:color="auto"/>
              <w:bottom w:val="single" w:sz="4" w:space="0" w:color="auto"/>
              <w:right w:val="single" w:sz="4" w:space="0" w:color="auto"/>
            </w:tcBorders>
            <w:hideMark/>
          </w:tcPr>
          <w:p w14:paraId="7CE90C08"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137F8153"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75B4C282"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EE59D8"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Ressources humaines</w:t>
            </w:r>
          </w:p>
        </w:tc>
        <w:tc>
          <w:tcPr>
            <w:tcW w:w="3071" w:type="dxa"/>
            <w:tcBorders>
              <w:top w:val="single" w:sz="4" w:space="0" w:color="auto"/>
              <w:left w:val="single" w:sz="4" w:space="0" w:color="auto"/>
              <w:bottom w:val="single" w:sz="4" w:space="0" w:color="auto"/>
              <w:right w:val="single" w:sz="4" w:space="0" w:color="auto"/>
            </w:tcBorders>
            <w:hideMark/>
          </w:tcPr>
          <w:p w14:paraId="32F9ABBB"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3</w:t>
            </w:r>
          </w:p>
        </w:tc>
        <w:tc>
          <w:tcPr>
            <w:tcW w:w="3071" w:type="dxa"/>
            <w:tcBorders>
              <w:top w:val="single" w:sz="4" w:space="0" w:color="auto"/>
              <w:left w:val="single" w:sz="4" w:space="0" w:color="auto"/>
              <w:bottom w:val="single" w:sz="4" w:space="0" w:color="auto"/>
              <w:right w:val="single" w:sz="4" w:space="0" w:color="auto"/>
            </w:tcBorders>
            <w:hideMark/>
          </w:tcPr>
          <w:p w14:paraId="2F3DECDE"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1.0%</w:t>
            </w:r>
          </w:p>
        </w:tc>
      </w:tr>
      <w:tr w:rsidR="00086FF4" w:rsidRPr="00E2052F" w14:paraId="56829773"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296E878"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Marketing</w:t>
            </w:r>
          </w:p>
        </w:tc>
        <w:tc>
          <w:tcPr>
            <w:tcW w:w="3071" w:type="dxa"/>
            <w:tcBorders>
              <w:top w:val="single" w:sz="4" w:space="0" w:color="auto"/>
              <w:left w:val="single" w:sz="4" w:space="0" w:color="auto"/>
              <w:bottom w:val="single" w:sz="4" w:space="0" w:color="auto"/>
              <w:right w:val="single" w:sz="4" w:space="0" w:color="auto"/>
            </w:tcBorders>
            <w:hideMark/>
          </w:tcPr>
          <w:p w14:paraId="62610527"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3F0FA6E6"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27A3C5FD"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F90512"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Anglais</w:t>
            </w:r>
          </w:p>
        </w:tc>
        <w:tc>
          <w:tcPr>
            <w:tcW w:w="3071" w:type="dxa"/>
            <w:tcBorders>
              <w:top w:val="single" w:sz="4" w:space="0" w:color="auto"/>
              <w:left w:val="single" w:sz="4" w:space="0" w:color="auto"/>
              <w:bottom w:val="single" w:sz="4" w:space="0" w:color="auto"/>
              <w:right w:val="single" w:sz="4" w:space="0" w:color="auto"/>
            </w:tcBorders>
            <w:hideMark/>
          </w:tcPr>
          <w:p w14:paraId="6E446BC3"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w:t>
            </w:r>
          </w:p>
        </w:tc>
        <w:tc>
          <w:tcPr>
            <w:tcW w:w="3071" w:type="dxa"/>
            <w:tcBorders>
              <w:top w:val="single" w:sz="4" w:space="0" w:color="auto"/>
              <w:left w:val="single" w:sz="4" w:space="0" w:color="auto"/>
              <w:bottom w:val="single" w:sz="4" w:space="0" w:color="auto"/>
              <w:right w:val="single" w:sz="4" w:space="0" w:color="auto"/>
            </w:tcBorders>
            <w:hideMark/>
          </w:tcPr>
          <w:p w14:paraId="51E70B27"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0.3%</w:t>
            </w:r>
          </w:p>
        </w:tc>
      </w:tr>
      <w:tr w:rsidR="00086FF4" w:rsidRPr="00E2052F" w14:paraId="6A5B2EA6"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0EF4730"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Génie de production</w:t>
            </w:r>
          </w:p>
        </w:tc>
        <w:tc>
          <w:tcPr>
            <w:tcW w:w="3071" w:type="dxa"/>
            <w:tcBorders>
              <w:top w:val="single" w:sz="4" w:space="0" w:color="auto"/>
              <w:left w:val="single" w:sz="4" w:space="0" w:color="auto"/>
              <w:bottom w:val="single" w:sz="4" w:space="0" w:color="auto"/>
              <w:right w:val="single" w:sz="4" w:space="0" w:color="auto"/>
            </w:tcBorders>
            <w:hideMark/>
          </w:tcPr>
          <w:p w14:paraId="068AD2D5"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16C6F96B"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66A41E12"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1979A9"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Management</w:t>
            </w:r>
          </w:p>
        </w:tc>
        <w:tc>
          <w:tcPr>
            <w:tcW w:w="3071" w:type="dxa"/>
            <w:tcBorders>
              <w:top w:val="single" w:sz="4" w:space="0" w:color="auto"/>
              <w:left w:val="single" w:sz="4" w:space="0" w:color="auto"/>
              <w:bottom w:val="single" w:sz="4" w:space="0" w:color="auto"/>
              <w:right w:val="single" w:sz="4" w:space="0" w:color="auto"/>
            </w:tcBorders>
            <w:hideMark/>
          </w:tcPr>
          <w:p w14:paraId="375D1CB1"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w:t>
            </w:r>
          </w:p>
        </w:tc>
        <w:tc>
          <w:tcPr>
            <w:tcW w:w="3071" w:type="dxa"/>
            <w:tcBorders>
              <w:top w:val="single" w:sz="4" w:space="0" w:color="auto"/>
              <w:left w:val="single" w:sz="4" w:space="0" w:color="auto"/>
              <w:bottom w:val="single" w:sz="4" w:space="0" w:color="auto"/>
              <w:right w:val="single" w:sz="4" w:space="0" w:color="auto"/>
            </w:tcBorders>
            <w:hideMark/>
          </w:tcPr>
          <w:p w14:paraId="0A22730B"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0.3%</w:t>
            </w:r>
          </w:p>
        </w:tc>
      </w:tr>
      <w:tr w:rsidR="00086FF4" w:rsidRPr="00E2052F" w14:paraId="44E894AD"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2297C4"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Logistique</w:t>
            </w:r>
          </w:p>
        </w:tc>
        <w:tc>
          <w:tcPr>
            <w:tcW w:w="3071" w:type="dxa"/>
            <w:tcBorders>
              <w:top w:val="single" w:sz="4" w:space="0" w:color="auto"/>
              <w:left w:val="single" w:sz="4" w:space="0" w:color="auto"/>
              <w:bottom w:val="single" w:sz="4" w:space="0" w:color="auto"/>
              <w:right w:val="single" w:sz="4" w:space="0" w:color="auto"/>
            </w:tcBorders>
            <w:hideMark/>
          </w:tcPr>
          <w:p w14:paraId="67252460"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w:t>
            </w:r>
          </w:p>
        </w:tc>
        <w:tc>
          <w:tcPr>
            <w:tcW w:w="3071" w:type="dxa"/>
            <w:tcBorders>
              <w:top w:val="single" w:sz="4" w:space="0" w:color="auto"/>
              <w:left w:val="single" w:sz="4" w:space="0" w:color="auto"/>
              <w:bottom w:val="single" w:sz="4" w:space="0" w:color="auto"/>
              <w:right w:val="single" w:sz="4" w:space="0" w:color="auto"/>
            </w:tcBorders>
            <w:hideMark/>
          </w:tcPr>
          <w:p w14:paraId="16F15F7A"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0.3%</w:t>
            </w:r>
          </w:p>
        </w:tc>
      </w:tr>
      <w:tr w:rsidR="00086FF4" w:rsidRPr="00E2052F" w14:paraId="5C1D8EFD"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99C8405"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 xml:space="preserve">Didactique du </w:t>
            </w:r>
            <w:r w:rsidR="009A559A" w:rsidRPr="00E2052F">
              <w:rPr>
                <w:rFonts w:cstheme="majorBidi"/>
                <w:b/>
                <w:bCs/>
                <w:color w:val="000000"/>
                <w:sz w:val="22"/>
              </w:rPr>
              <w:t>Fos</w:t>
            </w:r>
            <w:r w:rsidRPr="00E2052F">
              <w:rPr>
                <w:rFonts w:cstheme="majorBidi"/>
                <w:b/>
                <w:bCs/>
                <w:color w:val="000000"/>
                <w:sz w:val="22"/>
              </w:rPr>
              <w:t xml:space="preserve"> et fle</w:t>
            </w:r>
          </w:p>
        </w:tc>
        <w:tc>
          <w:tcPr>
            <w:tcW w:w="3071" w:type="dxa"/>
            <w:tcBorders>
              <w:top w:val="single" w:sz="4" w:space="0" w:color="auto"/>
              <w:left w:val="single" w:sz="4" w:space="0" w:color="auto"/>
              <w:bottom w:val="single" w:sz="4" w:space="0" w:color="auto"/>
              <w:right w:val="single" w:sz="4" w:space="0" w:color="auto"/>
            </w:tcBorders>
            <w:hideMark/>
          </w:tcPr>
          <w:p w14:paraId="74817F1E"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2</w:t>
            </w:r>
          </w:p>
        </w:tc>
        <w:tc>
          <w:tcPr>
            <w:tcW w:w="3071" w:type="dxa"/>
            <w:tcBorders>
              <w:top w:val="single" w:sz="4" w:space="0" w:color="auto"/>
              <w:left w:val="single" w:sz="4" w:space="0" w:color="auto"/>
              <w:bottom w:val="single" w:sz="4" w:space="0" w:color="auto"/>
              <w:right w:val="single" w:sz="4" w:space="0" w:color="auto"/>
            </w:tcBorders>
            <w:hideMark/>
          </w:tcPr>
          <w:p w14:paraId="26F690CB"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0.7%</w:t>
            </w:r>
          </w:p>
        </w:tc>
      </w:tr>
      <w:tr w:rsidR="00086FF4" w:rsidRPr="00E2052F" w14:paraId="02239F90"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03788B"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Analyse et sciences de données</w:t>
            </w:r>
          </w:p>
        </w:tc>
        <w:tc>
          <w:tcPr>
            <w:tcW w:w="3071" w:type="dxa"/>
            <w:tcBorders>
              <w:top w:val="single" w:sz="4" w:space="0" w:color="auto"/>
              <w:left w:val="single" w:sz="4" w:space="0" w:color="auto"/>
              <w:bottom w:val="single" w:sz="4" w:space="0" w:color="auto"/>
              <w:right w:val="single" w:sz="4" w:space="0" w:color="auto"/>
            </w:tcBorders>
            <w:hideMark/>
          </w:tcPr>
          <w:p w14:paraId="21345745"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w:t>
            </w:r>
          </w:p>
        </w:tc>
        <w:tc>
          <w:tcPr>
            <w:tcW w:w="3071" w:type="dxa"/>
            <w:tcBorders>
              <w:top w:val="single" w:sz="4" w:space="0" w:color="auto"/>
              <w:left w:val="single" w:sz="4" w:space="0" w:color="auto"/>
              <w:bottom w:val="single" w:sz="4" w:space="0" w:color="auto"/>
              <w:right w:val="single" w:sz="4" w:space="0" w:color="auto"/>
            </w:tcBorders>
            <w:hideMark/>
          </w:tcPr>
          <w:p w14:paraId="7004C5C2"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0.3%</w:t>
            </w:r>
          </w:p>
        </w:tc>
      </w:tr>
      <w:tr w:rsidR="00086FF4" w:rsidRPr="00E2052F" w14:paraId="69EC24C1"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AD02FF"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Analyse et sciences de données</w:t>
            </w:r>
          </w:p>
        </w:tc>
        <w:tc>
          <w:tcPr>
            <w:tcW w:w="3071" w:type="dxa"/>
            <w:tcBorders>
              <w:top w:val="single" w:sz="4" w:space="0" w:color="auto"/>
              <w:left w:val="single" w:sz="4" w:space="0" w:color="auto"/>
              <w:bottom w:val="single" w:sz="4" w:space="0" w:color="auto"/>
              <w:right w:val="single" w:sz="4" w:space="0" w:color="auto"/>
            </w:tcBorders>
            <w:hideMark/>
          </w:tcPr>
          <w:p w14:paraId="2758C682"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w:t>
            </w:r>
          </w:p>
        </w:tc>
        <w:tc>
          <w:tcPr>
            <w:tcW w:w="3071" w:type="dxa"/>
            <w:tcBorders>
              <w:top w:val="single" w:sz="4" w:space="0" w:color="auto"/>
              <w:left w:val="single" w:sz="4" w:space="0" w:color="auto"/>
              <w:bottom w:val="single" w:sz="4" w:space="0" w:color="auto"/>
              <w:right w:val="single" w:sz="4" w:space="0" w:color="auto"/>
            </w:tcBorders>
            <w:hideMark/>
          </w:tcPr>
          <w:p w14:paraId="13C439DA"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0.3%</w:t>
            </w:r>
          </w:p>
        </w:tc>
      </w:tr>
      <w:tr w:rsidR="00086FF4" w:rsidRPr="00E2052F" w14:paraId="68BA6240" w14:textId="77777777" w:rsidTr="00B679BA">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34AE1AC" w14:textId="77777777" w:rsidR="00086FF4" w:rsidRPr="00E2052F" w:rsidRDefault="00086FF4" w:rsidP="005969EE">
            <w:pPr>
              <w:spacing w:before="0" w:beforeAutospacing="0" w:after="160"/>
              <w:jc w:val="center"/>
              <w:rPr>
                <w:rFonts w:cstheme="majorBidi"/>
                <w:b/>
                <w:bCs/>
                <w:color w:val="000000"/>
                <w:sz w:val="22"/>
              </w:rPr>
            </w:pPr>
            <w:r w:rsidRPr="00E2052F">
              <w:rPr>
                <w:rFonts w:cstheme="majorBidi"/>
                <w:b/>
                <w:bCs/>
                <w:color w:val="000000"/>
                <w:sz w:val="22"/>
              </w:rPr>
              <w:t>Total</w:t>
            </w:r>
          </w:p>
        </w:tc>
        <w:tc>
          <w:tcPr>
            <w:tcW w:w="3071" w:type="dxa"/>
            <w:tcBorders>
              <w:top w:val="single" w:sz="4" w:space="0" w:color="auto"/>
              <w:left w:val="single" w:sz="4" w:space="0" w:color="auto"/>
              <w:bottom w:val="single" w:sz="4" w:space="0" w:color="auto"/>
              <w:right w:val="single" w:sz="4" w:space="0" w:color="auto"/>
            </w:tcBorders>
            <w:hideMark/>
          </w:tcPr>
          <w:p w14:paraId="0AC049FF"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300</w:t>
            </w:r>
          </w:p>
        </w:tc>
        <w:tc>
          <w:tcPr>
            <w:tcW w:w="3071" w:type="dxa"/>
            <w:tcBorders>
              <w:top w:val="single" w:sz="4" w:space="0" w:color="auto"/>
              <w:left w:val="single" w:sz="4" w:space="0" w:color="auto"/>
              <w:bottom w:val="single" w:sz="4" w:space="0" w:color="auto"/>
              <w:right w:val="single" w:sz="4" w:space="0" w:color="auto"/>
            </w:tcBorders>
            <w:hideMark/>
          </w:tcPr>
          <w:p w14:paraId="0DE36C32" w14:textId="77777777" w:rsidR="00086FF4" w:rsidRPr="00E2052F" w:rsidRDefault="00086FF4" w:rsidP="005969EE">
            <w:pPr>
              <w:spacing w:before="0" w:beforeAutospacing="0" w:after="160"/>
              <w:jc w:val="center"/>
              <w:rPr>
                <w:rFonts w:cstheme="majorBidi"/>
                <w:color w:val="000000"/>
                <w:sz w:val="22"/>
              </w:rPr>
            </w:pPr>
            <w:r w:rsidRPr="00E2052F">
              <w:rPr>
                <w:rFonts w:cstheme="majorBidi"/>
                <w:color w:val="000000"/>
                <w:sz w:val="22"/>
              </w:rPr>
              <w:t>100,0 %</w:t>
            </w:r>
          </w:p>
        </w:tc>
      </w:tr>
    </w:tbl>
    <w:p w14:paraId="515811E8" w14:textId="5A466AC4" w:rsidR="00086FF4" w:rsidRPr="00E2052F" w:rsidRDefault="00086FF4" w:rsidP="005969EE">
      <w:pPr>
        <w:spacing w:before="0" w:beforeAutospacing="0" w:line="240" w:lineRule="auto"/>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3AB3D742" w14:textId="77777777" w:rsidR="00086FF4" w:rsidRPr="00E2052F" w:rsidRDefault="00106A37" w:rsidP="005969EE">
      <w:pPr>
        <w:spacing w:before="0" w:beforeAutospacing="0"/>
        <w:rPr>
          <w:rFonts w:cstheme="majorBidi"/>
          <w:b/>
          <w:bCs/>
          <w:color w:val="000000"/>
          <w:sz w:val="22"/>
        </w:rPr>
      </w:pPr>
      <w:r w:rsidRPr="00E2052F">
        <w:rPr>
          <w:rFonts w:cstheme="majorBidi"/>
          <w:b/>
          <w:bCs/>
          <w:color w:val="000000"/>
          <w:sz w:val="22"/>
          <w:u w:val="single"/>
        </w:rPr>
        <w:t>Figure 19</w:t>
      </w:r>
      <w:r w:rsidR="00086FF4" w:rsidRPr="00E2052F">
        <w:rPr>
          <w:rFonts w:cstheme="majorBidi"/>
          <w:color w:val="000000"/>
          <w:sz w:val="22"/>
          <w:u w:val="single"/>
        </w:rPr>
        <w:t xml:space="preserve"> </w:t>
      </w:r>
      <w:r w:rsidR="00086FF4" w:rsidRPr="00E2052F">
        <w:rPr>
          <w:rFonts w:cstheme="majorBidi"/>
          <w:b/>
          <w:bCs/>
          <w:color w:val="000000"/>
          <w:sz w:val="22"/>
          <w:u w:val="single"/>
        </w:rPr>
        <w:t>:</w:t>
      </w:r>
      <w:r w:rsidR="00086FF4" w:rsidRPr="00E2052F">
        <w:rPr>
          <w:rFonts w:cstheme="majorBidi"/>
          <w:color w:val="000000"/>
          <w:sz w:val="22"/>
        </w:rPr>
        <w:t xml:space="preserve"> </w:t>
      </w:r>
      <w:r w:rsidR="00086FF4" w:rsidRPr="00E2052F">
        <w:rPr>
          <w:rFonts w:cstheme="majorBidi"/>
          <w:b/>
          <w:bCs/>
          <w:color w:val="000000"/>
          <w:sz w:val="22"/>
        </w:rPr>
        <w:t>Répartition relative des membres de l'échantillon d'étude par domaines d'étude.</w:t>
      </w:r>
    </w:p>
    <w:p w14:paraId="2055E0FC" w14:textId="77777777" w:rsidR="00086FF4" w:rsidRPr="00E2052F" w:rsidRDefault="00086FF4" w:rsidP="005969EE">
      <w:pPr>
        <w:spacing w:before="0" w:beforeAutospacing="0"/>
        <w:jc w:val="left"/>
        <w:rPr>
          <w:rFonts w:cstheme="majorBidi"/>
          <w:color w:val="000000"/>
          <w:sz w:val="22"/>
        </w:rPr>
      </w:pPr>
      <w:r w:rsidRPr="00E2052F">
        <w:rPr>
          <w:rFonts w:cstheme="majorBidi"/>
          <w:noProof/>
          <w:color w:val="000000"/>
          <w:sz w:val="22"/>
          <w:lang w:eastAsia="fr-FR"/>
        </w:rPr>
        <w:drawing>
          <wp:inline distT="0" distB="0" distL="0" distR="0" wp14:anchorId="39C281F9" wp14:editId="76011215">
            <wp:extent cx="5602406" cy="4059555"/>
            <wp:effectExtent l="0" t="0" r="17780" b="17145"/>
            <wp:docPr id="243"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9A4ED81" w14:textId="1AD8DBE3" w:rsidR="00086FF4" w:rsidRPr="00E2052F" w:rsidRDefault="00086FF4" w:rsidP="00D23BF3">
      <w:pPr>
        <w:spacing w:before="0" w:beforeAutospacing="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67382C0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On observe que les répondants proviennent principalement des domaines de la Gestion (23,7 %), du Commerce (22,3 %) et des Sciences économiques (8,3 %), représentant à eux seuls 54,3 % de l’échantillon total. Viennent ensuite les spécialités de la Finance (14,0 %) et de la Stratégie (11,7 %), puis le Droit (4,7 %) et le Génie industriel (4,0 %). Les autres domaines (Informatique, Ressources humaines, Automatique, Comptabilité, Génie électrique, Assurance, Marketing, etc.) demeurent faiblement représentés, avec des proportions comprises entre 0,3 % et 2,3 % chacun.</w:t>
      </w:r>
    </w:p>
    <w:p w14:paraId="70FEE5C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Cette répartition indique que la grande majorité des répondants possède une formation en gestion, commerce ou économie, ce qui est parfaitement cohérent avec les postes qu'ils occupent au sein du groupe TAYAL (managers, spécialistes achats, commercial, comptabilité, etc.).</w:t>
      </w:r>
    </w:p>
    <w:p w14:paraId="7DC21B8B"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Cela garantit également une bonne compréhension des concepts liés à la gouvernance d'entreprise et à la responsabilité sociale (RSE) abordés dans le questionnaire.</w:t>
      </w:r>
    </w:p>
    <w:p w14:paraId="1AA7A74C" w14:textId="77777777" w:rsidR="00086FF4" w:rsidRPr="00E2052F" w:rsidRDefault="00086FF4" w:rsidP="00D61875">
      <w:pPr>
        <w:pStyle w:val="Titre3"/>
        <w:numPr>
          <w:ilvl w:val="0"/>
          <w:numId w:val="32"/>
        </w:numPr>
        <w:spacing w:before="0" w:beforeAutospacing="0" w:after="160"/>
        <w:ind w:left="568" w:hanging="284"/>
        <w:rPr>
          <w:rFonts w:asciiTheme="majorBidi" w:hAnsiTheme="majorBidi"/>
          <w:color w:val="auto"/>
          <w:sz w:val="22"/>
        </w:rPr>
      </w:pPr>
      <w:bookmarkStart w:id="1654" w:name="_Toc229156005"/>
      <w:bookmarkStart w:id="1655" w:name="_Toc231747003"/>
      <w:bookmarkStart w:id="1656" w:name="_Toc231752409"/>
      <w:bookmarkStart w:id="1657" w:name="_Toc231810712"/>
      <w:bookmarkStart w:id="1658" w:name="_Toc231812055"/>
      <w:bookmarkStart w:id="1659" w:name="_Toc231812333"/>
      <w:bookmarkStart w:id="1660" w:name="_Toc231815217"/>
      <w:r w:rsidRPr="00E2052F">
        <w:rPr>
          <w:rFonts w:asciiTheme="majorBidi" w:hAnsiTheme="majorBidi"/>
          <w:color w:val="auto"/>
          <w:sz w:val="22"/>
        </w:rPr>
        <w:t xml:space="preserve">Répartition de l’échantillon de recherche par poste </w:t>
      </w:r>
      <w:r w:rsidR="009A559A" w:rsidRPr="00E2052F">
        <w:rPr>
          <w:rFonts w:asciiTheme="majorBidi" w:hAnsiTheme="majorBidi"/>
          <w:color w:val="auto"/>
          <w:sz w:val="22"/>
        </w:rPr>
        <w:t>occupé :</w:t>
      </w:r>
      <w:bookmarkEnd w:id="1654"/>
      <w:bookmarkEnd w:id="1655"/>
      <w:bookmarkEnd w:id="1656"/>
      <w:bookmarkEnd w:id="1657"/>
      <w:bookmarkEnd w:id="1658"/>
      <w:bookmarkEnd w:id="1659"/>
      <w:bookmarkEnd w:id="1660"/>
    </w:p>
    <w:p w14:paraId="2CC9D591"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Voici le tableau représentant la répartition par niveaux d’étude de l'échantillon interrogés.</w:t>
      </w:r>
    </w:p>
    <w:p w14:paraId="5612F60A" w14:textId="77777777" w:rsidR="00086FF4" w:rsidRPr="00E2052F" w:rsidRDefault="009A559A" w:rsidP="00D23BF3">
      <w:pPr>
        <w:spacing w:before="0" w:beforeAutospacing="0"/>
        <w:rPr>
          <w:rFonts w:cstheme="majorBidi"/>
          <w:color w:val="000000"/>
          <w:sz w:val="22"/>
        </w:rPr>
      </w:pPr>
      <w:r w:rsidRPr="00E2052F">
        <w:rPr>
          <w:rFonts w:cstheme="majorBidi"/>
          <w:b/>
          <w:bCs/>
          <w:color w:val="000000"/>
          <w:sz w:val="22"/>
          <w:u w:val="single"/>
        </w:rPr>
        <w:t>Tableau 1</w:t>
      </w:r>
      <w:r w:rsidR="00086FF4" w:rsidRPr="00E2052F">
        <w:rPr>
          <w:rFonts w:cstheme="majorBidi"/>
          <w:b/>
          <w:bCs/>
          <w:color w:val="000000"/>
          <w:sz w:val="22"/>
          <w:u w:val="single"/>
        </w:rPr>
        <w:t>6</w:t>
      </w:r>
      <w:r w:rsidR="00086FF4" w:rsidRPr="00E2052F">
        <w:rPr>
          <w:rFonts w:cstheme="majorBidi"/>
          <w:color w:val="000000"/>
          <w:sz w:val="22"/>
          <w:u w:val="single"/>
        </w:rPr>
        <w:t xml:space="preserve"> :</w:t>
      </w:r>
      <w:r w:rsidR="00086FF4" w:rsidRPr="00E2052F">
        <w:rPr>
          <w:rFonts w:cstheme="majorBidi"/>
          <w:color w:val="000000"/>
          <w:sz w:val="22"/>
        </w:rPr>
        <w:t xml:space="preserve"> </w:t>
      </w:r>
      <w:r w:rsidR="00086FF4" w:rsidRPr="00E2052F">
        <w:rPr>
          <w:rFonts w:cstheme="majorBidi"/>
          <w:b/>
          <w:bCs/>
          <w:color w:val="000000"/>
          <w:sz w:val="22"/>
        </w:rPr>
        <w:t>Répartition des membres de l'échantillon interrogés par poste occupé.</w:t>
      </w:r>
    </w:p>
    <w:tbl>
      <w:tblPr>
        <w:tblStyle w:val="Grilledutableau"/>
        <w:tblW w:w="9072" w:type="dxa"/>
        <w:jc w:val="center"/>
        <w:tblLook w:val="04A0" w:firstRow="1" w:lastRow="0" w:firstColumn="1" w:lastColumn="0" w:noHBand="0" w:noVBand="1"/>
      </w:tblPr>
      <w:tblGrid>
        <w:gridCol w:w="5860"/>
        <w:gridCol w:w="1393"/>
        <w:gridCol w:w="1819"/>
      </w:tblGrid>
      <w:tr w:rsidR="00086FF4" w:rsidRPr="00842A2D" w14:paraId="077CBF0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075B9B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Poste occupé</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62AAC0"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Effectifs</w:t>
            </w:r>
          </w:p>
        </w:tc>
        <w:tc>
          <w:tcPr>
            <w:tcW w:w="185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3D589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Pourcentage</w:t>
            </w:r>
          </w:p>
        </w:tc>
      </w:tr>
      <w:tr w:rsidR="00086FF4" w:rsidRPr="00842A2D" w14:paraId="1725756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7BA04B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GENERAL</w:t>
            </w:r>
          </w:p>
        </w:tc>
        <w:tc>
          <w:tcPr>
            <w:tcW w:w="1418" w:type="dxa"/>
            <w:tcBorders>
              <w:top w:val="single" w:sz="4" w:space="0" w:color="auto"/>
              <w:left w:val="single" w:sz="4" w:space="0" w:color="auto"/>
              <w:bottom w:val="single" w:sz="4" w:space="0" w:color="auto"/>
              <w:right w:val="single" w:sz="4" w:space="0" w:color="auto"/>
            </w:tcBorders>
            <w:hideMark/>
          </w:tcPr>
          <w:p w14:paraId="165342F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33C9B7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1DD2448"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316DC33"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COMMERCIAL CONFECTION</w:t>
            </w:r>
          </w:p>
        </w:tc>
        <w:tc>
          <w:tcPr>
            <w:tcW w:w="1418" w:type="dxa"/>
            <w:tcBorders>
              <w:top w:val="single" w:sz="4" w:space="0" w:color="auto"/>
              <w:left w:val="single" w:sz="4" w:space="0" w:color="auto"/>
              <w:bottom w:val="single" w:sz="4" w:space="0" w:color="auto"/>
              <w:right w:val="single" w:sz="4" w:space="0" w:color="auto"/>
            </w:tcBorders>
            <w:hideMark/>
          </w:tcPr>
          <w:p w14:paraId="6F0A3ED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771954F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58EED94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C59993"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COMMERCIAL TEXTILE</w:t>
            </w:r>
          </w:p>
        </w:tc>
        <w:tc>
          <w:tcPr>
            <w:tcW w:w="1418" w:type="dxa"/>
            <w:tcBorders>
              <w:top w:val="single" w:sz="4" w:space="0" w:color="auto"/>
              <w:left w:val="single" w:sz="4" w:space="0" w:color="auto"/>
              <w:bottom w:val="single" w:sz="4" w:space="0" w:color="auto"/>
              <w:right w:val="single" w:sz="4" w:space="0" w:color="auto"/>
            </w:tcBorders>
            <w:hideMark/>
          </w:tcPr>
          <w:p w14:paraId="26A177D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B7E577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1093B78C"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118F1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FINANCES ET DE LA COMPTABILITE</w:t>
            </w:r>
          </w:p>
        </w:tc>
        <w:tc>
          <w:tcPr>
            <w:tcW w:w="1418" w:type="dxa"/>
            <w:tcBorders>
              <w:top w:val="single" w:sz="4" w:space="0" w:color="auto"/>
              <w:left w:val="single" w:sz="4" w:space="0" w:color="auto"/>
              <w:bottom w:val="single" w:sz="4" w:space="0" w:color="auto"/>
              <w:right w:val="single" w:sz="4" w:space="0" w:color="auto"/>
            </w:tcBorders>
            <w:hideMark/>
          </w:tcPr>
          <w:p w14:paraId="62AA741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4033717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361FF165"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F531E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JURIDIQUE ET SECRETAIRE GENERALE</w:t>
            </w:r>
          </w:p>
        </w:tc>
        <w:tc>
          <w:tcPr>
            <w:tcW w:w="1418" w:type="dxa"/>
            <w:tcBorders>
              <w:top w:val="single" w:sz="4" w:space="0" w:color="auto"/>
              <w:left w:val="single" w:sz="4" w:space="0" w:color="auto"/>
              <w:bottom w:val="single" w:sz="4" w:space="0" w:color="auto"/>
              <w:right w:val="single" w:sz="4" w:space="0" w:color="auto"/>
            </w:tcBorders>
            <w:hideMark/>
          </w:tcPr>
          <w:p w14:paraId="12874B2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B5BA6E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0B61D41B"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7C902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DIRECTEUR TEINTURE FINISSAGE</w:t>
            </w:r>
          </w:p>
        </w:tc>
        <w:tc>
          <w:tcPr>
            <w:tcW w:w="1418" w:type="dxa"/>
            <w:tcBorders>
              <w:top w:val="single" w:sz="4" w:space="0" w:color="auto"/>
              <w:left w:val="single" w:sz="4" w:space="0" w:color="auto"/>
              <w:bottom w:val="single" w:sz="4" w:space="0" w:color="auto"/>
              <w:right w:val="single" w:sz="4" w:space="0" w:color="auto"/>
            </w:tcBorders>
            <w:hideMark/>
          </w:tcPr>
          <w:p w14:paraId="7FB1ECB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7D2570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8DE2514"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312CF7F"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ACHATS</w:t>
            </w:r>
          </w:p>
        </w:tc>
        <w:tc>
          <w:tcPr>
            <w:tcW w:w="1418" w:type="dxa"/>
            <w:tcBorders>
              <w:top w:val="single" w:sz="4" w:space="0" w:color="auto"/>
              <w:left w:val="single" w:sz="4" w:space="0" w:color="auto"/>
              <w:bottom w:val="single" w:sz="4" w:space="0" w:color="auto"/>
              <w:right w:val="single" w:sz="4" w:space="0" w:color="auto"/>
            </w:tcBorders>
            <w:hideMark/>
          </w:tcPr>
          <w:p w14:paraId="43AF241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3109325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538D3DC"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413D72"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AUDIT</w:t>
            </w:r>
          </w:p>
        </w:tc>
        <w:tc>
          <w:tcPr>
            <w:tcW w:w="1418" w:type="dxa"/>
            <w:tcBorders>
              <w:top w:val="single" w:sz="4" w:space="0" w:color="auto"/>
              <w:left w:val="single" w:sz="4" w:space="0" w:color="auto"/>
              <w:bottom w:val="single" w:sz="4" w:space="0" w:color="auto"/>
              <w:right w:val="single" w:sz="4" w:space="0" w:color="auto"/>
            </w:tcBorders>
            <w:hideMark/>
          </w:tcPr>
          <w:p w14:paraId="1ADEF55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7676C38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6C9CBED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0247E75"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COMPTABILITE</w:t>
            </w:r>
          </w:p>
        </w:tc>
        <w:tc>
          <w:tcPr>
            <w:tcW w:w="1418" w:type="dxa"/>
            <w:tcBorders>
              <w:top w:val="single" w:sz="4" w:space="0" w:color="auto"/>
              <w:left w:val="single" w:sz="4" w:space="0" w:color="auto"/>
              <w:bottom w:val="single" w:sz="4" w:space="0" w:color="auto"/>
              <w:right w:val="single" w:sz="4" w:space="0" w:color="auto"/>
            </w:tcBorders>
            <w:hideMark/>
          </w:tcPr>
          <w:p w14:paraId="031418B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3503C4A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46A9A97"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45161F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IT &amp; SECURITE DES SYSTEMES D'INFORMATION</w:t>
            </w:r>
          </w:p>
        </w:tc>
        <w:tc>
          <w:tcPr>
            <w:tcW w:w="1418" w:type="dxa"/>
            <w:tcBorders>
              <w:top w:val="single" w:sz="4" w:space="0" w:color="auto"/>
              <w:left w:val="single" w:sz="4" w:space="0" w:color="auto"/>
              <w:bottom w:val="single" w:sz="4" w:space="0" w:color="auto"/>
              <w:right w:val="single" w:sz="4" w:space="0" w:color="auto"/>
            </w:tcBorders>
            <w:hideMark/>
          </w:tcPr>
          <w:p w14:paraId="51274AD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B700B3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1AC9E48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B95E75"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LOGISTIQUE ET ENTREPOT</w:t>
            </w:r>
          </w:p>
        </w:tc>
        <w:tc>
          <w:tcPr>
            <w:tcW w:w="1418" w:type="dxa"/>
            <w:tcBorders>
              <w:top w:val="single" w:sz="4" w:space="0" w:color="auto"/>
              <w:left w:val="single" w:sz="4" w:space="0" w:color="auto"/>
              <w:bottom w:val="single" w:sz="4" w:space="0" w:color="auto"/>
              <w:right w:val="single" w:sz="4" w:space="0" w:color="auto"/>
            </w:tcBorders>
            <w:hideMark/>
          </w:tcPr>
          <w:p w14:paraId="0A6992E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0F35B76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F0EAE9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51D1E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MARKETING - COMMUNICATION &amp; RP</w:t>
            </w:r>
          </w:p>
        </w:tc>
        <w:tc>
          <w:tcPr>
            <w:tcW w:w="1418" w:type="dxa"/>
            <w:tcBorders>
              <w:top w:val="single" w:sz="4" w:space="0" w:color="auto"/>
              <w:left w:val="single" w:sz="4" w:space="0" w:color="auto"/>
              <w:bottom w:val="single" w:sz="4" w:space="0" w:color="auto"/>
              <w:right w:val="single" w:sz="4" w:space="0" w:color="auto"/>
            </w:tcBorders>
            <w:hideMark/>
          </w:tcPr>
          <w:p w14:paraId="33EEA59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552A84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1DFC4D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14DC2C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OPERATIONS EXPORT</w:t>
            </w:r>
          </w:p>
        </w:tc>
        <w:tc>
          <w:tcPr>
            <w:tcW w:w="1418" w:type="dxa"/>
            <w:tcBorders>
              <w:top w:val="single" w:sz="4" w:space="0" w:color="auto"/>
              <w:left w:val="single" w:sz="4" w:space="0" w:color="auto"/>
              <w:bottom w:val="single" w:sz="4" w:space="0" w:color="auto"/>
              <w:right w:val="single" w:sz="4" w:space="0" w:color="auto"/>
            </w:tcBorders>
            <w:hideMark/>
          </w:tcPr>
          <w:p w14:paraId="7F36554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271C6A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6F5F5A16"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9079AD"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OPERATIONS IMPORT ET EXPORT</w:t>
            </w:r>
          </w:p>
        </w:tc>
        <w:tc>
          <w:tcPr>
            <w:tcW w:w="1418" w:type="dxa"/>
            <w:tcBorders>
              <w:top w:val="single" w:sz="4" w:space="0" w:color="auto"/>
              <w:left w:val="single" w:sz="4" w:space="0" w:color="auto"/>
              <w:bottom w:val="single" w:sz="4" w:space="0" w:color="auto"/>
              <w:right w:val="single" w:sz="4" w:space="0" w:color="auto"/>
            </w:tcBorders>
            <w:hideMark/>
          </w:tcPr>
          <w:p w14:paraId="0198B37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5A28EED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32A4245C"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0FFB33"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Q.H.S.E.</w:t>
            </w:r>
          </w:p>
        </w:tc>
        <w:tc>
          <w:tcPr>
            <w:tcW w:w="1418" w:type="dxa"/>
            <w:tcBorders>
              <w:top w:val="single" w:sz="4" w:space="0" w:color="auto"/>
              <w:left w:val="single" w:sz="4" w:space="0" w:color="auto"/>
              <w:bottom w:val="single" w:sz="4" w:space="0" w:color="auto"/>
              <w:right w:val="single" w:sz="4" w:space="0" w:color="auto"/>
            </w:tcBorders>
            <w:hideMark/>
          </w:tcPr>
          <w:p w14:paraId="58249B1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0F5E606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3E5330B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139CF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MANAGER RESSOURCES HUMAINES</w:t>
            </w:r>
          </w:p>
        </w:tc>
        <w:tc>
          <w:tcPr>
            <w:tcW w:w="1418" w:type="dxa"/>
            <w:tcBorders>
              <w:top w:val="single" w:sz="4" w:space="0" w:color="auto"/>
              <w:left w:val="single" w:sz="4" w:space="0" w:color="auto"/>
              <w:bottom w:val="single" w:sz="4" w:space="0" w:color="auto"/>
              <w:right w:val="single" w:sz="4" w:space="0" w:color="auto"/>
            </w:tcBorders>
            <w:hideMark/>
          </w:tcPr>
          <w:p w14:paraId="3179646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90DB7D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191DCAE5"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88196E2"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AGENT EMPLOYES ASSURANCE ET QUALITE</w:t>
            </w:r>
          </w:p>
        </w:tc>
        <w:tc>
          <w:tcPr>
            <w:tcW w:w="1418" w:type="dxa"/>
            <w:tcBorders>
              <w:top w:val="single" w:sz="4" w:space="0" w:color="auto"/>
              <w:left w:val="single" w:sz="4" w:space="0" w:color="auto"/>
              <w:bottom w:val="single" w:sz="4" w:space="0" w:color="auto"/>
              <w:right w:val="single" w:sz="4" w:space="0" w:color="auto"/>
            </w:tcBorders>
            <w:hideMark/>
          </w:tcPr>
          <w:p w14:paraId="3E8615D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3901E79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1E45DAA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FD7A8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ASSISTANTE EXECUTIVE DU DIRECTEUR GENERAL</w:t>
            </w:r>
          </w:p>
        </w:tc>
        <w:tc>
          <w:tcPr>
            <w:tcW w:w="1418" w:type="dxa"/>
            <w:tcBorders>
              <w:top w:val="single" w:sz="4" w:space="0" w:color="auto"/>
              <w:left w:val="single" w:sz="4" w:space="0" w:color="auto"/>
              <w:bottom w:val="single" w:sz="4" w:space="0" w:color="auto"/>
              <w:right w:val="single" w:sz="4" w:space="0" w:color="auto"/>
            </w:tcBorders>
            <w:hideMark/>
          </w:tcPr>
          <w:p w14:paraId="65523D8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F0F052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B253EE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8E2DE1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lastRenderedPageBreak/>
              <w:t>AUDITEUR QUALITE INTERNE SENIOR</w:t>
            </w:r>
          </w:p>
        </w:tc>
        <w:tc>
          <w:tcPr>
            <w:tcW w:w="1418" w:type="dxa"/>
            <w:tcBorders>
              <w:top w:val="single" w:sz="4" w:space="0" w:color="auto"/>
              <w:left w:val="single" w:sz="4" w:space="0" w:color="auto"/>
              <w:bottom w:val="single" w:sz="4" w:space="0" w:color="auto"/>
              <w:right w:val="single" w:sz="4" w:space="0" w:color="auto"/>
            </w:tcBorders>
            <w:hideMark/>
          </w:tcPr>
          <w:p w14:paraId="326ED78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14EE7F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08F65B0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EBE84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INSPECTEUR PREVENTION HSE JUNIOR</w:t>
            </w:r>
          </w:p>
        </w:tc>
        <w:tc>
          <w:tcPr>
            <w:tcW w:w="1418" w:type="dxa"/>
            <w:tcBorders>
              <w:top w:val="single" w:sz="4" w:space="0" w:color="auto"/>
              <w:left w:val="single" w:sz="4" w:space="0" w:color="auto"/>
              <w:bottom w:val="single" w:sz="4" w:space="0" w:color="auto"/>
              <w:right w:val="single" w:sz="4" w:space="0" w:color="auto"/>
            </w:tcBorders>
            <w:hideMark/>
          </w:tcPr>
          <w:p w14:paraId="4B3AF85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3056B1F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082E1DB6"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0FC10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INSTRUCTEUR D'APPLICATION</w:t>
            </w:r>
          </w:p>
        </w:tc>
        <w:tc>
          <w:tcPr>
            <w:tcW w:w="1418" w:type="dxa"/>
            <w:tcBorders>
              <w:top w:val="single" w:sz="4" w:space="0" w:color="auto"/>
              <w:left w:val="single" w:sz="4" w:space="0" w:color="auto"/>
              <w:bottom w:val="single" w:sz="4" w:space="0" w:color="auto"/>
              <w:right w:val="single" w:sz="4" w:space="0" w:color="auto"/>
            </w:tcBorders>
            <w:hideMark/>
          </w:tcPr>
          <w:p w14:paraId="6D6D62C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1872D3A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58F538A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C368E8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MARCHANDISER</w:t>
            </w:r>
          </w:p>
        </w:tc>
        <w:tc>
          <w:tcPr>
            <w:tcW w:w="1418" w:type="dxa"/>
            <w:tcBorders>
              <w:top w:val="single" w:sz="4" w:space="0" w:color="auto"/>
              <w:left w:val="single" w:sz="4" w:space="0" w:color="auto"/>
              <w:bottom w:val="single" w:sz="4" w:space="0" w:color="auto"/>
              <w:right w:val="single" w:sz="4" w:space="0" w:color="auto"/>
            </w:tcBorders>
            <w:hideMark/>
          </w:tcPr>
          <w:p w14:paraId="0405DE5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702F12E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17D8758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8C425A"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MODELISTE JUNIOR</w:t>
            </w:r>
          </w:p>
        </w:tc>
        <w:tc>
          <w:tcPr>
            <w:tcW w:w="1418" w:type="dxa"/>
            <w:tcBorders>
              <w:top w:val="single" w:sz="4" w:space="0" w:color="auto"/>
              <w:left w:val="single" w:sz="4" w:space="0" w:color="auto"/>
              <w:bottom w:val="single" w:sz="4" w:space="0" w:color="auto"/>
              <w:right w:val="single" w:sz="4" w:space="0" w:color="auto"/>
            </w:tcBorders>
            <w:hideMark/>
          </w:tcPr>
          <w:p w14:paraId="69DA5A0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78BD7904"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760C893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22A00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ACHATS</w:t>
            </w:r>
          </w:p>
        </w:tc>
        <w:tc>
          <w:tcPr>
            <w:tcW w:w="1418" w:type="dxa"/>
            <w:tcBorders>
              <w:top w:val="single" w:sz="4" w:space="0" w:color="auto"/>
              <w:left w:val="single" w:sz="4" w:space="0" w:color="auto"/>
              <w:bottom w:val="single" w:sz="4" w:space="0" w:color="auto"/>
              <w:right w:val="single" w:sz="4" w:space="0" w:color="auto"/>
            </w:tcBorders>
            <w:hideMark/>
          </w:tcPr>
          <w:p w14:paraId="5962056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207650F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22B7EFB3"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9F9D8E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ACHATS INTERNATIONAUX</w:t>
            </w:r>
          </w:p>
        </w:tc>
        <w:tc>
          <w:tcPr>
            <w:tcW w:w="1418" w:type="dxa"/>
            <w:tcBorders>
              <w:top w:val="single" w:sz="4" w:space="0" w:color="auto"/>
              <w:left w:val="single" w:sz="4" w:space="0" w:color="auto"/>
              <w:bottom w:val="single" w:sz="4" w:space="0" w:color="auto"/>
              <w:right w:val="single" w:sz="4" w:space="0" w:color="auto"/>
            </w:tcBorders>
            <w:hideMark/>
          </w:tcPr>
          <w:p w14:paraId="610202F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w:t>
            </w:r>
          </w:p>
        </w:tc>
        <w:tc>
          <w:tcPr>
            <w:tcW w:w="1854" w:type="dxa"/>
            <w:tcBorders>
              <w:top w:val="single" w:sz="4" w:space="0" w:color="auto"/>
              <w:left w:val="single" w:sz="4" w:space="0" w:color="auto"/>
              <w:bottom w:val="single" w:sz="4" w:space="0" w:color="auto"/>
              <w:right w:val="single" w:sz="4" w:space="0" w:color="auto"/>
            </w:tcBorders>
            <w:hideMark/>
          </w:tcPr>
          <w:p w14:paraId="25394FD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0,7 %</w:t>
            </w:r>
          </w:p>
        </w:tc>
      </w:tr>
      <w:tr w:rsidR="00086FF4" w:rsidRPr="00842A2D" w14:paraId="67902A1B"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7379A7"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ACHATS INTERNATIONAUX SENIOR</w:t>
            </w:r>
          </w:p>
        </w:tc>
        <w:tc>
          <w:tcPr>
            <w:tcW w:w="1418" w:type="dxa"/>
            <w:tcBorders>
              <w:top w:val="single" w:sz="4" w:space="0" w:color="auto"/>
              <w:left w:val="single" w:sz="4" w:space="0" w:color="auto"/>
              <w:bottom w:val="single" w:sz="4" w:space="0" w:color="auto"/>
              <w:right w:val="single" w:sz="4" w:space="0" w:color="auto"/>
            </w:tcBorders>
            <w:hideMark/>
          </w:tcPr>
          <w:p w14:paraId="3A0EA40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5EB8834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17CA1C01"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AC315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ACHATS JUNIOR</w:t>
            </w:r>
          </w:p>
        </w:tc>
        <w:tc>
          <w:tcPr>
            <w:tcW w:w="1418" w:type="dxa"/>
            <w:tcBorders>
              <w:top w:val="single" w:sz="4" w:space="0" w:color="auto"/>
              <w:left w:val="single" w:sz="4" w:space="0" w:color="auto"/>
              <w:bottom w:val="single" w:sz="4" w:space="0" w:color="auto"/>
              <w:right w:val="single" w:sz="4" w:space="0" w:color="auto"/>
            </w:tcBorders>
            <w:hideMark/>
          </w:tcPr>
          <w:p w14:paraId="08ECAC4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7A9A981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677E1B4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FA0FDE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ACHATS SENIOR</w:t>
            </w:r>
          </w:p>
        </w:tc>
        <w:tc>
          <w:tcPr>
            <w:tcW w:w="1418" w:type="dxa"/>
            <w:tcBorders>
              <w:top w:val="single" w:sz="4" w:space="0" w:color="auto"/>
              <w:left w:val="single" w:sz="4" w:space="0" w:color="auto"/>
              <w:bottom w:val="single" w:sz="4" w:space="0" w:color="auto"/>
              <w:right w:val="single" w:sz="4" w:space="0" w:color="auto"/>
            </w:tcBorders>
            <w:hideMark/>
          </w:tcPr>
          <w:p w14:paraId="1E39287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8</w:t>
            </w:r>
          </w:p>
        </w:tc>
        <w:tc>
          <w:tcPr>
            <w:tcW w:w="1854" w:type="dxa"/>
            <w:tcBorders>
              <w:top w:val="single" w:sz="4" w:space="0" w:color="auto"/>
              <w:left w:val="single" w:sz="4" w:space="0" w:color="auto"/>
              <w:bottom w:val="single" w:sz="4" w:space="0" w:color="auto"/>
              <w:right w:val="single" w:sz="4" w:space="0" w:color="auto"/>
            </w:tcBorders>
            <w:hideMark/>
          </w:tcPr>
          <w:p w14:paraId="11D3054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2,7 %</w:t>
            </w:r>
          </w:p>
        </w:tc>
      </w:tr>
      <w:tr w:rsidR="00086FF4" w:rsidRPr="00842A2D" w14:paraId="08F56733"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EA671C"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BACK OFFICE</w:t>
            </w:r>
          </w:p>
        </w:tc>
        <w:tc>
          <w:tcPr>
            <w:tcW w:w="1418" w:type="dxa"/>
            <w:tcBorders>
              <w:top w:val="single" w:sz="4" w:space="0" w:color="auto"/>
              <w:left w:val="single" w:sz="4" w:space="0" w:color="auto"/>
              <w:bottom w:val="single" w:sz="4" w:space="0" w:color="auto"/>
              <w:right w:val="single" w:sz="4" w:space="0" w:color="auto"/>
            </w:tcBorders>
            <w:hideMark/>
          </w:tcPr>
          <w:p w14:paraId="1A828CF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w:t>
            </w:r>
          </w:p>
        </w:tc>
        <w:tc>
          <w:tcPr>
            <w:tcW w:w="1854" w:type="dxa"/>
            <w:tcBorders>
              <w:top w:val="single" w:sz="4" w:space="0" w:color="auto"/>
              <w:left w:val="single" w:sz="4" w:space="0" w:color="auto"/>
              <w:bottom w:val="single" w:sz="4" w:space="0" w:color="auto"/>
              <w:right w:val="single" w:sz="4" w:space="0" w:color="auto"/>
            </w:tcBorders>
            <w:hideMark/>
          </w:tcPr>
          <w:p w14:paraId="1D66B9D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0,7 %</w:t>
            </w:r>
          </w:p>
        </w:tc>
      </w:tr>
      <w:tr w:rsidR="00086FF4" w:rsidRPr="00842A2D" w14:paraId="5A9204CC"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84B212"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COMMERCIAL</w:t>
            </w:r>
          </w:p>
        </w:tc>
        <w:tc>
          <w:tcPr>
            <w:tcW w:w="1418" w:type="dxa"/>
            <w:tcBorders>
              <w:top w:val="single" w:sz="4" w:space="0" w:color="auto"/>
              <w:left w:val="single" w:sz="4" w:space="0" w:color="auto"/>
              <w:bottom w:val="single" w:sz="4" w:space="0" w:color="auto"/>
              <w:right w:val="single" w:sz="4" w:space="0" w:color="auto"/>
            </w:tcBorders>
            <w:hideMark/>
          </w:tcPr>
          <w:p w14:paraId="02B02C44"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3B9EEA5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342F011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CEDF20"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COMMERCIAL EXPORT SENIOR</w:t>
            </w:r>
          </w:p>
        </w:tc>
        <w:tc>
          <w:tcPr>
            <w:tcW w:w="1418" w:type="dxa"/>
            <w:tcBorders>
              <w:top w:val="single" w:sz="4" w:space="0" w:color="auto"/>
              <w:left w:val="single" w:sz="4" w:space="0" w:color="auto"/>
              <w:bottom w:val="single" w:sz="4" w:space="0" w:color="auto"/>
              <w:right w:val="single" w:sz="4" w:space="0" w:color="auto"/>
            </w:tcBorders>
            <w:hideMark/>
          </w:tcPr>
          <w:p w14:paraId="5152A05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4</w:t>
            </w:r>
          </w:p>
        </w:tc>
        <w:tc>
          <w:tcPr>
            <w:tcW w:w="1854" w:type="dxa"/>
            <w:tcBorders>
              <w:top w:val="single" w:sz="4" w:space="0" w:color="auto"/>
              <w:left w:val="single" w:sz="4" w:space="0" w:color="auto"/>
              <w:bottom w:val="single" w:sz="4" w:space="0" w:color="auto"/>
              <w:right w:val="single" w:sz="4" w:space="0" w:color="auto"/>
            </w:tcBorders>
            <w:hideMark/>
          </w:tcPr>
          <w:p w14:paraId="69DF3CD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1,3 %</w:t>
            </w:r>
          </w:p>
        </w:tc>
      </w:tr>
      <w:tr w:rsidR="00086FF4" w:rsidRPr="00842A2D" w14:paraId="32D81B56"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4AA807"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COMMERCIAL JUNIOR</w:t>
            </w:r>
          </w:p>
        </w:tc>
        <w:tc>
          <w:tcPr>
            <w:tcW w:w="1418" w:type="dxa"/>
            <w:tcBorders>
              <w:top w:val="single" w:sz="4" w:space="0" w:color="auto"/>
              <w:left w:val="single" w:sz="4" w:space="0" w:color="auto"/>
              <w:bottom w:val="single" w:sz="4" w:space="0" w:color="auto"/>
              <w:right w:val="single" w:sz="4" w:space="0" w:color="auto"/>
            </w:tcBorders>
            <w:hideMark/>
          </w:tcPr>
          <w:p w14:paraId="6D1CDCF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0757154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8B37AB8"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9D8437"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COMMERCIAL LOCAL</w:t>
            </w:r>
          </w:p>
        </w:tc>
        <w:tc>
          <w:tcPr>
            <w:tcW w:w="1418" w:type="dxa"/>
            <w:tcBorders>
              <w:top w:val="single" w:sz="4" w:space="0" w:color="auto"/>
              <w:left w:val="single" w:sz="4" w:space="0" w:color="auto"/>
              <w:bottom w:val="single" w:sz="4" w:space="0" w:color="auto"/>
              <w:right w:val="single" w:sz="4" w:space="0" w:color="auto"/>
            </w:tcBorders>
            <w:hideMark/>
          </w:tcPr>
          <w:p w14:paraId="60E600E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72BC9BD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59758967"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77C92D"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COMMERCIAL LOCAL SENIOR</w:t>
            </w:r>
          </w:p>
        </w:tc>
        <w:tc>
          <w:tcPr>
            <w:tcW w:w="1418" w:type="dxa"/>
            <w:tcBorders>
              <w:top w:val="single" w:sz="4" w:space="0" w:color="auto"/>
              <w:left w:val="single" w:sz="4" w:space="0" w:color="auto"/>
              <w:bottom w:val="single" w:sz="4" w:space="0" w:color="auto"/>
              <w:right w:val="single" w:sz="4" w:space="0" w:color="auto"/>
            </w:tcBorders>
            <w:hideMark/>
          </w:tcPr>
          <w:p w14:paraId="166D7F2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01B35FF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491E606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252C3C"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COMMUNICATION INTERNE</w:t>
            </w:r>
          </w:p>
        </w:tc>
        <w:tc>
          <w:tcPr>
            <w:tcW w:w="1418" w:type="dxa"/>
            <w:tcBorders>
              <w:top w:val="single" w:sz="4" w:space="0" w:color="auto"/>
              <w:left w:val="single" w:sz="4" w:space="0" w:color="auto"/>
              <w:bottom w:val="single" w:sz="4" w:space="0" w:color="auto"/>
              <w:right w:val="single" w:sz="4" w:space="0" w:color="auto"/>
            </w:tcBorders>
            <w:hideMark/>
          </w:tcPr>
          <w:p w14:paraId="661EAEE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4229654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72C1577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D66326E"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COMPTABILITE</w:t>
            </w:r>
          </w:p>
        </w:tc>
        <w:tc>
          <w:tcPr>
            <w:tcW w:w="1418" w:type="dxa"/>
            <w:tcBorders>
              <w:top w:val="single" w:sz="4" w:space="0" w:color="auto"/>
              <w:left w:val="single" w:sz="4" w:space="0" w:color="auto"/>
              <w:bottom w:val="single" w:sz="4" w:space="0" w:color="auto"/>
              <w:right w:val="single" w:sz="4" w:space="0" w:color="auto"/>
            </w:tcBorders>
            <w:hideMark/>
          </w:tcPr>
          <w:p w14:paraId="44A970F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335F86C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043B2857"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45DA7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COMPTABILITE JUNIOR</w:t>
            </w:r>
          </w:p>
        </w:tc>
        <w:tc>
          <w:tcPr>
            <w:tcW w:w="1418" w:type="dxa"/>
            <w:tcBorders>
              <w:top w:val="single" w:sz="4" w:space="0" w:color="auto"/>
              <w:left w:val="single" w:sz="4" w:space="0" w:color="auto"/>
              <w:bottom w:val="single" w:sz="4" w:space="0" w:color="auto"/>
              <w:right w:val="single" w:sz="4" w:space="0" w:color="auto"/>
            </w:tcBorders>
            <w:hideMark/>
          </w:tcPr>
          <w:p w14:paraId="58DA8D2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5365D22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40938EB"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C8737BE"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COMPTABILITE SENIOR</w:t>
            </w:r>
          </w:p>
        </w:tc>
        <w:tc>
          <w:tcPr>
            <w:tcW w:w="1418" w:type="dxa"/>
            <w:tcBorders>
              <w:top w:val="single" w:sz="4" w:space="0" w:color="auto"/>
              <w:left w:val="single" w:sz="4" w:space="0" w:color="auto"/>
              <w:bottom w:val="single" w:sz="4" w:space="0" w:color="auto"/>
              <w:right w:val="single" w:sz="4" w:space="0" w:color="auto"/>
            </w:tcBorders>
            <w:hideMark/>
          </w:tcPr>
          <w:p w14:paraId="1A725F5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30BFAAD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35F416D1"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0D9682A"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CONFECTION</w:t>
            </w:r>
          </w:p>
        </w:tc>
        <w:tc>
          <w:tcPr>
            <w:tcW w:w="1418" w:type="dxa"/>
            <w:tcBorders>
              <w:top w:val="single" w:sz="4" w:space="0" w:color="auto"/>
              <w:left w:val="single" w:sz="4" w:space="0" w:color="auto"/>
              <w:bottom w:val="single" w:sz="4" w:space="0" w:color="auto"/>
              <w:right w:val="single" w:sz="4" w:space="0" w:color="auto"/>
            </w:tcBorders>
            <w:hideMark/>
          </w:tcPr>
          <w:p w14:paraId="1F7DD01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4</w:t>
            </w:r>
          </w:p>
        </w:tc>
        <w:tc>
          <w:tcPr>
            <w:tcW w:w="1854" w:type="dxa"/>
            <w:tcBorders>
              <w:top w:val="single" w:sz="4" w:space="0" w:color="auto"/>
              <w:left w:val="single" w:sz="4" w:space="0" w:color="auto"/>
              <w:bottom w:val="single" w:sz="4" w:space="0" w:color="auto"/>
              <w:right w:val="single" w:sz="4" w:space="0" w:color="auto"/>
            </w:tcBorders>
            <w:hideMark/>
          </w:tcPr>
          <w:p w14:paraId="38A53BC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1,3 %</w:t>
            </w:r>
          </w:p>
        </w:tc>
      </w:tr>
      <w:tr w:rsidR="00086FF4" w:rsidRPr="00842A2D" w14:paraId="196203EB"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1C269D"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CONFECTION SENIOR</w:t>
            </w:r>
          </w:p>
        </w:tc>
        <w:tc>
          <w:tcPr>
            <w:tcW w:w="1418" w:type="dxa"/>
            <w:tcBorders>
              <w:top w:val="single" w:sz="4" w:space="0" w:color="auto"/>
              <w:left w:val="single" w:sz="4" w:space="0" w:color="auto"/>
              <w:bottom w:val="single" w:sz="4" w:space="0" w:color="auto"/>
              <w:right w:val="single" w:sz="4" w:space="0" w:color="auto"/>
            </w:tcBorders>
            <w:hideMark/>
          </w:tcPr>
          <w:p w14:paraId="03025B5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0C75AC5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6472B93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3D0535"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CONTROLE DE GESTION INDUSTRIEL JUNIOR</w:t>
            </w:r>
          </w:p>
        </w:tc>
        <w:tc>
          <w:tcPr>
            <w:tcW w:w="1418" w:type="dxa"/>
            <w:tcBorders>
              <w:top w:val="single" w:sz="4" w:space="0" w:color="auto"/>
              <w:left w:val="single" w:sz="4" w:space="0" w:color="auto"/>
              <w:bottom w:val="single" w:sz="4" w:space="0" w:color="auto"/>
              <w:right w:val="single" w:sz="4" w:space="0" w:color="auto"/>
            </w:tcBorders>
            <w:hideMark/>
          </w:tcPr>
          <w:p w14:paraId="1FFDB1B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297610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39231B3"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3935A0"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DEVELOPPEMENT COMMERCIAL</w:t>
            </w:r>
          </w:p>
        </w:tc>
        <w:tc>
          <w:tcPr>
            <w:tcW w:w="1418" w:type="dxa"/>
            <w:tcBorders>
              <w:top w:val="single" w:sz="4" w:space="0" w:color="auto"/>
              <w:left w:val="single" w:sz="4" w:space="0" w:color="auto"/>
              <w:bottom w:val="single" w:sz="4" w:space="0" w:color="auto"/>
              <w:right w:val="single" w:sz="4" w:space="0" w:color="auto"/>
            </w:tcBorders>
            <w:hideMark/>
          </w:tcPr>
          <w:p w14:paraId="4DCAF42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9</w:t>
            </w:r>
          </w:p>
        </w:tc>
        <w:tc>
          <w:tcPr>
            <w:tcW w:w="1854" w:type="dxa"/>
            <w:tcBorders>
              <w:top w:val="single" w:sz="4" w:space="0" w:color="auto"/>
              <w:left w:val="single" w:sz="4" w:space="0" w:color="auto"/>
              <w:bottom w:val="single" w:sz="4" w:space="0" w:color="auto"/>
              <w:right w:val="single" w:sz="4" w:space="0" w:color="auto"/>
            </w:tcBorders>
            <w:hideMark/>
          </w:tcPr>
          <w:p w14:paraId="7E05120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3,0 %</w:t>
            </w:r>
          </w:p>
        </w:tc>
      </w:tr>
      <w:tr w:rsidR="00086FF4" w:rsidRPr="00842A2D" w14:paraId="6BCF50E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8963B0"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DEVELOPPEMENT IT</w:t>
            </w:r>
          </w:p>
        </w:tc>
        <w:tc>
          <w:tcPr>
            <w:tcW w:w="1418" w:type="dxa"/>
            <w:tcBorders>
              <w:top w:val="single" w:sz="4" w:space="0" w:color="auto"/>
              <w:left w:val="single" w:sz="4" w:space="0" w:color="auto"/>
              <w:bottom w:val="single" w:sz="4" w:space="0" w:color="auto"/>
              <w:right w:val="single" w:sz="4" w:space="0" w:color="auto"/>
            </w:tcBorders>
            <w:hideMark/>
          </w:tcPr>
          <w:p w14:paraId="43C2319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0BF5B28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34F92745"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6019B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DEVELOPPEMENT IT JUNIOR</w:t>
            </w:r>
          </w:p>
        </w:tc>
        <w:tc>
          <w:tcPr>
            <w:tcW w:w="1418" w:type="dxa"/>
            <w:tcBorders>
              <w:top w:val="single" w:sz="4" w:space="0" w:color="auto"/>
              <w:left w:val="single" w:sz="4" w:space="0" w:color="auto"/>
              <w:bottom w:val="single" w:sz="4" w:space="0" w:color="auto"/>
              <w:right w:val="single" w:sz="4" w:space="0" w:color="auto"/>
            </w:tcBorders>
            <w:hideMark/>
          </w:tcPr>
          <w:p w14:paraId="00C7734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7E9F011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5C3C541B"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56460B3"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DEVELOPPEMENT IT SENIOR</w:t>
            </w:r>
          </w:p>
        </w:tc>
        <w:tc>
          <w:tcPr>
            <w:tcW w:w="1418" w:type="dxa"/>
            <w:tcBorders>
              <w:top w:val="single" w:sz="4" w:space="0" w:color="auto"/>
              <w:left w:val="single" w:sz="4" w:space="0" w:color="auto"/>
              <w:bottom w:val="single" w:sz="4" w:space="0" w:color="auto"/>
              <w:right w:val="single" w:sz="4" w:space="0" w:color="auto"/>
            </w:tcBorders>
            <w:hideMark/>
          </w:tcPr>
          <w:p w14:paraId="06DE9CA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252D770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7295C464"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7386B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DEVELOPPEMENT RESSOURCES HUMAINES ET FORMATION SENIOR</w:t>
            </w:r>
          </w:p>
        </w:tc>
        <w:tc>
          <w:tcPr>
            <w:tcW w:w="1418" w:type="dxa"/>
            <w:tcBorders>
              <w:top w:val="single" w:sz="4" w:space="0" w:color="auto"/>
              <w:left w:val="single" w:sz="4" w:space="0" w:color="auto"/>
              <w:bottom w:val="single" w:sz="4" w:space="0" w:color="auto"/>
              <w:right w:val="single" w:sz="4" w:space="0" w:color="auto"/>
            </w:tcBorders>
          </w:tcPr>
          <w:p w14:paraId="180424CD" w14:textId="77777777" w:rsidR="00086FF4" w:rsidRPr="00842A2D" w:rsidRDefault="00086FF4" w:rsidP="0035255D">
            <w:pPr>
              <w:spacing w:before="0" w:beforeAutospacing="0" w:after="160"/>
              <w:jc w:val="center"/>
              <w:rPr>
                <w:rFonts w:cstheme="majorBidi"/>
                <w:color w:val="000000"/>
                <w:sz w:val="20"/>
                <w:szCs w:val="20"/>
              </w:rPr>
            </w:pPr>
          </w:p>
          <w:p w14:paraId="72048BC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3</w:t>
            </w:r>
          </w:p>
        </w:tc>
        <w:tc>
          <w:tcPr>
            <w:tcW w:w="1854" w:type="dxa"/>
            <w:tcBorders>
              <w:top w:val="single" w:sz="4" w:space="0" w:color="auto"/>
              <w:left w:val="single" w:sz="4" w:space="0" w:color="auto"/>
              <w:bottom w:val="single" w:sz="4" w:space="0" w:color="auto"/>
              <w:right w:val="single" w:sz="4" w:space="0" w:color="auto"/>
            </w:tcBorders>
            <w:hideMark/>
          </w:tcPr>
          <w:p w14:paraId="33738A84"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1,0 %</w:t>
            </w:r>
          </w:p>
        </w:tc>
      </w:tr>
      <w:tr w:rsidR="00086FF4" w:rsidRPr="00842A2D" w14:paraId="66D64308"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9C136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D'INFOGRAPHIE SENIOR</w:t>
            </w:r>
          </w:p>
        </w:tc>
        <w:tc>
          <w:tcPr>
            <w:tcW w:w="1418" w:type="dxa"/>
            <w:tcBorders>
              <w:top w:val="single" w:sz="4" w:space="0" w:color="auto"/>
              <w:left w:val="single" w:sz="4" w:space="0" w:color="auto"/>
              <w:bottom w:val="single" w:sz="4" w:space="0" w:color="auto"/>
              <w:right w:val="single" w:sz="4" w:space="0" w:color="auto"/>
            </w:tcBorders>
            <w:hideMark/>
          </w:tcPr>
          <w:p w14:paraId="5CA0758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12C9E80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037820C5"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4D66D7C"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ENTREPOTS ET EXPEDITION SENIOR</w:t>
            </w:r>
          </w:p>
        </w:tc>
        <w:tc>
          <w:tcPr>
            <w:tcW w:w="1418" w:type="dxa"/>
            <w:tcBorders>
              <w:top w:val="single" w:sz="4" w:space="0" w:color="auto"/>
              <w:left w:val="single" w:sz="4" w:space="0" w:color="auto"/>
              <w:bottom w:val="single" w:sz="4" w:space="0" w:color="auto"/>
              <w:right w:val="single" w:sz="4" w:space="0" w:color="auto"/>
            </w:tcBorders>
            <w:hideMark/>
          </w:tcPr>
          <w:p w14:paraId="7133173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500FA6A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4364F47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28DD47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ENVIRENNEMENT SENIOR</w:t>
            </w:r>
          </w:p>
        </w:tc>
        <w:tc>
          <w:tcPr>
            <w:tcW w:w="1418" w:type="dxa"/>
            <w:tcBorders>
              <w:top w:val="single" w:sz="4" w:space="0" w:color="auto"/>
              <w:left w:val="single" w:sz="4" w:space="0" w:color="auto"/>
              <w:bottom w:val="single" w:sz="4" w:space="0" w:color="auto"/>
              <w:right w:val="single" w:sz="4" w:space="0" w:color="auto"/>
            </w:tcBorders>
            <w:hideMark/>
          </w:tcPr>
          <w:p w14:paraId="061CF49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1FDEDA2F"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2B512C00"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3029C2C"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ERP</w:t>
            </w:r>
          </w:p>
        </w:tc>
        <w:tc>
          <w:tcPr>
            <w:tcW w:w="1418" w:type="dxa"/>
            <w:tcBorders>
              <w:top w:val="single" w:sz="4" w:space="0" w:color="auto"/>
              <w:left w:val="single" w:sz="4" w:space="0" w:color="auto"/>
              <w:bottom w:val="single" w:sz="4" w:space="0" w:color="auto"/>
              <w:right w:val="single" w:sz="4" w:space="0" w:color="auto"/>
            </w:tcBorders>
            <w:hideMark/>
          </w:tcPr>
          <w:p w14:paraId="662E06E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8</w:t>
            </w:r>
          </w:p>
        </w:tc>
        <w:tc>
          <w:tcPr>
            <w:tcW w:w="1854" w:type="dxa"/>
            <w:tcBorders>
              <w:top w:val="single" w:sz="4" w:space="0" w:color="auto"/>
              <w:left w:val="single" w:sz="4" w:space="0" w:color="auto"/>
              <w:bottom w:val="single" w:sz="4" w:space="0" w:color="auto"/>
              <w:right w:val="single" w:sz="4" w:space="0" w:color="auto"/>
            </w:tcBorders>
            <w:hideMark/>
          </w:tcPr>
          <w:p w14:paraId="0ECB60E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2,7 %</w:t>
            </w:r>
          </w:p>
        </w:tc>
      </w:tr>
      <w:tr w:rsidR="00086FF4" w:rsidRPr="00842A2D" w14:paraId="2260B297"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11CAAC"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ERP SENIOR</w:t>
            </w:r>
          </w:p>
        </w:tc>
        <w:tc>
          <w:tcPr>
            <w:tcW w:w="1418" w:type="dxa"/>
            <w:tcBorders>
              <w:top w:val="single" w:sz="4" w:space="0" w:color="auto"/>
              <w:left w:val="single" w:sz="4" w:space="0" w:color="auto"/>
              <w:bottom w:val="single" w:sz="4" w:space="0" w:color="auto"/>
              <w:right w:val="single" w:sz="4" w:space="0" w:color="auto"/>
            </w:tcBorders>
            <w:hideMark/>
          </w:tcPr>
          <w:p w14:paraId="19991E0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6</w:t>
            </w:r>
          </w:p>
        </w:tc>
        <w:tc>
          <w:tcPr>
            <w:tcW w:w="1854" w:type="dxa"/>
            <w:tcBorders>
              <w:top w:val="single" w:sz="4" w:space="0" w:color="auto"/>
              <w:left w:val="single" w:sz="4" w:space="0" w:color="auto"/>
              <w:bottom w:val="single" w:sz="4" w:space="0" w:color="auto"/>
              <w:right w:val="single" w:sz="4" w:space="0" w:color="auto"/>
            </w:tcBorders>
            <w:hideMark/>
          </w:tcPr>
          <w:p w14:paraId="22228BF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2,0 %</w:t>
            </w:r>
          </w:p>
        </w:tc>
      </w:tr>
      <w:tr w:rsidR="00086FF4" w:rsidRPr="00842A2D" w14:paraId="3AC74B5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B00A3E"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FINANCES</w:t>
            </w:r>
          </w:p>
        </w:tc>
        <w:tc>
          <w:tcPr>
            <w:tcW w:w="1418" w:type="dxa"/>
            <w:tcBorders>
              <w:top w:val="single" w:sz="4" w:space="0" w:color="auto"/>
              <w:left w:val="single" w:sz="4" w:space="0" w:color="auto"/>
              <w:bottom w:val="single" w:sz="4" w:space="0" w:color="auto"/>
              <w:right w:val="single" w:sz="4" w:space="0" w:color="auto"/>
            </w:tcBorders>
            <w:hideMark/>
          </w:tcPr>
          <w:p w14:paraId="6685DFF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38EEC34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407EEF0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A352A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lastRenderedPageBreak/>
              <w:t>SPECIALISTE FINANCES JUNIOR</w:t>
            </w:r>
          </w:p>
        </w:tc>
        <w:tc>
          <w:tcPr>
            <w:tcW w:w="1418" w:type="dxa"/>
            <w:tcBorders>
              <w:top w:val="single" w:sz="4" w:space="0" w:color="auto"/>
              <w:left w:val="single" w:sz="4" w:space="0" w:color="auto"/>
              <w:bottom w:val="single" w:sz="4" w:space="0" w:color="auto"/>
              <w:right w:val="single" w:sz="4" w:space="0" w:color="auto"/>
            </w:tcBorders>
            <w:hideMark/>
          </w:tcPr>
          <w:p w14:paraId="36A6B40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34551E7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978A28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A5E9E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FORMATION ET DÉVELOPPEMENT RH</w:t>
            </w:r>
          </w:p>
        </w:tc>
        <w:tc>
          <w:tcPr>
            <w:tcW w:w="1418" w:type="dxa"/>
            <w:tcBorders>
              <w:top w:val="single" w:sz="4" w:space="0" w:color="auto"/>
              <w:left w:val="single" w:sz="4" w:space="0" w:color="auto"/>
              <w:bottom w:val="single" w:sz="4" w:space="0" w:color="auto"/>
              <w:right w:val="single" w:sz="4" w:space="0" w:color="auto"/>
            </w:tcBorders>
            <w:hideMark/>
          </w:tcPr>
          <w:p w14:paraId="580AA8B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w:t>
            </w:r>
          </w:p>
        </w:tc>
        <w:tc>
          <w:tcPr>
            <w:tcW w:w="1854" w:type="dxa"/>
            <w:tcBorders>
              <w:top w:val="single" w:sz="4" w:space="0" w:color="auto"/>
              <w:left w:val="single" w:sz="4" w:space="0" w:color="auto"/>
              <w:bottom w:val="single" w:sz="4" w:space="0" w:color="auto"/>
              <w:right w:val="single" w:sz="4" w:space="0" w:color="auto"/>
            </w:tcBorders>
            <w:hideMark/>
          </w:tcPr>
          <w:p w14:paraId="2BF6787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0,7 %</w:t>
            </w:r>
          </w:p>
        </w:tc>
      </w:tr>
      <w:tr w:rsidR="00086FF4" w:rsidRPr="00842A2D" w14:paraId="1881C7F1"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401114F"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GESTION DE STOCK</w:t>
            </w:r>
          </w:p>
        </w:tc>
        <w:tc>
          <w:tcPr>
            <w:tcW w:w="1418" w:type="dxa"/>
            <w:tcBorders>
              <w:top w:val="single" w:sz="4" w:space="0" w:color="auto"/>
              <w:left w:val="single" w:sz="4" w:space="0" w:color="auto"/>
              <w:bottom w:val="single" w:sz="4" w:space="0" w:color="auto"/>
              <w:right w:val="single" w:sz="4" w:space="0" w:color="auto"/>
            </w:tcBorders>
            <w:hideMark/>
          </w:tcPr>
          <w:p w14:paraId="0801B08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10</w:t>
            </w:r>
          </w:p>
        </w:tc>
        <w:tc>
          <w:tcPr>
            <w:tcW w:w="1854" w:type="dxa"/>
            <w:tcBorders>
              <w:top w:val="single" w:sz="4" w:space="0" w:color="auto"/>
              <w:left w:val="single" w:sz="4" w:space="0" w:color="auto"/>
              <w:bottom w:val="single" w:sz="4" w:space="0" w:color="auto"/>
              <w:right w:val="single" w:sz="4" w:space="0" w:color="auto"/>
            </w:tcBorders>
            <w:hideMark/>
          </w:tcPr>
          <w:p w14:paraId="43DD368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3,3 %</w:t>
            </w:r>
          </w:p>
        </w:tc>
      </w:tr>
      <w:tr w:rsidR="00086FF4" w:rsidRPr="00842A2D" w14:paraId="14FCADE5" w14:textId="77777777" w:rsidTr="00B679BA">
        <w:trPr>
          <w:trHeight w:val="567"/>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E0156F"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GESTION DE STOCK JUNIOR</w:t>
            </w:r>
          </w:p>
        </w:tc>
        <w:tc>
          <w:tcPr>
            <w:tcW w:w="1418" w:type="dxa"/>
            <w:tcBorders>
              <w:top w:val="single" w:sz="4" w:space="0" w:color="auto"/>
              <w:left w:val="single" w:sz="4" w:space="0" w:color="auto"/>
              <w:bottom w:val="single" w:sz="4" w:space="0" w:color="auto"/>
              <w:right w:val="single" w:sz="4" w:space="0" w:color="auto"/>
            </w:tcBorders>
            <w:hideMark/>
          </w:tcPr>
          <w:p w14:paraId="40A31599"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w:t>
            </w:r>
          </w:p>
        </w:tc>
        <w:tc>
          <w:tcPr>
            <w:tcW w:w="1854" w:type="dxa"/>
            <w:tcBorders>
              <w:top w:val="single" w:sz="4" w:space="0" w:color="auto"/>
              <w:left w:val="single" w:sz="4" w:space="0" w:color="auto"/>
              <w:bottom w:val="single" w:sz="4" w:space="0" w:color="auto"/>
              <w:right w:val="single" w:sz="4" w:space="0" w:color="auto"/>
            </w:tcBorders>
            <w:hideMark/>
          </w:tcPr>
          <w:p w14:paraId="4B8052FE"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0,3 %</w:t>
            </w:r>
          </w:p>
        </w:tc>
      </w:tr>
      <w:tr w:rsidR="00086FF4" w:rsidRPr="00842A2D" w14:paraId="131531C0"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A7F8F1"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HSE</w:t>
            </w:r>
          </w:p>
        </w:tc>
        <w:tc>
          <w:tcPr>
            <w:tcW w:w="1418" w:type="dxa"/>
            <w:tcBorders>
              <w:top w:val="single" w:sz="4" w:space="0" w:color="auto"/>
              <w:left w:val="single" w:sz="4" w:space="0" w:color="auto"/>
              <w:bottom w:val="single" w:sz="4" w:space="0" w:color="auto"/>
              <w:right w:val="single" w:sz="4" w:space="0" w:color="auto"/>
            </w:tcBorders>
            <w:hideMark/>
          </w:tcPr>
          <w:p w14:paraId="13060BB9"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8</w:t>
            </w:r>
          </w:p>
        </w:tc>
        <w:tc>
          <w:tcPr>
            <w:tcW w:w="1854" w:type="dxa"/>
            <w:tcBorders>
              <w:top w:val="single" w:sz="4" w:space="0" w:color="auto"/>
              <w:left w:val="single" w:sz="4" w:space="0" w:color="auto"/>
              <w:bottom w:val="single" w:sz="4" w:space="0" w:color="auto"/>
              <w:right w:val="single" w:sz="4" w:space="0" w:color="auto"/>
            </w:tcBorders>
            <w:hideMark/>
          </w:tcPr>
          <w:p w14:paraId="69FC6756"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2,7 %</w:t>
            </w:r>
          </w:p>
        </w:tc>
      </w:tr>
      <w:tr w:rsidR="00086FF4" w:rsidRPr="00842A2D" w14:paraId="13E7017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224E9E"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IMPORT-EXPORT JUNIOR</w:t>
            </w:r>
          </w:p>
        </w:tc>
        <w:tc>
          <w:tcPr>
            <w:tcW w:w="1418" w:type="dxa"/>
            <w:tcBorders>
              <w:top w:val="single" w:sz="4" w:space="0" w:color="auto"/>
              <w:left w:val="single" w:sz="4" w:space="0" w:color="auto"/>
              <w:bottom w:val="single" w:sz="4" w:space="0" w:color="auto"/>
              <w:right w:val="single" w:sz="4" w:space="0" w:color="auto"/>
            </w:tcBorders>
            <w:hideMark/>
          </w:tcPr>
          <w:p w14:paraId="522EE242"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6BAAD62A"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1,7 %</w:t>
            </w:r>
          </w:p>
        </w:tc>
      </w:tr>
      <w:tr w:rsidR="00086FF4" w:rsidRPr="00842A2D" w14:paraId="09477D8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2F3361"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IMPRESSION</w:t>
            </w:r>
          </w:p>
        </w:tc>
        <w:tc>
          <w:tcPr>
            <w:tcW w:w="1418" w:type="dxa"/>
            <w:tcBorders>
              <w:top w:val="single" w:sz="4" w:space="0" w:color="auto"/>
              <w:left w:val="single" w:sz="4" w:space="0" w:color="auto"/>
              <w:bottom w:val="single" w:sz="4" w:space="0" w:color="auto"/>
              <w:right w:val="single" w:sz="4" w:space="0" w:color="auto"/>
            </w:tcBorders>
            <w:hideMark/>
          </w:tcPr>
          <w:p w14:paraId="4DD2D639"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2C711536"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1,7 %</w:t>
            </w:r>
          </w:p>
        </w:tc>
      </w:tr>
      <w:tr w:rsidR="00086FF4" w:rsidRPr="00842A2D" w14:paraId="47853B44"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6A86843"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INTERVENTION HSE SENIOR</w:t>
            </w:r>
          </w:p>
        </w:tc>
        <w:tc>
          <w:tcPr>
            <w:tcW w:w="1418" w:type="dxa"/>
            <w:tcBorders>
              <w:top w:val="single" w:sz="4" w:space="0" w:color="auto"/>
              <w:left w:val="single" w:sz="4" w:space="0" w:color="auto"/>
              <w:bottom w:val="single" w:sz="4" w:space="0" w:color="auto"/>
              <w:right w:val="single" w:sz="4" w:space="0" w:color="auto"/>
            </w:tcBorders>
            <w:hideMark/>
          </w:tcPr>
          <w:p w14:paraId="55B4843E"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10</w:t>
            </w:r>
          </w:p>
        </w:tc>
        <w:tc>
          <w:tcPr>
            <w:tcW w:w="1854" w:type="dxa"/>
            <w:tcBorders>
              <w:top w:val="single" w:sz="4" w:space="0" w:color="auto"/>
              <w:left w:val="single" w:sz="4" w:space="0" w:color="auto"/>
              <w:bottom w:val="single" w:sz="4" w:space="0" w:color="auto"/>
              <w:right w:val="single" w:sz="4" w:space="0" w:color="auto"/>
            </w:tcBorders>
            <w:hideMark/>
          </w:tcPr>
          <w:p w14:paraId="09421751"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3,3 %</w:t>
            </w:r>
          </w:p>
        </w:tc>
      </w:tr>
      <w:tr w:rsidR="00086FF4" w:rsidRPr="00842A2D" w14:paraId="300F266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3F8C6C"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IT</w:t>
            </w:r>
          </w:p>
        </w:tc>
        <w:tc>
          <w:tcPr>
            <w:tcW w:w="1418" w:type="dxa"/>
            <w:tcBorders>
              <w:top w:val="single" w:sz="4" w:space="0" w:color="auto"/>
              <w:left w:val="single" w:sz="4" w:space="0" w:color="auto"/>
              <w:bottom w:val="single" w:sz="4" w:space="0" w:color="auto"/>
              <w:right w:val="single" w:sz="4" w:space="0" w:color="auto"/>
            </w:tcBorders>
            <w:hideMark/>
          </w:tcPr>
          <w:p w14:paraId="69FAFA93"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5C6BD675"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1,3 %</w:t>
            </w:r>
          </w:p>
        </w:tc>
      </w:tr>
      <w:tr w:rsidR="00086FF4" w:rsidRPr="00842A2D" w14:paraId="0295438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041772A"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IT SENIOR</w:t>
            </w:r>
          </w:p>
        </w:tc>
        <w:tc>
          <w:tcPr>
            <w:tcW w:w="1418" w:type="dxa"/>
            <w:tcBorders>
              <w:top w:val="single" w:sz="4" w:space="0" w:color="auto"/>
              <w:left w:val="single" w:sz="4" w:space="0" w:color="auto"/>
              <w:bottom w:val="single" w:sz="4" w:space="0" w:color="auto"/>
              <w:right w:val="single" w:sz="4" w:space="0" w:color="auto"/>
            </w:tcBorders>
            <w:hideMark/>
          </w:tcPr>
          <w:p w14:paraId="7A856B1C"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6B6AFDBE" w14:textId="77777777" w:rsidR="00086FF4" w:rsidRPr="00842A2D" w:rsidRDefault="00086FF4" w:rsidP="0035255D">
            <w:pPr>
              <w:spacing w:before="0" w:beforeAutospacing="0" w:after="160"/>
              <w:jc w:val="center"/>
              <w:rPr>
                <w:rFonts w:cstheme="majorBidi"/>
                <w:color w:val="000000"/>
                <w:sz w:val="20"/>
                <w:szCs w:val="20"/>
                <w:lang w:val="en-US"/>
              </w:rPr>
            </w:pPr>
            <w:bookmarkStart w:id="1661" w:name="_GoBack"/>
            <w:bookmarkEnd w:id="1661"/>
            <w:r w:rsidRPr="00842A2D">
              <w:rPr>
                <w:rFonts w:cstheme="majorBidi"/>
                <w:color w:val="000000"/>
                <w:sz w:val="20"/>
                <w:szCs w:val="20"/>
                <w:lang w:val="en-US"/>
              </w:rPr>
              <w:t>1,7 %</w:t>
            </w:r>
          </w:p>
        </w:tc>
      </w:tr>
      <w:tr w:rsidR="00086FF4" w:rsidRPr="00842A2D" w14:paraId="1434B16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34B91D7"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JURIDIQUE</w:t>
            </w:r>
          </w:p>
        </w:tc>
        <w:tc>
          <w:tcPr>
            <w:tcW w:w="1418" w:type="dxa"/>
            <w:tcBorders>
              <w:top w:val="single" w:sz="4" w:space="0" w:color="auto"/>
              <w:left w:val="single" w:sz="4" w:space="0" w:color="auto"/>
              <w:bottom w:val="single" w:sz="4" w:space="0" w:color="auto"/>
              <w:right w:val="single" w:sz="4" w:space="0" w:color="auto"/>
            </w:tcBorders>
            <w:hideMark/>
          </w:tcPr>
          <w:p w14:paraId="7526C71C"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2</w:t>
            </w:r>
          </w:p>
        </w:tc>
        <w:tc>
          <w:tcPr>
            <w:tcW w:w="1854" w:type="dxa"/>
            <w:tcBorders>
              <w:top w:val="single" w:sz="4" w:space="0" w:color="auto"/>
              <w:left w:val="single" w:sz="4" w:space="0" w:color="auto"/>
              <w:bottom w:val="single" w:sz="4" w:space="0" w:color="auto"/>
              <w:right w:val="single" w:sz="4" w:space="0" w:color="auto"/>
            </w:tcBorders>
            <w:hideMark/>
          </w:tcPr>
          <w:p w14:paraId="6BB1847D"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0,7 %</w:t>
            </w:r>
          </w:p>
        </w:tc>
      </w:tr>
      <w:tr w:rsidR="00086FF4" w:rsidRPr="00842A2D" w14:paraId="6E8059E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486E8AE"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JURIDIQUE SENIOR</w:t>
            </w:r>
          </w:p>
        </w:tc>
        <w:tc>
          <w:tcPr>
            <w:tcW w:w="1418" w:type="dxa"/>
            <w:tcBorders>
              <w:top w:val="single" w:sz="4" w:space="0" w:color="auto"/>
              <w:left w:val="single" w:sz="4" w:space="0" w:color="auto"/>
              <w:bottom w:val="single" w:sz="4" w:space="0" w:color="auto"/>
              <w:right w:val="single" w:sz="4" w:space="0" w:color="auto"/>
            </w:tcBorders>
            <w:hideMark/>
          </w:tcPr>
          <w:p w14:paraId="06992565"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3C3C406D"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1,3 %</w:t>
            </w:r>
          </w:p>
        </w:tc>
      </w:tr>
      <w:tr w:rsidR="00086FF4" w:rsidRPr="00842A2D" w14:paraId="29FA5020"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06F27A"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MARKETING</w:t>
            </w:r>
          </w:p>
        </w:tc>
        <w:tc>
          <w:tcPr>
            <w:tcW w:w="1418" w:type="dxa"/>
            <w:tcBorders>
              <w:top w:val="single" w:sz="4" w:space="0" w:color="auto"/>
              <w:left w:val="single" w:sz="4" w:space="0" w:color="auto"/>
              <w:bottom w:val="single" w:sz="4" w:space="0" w:color="auto"/>
              <w:right w:val="single" w:sz="4" w:space="0" w:color="auto"/>
            </w:tcBorders>
            <w:hideMark/>
          </w:tcPr>
          <w:p w14:paraId="1E910545"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6</w:t>
            </w:r>
          </w:p>
        </w:tc>
        <w:tc>
          <w:tcPr>
            <w:tcW w:w="1854" w:type="dxa"/>
            <w:tcBorders>
              <w:top w:val="single" w:sz="4" w:space="0" w:color="auto"/>
              <w:left w:val="single" w:sz="4" w:space="0" w:color="auto"/>
              <w:bottom w:val="single" w:sz="4" w:space="0" w:color="auto"/>
              <w:right w:val="single" w:sz="4" w:space="0" w:color="auto"/>
            </w:tcBorders>
            <w:hideMark/>
          </w:tcPr>
          <w:p w14:paraId="3C83DE77"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2,0 %</w:t>
            </w:r>
          </w:p>
        </w:tc>
      </w:tr>
      <w:tr w:rsidR="00086FF4" w:rsidRPr="00842A2D" w14:paraId="43B69109"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E0ADC0"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MOYENS GENERAUX</w:t>
            </w:r>
          </w:p>
        </w:tc>
        <w:tc>
          <w:tcPr>
            <w:tcW w:w="1418" w:type="dxa"/>
            <w:tcBorders>
              <w:top w:val="single" w:sz="4" w:space="0" w:color="auto"/>
              <w:left w:val="single" w:sz="4" w:space="0" w:color="auto"/>
              <w:bottom w:val="single" w:sz="4" w:space="0" w:color="auto"/>
              <w:right w:val="single" w:sz="4" w:space="0" w:color="auto"/>
            </w:tcBorders>
            <w:hideMark/>
          </w:tcPr>
          <w:p w14:paraId="0076553A"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56B04792"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1,3 %</w:t>
            </w:r>
          </w:p>
        </w:tc>
      </w:tr>
      <w:tr w:rsidR="00086FF4" w:rsidRPr="00842A2D" w14:paraId="16CE30D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E6EDAC"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MOYENS GENERAUX SENIOR</w:t>
            </w:r>
          </w:p>
        </w:tc>
        <w:tc>
          <w:tcPr>
            <w:tcW w:w="1418" w:type="dxa"/>
            <w:tcBorders>
              <w:top w:val="single" w:sz="4" w:space="0" w:color="auto"/>
              <w:left w:val="single" w:sz="4" w:space="0" w:color="auto"/>
              <w:bottom w:val="single" w:sz="4" w:space="0" w:color="auto"/>
              <w:right w:val="single" w:sz="4" w:space="0" w:color="auto"/>
            </w:tcBorders>
            <w:hideMark/>
          </w:tcPr>
          <w:p w14:paraId="2F38AC70"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2C3C0D12"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1,7 %</w:t>
            </w:r>
          </w:p>
        </w:tc>
      </w:tr>
      <w:tr w:rsidR="00086FF4" w:rsidRPr="00842A2D" w14:paraId="192156A8"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34CF58"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OPERATIONS EXPORT</w:t>
            </w:r>
          </w:p>
        </w:tc>
        <w:tc>
          <w:tcPr>
            <w:tcW w:w="1418" w:type="dxa"/>
            <w:tcBorders>
              <w:top w:val="single" w:sz="4" w:space="0" w:color="auto"/>
              <w:left w:val="single" w:sz="4" w:space="0" w:color="auto"/>
              <w:bottom w:val="single" w:sz="4" w:space="0" w:color="auto"/>
              <w:right w:val="single" w:sz="4" w:space="0" w:color="auto"/>
            </w:tcBorders>
            <w:hideMark/>
          </w:tcPr>
          <w:p w14:paraId="28034CFE"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3</w:t>
            </w:r>
          </w:p>
        </w:tc>
        <w:tc>
          <w:tcPr>
            <w:tcW w:w="1854" w:type="dxa"/>
            <w:tcBorders>
              <w:top w:val="single" w:sz="4" w:space="0" w:color="auto"/>
              <w:left w:val="single" w:sz="4" w:space="0" w:color="auto"/>
              <w:bottom w:val="single" w:sz="4" w:space="0" w:color="auto"/>
              <w:right w:val="single" w:sz="4" w:space="0" w:color="auto"/>
            </w:tcBorders>
            <w:hideMark/>
          </w:tcPr>
          <w:p w14:paraId="21AD8704"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1,0 %</w:t>
            </w:r>
          </w:p>
        </w:tc>
      </w:tr>
      <w:tr w:rsidR="00086FF4" w:rsidRPr="00842A2D" w14:paraId="62FF8CB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063955"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OPERATIONS IMPORT &amp; EXPORT</w:t>
            </w:r>
          </w:p>
        </w:tc>
        <w:tc>
          <w:tcPr>
            <w:tcW w:w="1418" w:type="dxa"/>
            <w:tcBorders>
              <w:top w:val="single" w:sz="4" w:space="0" w:color="auto"/>
              <w:left w:val="single" w:sz="4" w:space="0" w:color="auto"/>
              <w:bottom w:val="single" w:sz="4" w:space="0" w:color="auto"/>
              <w:right w:val="single" w:sz="4" w:space="0" w:color="auto"/>
            </w:tcBorders>
            <w:hideMark/>
          </w:tcPr>
          <w:p w14:paraId="1CD2449A"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499E8FCD"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1,7 %</w:t>
            </w:r>
          </w:p>
        </w:tc>
      </w:tr>
      <w:tr w:rsidR="00086FF4" w:rsidRPr="00842A2D" w14:paraId="23C6AA0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0C6B2EF"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PATRIMOINE ET ASSURANCE</w:t>
            </w:r>
          </w:p>
        </w:tc>
        <w:tc>
          <w:tcPr>
            <w:tcW w:w="1418" w:type="dxa"/>
            <w:tcBorders>
              <w:top w:val="single" w:sz="4" w:space="0" w:color="auto"/>
              <w:left w:val="single" w:sz="4" w:space="0" w:color="auto"/>
              <w:bottom w:val="single" w:sz="4" w:space="0" w:color="auto"/>
              <w:right w:val="single" w:sz="4" w:space="0" w:color="auto"/>
            </w:tcBorders>
            <w:hideMark/>
          </w:tcPr>
          <w:p w14:paraId="61CB3BDC"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3</w:t>
            </w:r>
          </w:p>
        </w:tc>
        <w:tc>
          <w:tcPr>
            <w:tcW w:w="1854" w:type="dxa"/>
            <w:tcBorders>
              <w:top w:val="single" w:sz="4" w:space="0" w:color="auto"/>
              <w:left w:val="single" w:sz="4" w:space="0" w:color="auto"/>
              <w:bottom w:val="single" w:sz="4" w:space="0" w:color="auto"/>
              <w:right w:val="single" w:sz="4" w:space="0" w:color="auto"/>
            </w:tcBorders>
            <w:hideMark/>
          </w:tcPr>
          <w:p w14:paraId="4CC45A3D"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1,0 %</w:t>
            </w:r>
          </w:p>
        </w:tc>
      </w:tr>
      <w:tr w:rsidR="00086FF4" w:rsidRPr="00842A2D" w14:paraId="3416B12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774CC05"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PLANIFICATION</w:t>
            </w:r>
          </w:p>
        </w:tc>
        <w:tc>
          <w:tcPr>
            <w:tcW w:w="1418" w:type="dxa"/>
            <w:tcBorders>
              <w:top w:val="single" w:sz="4" w:space="0" w:color="auto"/>
              <w:left w:val="single" w:sz="4" w:space="0" w:color="auto"/>
              <w:bottom w:val="single" w:sz="4" w:space="0" w:color="auto"/>
              <w:right w:val="single" w:sz="4" w:space="0" w:color="auto"/>
            </w:tcBorders>
            <w:hideMark/>
          </w:tcPr>
          <w:p w14:paraId="76C3A59E"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4AB59B61"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1,3 %</w:t>
            </w:r>
          </w:p>
        </w:tc>
      </w:tr>
      <w:tr w:rsidR="00086FF4" w:rsidRPr="00842A2D" w14:paraId="2577A49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97FC7D" w14:textId="77777777" w:rsidR="00086FF4" w:rsidRPr="00842A2D" w:rsidRDefault="00086FF4" w:rsidP="0035255D">
            <w:pPr>
              <w:spacing w:before="0" w:beforeAutospacing="0" w:after="160"/>
              <w:jc w:val="center"/>
              <w:rPr>
                <w:rFonts w:cstheme="majorBidi"/>
                <w:b/>
                <w:bCs/>
                <w:color w:val="000000"/>
                <w:sz w:val="20"/>
                <w:szCs w:val="20"/>
                <w:lang w:val="en-US"/>
              </w:rPr>
            </w:pPr>
            <w:r w:rsidRPr="00842A2D">
              <w:rPr>
                <w:rFonts w:cstheme="majorBidi"/>
                <w:b/>
                <w:bCs/>
                <w:color w:val="000000"/>
                <w:sz w:val="20"/>
                <w:szCs w:val="20"/>
                <w:lang w:val="en-US"/>
              </w:rPr>
              <w:t>SPECIALISTE PLANIFICATION SENIOR</w:t>
            </w:r>
          </w:p>
        </w:tc>
        <w:tc>
          <w:tcPr>
            <w:tcW w:w="1418" w:type="dxa"/>
            <w:tcBorders>
              <w:top w:val="single" w:sz="4" w:space="0" w:color="auto"/>
              <w:left w:val="single" w:sz="4" w:space="0" w:color="auto"/>
              <w:bottom w:val="single" w:sz="4" w:space="0" w:color="auto"/>
              <w:right w:val="single" w:sz="4" w:space="0" w:color="auto"/>
            </w:tcBorders>
            <w:hideMark/>
          </w:tcPr>
          <w:p w14:paraId="12BE2BE4"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24A6938F" w14:textId="77777777" w:rsidR="00086FF4" w:rsidRPr="00842A2D" w:rsidRDefault="00086FF4" w:rsidP="0035255D">
            <w:pPr>
              <w:spacing w:before="0" w:beforeAutospacing="0" w:after="160"/>
              <w:jc w:val="center"/>
              <w:rPr>
                <w:rFonts w:cstheme="majorBidi"/>
                <w:color w:val="000000"/>
                <w:sz w:val="20"/>
                <w:szCs w:val="20"/>
                <w:lang w:val="en-US"/>
              </w:rPr>
            </w:pPr>
            <w:r w:rsidRPr="00842A2D">
              <w:rPr>
                <w:rFonts w:cstheme="majorBidi"/>
                <w:color w:val="000000"/>
                <w:sz w:val="20"/>
                <w:szCs w:val="20"/>
                <w:lang w:val="en-US"/>
              </w:rPr>
              <w:t>1,3 %</w:t>
            </w:r>
          </w:p>
        </w:tc>
      </w:tr>
      <w:tr w:rsidR="00086FF4" w:rsidRPr="00842A2D" w14:paraId="072DBD4E"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9F25EA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PROJETS ET METHODES SENIOR</w:t>
            </w:r>
          </w:p>
        </w:tc>
        <w:tc>
          <w:tcPr>
            <w:tcW w:w="1418" w:type="dxa"/>
            <w:tcBorders>
              <w:top w:val="single" w:sz="4" w:space="0" w:color="auto"/>
              <w:left w:val="single" w:sz="4" w:space="0" w:color="auto"/>
              <w:bottom w:val="single" w:sz="4" w:space="0" w:color="auto"/>
              <w:right w:val="single" w:sz="4" w:space="0" w:color="auto"/>
            </w:tcBorders>
            <w:hideMark/>
          </w:tcPr>
          <w:p w14:paraId="6225AA58"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3</w:t>
            </w:r>
          </w:p>
        </w:tc>
        <w:tc>
          <w:tcPr>
            <w:tcW w:w="1854" w:type="dxa"/>
            <w:tcBorders>
              <w:top w:val="single" w:sz="4" w:space="0" w:color="auto"/>
              <w:left w:val="single" w:sz="4" w:space="0" w:color="auto"/>
              <w:bottom w:val="single" w:sz="4" w:space="0" w:color="auto"/>
              <w:right w:val="single" w:sz="4" w:space="0" w:color="auto"/>
            </w:tcBorders>
            <w:hideMark/>
          </w:tcPr>
          <w:p w14:paraId="5A04DA0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1,0 %</w:t>
            </w:r>
          </w:p>
        </w:tc>
      </w:tr>
      <w:tr w:rsidR="00086FF4" w:rsidRPr="00842A2D" w14:paraId="0B105B7C"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0C3FCA2"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RESSOURCES HUMAINES</w:t>
            </w:r>
          </w:p>
        </w:tc>
        <w:tc>
          <w:tcPr>
            <w:tcW w:w="1418" w:type="dxa"/>
            <w:tcBorders>
              <w:top w:val="single" w:sz="4" w:space="0" w:color="auto"/>
              <w:left w:val="single" w:sz="4" w:space="0" w:color="auto"/>
              <w:bottom w:val="single" w:sz="4" w:space="0" w:color="auto"/>
              <w:right w:val="single" w:sz="4" w:space="0" w:color="auto"/>
            </w:tcBorders>
            <w:hideMark/>
          </w:tcPr>
          <w:p w14:paraId="79BF752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40FED3C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5021E946"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9248C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RESSOURCES HUMAINES SENIOR</w:t>
            </w:r>
          </w:p>
        </w:tc>
        <w:tc>
          <w:tcPr>
            <w:tcW w:w="1418" w:type="dxa"/>
            <w:tcBorders>
              <w:top w:val="single" w:sz="4" w:space="0" w:color="auto"/>
              <w:left w:val="single" w:sz="4" w:space="0" w:color="auto"/>
              <w:bottom w:val="single" w:sz="4" w:space="0" w:color="auto"/>
              <w:right w:val="single" w:sz="4" w:space="0" w:color="auto"/>
            </w:tcBorders>
            <w:hideMark/>
          </w:tcPr>
          <w:p w14:paraId="3FFE3AD4"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7</w:t>
            </w:r>
          </w:p>
        </w:tc>
        <w:tc>
          <w:tcPr>
            <w:tcW w:w="1854" w:type="dxa"/>
            <w:tcBorders>
              <w:top w:val="single" w:sz="4" w:space="0" w:color="auto"/>
              <w:left w:val="single" w:sz="4" w:space="0" w:color="auto"/>
              <w:bottom w:val="single" w:sz="4" w:space="0" w:color="auto"/>
              <w:right w:val="single" w:sz="4" w:space="0" w:color="auto"/>
            </w:tcBorders>
            <w:hideMark/>
          </w:tcPr>
          <w:p w14:paraId="1723B6A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2,3 %</w:t>
            </w:r>
          </w:p>
        </w:tc>
      </w:tr>
      <w:tr w:rsidR="00086FF4" w:rsidRPr="00842A2D" w14:paraId="15E3A38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FFEF16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SPECIALISTE SMQ SENIOR</w:t>
            </w:r>
          </w:p>
        </w:tc>
        <w:tc>
          <w:tcPr>
            <w:tcW w:w="1418" w:type="dxa"/>
            <w:tcBorders>
              <w:top w:val="single" w:sz="4" w:space="0" w:color="auto"/>
              <w:left w:val="single" w:sz="4" w:space="0" w:color="auto"/>
              <w:bottom w:val="single" w:sz="4" w:space="0" w:color="auto"/>
              <w:right w:val="single" w:sz="4" w:space="0" w:color="auto"/>
            </w:tcBorders>
            <w:hideMark/>
          </w:tcPr>
          <w:p w14:paraId="327FE77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5</w:t>
            </w:r>
          </w:p>
        </w:tc>
        <w:tc>
          <w:tcPr>
            <w:tcW w:w="1854" w:type="dxa"/>
            <w:tcBorders>
              <w:top w:val="single" w:sz="4" w:space="0" w:color="auto"/>
              <w:left w:val="single" w:sz="4" w:space="0" w:color="auto"/>
              <w:bottom w:val="single" w:sz="4" w:space="0" w:color="auto"/>
              <w:right w:val="single" w:sz="4" w:space="0" w:color="auto"/>
            </w:tcBorders>
            <w:hideMark/>
          </w:tcPr>
          <w:p w14:paraId="6FE095E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1,7 %</w:t>
            </w:r>
          </w:p>
        </w:tc>
      </w:tr>
      <w:tr w:rsidR="00086FF4" w:rsidRPr="00842A2D" w14:paraId="789F886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9060999"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EXPERT SYSTEM &amp; METHODOLOGIE</w:t>
            </w:r>
          </w:p>
        </w:tc>
        <w:tc>
          <w:tcPr>
            <w:tcW w:w="1418" w:type="dxa"/>
            <w:tcBorders>
              <w:top w:val="single" w:sz="4" w:space="0" w:color="auto"/>
              <w:left w:val="single" w:sz="4" w:space="0" w:color="auto"/>
              <w:bottom w:val="single" w:sz="4" w:space="0" w:color="auto"/>
              <w:right w:val="single" w:sz="4" w:space="0" w:color="auto"/>
            </w:tcBorders>
            <w:hideMark/>
          </w:tcPr>
          <w:p w14:paraId="57AB275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5C104E7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21AE022"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B41528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GESTIONNAIRE DE STOCK</w:t>
            </w:r>
          </w:p>
        </w:tc>
        <w:tc>
          <w:tcPr>
            <w:tcW w:w="1418" w:type="dxa"/>
            <w:tcBorders>
              <w:top w:val="single" w:sz="4" w:space="0" w:color="auto"/>
              <w:left w:val="single" w:sz="4" w:space="0" w:color="auto"/>
              <w:bottom w:val="single" w:sz="4" w:space="0" w:color="auto"/>
              <w:right w:val="single" w:sz="4" w:space="0" w:color="auto"/>
            </w:tcBorders>
            <w:hideMark/>
          </w:tcPr>
          <w:p w14:paraId="3406EC6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4</w:t>
            </w:r>
          </w:p>
        </w:tc>
        <w:tc>
          <w:tcPr>
            <w:tcW w:w="1854" w:type="dxa"/>
            <w:tcBorders>
              <w:top w:val="single" w:sz="4" w:space="0" w:color="auto"/>
              <w:left w:val="single" w:sz="4" w:space="0" w:color="auto"/>
              <w:bottom w:val="single" w:sz="4" w:space="0" w:color="auto"/>
              <w:right w:val="single" w:sz="4" w:space="0" w:color="auto"/>
            </w:tcBorders>
            <w:hideMark/>
          </w:tcPr>
          <w:p w14:paraId="08A87847"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1,3 %</w:t>
            </w:r>
          </w:p>
        </w:tc>
      </w:tr>
      <w:tr w:rsidR="00086FF4" w:rsidRPr="00842A2D" w14:paraId="36CC78A5"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C1555DD"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EXPERTS / SPECIALISTE MARQUE ET IMAGE</w:t>
            </w:r>
          </w:p>
        </w:tc>
        <w:tc>
          <w:tcPr>
            <w:tcW w:w="1418" w:type="dxa"/>
            <w:tcBorders>
              <w:top w:val="single" w:sz="4" w:space="0" w:color="auto"/>
              <w:left w:val="single" w:sz="4" w:space="0" w:color="auto"/>
              <w:bottom w:val="single" w:sz="4" w:space="0" w:color="auto"/>
              <w:right w:val="single" w:sz="4" w:space="0" w:color="auto"/>
            </w:tcBorders>
            <w:hideMark/>
          </w:tcPr>
          <w:p w14:paraId="798BCD2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2</w:t>
            </w:r>
          </w:p>
        </w:tc>
        <w:tc>
          <w:tcPr>
            <w:tcW w:w="1854" w:type="dxa"/>
            <w:tcBorders>
              <w:top w:val="single" w:sz="4" w:space="0" w:color="auto"/>
              <w:left w:val="single" w:sz="4" w:space="0" w:color="auto"/>
              <w:bottom w:val="single" w:sz="4" w:space="0" w:color="auto"/>
              <w:right w:val="single" w:sz="4" w:space="0" w:color="auto"/>
            </w:tcBorders>
            <w:hideMark/>
          </w:tcPr>
          <w:p w14:paraId="034986F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0,7 %</w:t>
            </w:r>
          </w:p>
        </w:tc>
      </w:tr>
      <w:tr w:rsidR="00086FF4" w:rsidRPr="00842A2D" w14:paraId="573FCED4"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3D188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AUDITEUR QUALITE INTERNE JUNIOR</w:t>
            </w:r>
          </w:p>
        </w:tc>
        <w:tc>
          <w:tcPr>
            <w:tcW w:w="1418" w:type="dxa"/>
            <w:tcBorders>
              <w:top w:val="single" w:sz="4" w:space="0" w:color="auto"/>
              <w:left w:val="single" w:sz="4" w:space="0" w:color="auto"/>
              <w:bottom w:val="single" w:sz="4" w:space="0" w:color="auto"/>
              <w:right w:val="single" w:sz="4" w:space="0" w:color="auto"/>
            </w:tcBorders>
            <w:hideMark/>
          </w:tcPr>
          <w:p w14:paraId="0BE2C192"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528BF4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0B9D52F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EE7D65"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BACK OFFICE</w:t>
            </w:r>
          </w:p>
        </w:tc>
        <w:tc>
          <w:tcPr>
            <w:tcW w:w="1418" w:type="dxa"/>
            <w:tcBorders>
              <w:top w:val="single" w:sz="4" w:space="0" w:color="auto"/>
              <w:left w:val="single" w:sz="4" w:space="0" w:color="auto"/>
              <w:bottom w:val="single" w:sz="4" w:space="0" w:color="auto"/>
              <w:right w:val="single" w:sz="4" w:space="0" w:color="auto"/>
            </w:tcBorders>
            <w:hideMark/>
          </w:tcPr>
          <w:p w14:paraId="694D787C"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5C14235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1A0A59A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D85BA8F"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COMMERCIAL LOCAL</w:t>
            </w:r>
          </w:p>
        </w:tc>
        <w:tc>
          <w:tcPr>
            <w:tcW w:w="1418" w:type="dxa"/>
            <w:tcBorders>
              <w:top w:val="single" w:sz="4" w:space="0" w:color="auto"/>
              <w:left w:val="single" w:sz="4" w:space="0" w:color="auto"/>
              <w:bottom w:val="single" w:sz="4" w:space="0" w:color="auto"/>
              <w:right w:val="single" w:sz="4" w:space="0" w:color="auto"/>
            </w:tcBorders>
            <w:hideMark/>
          </w:tcPr>
          <w:p w14:paraId="7E52C31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4812F33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9E1D58A"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1F3EFB"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COMPTABILITE GENERALE</w:t>
            </w:r>
          </w:p>
        </w:tc>
        <w:tc>
          <w:tcPr>
            <w:tcW w:w="1418" w:type="dxa"/>
            <w:tcBorders>
              <w:top w:val="single" w:sz="4" w:space="0" w:color="auto"/>
              <w:left w:val="single" w:sz="4" w:space="0" w:color="auto"/>
              <w:bottom w:val="single" w:sz="4" w:space="0" w:color="auto"/>
              <w:right w:val="single" w:sz="4" w:space="0" w:color="auto"/>
            </w:tcBorders>
            <w:hideMark/>
          </w:tcPr>
          <w:p w14:paraId="3BBFE3B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4B8F0C9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39E2C97F"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C9F82E"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CONTROLE DE GESTION</w:t>
            </w:r>
          </w:p>
        </w:tc>
        <w:tc>
          <w:tcPr>
            <w:tcW w:w="1418" w:type="dxa"/>
            <w:tcBorders>
              <w:top w:val="single" w:sz="4" w:space="0" w:color="auto"/>
              <w:left w:val="single" w:sz="4" w:space="0" w:color="auto"/>
              <w:bottom w:val="single" w:sz="4" w:space="0" w:color="auto"/>
              <w:right w:val="single" w:sz="4" w:space="0" w:color="auto"/>
            </w:tcBorders>
            <w:hideMark/>
          </w:tcPr>
          <w:p w14:paraId="1A42EFE1"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14F9454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27B98321"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58E2C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CONTROLE QUALITE</w:t>
            </w:r>
          </w:p>
        </w:tc>
        <w:tc>
          <w:tcPr>
            <w:tcW w:w="1418" w:type="dxa"/>
            <w:tcBorders>
              <w:top w:val="single" w:sz="4" w:space="0" w:color="auto"/>
              <w:left w:val="single" w:sz="4" w:space="0" w:color="auto"/>
              <w:bottom w:val="single" w:sz="4" w:space="0" w:color="auto"/>
              <w:right w:val="single" w:sz="4" w:space="0" w:color="auto"/>
            </w:tcBorders>
            <w:hideMark/>
          </w:tcPr>
          <w:p w14:paraId="0900DDBD"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01474F4A"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74CF08D"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E85A24"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DES ACHATS</w:t>
            </w:r>
          </w:p>
        </w:tc>
        <w:tc>
          <w:tcPr>
            <w:tcW w:w="1418" w:type="dxa"/>
            <w:tcBorders>
              <w:top w:val="single" w:sz="4" w:space="0" w:color="auto"/>
              <w:left w:val="single" w:sz="4" w:space="0" w:color="auto"/>
              <w:bottom w:val="single" w:sz="4" w:space="0" w:color="auto"/>
              <w:right w:val="single" w:sz="4" w:space="0" w:color="auto"/>
            </w:tcBorders>
            <w:hideMark/>
          </w:tcPr>
          <w:p w14:paraId="76D6CB30"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293DEA2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F4AB459"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DB519E7"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FINANCES</w:t>
            </w:r>
          </w:p>
        </w:tc>
        <w:tc>
          <w:tcPr>
            <w:tcW w:w="1418" w:type="dxa"/>
            <w:tcBorders>
              <w:top w:val="single" w:sz="4" w:space="0" w:color="auto"/>
              <w:left w:val="single" w:sz="4" w:space="0" w:color="auto"/>
              <w:bottom w:val="single" w:sz="4" w:space="0" w:color="auto"/>
              <w:right w:val="single" w:sz="4" w:space="0" w:color="auto"/>
            </w:tcBorders>
            <w:hideMark/>
          </w:tcPr>
          <w:p w14:paraId="57AF9419"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05D1738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7D7CF8F9"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F5A926"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lastRenderedPageBreak/>
              <w:t>CHEF DEPARTEMENT MOYENS GENERAUX</w:t>
            </w:r>
          </w:p>
        </w:tc>
        <w:tc>
          <w:tcPr>
            <w:tcW w:w="1418" w:type="dxa"/>
            <w:tcBorders>
              <w:top w:val="single" w:sz="4" w:space="0" w:color="auto"/>
              <w:left w:val="single" w:sz="4" w:space="0" w:color="auto"/>
              <w:bottom w:val="single" w:sz="4" w:space="0" w:color="auto"/>
              <w:right w:val="single" w:sz="4" w:space="0" w:color="auto"/>
            </w:tcBorders>
            <w:hideMark/>
          </w:tcPr>
          <w:p w14:paraId="0E670973"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21E230F5"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5C06FB30" w14:textId="77777777" w:rsidTr="00B679BA">
        <w:trPr>
          <w:trHeight w:val="462"/>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E685DB8"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CHEF DEPARTEMENT PATRIMOINES ET PROJETS</w:t>
            </w:r>
          </w:p>
        </w:tc>
        <w:tc>
          <w:tcPr>
            <w:tcW w:w="1418" w:type="dxa"/>
            <w:tcBorders>
              <w:top w:val="single" w:sz="4" w:space="0" w:color="auto"/>
              <w:left w:val="single" w:sz="4" w:space="0" w:color="auto"/>
              <w:bottom w:val="single" w:sz="4" w:space="0" w:color="auto"/>
              <w:right w:val="single" w:sz="4" w:space="0" w:color="auto"/>
            </w:tcBorders>
            <w:hideMark/>
          </w:tcPr>
          <w:p w14:paraId="44E0400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w:t>
            </w:r>
          </w:p>
        </w:tc>
        <w:tc>
          <w:tcPr>
            <w:tcW w:w="1854" w:type="dxa"/>
            <w:tcBorders>
              <w:top w:val="single" w:sz="4" w:space="0" w:color="auto"/>
              <w:left w:val="single" w:sz="4" w:space="0" w:color="auto"/>
              <w:bottom w:val="single" w:sz="4" w:space="0" w:color="auto"/>
              <w:right w:val="single" w:sz="4" w:space="0" w:color="auto"/>
            </w:tcBorders>
            <w:hideMark/>
          </w:tcPr>
          <w:p w14:paraId="6A04FA66"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0,3 %</w:t>
            </w:r>
          </w:p>
        </w:tc>
      </w:tr>
      <w:tr w:rsidR="00086FF4" w:rsidRPr="00842A2D" w14:paraId="42710BA7" w14:textId="77777777" w:rsidTr="00B679BA">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DF3C01" w14:textId="77777777" w:rsidR="00086FF4" w:rsidRPr="00842A2D" w:rsidRDefault="00086FF4" w:rsidP="0035255D">
            <w:pPr>
              <w:spacing w:before="0" w:beforeAutospacing="0" w:after="160"/>
              <w:jc w:val="center"/>
              <w:rPr>
                <w:rFonts w:cstheme="majorBidi"/>
                <w:b/>
                <w:bCs/>
                <w:color w:val="000000"/>
                <w:sz w:val="20"/>
                <w:szCs w:val="20"/>
              </w:rPr>
            </w:pPr>
            <w:r w:rsidRPr="00842A2D">
              <w:rPr>
                <w:rFonts w:cstheme="majorBidi"/>
                <w:b/>
                <w:bCs/>
                <w:color w:val="000000"/>
                <w:sz w:val="20"/>
                <w:szCs w:val="20"/>
              </w:rPr>
              <w:t>Total</w:t>
            </w:r>
          </w:p>
        </w:tc>
        <w:tc>
          <w:tcPr>
            <w:tcW w:w="1418" w:type="dxa"/>
            <w:tcBorders>
              <w:top w:val="single" w:sz="4" w:space="0" w:color="auto"/>
              <w:left w:val="single" w:sz="4" w:space="0" w:color="auto"/>
              <w:bottom w:val="single" w:sz="4" w:space="0" w:color="auto"/>
              <w:right w:val="single" w:sz="4" w:space="0" w:color="auto"/>
            </w:tcBorders>
            <w:hideMark/>
          </w:tcPr>
          <w:p w14:paraId="190DA47E"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300</w:t>
            </w:r>
          </w:p>
        </w:tc>
        <w:tc>
          <w:tcPr>
            <w:tcW w:w="1854" w:type="dxa"/>
            <w:tcBorders>
              <w:top w:val="single" w:sz="4" w:space="0" w:color="auto"/>
              <w:left w:val="single" w:sz="4" w:space="0" w:color="auto"/>
              <w:bottom w:val="single" w:sz="4" w:space="0" w:color="auto"/>
              <w:right w:val="single" w:sz="4" w:space="0" w:color="auto"/>
            </w:tcBorders>
            <w:hideMark/>
          </w:tcPr>
          <w:p w14:paraId="3B6C3D1B" w14:textId="77777777" w:rsidR="00086FF4" w:rsidRPr="00842A2D" w:rsidRDefault="00086FF4" w:rsidP="0035255D">
            <w:pPr>
              <w:spacing w:before="0" w:beforeAutospacing="0" w:after="160"/>
              <w:jc w:val="center"/>
              <w:rPr>
                <w:rFonts w:cstheme="majorBidi"/>
                <w:color w:val="000000"/>
                <w:sz w:val="20"/>
                <w:szCs w:val="20"/>
              </w:rPr>
            </w:pPr>
            <w:r w:rsidRPr="00842A2D">
              <w:rPr>
                <w:rFonts w:cstheme="majorBidi"/>
                <w:color w:val="000000"/>
                <w:sz w:val="20"/>
                <w:szCs w:val="20"/>
              </w:rPr>
              <w:t>100,0 %</w:t>
            </w:r>
          </w:p>
        </w:tc>
      </w:tr>
    </w:tbl>
    <w:p w14:paraId="05D8CD27" w14:textId="3A51E7A6" w:rsidR="0035255D" w:rsidRPr="00E2052F" w:rsidRDefault="00086FF4" w:rsidP="0035255D">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69430F95" w14:textId="77777777" w:rsidR="00086FF4" w:rsidRPr="00E2052F" w:rsidRDefault="00106A37" w:rsidP="0035255D">
      <w:pPr>
        <w:spacing w:before="0" w:beforeAutospacing="0" w:line="240" w:lineRule="auto"/>
        <w:jc w:val="center"/>
        <w:rPr>
          <w:rFonts w:cstheme="majorBidi"/>
          <w:color w:val="000000"/>
          <w:sz w:val="22"/>
        </w:rPr>
      </w:pPr>
      <w:r w:rsidRPr="00E2052F">
        <w:rPr>
          <w:rFonts w:cstheme="majorBidi"/>
          <w:b/>
          <w:bCs/>
          <w:color w:val="000000"/>
          <w:sz w:val="22"/>
          <w:u w:val="single"/>
        </w:rPr>
        <w:t>Figure 20</w:t>
      </w:r>
      <w:r w:rsidR="00086FF4" w:rsidRPr="00E2052F">
        <w:rPr>
          <w:rFonts w:cstheme="majorBidi"/>
          <w:color w:val="000000"/>
          <w:sz w:val="22"/>
          <w:u w:val="single"/>
        </w:rPr>
        <w:t xml:space="preserve"> </w:t>
      </w:r>
      <w:r w:rsidR="00086FF4" w:rsidRPr="00E2052F">
        <w:rPr>
          <w:rFonts w:cstheme="majorBidi"/>
          <w:b/>
          <w:bCs/>
          <w:color w:val="000000"/>
          <w:sz w:val="22"/>
          <w:u w:val="single"/>
        </w:rPr>
        <w:t>:</w:t>
      </w:r>
      <w:r w:rsidR="00086FF4" w:rsidRPr="00E2052F">
        <w:rPr>
          <w:rFonts w:cstheme="majorBidi"/>
          <w:color w:val="000000"/>
          <w:sz w:val="22"/>
        </w:rPr>
        <w:t xml:space="preserve"> </w:t>
      </w:r>
      <w:r w:rsidR="00086FF4" w:rsidRPr="00E2052F">
        <w:rPr>
          <w:rFonts w:cstheme="majorBidi"/>
          <w:b/>
          <w:bCs/>
          <w:color w:val="000000"/>
          <w:sz w:val="22"/>
        </w:rPr>
        <w:t>Répartition relative des membres de l'échantillon d'étude par poste occupé.</w:t>
      </w:r>
    </w:p>
    <w:p w14:paraId="4CB9ACBB" w14:textId="1E8D3C5C" w:rsidR="00086FF4" w:rsidRPr="00E2052F" w:rsidRDefault="00086FF4" w:rsidP="0035255D">
      <w:pPr>
        <w:spacing w:before="0" w:beforeAutospacing="0"/>
        <w:jc w:val="center"/>
        <w:rPr>
          <w:rFonts w:cstheme="majorBidi"/>
          <w:color w:val="000000"/>
          <w:sz w:val="22"/>
        </w:rPr>
      </w:pPr>
      <w:r w:rsidRPr="00E2052F">
        <w:rPr>
          <w:rFonts w:cstheme="majorBidi"/>
          <w:noProof/>
          <w:color w:val="000000"/>
          <w:sz w:val="22"/>
          <w:lang w:eastAsia="fr-FR"/>
        </w:rPr>
        <w:drawing>
          <wp:inline distT="0" distB="0" distL="0" distR="0" wp14:anchorId="221FADA9" wp14:editId="3455F3F4">
            <wp:extent cx="5418161" cy="5608955"/>
            <wp:effectExtent l="0" t="0" r="11430" b="10795"/>
            <wp:docPr id="245" name="Graphique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0A24677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répondants occupent une grande diversité de postes : directeurs, managers, spécialistes (achats, commercial, comptabilité, RH, IT, HSE, etc.), experts et assistants. Cette diversité permet d'obtenir une vision globale des pratiques de gouvernance et de RSE au sein du groupe TAYAL.</w:t>
      </w:r>
    </w:p>
    <w:p w14:paraId="31A1F86E" w14:textId="77777777" w:rsidR="009A559A" w:rsidRPr="00E2052F" w:rsidRDefault="009A559A" w:rsidP="00D61875">
      <w:pPr>
        <w:pStyle w:val="Titre3"/>
        <w:numPr>
          <w:ilvl w:val="0"/>
          <w:numId w:val="32"/>
        </w:numPr>
        <w:spacing w:before="0" w:beforeAutospacing="0" w:after="160"/>
        <w:ind w:left="568" w:hanging="284"/>
        <w:rPr>
          <w:rFonts w:asciiTheme="majorBidi" w:hAnsiTheme="majorBidi"/>
          <w:color w:val="auto"/>
          <w:sz w:val="22"/>
        </w:rPr>
      </w:pPr>
      <w:bookmarkStart w:id="1662" w:name="_Toc229156006"/>
      <w:bookmarkStart w:id="1663" w:name="_Toc231747004"/>
      <w:bookmarkStart w:id="1664" w:name="_Toc231752410"/>
      <w:bookmarkStart w:id="1665" w:name="_Toc231810713"/>
      <w:bookmarkStart w:id="1666" w:name="_Toc231812056"/>
      <w:bookmarkStart w:id="1667" w:name="_Toc231812334"/>
      <w:bookmarkStart w:id="1668" w:name="_Toc231815218"/>
      <w:r w:rsidRPr="00E2052F">
        <w:rPr>
          <w:rFonts w:asciiTheme="majorBidi" w:hAnsiTheme="majorBidi"/>
          <w:color w:val="auto"/>
          <w:sz w:val="22"/>
        </w:rPr>
        <w:t>Répartition de l’échantillon de recherche par expérience professionnelle :</w:t>
      </w:r>
      <w:bookmarkEnd w:id="1662"/>
      <w:bookmarkEnd w:id="1663"/>
      <w:bookmarkEnd w:id="1664"/>
      <w:bookmarkEnd w:id="1665"/>
      <w:bookmarkEnd w:id="1666"/>
      <w:bookmarkEnd w:id="1667"/>
      <w:bookmarkEnd w:id="1668"/>
    </w:p>
    <w:p w14:paraId="2DC45048" w14:textId="77777777" w:rsidR="009A559A" w:rsidRPr="00E2052F" w:rsidRDefault="009A559A" w:rsidP="00D23BF3">
      <w:pPr>
        <w:spacing w:before="0" w:beforeAutospacing="0"/>
        <w:rPr>
          <w:rFonts w:cstheme="majorBidi"/>
          <w:color w:val="000000"/>
          <w:sz w:val="22"/>
        </w:rPr>
      </w:pPr>
      <w:r w:rsidRPr="00E2052F">
        <w:rPr>
          <w:rFonts w:cstheme="majorBidi"/>
          <w:color w:val="000000"/>
          <w:sz w:val="22"/>
        </w:rPr>
        <w:t>Voici le tableau représentant la répartition par niveaux d’étude de l'échantillon interrogés.</w:t>
      </w:r>
    </w:p>
    <w:p w14:paraId="5F489619" w14:textId="77777777" w:rsidR="009A559A" w:rsidRPr="00E2052F" w:rsidRDefault="007E1FFF" w:rsidP="00D23BF3">
      <w:pPr>
        <w:spacing w:before="0" w:beforeAutospacing="0"/>
        <w:rPr>
          <w:rFonts w:cstheme="majorBidi"/>
          <w:color w:val="000000"/>
          <w:sz w:val="22"/>
        </w:rPr>
      </w:pPr>
      <w:r w:rsidRPr="00E2052F">
        <w:rPr>
          <w:rFonts w:cstheme="majorBidi"/>
          <w:b/>
          <w:bCs/>
          <w:color w:val="000000"/>
          <w:sz w:val="22"/>
          <w:u w:val="single"/>
        </w:rPr>
        <w:lastRenderedPageBreak/>
        <w:t>Tableau 17</w:t>
      </w:r>
      <w:r w:rsidR="009A559A" w:rsidRPr="00E2052F">
        <w:rPr>
          <w:rFonts w:cstheme="majorBidi"/>
          <w:color w:val="000000"/>
          <w:sz w:val="22"/>
          <w:u w:val="single"/>
        </w:rPr>
        <w:t xml:space="preserve"> :</w:t>
      </w:r>
      <w:r w:rsidR="009A559A" w:rsidRPr="00E2052F">
        <w:rPr>
          <w:rFonts w:cstheme="majorBidi"/>
          <w:color w:val="000000"/>
          <w:sz w:val="22"/>
        </w:rPr>
        <w:t xml:space="preserve"> </w:t>
      </w:r>
      <w:r w:rsidR="009A559A" w:rsidRPr="00E2052F">
        <w:rPr>
          <w:rFonts w:cstheme="majorBidi"/>
          <w:b/>
          <w:bCs/>
          <w:color w:val="000000"/>
          <w:sz w:val="22"/>
        </w:rPr>
        <w:t>Répartition des membres de l'échantillon interrogés par expérience professionnelle.</w:t>
      </w:r>
    </w:p>
    <w:tbl>
      <w:tblPr>
        <w:tblStyle w:val="Grilledutableau"/>
        <w:tblW w:w="9072" w:type="dxa"/>
        <w:jc w:val="center"/>
        <w:tblLook w:val="04A0" w:firstRow="1" w:lastRow="0" w:firstColumn="1" w:lastColumn="0" w:noHBand="0" w:noVBand="1"/>
      </w:tblPr>
      <w:tblGrid>
        <w:gridCol w:w="3224"/>
        <w:gridCol w:w="2906"/>
        <w:gridCol w:w="2942"/>
      </w:tblGrid>
      <w:tr w:rsidR="009A559A" w:rsidRPr="00E2052F" w14:paraId="3DD0EE65"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B322E8" w14:textId="77777777" w:rsidR="009A559A" w:rsidRPr="00E2052F" w:rsidRDefault="009A559A" w:rsidP="008018AB">
            <w:pPr>
              <w:spacing w:before="0" w:beforeAutospacing="0" w:after="160"/>
              <w:jc w:val="center"/>
              <w:rPr>
                <w:rFonts w:cstheme="majorBidi"/>
                <w:b/>
                <w:bCs/>
                <w:color w:val="000000"/>
                <w:sz w:val="22"/>
              </w:rPr>
            </w:pPr>
            <w:bookmarkStart w:id="1669" w:name="_Hlk228446629"/>
            <w:r w:rsidRPr="00E2052F">
              <w:rPr>
                <w:rFonts w:cstheme="majorBidi"/>
                <w:b/>
                <w:bCs/>
                <w:color w:val="000000"/>
                <w:sz w:val="22"/>
              </w:rPr>
              <w:t>Expérience professionnelle</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94F18B7"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Effectifs</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A73F6D4"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Pourcentage</w:t>
            </w:r>
          </w:p>
        </w:tc>
      </w:tr>
      <w:tr w:rsidR="009A559A" w:rsidRPr="00E2052F" w14:paraId="3F4C7C5A"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3566832"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Moins de 5 ans</w:t>
            </w:r>
          </w:p>
        </w:tc>
        <w:tc>
          <w:tcPr>
            <w:tcW w:w="3071" w:type="dxa"/>
            <w:tcBorders>
              <w:top w:val="single" w:sz="4" w:space="0" w:color="auto"/>
              <w:left w:val="single" w:sz="4" w:space="0" w:color="auto"/>
              <w:bottom w:val="single" w:sz="4" w:space="0" w:color="auto"/>
              <w:right w:val="single" w:sz="4" w:space="0" w:color="auto"/>
            </w:tcBorders>
            <w:hideMark/>
          </w:tcPr>
          <w:p w14:paraId="74E7EEEC"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18</w:t>
            </w:r>
          </w:p>
        </w:tc>
        <w:tc>
          <w:tcPr>
            <w:tcW w:w="3071" w:type="dxa"/>
            <w:tcBorders>
              <w:top w:val="single" w:sz="4" w:space="0" w:color="auto"/>
              <w:left w:val="single" w:sz="4" w:space="0" w:color="auto"/>
              <w:bottom w:val="single" w:sz="4" w:space="0" w:color="auto"/>
              <w:right w:val="single" w:sz="4" w:space="0" w:color="auto"/>
            </w:tcBorders>
            <w:hideMark/>
          </w:tcPr>
          <w:p w14:paraId="00C5CCBF"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6,0 %</w:t>
            </w:r>
          </w:p>
        </w:tc>
      </w:tr>
      <w:tr w:rsidR="009A559A" w:rsidRPr="00E2052F" w14:paraId="21A8338F"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44B4EAD"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De 5 à 10 ans</w:t>
            </w:r>
          </w:p>
        </w:tc>
        <w:tc>
          <w:tcPr>
            <w:tcW w:w="3071" w:type="dxa"/>
            <w:tcBorders>
              <w:top w:val="single" w:sz="4" w:space="0" w:color="auto"/>
              <w:left w:val="single" w:sz="4" w:space="0" w:color="auto"/>
              <w:bottom w:val="single" w:sz="4" w:space="0" w:color="auto"/>
              <w:right w:val="single" w:sz="4" w:space="0" w:color="auto"/>
            </w:tcBorders>
            <w:hideMark/>
          </w:tcPr>
          <w:p w14:paraId="0816412E"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150</w:t>
            </w:r>
          </w:p>
        </w:tc>
        <w:tc>
          <w:tcPr>
            <w:tcW w:w="3071" w:type="dxa"/>
            <w:tcBorders>
              <w:top w:val="single" w:sz="4" w:space="0" w:color="auto"/>
              <w:left w:val="single" w:sz="4" w:space="0" w:color="auto"/>
              <w:bottom w:val="single" w:sz="4" w:space="0" w:color="auto"/>
              <w:right w:val="single" w:sz="4" w:space="0" w:color="auto"/>
            </w:tcBorders>
            <w:hideMark/>
          </w:tcPr>
          <w:p w14:paraId="58CF3EC7"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50,0 %</w:t>
            </w:r>
          </w:p>
        </w:tc>
      </w:tr>
      <w:tr w:rsidR="009A559A" w:rsidRPr="00E2052F" w14:paraId="4A00E677"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CEB191"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De 11 à 15 ans</w:t>
            </w:r>
          </w:p>
        </w:tc>
        <w:tc>
          <w:tcPr>
            <w:tcW w:w="3071" w:type="dxa"/>
            <w:tcBorders>
              <w:top w:val="single" w:sz="4" w:space="0" w:color="auto"/>
              <w:left w:val="single" w:sz="4" w:space="0" w:color="auto"/>
              <w:bottom w:val="single" w:sz="4" w:space="0" w:color="auto"/>
              <w:right w:val="single" w:sz="4" w:space="0" w:color="auto"/>
            </w:tcBorders>
            <w:hideMark/>
          </w:tcPr>
          <w:p w14:paraId="307EDF7E"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107</w:t>
            </w:r>
          </w:p>
        </w:tc>
        <w:tc>
          <w:tcPr>
            <w:tcW w:w="3071" w:type="dxa"/>
            <w:tcBorders>
              <w:top w:val="single" w:sz="4" w:space="0" w:color="auto"/>
              <w:left w:val="single" w:sz="4" w:space="0" w:color="auto"/>
              <w:bottom w:val="single" w:sz="4" w:space="0" w:color="auto"/>
              <w:right w:val="single" w:sz="4" w:space="0" w:color="auto"/>
            </w:tcBorders>
            <w:hideMark/>
          </w:tcPr>
          <w:p w14:paraId="0E50BA1F"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35,7 %</w:t>
            </w:r>
          </w:p>
        </w:tc>
      </w:tr>
      <w:tr w:rsidR="009A559A" w:rsidRPr="00E2052F" w14:paraId="5DD609F7"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964DB5"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Plus de 15 ans</w:t>
            </w:r>
          </w:p>
        </w:tc>
        <w:tc>
          <w:tcPr>
            <w:tcW w:w="3071" w:type="dxa"/>
            <w:tcBorders>
              <w:top w:val="single" w:sz="4" w:space="0" w:color="auto"/>
              <w:left w:val="single" w:sz="4" w:space="0" w:color="auto"/>
              <w:bottom w:val="single" w:sz="4" w:space="0" w:color="auto"/>
              <w:right w:val="single" w:sz="4" w:space="0" w:color="auto"/>
            </w:tcBorders>
            <w:hideMark/>
          </w:tcPr>
          <w:p w14:paraId="642FD080"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25</w:t>
            </w:r>
          </w:p>
        </w:tc>
        <w:tc>
          <w:tcPr>
            <w:tcW w:w="3071" w:type="dxa"/>
            <w:tcBorders>
              <w:top w:val="single" w:sz="4" w:space="0" w:color="auto"/>
              <w:left w:val="single" w:sz="4" w:space="0" w:color="auto"/>
              <w:bottom w:val="single" w:sz="4" w:space="0" w:color="auto"/>
              <w:right w:val="single" w:sz="4" w:space="0" w:color="auto"/>
            </w:tcBorders>
            <w:hideMark/>
          </w:tcPr>
          <w:p w14:paraId="195E9DBD"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8,3 %</w:t>
            </w:r>
          </w:p>
        </w:tc>
      </w:tr>
      <w:tr w:rsidR="009A559A" w:rsidRPr="00E2052F" w14:paraId="50B3B2D0" w14:textId="77777777" w:rsidTr="00B679BA">
        <w:trPr>
          <w:trHeight w:val="414"/>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492C4F" w14:textId="77777777" w:rsidR="009A559A" w:rsidRPr="00E2052F" w:rsidRDefault="009A559A" w:rsidP="008018AB">
            <w:pPr>
              <w:spacing w:before="0" w:beforeAutospacing="0" w:after="160"/>
              <w:jc w:val="center"/>
              <w:rPr>
                <w:rFonts w:cstheme="majorBidi"/>
                <w:b/>
                <w:bCs/>
                <w:color w:val="000000"/>
                <w:sz w:val="22"/>
              </w:rPr>
            </w:pPr>
            <w:r w:rsidRPr="00E2052F">
              <w:rPr>
                <w:rFonts w:cstheme="majorBidi"/>
                <w:b/>
                <w:bCs/>
                <w:color w:val="000000"/>
                <w:sz w:val="22"/>
              </w:rPr>
              <w:t>Total</w:t>
            </w:r>
          </w:p>
        </w:tc>
        <w:tc>
          <w:tcPr>
            <w:tcW w:w="3071" w:type="dxa"/>
            <w:tcBorders>
              <w:top w:val="single" w:sz="4" w:space="0" w:color="auto"/>
              <w:left w:val="single" w:sz="4" w:space="0" w:color="auto"/>
              <w:bottom w:val="single" w:sz="4" w:space="0" w:color="auto"/>
              <w:right w:val="single" w:sz="4" w:space="0" w:color="auto"/>
            </w:tcBorders>
            <w:hideMark/>
          </w:tcPr>
          <w:p w14:paraId="4D35BBE6"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300</w:t>
            </w:r>
          </w:p>
        </w:tc>
        <w:tc>
          <w:tcPr>
            <w:tcW w:w="3071" w:type="dxa"/>
            <w:tcBorders>
              <w:top w:val="single" w:sz="4" w:space="0" w:color="auto"/>
              <w:left w:val="single" w:sz="4" w:space="0" w:color="auto"/>
              <w:bottom w:val="single" w:sz="4" w:space="0" w:color="auto"/>
              <w:right w:val="single" w:sz="4" w:space="0" w:color="auto"/>
            </w:tcBorders>
            <w:hideMark/>
          </w:tcPr>
          <w:p w14:paraId="2176414C" w14:textId="77777777" w:rsidR="009A559A" w:rsidRPr="00E2052F" w:rsidRDefault="009A559A" w:rsidP="008018AB">
            <w:pPr>
              <w:spacing w:before="0" w:beforeAutospacing="0" w:after="160"/>
              <w:jc w:val="center"/>
              <w:rPr>
                <w:rFonts w:cstheme="majorBidi"/>
                <w:color w:val="000000"/>
                <w:sz w:val="22"/>
              </w:rPr>
            </w:pPr>
            <w:r w:rsidRPr="00E2052F">
              <w:rPr>
                <w:rFonts w:cstheme="majorBidi"/>
                <w:color w:val="000000"/>
                <w:sz w:val="22"/>
              </w:rPr>
              <w:t>100,0 %</w:t>
            </w:r>
          </w:p>
        </w:tc>
      </w:tr>
    </w:tbl>
    <w:bookmarkEnd w:id="1669"/>
    <w:p w14:paraId="18DFA3DE" w14:textId="694E3C71" w:rsidR="009A559A" w:rsidRPr="00E2052F" w:rsidRDefault="009A559A" w:rsidP="008018AB">
      <w:pPr>
        <w:spacing w:before="0" w:beforeAutospacing="0" w:line="240" w:lineRule="auto"/>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569E2801" w14:textId="77777777" w:rsidR="009A559A" w:rsidRPr="00E2052F" w:rsidRDefault="00106A37" w:rsidP="008018AB">
      <w:pPr>
        <w:spacing w:before="0" w:beforeAutospacing="0"/>
        <w:rPr>
          <w:rFonts w:cstheme="majorBidi"/>
          <w:b/>
          <w:bCs/>
          <w:color w:val="000000"/>
          <w:sz w:val="22"/>
        </w:rPr>
      </w:pPr>
      <w:r w:rsidRPr="00E2052F">
        <w:rPr>
          <w:rFonts w:cstheme="majorBidi"/>
          <w:b/>
          <w:bCs/>
          <w:color w:val="000000"/>
          <w:sz w:val="22"/>
          <w:u w:val="single"/>
        </w:rPr>
        <w:t>Figure 21</w:t>
      </w:r>
      <w:r w:rsidR="009A559A" w:rsidRPr="00E2052F">
        <w:rPr>
          <w:rFonts w:cstheme="majorBidi"/>
          <w:color w:val="000000"/>
          <w:sz w:val="22"/>
          <w:u w:val="single"/>
        </w:rPr>
        <w:t xml:space="preserve"> </w:t>
      </w:r>
      <w:r w:rsidR="009A559A" w:rsidRPr="00E2052F">
        <w:rPr>
          <w:rFonts w:cstheme="majorBidi"/>
          <w:b/>
          <w:bCs/>
          <w:color w:val="000000"/>
          <w:sz w:val="22"/>
          <w:u w:val="single"/>
        </w:rPr>
        <w:t>:</w:t>
      </w:r>
      <w:r w:rsidR="009A559A" w:rsidRPr="00E2052F">
        <w:rPr>
          <w:rFonts w:cstheme="majorBidi"/>
          <w:color w:val="000000"/>
          <w:sz w:val="22"/>
        </w:rPr>
        <w:t xml:space="preserve"> </w:t>
      </w:r>
      <w:r w:rsidR="009A559A" w:rsidRPr="00E2052F">
        <w:rPr>
          <w:rFonts w:cstheme="majorBidi"/>
          <w:b/>
          <w:bCs/>
          <w:color w:val="000000"/>
          <w:sz w:val="22"/>
        </w:rPr>
        <w:t>Répartition relative des membres de l'échantillon d'étude par expérience professionnelle.</w:t>
      </w:r>
    </w:p>
    <w:p w14:paraId="0C719C96" w14:textId="77777777" w:rsidR="009A559A" w:rsidRPr="00E2052F" w:rsidRDefault="009A559A" w:rsidP="00D23BF3">
      <w:pPr>
        <w:spacing w:before="0" w:beforeAutospacing="0"/>
        <w:jc w:val="center"/>
        <w:rPr>
          <w:rFonts w:cstheme="majorBidi"/>
          <w:color w:val="000000"/>
          <w:sz w:val="22"/>
        </w:rPr>
      </w:pPr>
      <w:r w:rsidRPr="00E2052F">
        <w:rPr>
          <w:rFonts w:cstheme="majorBidi"/>
          <w:noProof/>
          <w:color w:val="000000"/>
          <w:sz w:val="22"/>
          <w:lang w:eastAsia="fr-FR"/>
        </w:rPr>
        <w:drawing>
          <wp:inline distT="0" distB="0" distL="0" distR="0" wp14:anchorId="607C9D06" wp14:editId="27A0D0AA">
            <wp:extent cx="3924300" cy="2228850"/>
            <wp:effectExtent l="0" t="0" r="0" b="0"/>
            <wp:docPr id="244"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D90E162" w14:textId="40D27EB8" w:rsidR="00086FF4" w:rsidRPr="00E2052F" w:rsidRDefault="009A559A" w:rsidP="00D23BF3">
      <w:pPr>
        <w:spacing w:before="0" w:beforeAutospacing="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3A2363F7" w14:textId="77777777" w:rsidR="00086FF4" w:rsidRPr="00E2052F" w:rsidRDefault="00086FF4" w:rsidP="00C8480E">
      <w:pPr>
        <w:pStyle w:val="Titre2"/>
      </w:pPr>
      <w:bookmarkStart w:id="1670" w:name="_Toc229156007"/>
      <w:bookmarkStart w:id="1671" w:name="_Toc231747005"/>
      <w:bookmarkStart w:id="1672" w:name="_Toc231752411"/>
      <w:bookmarkStart w:id="1673" w:name="_Toc231810714"/>
      <w:bookmarkStart w:id="1674" w:name="_Toc231812057"/>
      <w:bookmarkStart w:id="1675" w:name="_Toc231812335"/>
      <w:bookmarkStart w:id="1676" w:name="_Toc231815219"/>
      <w:r w:rsidRPr="00E2052F">
        <w:t>Analyse des données concernant la partie de la gouvernance d’entreprise :</w:t>
      </w:r>
      <w:bookmarkEnd w:id="1670"/>
      <w:bookmarkEnd w:id="1671"/>
      <w:bookmarkEnd w:id="1672"/>
      <w:bookmarkEnd w:id="1673"/>
      <w:bookmarkEnd w:id="1674"/>
      <w:bookmarkEnd w:id="1675"/>
      <w:bookmarkEnd w:id="1676"/>
    </w:p>
    <w:p w14:paraId="7ABEBBD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Dans cette partie on va traiter l’analyse des données concernant les principes de la gouvernance dans la BNA banque (gestion des risques) à Tlemcen, </w:t>
      </w:r>
      <w:r w:rsidR="00B04325" w:rsidRPr="00E2052F">
        <w:rPr>
          <w:rFonts w:cstheme="majorBidi"/>
          <w:color w:val="000000"/>
          <w:sz w:val="22"/>
        </w:rPr>
        <w:t>à</w:t>
      </w:r>
      <w:r w:rsidRPr="00E2052F">
        <w:rPr>
          <w:rFonts w:cstheme="majorBidi"/>
          <w:color w:val="000000"/>
          <w:sz w:val="22"/>
        </w:rPr>
        <w:t xml:space="preserve"> savoir :</w:t>
      </w:r>
    </w:p>
    <w:p w14:paraId="02392164" w14:textId="77777777" w:rsidR="00086FF4" w:rsidRPr="00E2052F" w:rsidRDefault="00086FF4" w:rsidP="00D61875">
      <w:pPr>
        <w:numPr>
          <w:ilvl w:val="0"/>
          <w:numId w:val="31"/>
        </w:numPr>
        <w:spacing w:before="0" w:beforeAutospacing="0"/>
        <w:rPr>
          <w:rFonts w:cstheme="majorBidi"/>
          <w:color w:val="000000"/>
          <w:sz w:val="22"/>
        </w:rPr>
      </w:pPr>
      <w:r w:rsidRPr="00E2052F">
        <w:rPr>
          <w:rFonts w:cstheme="majorBidi"/>
          <w:color w:val="000000"/>
          <w:sz w:val="22"/>
        </w:rPr>
        <w:t>L'existence d'une base pour un cadre efficace de la gouvernance ;</w:t>
      </w:r>
    </w:p>
    <w:p w14:paraId="64C2BD96" w14:textId="77777777" w:rsidR="00086FF4" w:rsidRPr="00E2052F" w:rsidRDefault="00086FF4" w:rsidP="00D61875">
      <w:pPr>
        <w:numPr>
          <w:ilvl w:val="0"/>
          <w:numId w:val="31"/>
        </w:numPr>
        <w:spacing w:before="0" w:beforeAutospacing="0"/>
        <w:rPr>
          <w:rFonts w:cstheme="majorBidi"/>
          <w:color w:val="000000"/>
          <w:sz w:val="22"/>
        </w:rPr>
      </w:pPr>
      <w:r w:rsidRPr="00E2052F">
        <w:rPr>
          <w:rFonts w:cstheme="majorBidi"/>
          <w:color w:val="000000"/>
          <w:sz w:val="22"/>
        </w:rPr>
        <w:t>La préservation des droits des actionnaires ;</w:t>
      </w:r>
    </w:p>
    <w:p w14:paraId="1DF00F8B" w14:textId="77777777" w:rsidR="00086FF4" w:rsidRPr="00E2052F" w:rsidRDefault="00086FF4" w:rsidP="00D61875">
      <w:pPr>
        <w:numPr>
          <w:ilvl w:val="0"/>
          <w:numId w:val="31"/>
        </w:numPr>
        <w:spacing w:before="0" w:beforeAutospacing="0"/>
        <w:rPr>
          <w:rFonts w:cstheme="majorBidi"/>
          <w:color w:val="000000"/>
          <w:sz w:val="22"/>
        </w:rPr>
      </w:pPr>
      <w:r w:rsidRPr="00E2052F">
        <w:rPr>
          <w:rFonts w:cstheme="majorBidi"/>
          <w:color w:val="000000"/>
          <w:sz w:val="22"/>
        </w:rPr>
        <w:t xml:space="preserve">Le traitement équitable des actionnaires ; </w:t>
      </w:r>
    </w:p>
    <w:p w14:paraId="1D910F21" w14:textId="77777777" w:rsidR="00086FF4" w:rsidRPr="00E2052F" w:rsidRDefault="00086FF4" w:rsidP="00D61875">
      <w:pPr>
        <w:numPr>
          <w:ilvl w:val="0"/>
          <w:numId w:val="31"/>
        </w:numPr>
        <w:spacing w:before="0" w:beforeAutospacing="0"/>
        <w:rPr>
          <w:rFonts w:cstheme="majorBidi"/>
          <w:color w:val="000000"/>
          <w:sz w:val="22"/>
        </w:rPr>
      </w:pPr>
      <w:r w:rsidRPr="00E2052F">
        <w:rPr>
          <w:rFonts w:cstheme="majorBidi"/>
          <w:color w:val="000000"/>
          <w:sz w:val="22"/>
        </w:rPr>
        <w:t>Le rôle des parties prenantes ;</w:t>
      </w:r>
    </w:p>
    <w:p w14:paraId="60FE3157" w14:textId="77777777" w:rsidR="00086FF4" w:rsidRPr="00E2052F" w:rsidRDefault="00086FF4" w:rsidP="00D61875">
      <w:pPr>
        <w:numPr>
          <w:ilvl w:val="0"/>
          <w:numId w:val="31"/>
        </w:numPr>
        <w:spacing w:before="0" w:beforeAutospacing="0"/>
        <w:rPr>
          <w:rFonts w:cstheme="majorBidi"/>
          <w:color w:val="000000"/>
          <w:sz w:val="22"/>
        </w:rPr>
      </w:pPr>
      <w:r w:rsidRPr="00E2052F">
        <w:rPr>
          <w:rFonts w:cstheme="majorBidi"/>
          <w:color w:val="000000"/>
          <w:sz w:val="22"/>
        </w:rPr>
        <w:t>La divulgation et transparence, la responsabilité du conseil d'administration.</w:t>
      </w:r>
    </w:p>
    <w:p w14:paraId="12B7B3F8" w14:textId="77777777" w:rsidR="00086FF4" w:rsidRPr="00E2052F" w:rsidRDefault="00086FF4" w:rsidP="00D61875">
      <w:pPr>
        <w:pStyle w:val="Titre3"/>
        <w:numPr>
          <w:ilvl w:val="0"/>
          <w:numId w:val="33"/>
        </w:numPr>
        <w:spacing w:before="0" w:beforeAutospacing="0" w:after="160"/>
        <w:ind w:left="568" w:hanging="284"/>
        <w:rPr>
          <w:rFonts w:asciiTheme="majorBidi" w:hAnsiTheme="majorBidi"/>
          <w:color w:val="auto"/>
          <w:sz w:val="22"/>
        </w:rPr>
      </w:pPr>
      <w:bookmarkStart w:id="1677" w:name="_Toc229156008"/>
      <w:bookmarkStart w:id="1678" w:name="_Toc231747006"/>
      <w:bookmarkStart w:id="1679" w:name="_Toc231752412"/>
      <w:bookmarkStart w:id="1680" w:name="_Toc231810715"/>
      <w:bookmarkStart w:id="1681" w:name="_Toc231812058"/>
      <w:bookmarkStart w:id="1682" w:name="_Toc231812336"/>
      <w:bookmarkStart w:id="1683" w:name="_Toc231815220"/>
      <w:r w:rsidRPr="00E2052F">
        <w:rPr>
          <w:rFonts w:asciiTheme="majorBidi" w:hAnsiTheme="majorBidi"/>
          <w:color w:val="auto"/>
          <w:sz w:val="22"/>
        </w:rPr>
        <w:lastRenderedPageBreak/>
        <w:t>La fiabilité de l’axe :</w:t>
      </w:r>
      <w:bookmarkEnd w:id="1677"/>
      <w:bookmarkEnd w:id="1678"/>
      <w:bookmarkEnd w:id="1679"/>
      <w:bookmarkEnd w:id="1680"/>
      <w:bookmarkEnd w:id="1681"/>
      <w:bookmarkEnd w:id="1682"/>
      <w:bookmarkEnd w:id="1683"/>
    </w:p>
    <w:p w14:paraId="2C7FF10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Nous avons effectué des mesures statistiques pour démontrer la validité et la fiabilité des énoncés du questionnaire, en calculant le coefficient alpha de Cronbach. Le tableau suivant montre les valeurs alpha de Cronbach pour tous les axes d’étude et l’alpha de Cronbach total.</w:t>
      </w:r>
    </w:p>
    <w:p w14:paraId="434DB13E" w14:textId="77777777" w:rsidR="00086FF4" w:rsidRPr="00E2052F" w:rsidRDefault="007E1FFF" w:rsidP="008018AB">
      <w:pPr>
        <w:spacing w:before="0" w:beforeAutospacing="0"/>
        <w:rPr>
          <w:rFonts w:cstheme="majorBidi"/>
          <w:b/>
          <w:bCs/>
          <w:color w:val="000000"/>
          <w:sz w:val="22"/>
        </w:rPr>
      </w:pPr>
      <w:r w:rsidRPr="00E2052F">
        <w:rPr>
          <w:rFonts w:cstheme="majorBidi"/>
          <w:b/>
          <w:bCs/>
          <w:color w:val="000000"/>
          <w:sz w:val="22"/>
          <w:u w:val="single"/>
        </w:rPr>
        <w:t>Tableau 18</w:t>
      </w:r>
      <w:r w:rsidR="00086FF4" w:rsidRPr="00E2052F">
        <w:rPr>
          <w:rFonts w:cstheme="majorBidi"/>
          <w:b/>
          <w:bCs/>
          <w:color w:val="000000"/>
          <w:sz w:val="22"/>
          <w:u w:val="single"/>
        </w:rPr>
        <w:t xml:space="preserve"> :</w:t>
      </w:r>
      <w:r w:rsidR="00086FF4" w:rsidRPr="00E2052F">
        <w:rPr>
          <w:rFonts w:cstheme="majorBidi"/>
          <w:b/>
          <w:bCs/>
          <w:color w:val="000000"/>
          <w:sz w:val="22"/>
        </w:rPr>
        <w:t xml:space="preserve"> Coefficient de fiabilité des parties des principes de la gouvernance.</w:t>
      </w:r>
    </w:p>
    <w:tbl>
      <w:tblPr>
        <w:tblStyle w:val="Grilledutableau"/>
        <w:tblW w:w="9072" w:type="dxa"/>
        <w:jc w:val="center"/>
        <w:tblLook w:val="04A0" w:firstRow="1" w:lastRow="0" w:firstColumn="1" w:lastColumn="0" w:noHBand="0" w:noVBand="1"/>
      </w:tblPr>
      <w:tblGrid>
        <w:gridCol w:w="3478"/>
        <w:gridCol w:w="1877"/>
        <w:gridCol w:w="1491"/>
        <w:gridCol w:w="2226"/>
      </w:tblGrid>
      <w:tr w:rsidR="00B72921" w:rsidRPr="00E2052F" w14:paraId="55587403" w14:textId="77777777" w:rsidTr="00B679BA">
        <w:trPr>
          <w:trHeight w:val="756"/>
          <w:jc w:val="center"/>
        </w:trPr>
        <w:tc>
          <w:tcPr>
            <w:tcW w:w="3823" w:type="dxa"/>
            <w:shd w:val="clear" w:color="auto" w:fill="D9E2F3" w:themeFill="accent1" w:themeFillTint="33"/>
          </w:tcPr>
          <w:p w14:paraId="1695775C"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Axes</w:t>
            </w:r>
          </w:p>
        </w:tc>
        <w:tc>
          <w:tcPr>
            <w:tcW w:w="1984" w:type="dxa"/>
            <w:shd w:val="clear" w:color="auto" w:fill="D9E2F3" w:themeFill="accent1" w:themeFillTint="33"/>
          </w:tcPr>
          <w:p w14:paraId="7F10C41B"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Nombres D’énoncées</w:t>
            </w:r>
          </w:p>
        </w:tc>
        <w:tc>
          <w:tcPr>
            <w:tcW w:w="1559" w:type="dxa"/>
            <w:shd w:val="clear" w:color="auto" w:fill="D9E2F3" w:themeFill="accent1" w:themeFillTint="33"/>
          </w:tcPr>
          <w:p w14:paraId="41404F26"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Valeur alpha de Cronbach</w:t>
            </w:r>
          </w:p>
        </w:tc>
        <w:tc>
          <w:tcPr>
            <w:tcW w:w="2410" w:type="dxa"/>
            <w:shd w:val="clear" w:color="auto" w:fill="D9E2F3" w:themeFill="accent1" w:themeFillTint="33"/>
          </w:tcPr>
          <w:p w14:paraId="5B292AB6"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Lors de la suppression de l'honnêteté</w:t>
            </w:r>
          </w:p>
        </w:tc>
      </w:tr>
      <w:tr w:rsidR="00B72921" w:rsidRPr="00E2052F" w14:paraId="39E98D46" w14:textId="77777777" w:rsidTr="00B679BA">
        <w:trPr>
          <w:trHeight w:val="398"/>
          <w:jc w:val="center"/>
        </w:trPr>
        <w:tc>
          <w:tcPr>
            <w:tcW w:w="3823" w:type="dxa"/>
            <w:shd w:val="clear" w:color="auto" w:fill="D9E2F3" w:themeFill="accent1" w:themeFillTint="33"/>
          </w:tcPr>
          <w:p w14:paraId="3D678682"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1 : Cadre efficace de gouvernance</w:t>
            </w:r>
          </w:p>
        </w:tc>
        <w:tc>
          <w:tcPr>
            <w:tcW w:w="1984" w:type="dxa"/>
          </w:tcPr>
          <w:p w14:paraId="47A006E3"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61350E40"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0,963</w:t>
            </w:r>
          </w:p>
        </w:tc>
        <w:tc>
          <w:tcPr>
            <w:tcW w:w="2410" w:type="dxa"/>
          </w:tcPr>
          <w:p w14:paraId="4B709AA5"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0,981</w:t>
            </w:r>
          </w:p>
        </w:tc>
      </w:tr>
      <w:tr w:rsidR="00B72921" w:rsidRPr="00E2052F" w14:paraId="76ADE8CE" w14:textId="77777777" w:rsidTr="00B679BA">
        <w:trPr>
          <w:trHeight w:val="378"/>
          <w:jc w:val="center"/>
        </w:trPr>
        <w:tc>
          <w:tcPr>
            <w:tcW w:w="3823" w:type="dxa"/>
            <w:shd w:val="clear" w:color="auto" w:fill="D9E2F3" w:themeFill="accent1" w:themeFillTint="33"/>
          </w:tcPr>
          <w:p w14:paraId="4FDD8E65"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2 : la préservation des droits des actionnaires</w:t>
            </w:r>
          </w:p>
        </w:tc>
        <w:tc>
          <w:tcPr>
            <w:tcW w:w="1984" w:type="dxa"/>
          </w:tcPr>
          <w:p w14:paraId="01AC9BFA"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55E86CC8"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0,941</w:t>
            </w:r>
          </w:p>
        </w:tc>
        <w:tc>
          <w:tcPr>
            <w:tcW w:w="2410" w:type="dxa"/>
          </w:tcPr>
          <w:p w14:paraId="50A21FE1"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0,970</w:t>
            </w:r>
          </w:p>
        </w:tc>
      </w:tr>
      <w:tr w:rsidR="00B72921" w:rsidRPr="00E2052F" w14:paraId="50D902C2" w14:textId="77777777" w:rsidTr="00B679BA">
        <w:trPr>
          <w:trHeight w:val="378"/>
          <w:jc w:val="center"/>
        </w:trPr>
        <w:tc>
          <w:tcPr>
            <w:tcW w:w="3823" w:type="dxa"/>
            <w:shd w:val="clear" w:color="auto" w:fill="D9E2F3" w:themeFill="accent1" w:themeFillTint="33"/>
          </w:tcPr>
          <w:p w14:paraId="08C92086"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3 : Traitement équitable des actionnaires</w:t>
            </w:r>
          </w:p>
        </w:tc>
        <w:tc>
          <w:tcPr>
            <w:tcW w:w="1984" w:type="dxa"/>
          </w:tcPr>
          <w:p w14:paraId="26F1678F"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161E993E"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0,956</w:t>
            </w:r>
          </w:p>
        </w:tc>
        <w:tc>
          <w:tcPr>
            <w:tcW w:w="2410" w:type="dxa"/>
          </w:tcPr>
          <w:p w14:paraId="2EE98D28"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0,978</w:t>
            </w:r>
          </w:p>
        </w:tc>
      </w:tr>
      <w:tr w:rsidR="00B72921" w:rsidRPr="00E2052F" w14:paraId="66BFD732" w14:textId="77777777" w:rsidTr="00B679BA">
        <w:trPr>
          <w:trHeight w:val="378"/>
          <w:jc w:val="center"/>
        </w:trPr>
        <w:tc>
          <w:tcPr>
            <w:tcW w:w="3823" w:type="dxa"/>
            <w:shd w:val="clear" w:color="auto" w:fill="D9E2F3" w:themeFill="accent1" w:themeFillTint="33"/>
          </w:tcPr>
          <w:p w14:paraId="304BB467"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4 : Rôle des parties prenantes</w:t>
            </w:r>
          </w:p>
        </w:tc>
        <w:tc>
          <w:tcPr>
            <w:tcW w:w="1984" w:type="dxa"/>
          </w:tcPr>
          <w:p w14:paraId="6354AAC8"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4228B2EB"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0,944</w:t>
            </w:r>
          </w:p>
        </w:tc>
        <w:tc>
          <w:tcPr>
            <w:tcW w:w="2410" w:type="dxa"/>
          </w:tcPr>
          <w:p w14:paraId="2E64A94E"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0,972</w:t>
            </w:r>
          </w:p>
        </w:tc>
      </w:tr>
      <w:tr w:rsidR="00B72921" w:rsidRPr="00E2052F" w14:paraId="6E73CB9A" w14:textId="77777777" w:rsidTr="00B679BA">
        <w:trPr>
          <w:trHeight w:val="357"/>
          <w:jc w:val="center"/>
        </w:trPr>
        <w:tc>
          <w:tcPr>
            <w:tcW w:w="3823" w:type="dxa"/>
            <w:shd w:val="clear" w:color="auto" w:fill="D9E2F3" w:themeFill="accent1" w:themeFillTint="33"/>
          </w:tcPr>
          <w:p w14:paraId="68AF8C67"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5 : Transparence et divulgation</w:t>
            </w:r>
          </w:p>
        </w:tc>
        <w:tc>
          <w:tcPr>
            <w:tcW w:w="1984" w:type="dxa"/>
          </w:tcPr>
          <w:p w14:paraId="31AA3332"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697ACE97"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0,955</w:t>
            </w:r>
          </w:p>
        </w:tc>
        <w:tc>
          <w:tcPr>
            <w:tcW w:w="2410" w:type="dxa"/>
          </w:tcPr>
          <w:p w14:paraId="2754775C"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0,977</w:t>
            </w:r>
          </w:p>
        </w:tc>
      </w:tr>
      <w:tr w:rsidR="00B72921" w:rsidRPr="00E2052F" w14:paraId="5082734B" w14:textId="77777777" w:rsidTr="00B679BA">
        <w:trPr>
          <w:trHeight w:val="357"/>
          <w:jc w:val="center"/>
        </w:trPr>
        <w:tc>
          <w:tcPr>
            <w:tcW w:w="3823" w:type="dxa"/>
            <w:shd w:val="clear" w:color="auto" w:fill="D9E2F3" w:themeFill="accent1" w:themeFillTint="33"/>
          </w:tcPr>
          <w:p w14:paraId="6B56C236" w14:textId="77777777" w:rsidR="00B72921" w:rsidRPr="00E2052F" w:rsidRDefault="00B72921" w:rsidP="008018AB">
            <w:pPr>
              <w:spacing w:before="0" w:beforeAutospacing="0" w:after="160"/>
              <w:jc w:val="center"/>
              <w:rPr>
                <w:rFonts w:cstheme="majorBidi"/>
                <w:b/>
                <w:bCs/>
                <w:color w:val="000000"/>
                <w:sz w:val="22"/>
              </w:rPr>
            </w:pPr>
            <w:r w:rsidRPr="00E2052F">
              <w:rPr>
                <w:rFonts w:cstheme="majorBidi"/>
                <w:b/>
                <w:bCs/>
                <w:color w:val="000000"/>
                <w:sz w:val="22"/>
              </w:rPr>
              <w:t>Axe 6 : Responsabilité du conseil d'administration</w:t>
            </w:r>
          </w:p>
        </w:tc>
        <w:tc>
          <w:tcPr>
            <w:tcW w:w="1984" w:type="dxa"/>
          </w:tcPr>
          <w:p w14:paraId="7A6587C7"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2416C85E"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0,955</w:t>
            </w:r>
          </w:p>
        </w:tc>
        <w:tc>
          <w:tcPr>
            <w:tcW w:w="2410" w:type="dxa"/>
          </w:tcPr>
          <w:p w14:paraId="1911875B" w14:textId="77777777" w:rsidR="00B72921" w:rsidRPr="00E2052F" w:rsidRDefault="00B72921" w:rsidP="008018AB">
            <w:pPr>
              <w:spacing w:before="0" w:beforeAutospacing="0" w:after="160"/>
              <w:jc w:val="center"/>
              <w:rPr>
                <w:rFonts w:cstheme="majorBidi"/>
                <w:color w:val="000000"/>
                <w:sz w:val="22"/>
              </w:rPr>
            </w:pPr>
            <w:r w:rsidRPr="00E2052F">
              <w:rPr>
                <w:rFonts w:cstheme="majorBidi"/>
                <w:color w:val="000000"/>
                <w:sz w:val="22"/>
              </w:rPr>
              <w:t>0,977</w:t>
            </w:r>
          </w:p>
        </w:tc>
      </w:tr>
    </w:tbl>
    <w:p w14:paraId="378DD7CB" w14:textId="16F88D9F" w:rsidR="00086FF4" w:rsidRPr="00E2052F" w:rsidRDefault="00086FF4" w:rsidP="008018AB">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579C4E8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tableau montre que le coefficient de fiabilité Alpha de Cronbach pour les dimensions de l'étude est très élevé, atteignant 0,982 pour l'ensemble des 60 énoncés du questionnaire. La fiabilité des différentes dimensions varie entre 0,941et 0,978. Cela indique que le questionnaire bénéficie d'un haut degré de stabilité et que les réponses présentent une forte crédibilité. De plus, en calculant la validité du questionnaire à travers la racine carrée des coefficients de fiabilité, nous avons obtenu des valeurs comprises entre 0,970 et 0,990, avec une valeur de 0,991 pour l'ensemble des énoncés</w:t>
      </w:r>
    </w:p>
    <w:p w14:paraId="227D6B55"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Ces résultats confirment que les énoncées du questionnaire jouissent d'une forte cohérence interne et qu'il est possible de se fier à cet instrument pour l'application sur le terrain, ce qui atteste de la validité de l'outil de mesure par rapport aux objectifs pour lesquels il a été conçu.</w:t>
      </w:r>
    </w:p>
    <w:p w14:paraId="408B70FF" w14:textId="77777777" w:rsidR="00086FF4" w:rsidRPr="00E2052F" w:rsidRDefault="00086FF4" w:rsidP="00D61875">
      <w:pPr>
        <w:pStyle w:val="Titre3"/>
        <w:numPr>
          <w:ilvl w:val="0"/>
          <w:numId w:val="33"/>
        </w:numPr>
        <w:spacing w:before="0" w:beforeAutospacing="0" w:after="160"/>
        <w:ind w:left="568" w:hanging="284"/>
        <w:rPr>
          <w:rFonts w:asciiTheme="majorBidi" w:hAnsiTheme="majorBidi"/>
          <w:color w:val="auto"/>
          <w:sz w:val="22"/>
        </w:rPr>
      </w:pPr>
      <w:bookmarkStart w:id="1684" w:name="_Toc229156009"/>
      <w:bookmarkStart w:id="1685" w:name="_Toc231747007"/>
      <w:bookmarkStart w:id="1686" w:name="_Toc231752413"/>
      <w:bookmarkStart w:id="1687" w:name="_Toc231810716"/>
      <w:bookmarkStart w:id="1688" w:name="_Toc231812059"/>
      <w:bookmarkStart w:id="1689" w:name="_Toc231812337"/>
      <w:bookmarkStart w:id="1690" w:name="_Toc231815221"/>
      <w:r w:rsidRPr="00E2052F">
        <w:rPr>
          <w:rFonts w:asciiTheme="majorBidi" w:hAnsiTheme="majorBidi"/>
          <w:color w:val="auto"/>
          <w:sz w:val="22"/>
        </w:rPr>
        <w:t>L’analyse de la partie des principes de la gouvernance :</w:t>
      </w:r>
      <w:bookmarkEnd w:id="1684"/>
      <w:bookmarkEnd w:id="1685"/>
      <w:bookmarkEnd w:id="1686"/>
      <w:bookmarkEnd w:id="1687"/>
      <w:bookmarkEnd w:id="1688"/>
      <w:bookmarkEnd w:id="1689"/>
      <w:bookmarkEnd w:id="1690"/>
    </w:p>
    <w:p w14:paraId="407ACDAA" w14:textId="77777777" w:rsidR="00086FF4" w:rsidRPr="00E2052F" w:rsidRDefault="007E1FFF" w:rsidP="00D23BF3">
      <w:pPr>
        <w:spacing w:before="0" w:beforeAutospacing="0"/>
        <w:rPr>
          <w:rFonts w:cstheme="majorBidi"/>
          <w:b/>
          <w:bCs/>
          <w:color w:val="000000"/>
          <w:sz w:val="22"/>
        </w:rPr>
      </w:pPr>
      <w:r w:rsidRPr="00E2052F">
        <w:rPr>
          <w:rFonts w:cstheme="majorBidi"/>
          <w:b/>
          <w:bCs/>
          <w:color w:val="000000"/>
          <w:sz w:val="22"/>
          <w:u w:val="single"/>
        </w:rPr>
        <w:t>Tableau 19</w:t>
      </w:r>
      <w:r w:rsidR="00086FF4" w:rsidRPr="00E2052F">
        <w:rPr>
          <w:rFonts w:cstheme="majorBidi"/>
          <w:b/>
          <w:bCs/>
          <w:color w:val="000000"/>
          <w:sz w:val="22"/>
          <w:u w:val="single"/>
        </w:rPr>
        <w:t xml:space="preserve"> :</w:t>
      </w:r>
      <w:r w:rsidR="00086FF4" w:rsidRPr="00E2052F">
        <w:rPr>
          <w:rFonts w:cstheme="majorBidi"/>
          <w:color w:val="000000"/>
          <w:sz w:val="22"/>
        </w:rPr>
        <w:t xml:space="preserve"> </w:t>
      </w:r>
      <w:r w:rsidR="00086FF4" w:rsidRPr="00E2052F">
        <w:rPr>
          <w:rFonts w:cstheme="majorBidi"/>
          <w:b/>
          <w:bCs/>
          <w:color w:val="000000"/>
          <w:sz w:val="22"/>
        </w:rPr>
        <w:t>Plage de moyenne arithmétique pondérée et niveau d'évaluation selon l'échelle de Likert à cinq points (Scale</w:t>
      </w:r>
      <w:r w:rsidR="008018AB" w:rsidRPr="00E2052F">
        <w:rPr>
          <w:rFonts w:cstheme="majorBidi"/>
          <w:b/>
          <w:bCs/>
          <w:color w:val="000000"/>
          <w:sz w:val="22"/>
        </w:rPr>
        <w:t xml:space="preserve"> </w:t>
      </w:r>
      <w:r w:rsidR="00086FF4" w:rsidRPr="00E2052F">
        <w:rPr>
          <w:rFonts w:cstheme="majorBidi"/>
          <w:b/>
          <w:bCs/>
          <w:color w:val="000000"/>
          <w:sz w:val="22"/>
        </w:rPr>
        <w:t>Likert).</w:t>
      </w:r>
    </w:p>
    <w:tbl>
      <w:tblPr>
        <w:tblStyle w:val="Grilledutableau"/>
        <w:tblW w:w="9072" w:type="dxa"/>
        <w:jc w:val="center"/>
        <w:tblLook w:val="04A0" w:firstRow="1" w:lastRow="0" w:firstColumn="1" w:lastColumn="0" w:noHBand="0" w:noVBand="1"/>
      </w:tblPr>
      <w:tblGrid>
        <w:gridCol w:w="2322"/>
        <w:gridCol w:w="2254"/>
        <w:gridCol w:w="2258"/>
        <w:gridCol w:w="2238"/>
      </w:tblGrid>
      <w:tr w:rsidR="00086FF4" w:rsidRPr="00E2052F" w14:paraId="4793BD7C"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30C33B"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Le champ</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3BE8B6B"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La destination</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F771AC"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La note d'évaluation</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D0993D"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Le codage</w:t>
            </w:r>
          </w:p>
        </w:tc>
      </w:tr>
      <w:tr w:rsidR="00086FF4" w:rsidRPr="00E2052F" w14:paraId="52AEEAB2"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D90F7F"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lastRenderedPageBreak/>
              <w:t>De 1 à 1,8</w:t>
            </w:r>
          </w:p>
        </w:tc>
        <w:tc>
          <w:tcPr>
            <w:tcW w:w="2294" w:type="dxa"/>
            <w:tcBorders>
              <w:top w:val="single" w:sz="4" w:space="0" w:color="auto"/>
              <w:left w:val="single" w:sz="4" w:space="0" w:color="auto"/>
              <w:bottom w:val="single" w:sz="4" w:space="0" w:color="auto"/>
              <w:right w:val="single" w:sz="4" w:space="0" w:color="auto"/>
            </w:tcBorders>
            <w:hideMark/>
          </w:tcPr>
          <w:p w14:paraId="67343F9E"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Pas du tout d'accord</w:t>
            </w:r>
          </w:p>
        </w:tc>
        <w:tc>
          <w:tcPr>
            <w:tcW w:w="2294" w:type="dxa"/>
            <w:tcBorders>
              <w:top w:val="single" w:sz="4" w:space="0" w:color="auto"/>
              <w:left w:val="single" w:sz="4" w:space="0" w:color="auto"/>
              <w:bottom w:val="single" w:sz="4" w:space="0" w:color="auto"/>
              <w:right w:val="single" w:sz="4" w:space="0" w:color="auto"/>
            </w:tcBorders>
            <w:hideMark/>
          </w:tcPr>
          <w:p w14:paraId="5A799159"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Très Faible</w:t>
            </w:r>
          </w:p>
        </w:tc>
        <w:tc>
          <w:tcPr>
            <w:tcW w:w="2294" w:type="dxa"/>
            <w:tcBorders>
              <w:top w:val="single" w:sz="4" w:space="0" w:color="auto"/>
              <w:left w:val="single" w:sz="4" w:space="0" w:color="auto"/>
              <w:bottom w:val="single" w:sz="4" w:space="0" w:color="auto"/>
              <w:right w:val="single" w:sz="4" w:space="0" w:color="auto"/>
            </w:tcBorders>
            <w:hideMark/>
          </w:tcPr>
          <w:p w14:paraId="04C9F454"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1</w:t>
            </w:r>
          </w:p>
        </w:tc>
      </w:tr>
      <w:tr w:rsidR="00086FF4" w:rsidRPr="00E2052F" w14:paraId="2F255145"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B6E80A3"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De 1,8 à 2,6</w:t>
            </w:r>
          </w:p>
        </w:tc>
        <w:tc>
          <w:tcPr>
            <w:tcW w:w="2294" w:type="dxa"/>
            <w:tcBorders>
              <w:top w:val="single" w:sz="4" w:space="0" w:color="auto"/>
              <w:left w:val="single" w:sz="4" w:space="0" w:color="auto"/>
              <w:bottom w:val="single" w:sz="4" w:space="0" w:color="auto"/>
              <w:right w:val="single" w:sz="4" w:space="0" w:color="auto"/>
            </w:tcBorders>
            <w:hideMark/>
          </w:tcPr>
          <w:p w14:paraId="7949BC1C"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Pas d'accord</w:t>
            </w:r>
          </w:p>
        </w:tc>
        <w:tc>
          <w:tcPr>
            <w:tcW w:w="2294" w:type="dxa"/>
            <w:tcBorders>
              <w:top w:val="single" w:sz="4" w:space="0" w:color="auto"/>
              <w:left w:val="single" w:sz="4" w:space="0" w:color="auto"/>
              <w:bottom w:val="single" w:sz="4" w:space="0" w:color="auto"/>
              <w:right w:val="single" w:sz="4" w:space="0" w:color="auto"/>
            </w:tcBorders>
            <w:hideMark/>
          </w:tcPr>
          <w:p w14:paraId="1CC288A4"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Faible</w:t>
            </w:r>
          </w:p>
        </w:tc>
        <w:tc>
          <w:tcPr>
            <w:tcW w:w="2294" w:type="dxa"/>
            <w:tcBorders>
              <w:top w:val="single" w:sz="4" w:space="0" w:color="auto"/>
              <w:left w:val="single" w:sz="4" w:space="0" w:color="auto"/>
              <w:bottom w:val="single" w:sz="4" w:space="0" w:color="auto"/>
              <w:right w:val="single" w:sz="4" w:space="0" w:color="auto"/>
            </w:tcBorders>
            <w:hideMark/>
          </w:tcPr>
          <w:p w14:paraId="6E00C8D4"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2</w:t>
            </w:r>
          </w:p>
        </w:tc>
      </w:tr>
      <w:tr w:rsidR="00086FF4" w:rsidRPr="00E2052F" w14:paraId="0389647D"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5AB9F67"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De 2,6à 3,4</w:t>
            </w:r>
          </w:p>
        </w:tc>
        <w:tc>
          <w:tcPr>
            <w:tcW w:w="2294" w:type="dxa"/>
            <w:tcBorders>
              <w:top w:val="single" w:sz="4" w:space="0" w:color="auto"/>
              <w:left w:val="single" w:sz="4" w:space="0" w:color="auto"/>
              <w:bottom w:val="single" w:sz="4" w:space="0" w:color="auto"/>
              <w:right w:val="single" w:sz="4" w:space="0" w:color="auto"/>
            </w:tcBorders>
            <w:hideMark/>
          </w:tcPr>
          <w:p w14:paraId="640F1C5D"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Neutre</w:t>
            </w:r>
          </w:p>
        </w:tc>
        <w:tc>
          <w:tcPr>
            <w:tcW w:w="2294" w:type="dxa"/>
            <w:tcBorders>
              <w:top w:val="single" w:sz="4" w:space="0" w:color="auto"/>
              <w:left w:val="single" w:sz="4" w:space="0" w:color="auto"/>
              <w:bottom w:val="single" w:sz="4" w:space="0" w:color="auto"/>
              <w:right w:val="single" w:sz="4" w:space="0" w:color="auto"/>
            </w:tcBorders>
            <w:hideMark/>
          </w:tcPr>
          <w:p w14:paraId="32C015D8"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Moyenne</w:t>
            </w:r>
          </w:p>
        </w:tc>
        <w:tc>
          <w:tcPr>
            <w:tcW w:w="2294" w:type="dxa"/>
            <w:tcBorders>
              <w:top w:val="single" w:sz="4" w:space="0" w:color="auto"/>
              <w:left w:val="single" w:sz="4" w:space="0" w:color="auto"/>
              <w:bottom w:val="single" w:sz="4" w:space="0" w:color="auto"/>
              <w:right w:val="single" w:sz="4" w:space="0" w:color="auto"/>
            </w:tcBorders>
            <w:hideMark/>
          </w:tcPr>
          <w:p w14:paraId="0E12D531"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3</w:t>
            </w:r>
          </w:p>
        </w:tc>
      </w:tr>
      <w:tr w:rsidR="00086FF4" w:rsidRPr="00E2052F" w14:paraId="44D0288A"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E0BEEA"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De 3,4 à 4,2</w:t>
            </w:r>
          </w:p>
        </w:tc>
        <w:tc>
          <w:tcPr>
            <w:tcW w:w="2294" w:type="dxa"/>
            <w:tcBorders>
              <w:top w:val="single" w:sz="4" w:space="0" w:color="auto"/>
              <w:left w:val="single" w:sz="4" w:space="0" w:color="auto"/>
              <w:bottom w:val="single" w:sz="4" w:space="0" w:color="auto"/>
              <w:right w:val="single" w:sz="4" w:space="0" w:color="auto"/>
            </w:tcBorders>
            <w:hideMark/>
          </w:tcPr>
          <w:p w14:paraId="7108F6FD"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D'accord</w:t>
            </w:r>
          </w:p>
        </w:tc>
        <w:tc>
          <w:tcPr>
            <w:tcW w:w="2294" w:type="dxa"/>
            <w:tcBorders>
              <w:top w:val="single" w:sz="4" w:space="0" w:color="auto"/>
              <w:left w:val="single" w:sz="4" w:space="0" w:color="auto"/>
              <w:bottom w:val="single" w:sz="4" w:space="0" w:color="auto"/>
              <w:right w:val="single" w:sz="4" w:space="0" w:color="auto"/>
            </w:tcBorders>
            <w:hideMark/>
          </w:tcPr>
          <w:p w14:paraId="7FF83BE5"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Elevée</w:t>
            </w:r>
          </w:p>
        </w:tc>
        <w:tc>
          <w:tcPr>
            <w:tcW w:w="2294" w:type="dxa"/>
            <w:tcBorders>
              <w:top w:val="single" w:sz="4" w:space="0" w:color="auto"/>
              <w:left w:val="single" w:sz="4" w:space="0" w:color="auto"/>
              <w:bottom w:val="single" w:sz="4" w:space="0" w:color="auto"/>
              <w:right w:val="single" w:sz="4" w:space="0" w:color="auto"/>
            </w:tcBorders>
            <w:hideMark/>
          </w:tcPr>
          <w:p w14:paraId="711EC749"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4</w:t>
            </w:r>
          </w:p>
        </w:tc>
      </w:tr>
      <w:tr w:rsidR="00086FF4" w:rsidRPr="00E2052F" w14:paraId="30D8968D" w14:textId="77777777" w:rsidTr="00B679BA">
        <w:trPr>
          <w:trHeight w:val="504"/>
          <w:jc w:val="center"/>
        </w:trPr>
        <w:tc>
          <w:tcPr>
            <w:tcW w:w="2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0B01B11" w14:textId="77777777" w:rsidR="00086FF4" w:rsidRPr="00E2052F" w:rsidRDefault="00086FF4" w:rsidP="008018AB">
            <w:pPr>
              <w:spacing w:before="0" w:beforeAutospacing="0" w:after="160"/>
              <w:jc w:val="center"/>
              <w:rPr>
                <w:rFonts w:cstheme="majorBidi"/>
                <w:b/>
                <w:bCs/>
                <w:color w:val="000000"/>
                <w:sz w:val="22"/>
              </w:rPr>
            </w:pPr>
            <w:r w:rsidRPr="00E2052F">
              <w:rPr>
                <w:rFonts w:cstheme="majorBidi"/>
                <w:b/>
                <w:bCs/>
                <w:color w:val="000000"/>
                <w:sz w:val="22"/>
              </w:rPr>
              <w:t>De 4,2 à 5</w:t>
            </w:r>
          </w:p>
        </w:tc>
        <w:tc>
          <w:tcPr>
            <w:tcW w:w="2294" w:type="dxa"/>
            <w:tcBorders>
              <w:top w:val="single" w:sz="4" w:space="0" w:color="auto"/>
              <w:left w:val="single" w:sz="4" w:space="0" w:color="auto"/>
              <w:bottom w:val="single" w:sz="4" w:space="0" w:color="auto"/>
              <w:right w:val="single" w:sz="4" w:space="0" w:color="auto"/>
            </w:tcBorders>
            <w:hideMark/>
          </w:tcPr>
          <w:p w14:paraId="7F0B01FC"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Tout à fait d'accord</w:t>
            </w:r>
          </w:p>
        </w:tc>
        <w:tc>
          <w:tcPr>
            <w:tcW w:w="2294" w:type="dxa"/>
            <w:tcBorders>
              <w:top w:val="single" w:sz="4" w:space="0" w:color="auto"/>
              <w:left w:val="single" w:sz="4" w:space="0" w:color="auto"/>
              <w:bottom w:val="single" w:sz="4" w:space="0" w:color="auto"/>
              <w:right w:val="single" w:sz="4" w:space="0" w:color="auto"/>
            </w:tcBorders>
            <w:hideMark/>
          </w:tcPr>
          <w:p w14:paraId="64582432"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Très Elevée</w:t>
            </w:r>
          </w:p>
        </w:tc>
        <w:tc>
          <w:tcPr>
            <w:tcW w:w="2294" w:type="dxa"/>
            <w:tcBorders>
              <w:top w:val="single" w:sz="4" w:space="0" w:color="auto"/>
              <w:left w:val="single" w:sz="4" w:space="0" w:color="auto"/>
              <w:bottom w:val="single" w:sz="4" w:space="0" w:color="auto"/>
              <w:right w:val="single" w:sz="4" w:space="0" w:color="auto"/>
            </w:tcBorders>
            <w:hideMark/>
          </w:tcPr>
          <w:p w14:paraId="24717D17" w14:textId="77777777" w:rsidR="00086FF4" w:rsidRPr="00E2052F" w:rsidRDefault="00086FF4" w:rsidP="008018AB">
            <w:pPr>
              <w:spacing w:before="0" w:beforeAutospacing="0" w:after="160"/>
              <w:jc w:val="center"/>
              <w:rPr>
                <w:rFonts w:cstheme="majorBidi"/>
                <w:color w:val="000000"/>
                <w:sz w:val="22"/>
              </w:rPr>
            </w:pPr>
            <w:r w:rsidRPr="00E2052F">
              <w:rPr>
                <w:rFonts w:cstheme="majorBidi"/>
                <w:color w:val="000000"/>
                <w:sz w:val="22"/>
              </w:rPr>
              <w:t>5</w:t>
            </w:r>
          </w:p>
        </w:tc>
      </w:tr>
    </w:tbl>
    <w:p w14:paraId="001465BC" w14:textId="77777777" w:rsidR="00086FF4" w:rsidRPr="00E2052F" w:rsidRDefault="00086FF4" w:rsidP="008018AB">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Réalisé par nous-mêmes.</w:t>
      </w:r>
    </w:p>
    <w:p w14:paraId="298F8DDA"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691" w:name="_Toc229156010"/>
      <w:bookmarkStart w:id="1692" w:name="_Toc231747008"/>
      <w:bookmarkStart w:id="1693" w:name="_Toc231752414"/>
      <w:bookmarkStart w:id="1694" w:name="_Toc231810717"/>
      <w:bookmarkStart w:id="1695" w:name="_Toc231812060"/>
      <w:bookmarkStart w:id="1696" w:name="_Toc231812338"/>
      <w:bookmarkStart w:id="1697" w:name="_Toc231815222"/>
      <w:r w:rsidRPr="00E2052F">
        <w:rPr>
          <w:rFonts w:asciiTheme="majorBidi" w:hAnsiTheme="majorBidi"/>
          <w:i w:val="0"/>
          <w:iCs w:val="0"/>
          <w:color w:val="auto"/>
          <w:sz w:val="22"/>
        </w:rPr>
        <w:t>Analyse du premier axe concernant la dime</w:t>
      </w:r>
      <w:r w:rsidR="008018AB" w:rsidRPr="00E2052F">
        <w:rPr>
          <w:rFonts w:asciiTheme="majorBidi" w:hAnsiTheme="majorBidi"/>
          <w:i w:val="0"/>
          <w:iCs w:val="0"/>
          <w:color w:val="auto"/>
          <w:sz w:val="22"/>
        </w:rPr>
        <w:t xml:space="preserve">nsion du l'existence d'une base </w:t>
      </w:r>
      <w:r w:rsidRPr="00E2052F">
        <w:rPr>
          <w:rFonts w:asciiTheme="majorBidi" w:hAnsiTheme="majorBidi"/>
          <w:i w:val="0"/>
          <w:iCs w:val="0"/>
          <w:color w:val="auto"/>
          <w:sz w:val="22"/>
        </w:rPr>
        <w:t>pour un cadre efficace de la gouvernance :</w:t>
      </w:r>
      <w:bookmarkEnd w:id="1691"/>
      <w:bookmarkEnd w:id="1692"/>
      <w:bookmarkEnd w:id="1693"/>
      <w:bookmarkEnd w:id="1694"/>
      <w:bookmarkEnd w:id="1695"/>
      <w:bookmarkEnd w:id="1696"/>
      <w:bookmarkEnd w:id="1697"/>
    </w:p>
    <w:p w14:paraId="0341B2A7" w14:textId="77777777" w:rsidR="00086FF4" w:rsidRPr="00F562CA" w:rsidRDefault="007E1FFF" w:rsidP="008018AB">
      <w:pPr>
        <w:spacing w:before="0" w:beforeAutospacing="0"/>
        <w:rPr>
          <w:rFonts w:cstheme="majorBidi"/>
          <w:b/>
          <w:bCs/>
          <w:color w:val="000000"/>
          <w:sz w:val="22"/>
        </w:rPr>
      </w:pPr>
      <w:r w:rsidRPr="00E2052F">
        <w:rPr>
          <w:rFonts w:cstheme="majorBidi"/>
          <w:b/>
          <w:bCs/>
          <w:color w:val="000000"/>
          <w:sz w:val="22"/>
          <w:u w:val="single"/>
        </w:rPr>
        <w:t>Tableau 20</w:t>
      </w:r>
      <w:r w:rsidR="00086FF4" w:rsidRPr="00E2052F">
        <w:rPr>
          <w:rFonts w:cstheme="majorBidi"/>
          <w:b/>
          <w:bCs/>
          <w:color w:val="000000"/>
          <w:sz w:val="22"/>
          <w:u w:val="single"/>
        </w:rPr>
        <w:t> :</w:t>
      </w:r>
      <w:r w:rsidR="00086FF4" w:rsidRPr="00E2052F">
        <w:rPr>
          <w:rFonts w:cstheme="majorBidi"/>
          <w:b/>
          <w:bCs/>
          <w:color w:val="000000"/>
          <w:sz w:val="22"/>
        </w:rPr>
        <w:t xml:space="preserve"> </w:t>
      </w:r>
      <w:r w:rsidR="006740A8" w:rsidRPr="00F562CA">
        <w:rPr>
          <w:rFonts w:cstheme="majorBidi"/>
          <w:b/>
          <w:bCs/>
          <w:sz w:val="22"/>
        </w:rPr>
        <w:t>Analyse descriptive des données de l’axe L'existence d'une base pour un cadre efficace de la gouvernance</w:t>
      </w:r>
      <w:r w:rsidR="00086FF4" w:rsidRPr="00F562CA">
        <w:rPr>
          <w:rFonts w:cstheme="majorBidi"/>
          <w:b/>
          <w:bCs/>
          <w:color w:val="000000"/>
          <w:sz w:val="22"/>
        </w:rPr>
        <w:t>.</w:t>
      </w: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58"/>
        <w:gridCol w:w="1024"/>
        <w:gridCol w:w="704"/>
        <w:gridCol w:w="1249"/>
        <w:gridCol w:w="1352"/>
        <w:gridCol w:w="1798"/>
      </w:tblGrid>
      <w:tr w:rsidR="00086FF4" w:rsidRPr="00E2052F" w14:paraId="1F7A2F4E" w14:textId="77777777" w:rsidTr="00B679BA">
        <w:trPr>
          <w:tblHeade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0A6F523D"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Question</w:t>
            </w:r>
          </w:p>
        </w:tc>
        <w:tc>
          <w:tcPr>
            <w:tcW w:w="0" w:type="auto"/>
            <w:shd w:val="clear" w:color="auto" w:fill="D9E2F3" w:themeFill="accent1" w:themeFillTint="33"/>
            <w:tcMar>
              <w:top w:w="15" w:type="dxa"/>
              <w:left w:w="15" w:type="dxa"/>
              <w:bottom w:w="15" w:type="dxa"/>
              <w:right w:w="15" w:type="dxa"/>
            </w:tcMar>
            <w:vAlign w:val="center"/>
            <w:hideMark/>
          </w:tcPr>
          <w:p w14:paraId="6BB2B006"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Moyenne</w:t>
            </w:r>
          </w:p>
        </w:tc>
        <w:tc>
          <w:tcPr>
            <w:tcW w:w="1028" w:type="dxa"/>
            <w:shd w:val="clear" w:color="auto" w:fill="D9E2F3" w:themeFill="accent1" w:themeFillTint="33"/>
            <w:tcMar>
              <w:top w:w="15" w:type="dxa"/>
              <w:left w:w="15" w:type="dxa"/>
              <w:bottom w:w="15" w:type="dxa"/>
              <w:right w:w="15" w:type="dxa"/>
            </w:tcMar>
            <w:vAlign w:val="center"/>
            <w:hideMark/>
          </w:tcPr>
          <w:p w14:paraId="4117BA0D"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Ecart type</w:t>
            </w:r>
          </w:p>
        </w:tc>
        <w:tc>
          <w:tcPr>
            <w:tcW w:w="994" w:type="dxa"/>
            <w:shd w:val="clear" w:color="auto" w:fill="D9E2F3" w:themeFill="accent1" w:themeFillTint="33"/>
            <w:tcMar>
              <w:top w:w="15" w:type="dxa"/>
              <w:left w:w="15" w:type="dxa"/>
              <w:bottom w:w="15" w:type="dxa"/>
              <w:right w:w="15" w:type="dxa"/>
            </w:tcMar>
            <w:vAlign w:val="center"/>
            <w:hideMark/>
          </w:tcPr>
          <w:p w14:paraId="46495439"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Test T</w:t>
            </w:r>
          </w:p>
        </w:tc>
        <w:tc>
          <w:tcPr>
            <w:tcW w:w="674" w:type="dxa"/>
            <w:shd w:val="clear" w:color="auto" w:fill="D9E2F3" w:themeFill="accent1" w:themeFillTint="33"/>
            <w:tcMar>
              <w:top w:w="15" w:type="dxa"/>
              <w:left w:w="15" w:type="dxa"/>
              <w:bottom w:w="15" w:type="dxa"/>
              <w:right w:w="15" w:type="dxa"/>
            </w:tcMar>
            <w:vAlign w:val="center"/>
            <w:hideMark/>
          </w:tcPr>
          <w:p w14:paraId="0630DDD6"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Ddl</w:t>
            </w:r>
          </w:p>
        </w:tc>
        <w:tc>
          <w:tcPr>
            <w:tcW w:w="1219" w:type="dxa"/>
            <w:shd w:val="clear" w:color="auto" w:fill="D9E2F3" w:themeFill="accent1" w:themeFillTint="33"/>
            <w:tcMar>
              <w:top w:w="15" w:type="dxa"/>
              <w:left w:w="15" w:type="dxa"/>
              <w:bottom w:w="15" w:type="dxa"/>
              <w:right w:w="15" w:type="dxa"/>
            </w:tcMar>
            <w:vAlign w:val="center"/>
            <w:hideMark/>
          </w:tcPr>
          <w:p w14:paraId="1BBB0707"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Sig. (Bilatérale)</w:t>
            </w:r>
          </w:p>
        </w:tc>
        <w:tc>
          <w:tcPr>
            <w:tcW w:w="0" w:type="auto"/>
            <w:shd w:val="clear" w:color="auto" w:fill="D9E2F3" w:themeFill="accent1" w:themeFillTint="33"/>
            <w:tcMar>
              <w:top w:w="15" w:type="dxa"/>
              <w:left w:w="15" w:type="dxa"/>
              <w:bottom w:w="15" w:type="dxa"/>
              <w:right w:w="15" w:type="dxa"/>
            </w:tcMar>
            <w:vAlign w:val="center"/>
            <w:hideMark/>
          </w:tcPr>
          <w:p w14:paraId="7109586E"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Classification</w:t>
            </w:r>
          </w:p>
        </w:tc>
        <w:tc>
          <w:tcPr>
            <w:tcW w:w="0" w:type="auto"/>
            <w:shd w:val="clear" w:color="auto" w:fill="D9E2F3" w:themeFill="accent1" w:themeFillTint="33"/>
            <w:tcMar>
              <w:top w:w="15" w:type="dxa"/>
              <w:left w:w="15" w:type="dxa"/>
              <w:bottom w:w="15" w:type="dxa"/>
              <w:right w:w="15" w:type="dxa"/>
            </w:tcMar>
            <w:vAlign w:val="center"/>
            <w:hideMark/>
          </w:tcPr>
          <w:p w14:paraId="0E925958"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Niveau d’accord</w:t>
            </w:r>
          </w:p>
        </w:tc>
      </w:tr>
      <w:tr w:rsidR="00086FF4" w:rsidRPr="00E2052F" w14:paraId="2BF62257"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2D758EDD"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Q1</w:t>
            </w:r>
          </w:p>
        </w:tc>
        <w:tc>
          <w:tcPr>
            <w:tcW w:w="0" w:type="auto"/>
            <w:tcMar>
              <w:top w:w="15" w:type="dxa"/>
              <w:left w:w="15" w:type="dxa"/>
              <w:bottom w:w="15" w:type="dxa"/>
              <w:right w:w="15" w:type="dxa"/>
            </w:tcMar>
            <w:vAlign w:val="center"/>
            <w:hideMark/>
          </w:tcPr>
          <w:p w14:paraId="11F691B9"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4.32</w:t>
            </w:r>
          </w:p>
        </w:tc>
        <w:tc>
          <w:tcPr>
            <w:tcW w:w="1028" w:type="dxa"/>
            <w:tcMar>
              <w:top w:w="15" w:type="dxa"/>
              <w:left w:w="15" w:type="dxa"/>
              <w:bottom w:w="15" w:type="dxa"/>
              <w:right w:w="15" w:type="dxa"/>
            </w:tcMar>
            <w:vAlign w:val="center"/>
            <w:hideMark/>
          </w:tcPr>
          <w:p w14:paraId="3B412D17"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0.872</w:t>
            </w:r>
          </w:p>
        </w:tc>
        <w:tc>
          <w:tcPr>
            <w:tcW w:w="994" w:type="dxa"/>
            <w:tcMar>
              <w:top w:w="15" w:type="dxa"/>
              <w:left w:w="15" w:type="dxa"/>
              <w:bottom w:w="15" w:type="dxa"/>
              <w:right w:w="15" w:type="dxa"/>
            </w:tcMar>
            <w:vAlign w:val="center"/>
            <w:hideMark/>
          </w:tcPr>
          <w:p w14:paraId="4E6B9EC0"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26.223</w:t>
            </w:r>
          </w:p>
        </w:tc>
        <w:tc>
          <w:tcPr>
            <w:tcW w:w="674" w:type="dxa"/>
            <w:tcMar>
              <w:top w:w="15" w:type="dxa"/>
              <w:left w:w="15" w:type="dxa"/>
              <w:bottom w:w="15" w:type="dxa"/>
              <w:right w:w="15" w:type="dxa"/>
            </w:tcMar>
            <w:vAlign w:val="center"/>
            <w:hideMark/>
          </w:tcPr>
          <w:p w14:paraId="11B60BF6"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0FF5988A"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5BE99423"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1</w:t>
            </w:r>
          </w:p>
        </w:tc>
        <w:tc>
          <w:tcPr>
            <w:tcW w:w="0" w:type="auto"/>
            <w:tcMar>
              <w:top w:w="15" w:type="dxa"/>
              <w:left w:w="15" w:type="dxa"/>
              <w:bottom w:w="15" w:type="dxa"/>
              <w:right w:w="15" w:type="dxa"/>
            </w:tcMar>
            <w:vAlign w:val="center"/>
            <w:hideMark/>
          </w:tcPr>
          <w:p w14:paraId="2AE4F0C9"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086FF4" w:rsidRPr="00E2052F" w14:paraId="03A0BAF2"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C903CD9"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Q2</w:t>
            </w:r>
          </w:p>
        </w:tc>
        <w:tc>
          <w:tcPr>
            <w:tcW w:w="0" w:type="auto"/>
            <w:tcMar>
              <w:top w:w="15" w:type="dxa"/>
              <w:left w:w="15" w:type="dxa"/>
              <w:bottom w:w="15" w:type="dxa"/>
              <w:right w:w="15" w:type="dxa"/>
            </w:tcMar>
            <w:vAlign w:val="center"/>
            <w:hideMark/>
          </w:tcPr>
          <w:p w14:paraId="647B111E"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4.04</w:t>
            </w:r>
          </w:p>
        </w:tc>
        <w:tc>
          <w:tcPr>
            <w:tcW w:w="1028" w:type="dxa"/>
            <w:tcMar>
              <w:top w:w="15" w:type="dxa"/>
              <w:left w:w="15" w:type="dxa"/>
              <w:bottom w:w="15" w:type="dxa"/>
              <w:right w:w="15" w:type="dxa"/>
            </w:tcMar>
            <w:vAlign w:val="center"/>
            <w:hideMark/>
          </w:tcPr>
          <w:p w14:paraId="604CA641"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0.884</w:t>
            </w:r>
          </w:p>
        </w:tc>
        <w:tc>
          <w:tcPr>
            <w:tcW w:w="994" w:type="dxa"/>
            <w:tcMar>
              <w:top w:w="15" w:type="dxa"/>
              <w:left w:w="15" w:type="dxa"/>
              <w:bottom w:w="15" w:type="dxa"/>
              <w:right w:w="15" w:type="dxa"/>
            </w:tcMar>
            <w:vAlign w:val="center"/>
            <w:hideMark/>
          </w:tcPr>
          <w:p w14:paraId="7792FD34"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20.383</w:t>
            </w:r>
          </w:p>
        </w:tc>
        <w:tc>
          <w:tcPr>
            <w:tcW w:w="674" w:type="dxa"/>
            <w:tcMar>
              <w:top w:w="15" w:type="dxa"/>
              <w:left w:w="15" w:type="dxa"/>
              <w:bottom w:w="15" w:type="dxa"/>
              <w:right w:w="15" w:type="dxa"/>
            </w:tcMar>
            <w:vAlign w:val="center"/>
            <w:hideMark/>
          </w:tcPr>
          <w:p w14:paraId="5D089BD1"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2E4E785E"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136C8704"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5</w:t>
            </w:r>
          </w:p>
        </w:tc>
        <w:tc>
          <w:tcPr>
            <w:tcW w:w="0" w:type="auto"/>
            <w:tcMar>
              <w:top w:w="15" w:type="dxa"/>
              <w:left w:w="15" w:type="dxa"/>
              <w:bottom w:w="15" w:type="dxa"/>
              <w:right w:w="15" w:type="dxa"/>
            </w:tcMar>
            <w:vAlign w:val="center"/>
            <w:hideMark/>
          </w:tcPr>
          <w:p w14:paraId="45846843"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086FF4" w:rsidRPr="00E2052F" w14:paraId="386C10CB"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483078E8"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Q3</w:t>
            </w:r>
          </w:p>
        </w:tc>
        <w:tc>
          <w:tcPr>
            <w:tcW w:w="0" w:type="auto"/>
            <w:tcMar>
              <w:top w:w="15" w:type="dxa"/>
              <w:left w:w="15" w:type="dxa"/>
              <w:bottom w:w="15" w:type="dxa"/>
              <w:right w:w="15" w:type="dxa"/>
            </w:tcMar>
            <w:vAlign w:val="center"/>
            <w:hideMark/>
          </w:tcPr>
          <w:p w14:paraId="069B2F75"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4.04</w:t>
            </w:r>
          </w:p>
        </w:tc>
        <w:tc>
          <w:tcPr>
            <w:tcW w:w="1028" w:type="dxa"/>
            <w:tcMar>
              <w:top w:w="15" w:type="dxa"/>
              <w:left w:w="15" w:type="dxa"/>
              <w:bottom w:w="15" w:type="dxa"/>
              <w:right w:w="15" w:type="dxa"/>
            </w:tcMar>
            <w:vAlign w:val="center"/>
            <w:hideMark/>
          </w:tcPr>
          <w:p w14:paraId="0A784072"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0.851</w:t>
            </w:r>
          </w:p>
        </w:tc>
        <w:tc>
          <w:tcPr>
            <w:tcW w:w="994" w:type="dxa"/>
            <w:tcMar>
              <w:top w:w="15" w:type="dxa"/>
              <w:left w:w="15" w:type="dxa"/>
              <w:bottom w:w="15" w:type="dxa"/>
              <w:right w:w="15" w:type="dxa"/>
            </w:tcMar>
            <w:vAlign w:val="center"/>
            <w:hideMark/>
          </w:tcPr>
          <w:p w14:paraId="424D1DF2"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21.096</w:t>
            </w:r>
          </w:p>
        </w:tc>
        <w:tc>
          <w:tcPr>
            <w:tcW w:w="674" w:type="dxa"/>
            <w:tcMar>
              <w:top w:w="15" w:type="dxa"/>
              <w:left w:w="15" w:type="dxa"/>
              <w:bottom w:w="15" w:type="dxa"/>
              <w:right w:w="15" w:type="dxa"/>
            </w:tcMar>
            <w:vAlign w:val="center"/>
            <w:hideMark/>
          </w:tcPr>
          <w:p w14:paraId="2382A029"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6547172A"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73509107"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w:t>
            </w:r>
          </w:p>
        </w:tc>
        <w:tc>
          <w:tcPr>
            <w:tcW w:w="0" w:type="auto"/>
            <w:tcMar>
              <w:top w:w="15" w:type="dxa"/>
              <w:left w:w="15" w:type="dxa"/>
              <w:bottom w:w="15" w:type="dxa"/>
              <w:right w:w="15" w:type="dxa"/>
            </w:tcMar>
            <w:vAlign w:val="center"/>
            <w:hideMark/>
          </w:tcPr>
          <w:p w14:paraId="74D8B386"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086FF4" w:rsidRPr="00E2052F" w14:paraId="28898B8F"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24CD11FE"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Q4</w:t>
            </w:r>
          </w:p>
        </w:tc>
        <w:tc>
          <w:tcPr>
            <w:tcW w:w="0" w:type="auto"/>
            <w:tcMar>
              <w:top w:w="15" w:type="dxa"/>
              <w:left w:w="15" w:type="dxa"/>
              <w:bottom w:w="15" w:type="dxa"/>
              <w:right w:w="15" w:type="dxa"/>
            </w:tcMar>
            <w:vAlign w:val="center"/>
            <w:hideMark/>
          </w:tcPr>
          <w:p w14:paraId="6A37F35F"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4.13</w:t>
            </w:r>
          </w:p>
        </w:tc>
        <w:tc>
          <w:tcPr>
            <w:tcW w:w="1028" w:type="dxa"/>
            <w:tcMar>
              <w:top w:w="15" w:type="dxa"/>
              <w:left w:w="15" w:type="dxa"/>
              <w:bottom w:w="15" w:type="dxa"/>
              <w:right w:w="15" w:type="dxa"/>
            </w:tcMar>
            <w:vAlign w:val="center"/>
            <w:hideMark/>
          </w:tcPr>
          <w:p w14:paraId="7F8062E4"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0.867</w:t>
            </w:r>
          </w:p>
        </w:tc>
        <w:tc>
          <w:tcPr>
            <w:tcW w:w="994" w:type="dxa"/>
            <w:tcMar>
              <w:top w:w="15" w:type="dxa"/>
              <w:left w:w="15" w:type="dxa"/>
              <w:bottom w:w="15" w:type="dxa"/>
              <w:right w:w="15" w:type="dxa"/>
            </w:tcMar>
            <w:vAlign w:val="center"/>
            <w:hideMark/>
          </w:tcPr>
          <w:p w14:paraId="7B5ECDCB"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22.646</w:t>
            </w:r>
          </w:p>
        </w:tc>
        <w:tc>
          <w:tcPr>
            <w:tcW w:w="674" w:type="dxa"/>
            <w:tcMar>
              <w:top w:w="15" w:type="dxa"/>
              <w:left w:w="15" w:type="dxa"/>
              <w:bottom w:w="15" w:type="dxa"/>
              <w:right w:w="15" w:type="dxa"/>
            </w:tcMar>
            <w:vAlign w:val="center"/>
            <w:hideMark/>
          </w:tcPr>
          <w:p w14:paraId="7F09E672"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39DA8D70"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1070DC6E"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3</w:t>
            </w:r>
          </w:p>
        </w:tc>
        <w:tc>
          <w:tcPr>
            <w:tcW w:w="0" w:type="auto"/>
            <w:tcMar>
              <w:top w:w="15" w:type="dxa"/>
              <w:left w:w="15" w:type="dxa"/>
              <w:bottom w:w="15" w:type="dxa"/>
              <w:right w:w="15" w:type="dxa"/>
            </w:tcMar>
            <w:vAlign w:val="center"/>
            <w:hideMark/>
          </w:tcPr>
          <w:p w14:paraId="54C51A29"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086FF4" w:rsidRPr="00E2052F" w14:paraId="68E45C8F"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3FBBBFAC" w14:textId="77777777" w:rsidR="00086FF4" w:rsidRPr="00E2052F" w:rsidRDefault="00086FF4" w:rsidP="002B603A">
            <w:pPr>
              <w:spacing w:before="0" w:beforeAutospacing="0" w:line="240" w:lineRule="auto"/>
              <w:ind w:firstLine="0"/>
              <w:jc w:val="center"/>
              <w:rPr>
                <w:rFonts w:cstheme="majorBidi"/>
                <w:b/>
                <w:bCs/>
                <w:color w:val="000000"/>
                <w:sz w:val="22"/>
              </w:rPr>
            </w:pPr>
            <w:r w:rsidRPr="00E2052F">
              <w:rPr>
                <w:rFonts w:cstheme="majorBidi"/>
                <w:b/>
                <w:bCs/>
                <w:color w:val="000000"/>
                <w:sz w:val="22"/>
              </w:rPr>
              <w:t>Q5</w:t>
            </w:r>
          </w:p>
        </w:tc>
        <w:tc>
          <w:tcPr>
            <w:tcW w:w="0" w:type="auto"/>
            <w:tcMar>
              <w:top w:w="15" w:type="dxa"/>
              <w:left w:w="15" w:type="dxa"/>
              <w:bottom w:w="15" w:type="dxa"/>
              <w:right w:w="15" w:type="dxa"/>
            </w:tcMar>
            <w:vAlign w:val="center"/>
            <w:hideMark/>
          </w:tcPr>
          <w:p w14:paraId="20B4F158"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4.14</w:t>
            </w:r>
          </w:p>
        </w:tc>
        <w:tc>
          <w:tcPr>
            <w:tcW w:w="1028" w:type="dxa"/>
            <w:tcMar>
              <w:top w:w="15" w:type="dxa"/>
              <w:left w:w="15" w:type="dxa"/>
              <w:bottom w:w="15" w:type="dxa"/>
              <w:right w:w="15" w:type="dxa"/>
            </w:tcMar>
            <w:vAlign w:val="center"/>
            <w:hideMark/>
          </w:tcPr>
          <w:p w14:paraId="589B77DC"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0.716</w:t>
            </w:r>
          </w:p>
        </w:tc>
        <w:tc>
          <w:tcPr>
            <w:tcW w:w="994" w:type="dxa"/>
            <w:tcMar>
              <w:top w:w="15" w:type="dxa"/>
              <w:left w:w="15" w:type="dxa"/>
              <w:bottom w:w="15" w:type="dxa"/>
              <w:right w:w="15" w:type="dxa"/>
            </w:tcMar>
            <w:vAlign w:val="center"/>
            <w:hideMark/>
          </w:tcPr>
          <w:p w14:paraId="5F522A48"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27.487</w:t>
            </w:r>
          </w:p>
        </w:tc>
        <w:tc>
          <w:tcPr>
            <w:tcW w:w="674" w:type="dxa"/>
            <w:tcMar>
              <w:top w:w="15" w:type="dxa"/>
              <w:left w:w="15" w:type="dxa"/>
              <w:bottom w:w="15" w:type="dxa"/>
              <w:right w:w="15" w:type="dxa"/>
            </w:tcMar>
            <w:vAlign w:val="center"/>
            <w:hideMark/>
          </w:tcPr>
          <w:p w14:paraId="6E2CF38E"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4D8881E6"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08EC4361"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w:t>
            </w:r>
          </w:p>
        </w:tc>
        <w:tc>
          <w:tcPr>
            <w:tcW w:w="0" w:type="auto"/>
            <w:tcMar>
              <w:top w:w="15" w:type="dxa"/>
              <w:left w:w="15" w:type="dxa"/>
              <w:bottom w:w="15" w:type="dxa"/>
              <w:right w:w="15" w:type="dxa"/>
            </w:tcMar>
            <w:vAlign w:val="center"/>
            <w:hideMark/>
          </w:tcPr>
          <w:p w14:paraId="6AE18626"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086FF4" w:rsidRPr="00E2052F" w14:paraId="39168D95" w14:textId="77777777" w:rsidTr="00B679BA">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BBFC46D"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b/>
                <w:bCs/>
                <w:color w:val="000000"/>
                <w:sz w:val="22"/>
              </w:rPr>
              <w:t>Total</w:t>
            </w:r>
          </w:p>
        </w:tc>
        <w:tc>
          <w:tcPr>
            <w:tcW w:w="0" w:type="auto"/>
            <w:tcMar>
              <w:top w:w="15" w:type="dxa"/>
              <w:left w:w="15" w:type="dxa"/>
              <w:bottom w:w="15" w:type="dxa"/>
              <w:right w:w="15" w:type="dxa"/>
            </w:tcMar>
            <w:vAlign w:val="center"/>
            <w:hideMark/>
          </w:tcPr>
          <w:p w14:paraId="26DF4159"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4.13</w:t>
            </w:r>
          </w:p>
        </w:tc>
        <w:tc>
          <w:tcPr>
            <w:tcW w:w="1028" w:type="dxa"/>
            <w:tcMar>
              <w:top w:w="15" w:type="dxa"/>
              <w:left w:w="15" w:type="dxa"/>
              <w:bottom w:w="15" w:type="dxa"/>
              <w:right w:w="15" w:type="dxa"/>
            </w:tcMar>
            <w:vAlign w:val="center"/>
            <w:hideMark/>
          </w:tcPr>
          <w:p w14:paraId="5DDAAC33"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0.784</w:t>
            </w:r>
          </w:p>
        </w:tc>
        <w:tc>
          <w:tcPr>
            <w:tcW w:w="994" w:type="dxa"/>
            <w:tcMar>
              <w:top w:w="15" w:type="dxa"/>
              <w:left w:w="15" w:type="dxa"/>
              <w:bottom w:w="15" w:type="dxa"/>
              <w:right w:w="15" w:type="dxa"/>
            </w:tcMar>
            <w:vAlign w:val="center"/>
            <w:hideMark/>
          </w:tcPr>
          <w:p w14:paraId="290D1B90"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25.591</w:t>
            </w:r>
          </w:p>
        </w:tc>
        <w:tc>
          <w:tcPr>
            <w:tcW w:w="674" w:type="dxa"/>
            <w:tcMar>
              <w:top w:w="15" w:type="dxa"/>
              <w:left w:w="15" w:type="dxa"/>
              <w:bottom w:w="15" w:type="dxa"/>
              <w:right w:w="15" w:type="dxa"/>
            </w:tcMar>
            <w:vAlign w:val="center"/>
            <w:hideMark/>
          </w:tcPr>
          <w:p w14:paraId="76E72087"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219" w:type="dxa"/>
            <w:tcMar>
              <w:top w:w="15" w:type="dxa"/>
              <w:left w:w="15" w:type="dxa"/>
              <w:bottom w:w="15" w:type="dxa"/>
              <w:right w:w="15" w:type="dxa"/>
            </w:tcMar>
            <w:vAlign w:val="center"/>
            <w:hideMark/>
          </w:tcPr>
          <w:p w14:paraId="1BD7C43F"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0" w:type="auto"/>
            <w:tcMar>
              <w:top w:w="15" w:type="dxa"/>
              <w:left w:w="15" w:type="dxa"/>
              <w:bottom w:w="15" w:type="dxa"/>
              <w:right w:w="15" w:type="dxa"/>
            </w:tcMar>
            <w:vAlign w:val="center"/>
            <w:hideMark/>
          </w:tcPr>
          <w:p w14:paraId="3F905943" w14:textId="77777777" w:rsidR="00086FF4" w:rsidRPr="00E2052F" w:rsidRDefault="00086FF4" w:rsidP="002B603A">
            <w:pPr>
              <w:spacing w:before="0" w:beforeAutospacing="0" w:line="240" w:lineRule="auto"/>
              <w:jc w:val="center"/>
              <w:rPr>
                <w:rFonts w:cstheme="majorBidi"/>
                <w:color w:val="000000"/>
                <w:sz w:val="22"/>
              </w:rPr>
            </w:pPr>
            <w:r w:rsidRPr="00E2052F">
              <w:rPr>
                <w:rFonts w:cstheme="majorBidi"/>
                <w:color w:val="000000"/>
                <w:sz w:val="22"/>
              </w:rPr>
              <w:t>—</w:t>
            </w:r>
          </w:p>
        </w:tc>
        <w:tc>
          <w:tcPr>
            <w:tcW w:w="0" w:type="auto"/>
            <w:tcMar>
              <w:top w:w="15" w:type="dxa"/>
              <w:left w:w="15" w:type="dxa"/>
              <w:bottom w:w="15" w:type="dxa"/>
              <w:right w:w="15" w:type="dxa"/>
            </w:tcMar>
            <w:vAlign w:val="center"/>
            <w:hideMark/>
          </w:tcPr>
          <w:p w14:paraId="1FBD37E8" w14:textId="77777777"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bl>
    <w:p w14:paraId="31425FDA" w14:textId="6CF0881F" w:rsidR="00086FF4" w:rsidRPr="00E2052F" w:rsidRDefault="00086FF4" w:rsidP="002B603A">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5A63F60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47E331FB"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moyennes arithmétiques des réponses varient entre 4,04 et 4,32.</w:t>
      </w:r>
    </w:p>
    <w:p w14:paraId="72013B2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26,223, supérieure à la valeur t tabulaire estimée à 1,97, et un niveau de signification de 0,000 inférieur à 0,05. Cela signifie que l’expression est positive, indiquant que les membres de l’échantillon confirment que la répartition des rôles entre les actionnaires, les dirigeants et les parties prenantes est clairement définie tout en préservant l’intérêt général.</w:t>
      </w:r>
    </w:p>
    <w:p w14:paraId="34483B1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(05), avec une valeur t calculée de 27,487, supérieure à la valeur t tabulaire de 1,97, et un niveau de signification de 0,000 inférieur à 0,05. Cela signifie que l’expression est positive, ce qui montre que les dirigeants sont tenus responsables de leurs décisions devant les organes de contrôle, assurant ainsi un alignement avec la stratégie de l’organisation.</w:t>
      </w:r>
    </w:p>
    <w:p w14:paraId="5210947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En troisième position vient la formule (04), avec une valeur t calculée de 22,646, supérieure à la valeur t tabulaire de 1,97, et un niveau de signification de 0,000 inférieur à 0,05. Cela signifie que l’expression est positive, indiquant qu’une bonne gouvernance contribue à améliorer les performances économiques et à renforcer l’avantage concurrentiel de l’entreprise.</w:t>
      </w:r>
    </w:p>
    <w:p w14:paraId="611D47C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(03), avec une valeur t calculée de 21,096, supérieure à la valeur t tabulaire de 1,97, et un niveau de signification de 0,000 inférieur à 0,05. Cela signifie que l’expression est positive, ce qui traduit que l’entreprise met en place des pratiques favorisant la transparence, l’efficacité et l’efficience dans la prise de décision et la gestion.</w:t>
      </w:r>
    </w:p>
    <w:p w14:paraId="3B57FC0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Enfin, la formule (02) arrive en dernière position, avec une valeur t calculée de 20,383, supérieure à la valeur t tabulaire de 1,97, et un niveau de signification de 0,000 inférieur à 0,05. Cela signifie que l’expression est positive, indiquant que les règles, procédures et politiques en vigueur sont respectées au sein de TAYAL.</w:t>
      </w:r>
    </w:p>
    <w:p w14:paraId="396D7F9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1 est de 4,13 avec un écart type de 0,784, ce qui reflète </w:t>
      </w:r>
      <w:r w:rsidRPr="00E2052F">
        <w:rPr>
          <w:rFonts w:cstheme="majorBidi"/>
          <w:b/>
          <w:bCs/>
          <w:color w:val="000000"/>
          <w:sz w:val="22"/>
        </w:rPr>
        <w:t>un niveau d'accord</w:t>
      </w:r>
      <w:r w:rsidRPr="00E2052F">
        <w:rPr>
          <w:rFonts w:cstheme="majorBidi"/>
          <w:color w:val="000000"/>
          <w:sz w:val="22"/>
        </w:rPr>
        <w:t xml:space="preserve"> élevé concernant le cadre de gouvernance.</w:t>
      </w:r>
    </w:p>
    <w:p w14:paraId="38C4FA9B"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Les résultats du test t montrent des valeurs comprises entre 20,383 et 27,487, avec un degré de liberté (ddl) de </w:t>
      </w:r>
      <w:r w:rsidRPr="00E2052F">
        <w:rPr>
          <w:rFonts w:cstheme="majorBidi"/>
          <w:b/>
          <w:bCs/>
          <w:color w:val="000000"/>
          <w:sz w:val="22"/>
        </w:rPr>
        <w:t>299</w:t>
      </w:r>
      <w:r w:rsidRPr="00E2052F">
        <w:rPr>
          <w:rFonts w:cstheme="majorBidi"/>
          <w:color w:val="000000"/>
          <w:sz w:val="22"/>
        </w:rPr>
        <w:t xml:space="preserve"> et une significativité (Sig.) de 0,000 pour tous les énoncés. Cela indique que les répondants sont très largement d’accord avec l'existence d'une base pour un cadre efficace de la gouvernance. L’accord est particulièrement fort pour </w:t>
      </w:r>
      <w:r w:rsidRPr="00E2052F">
        <w:rPr>
          <w:rFonts w:cstheme="majorBidi"/>
          <w:b/>
          <w:bCs/>
          <w:color w:val="000000"/>
          <w:sz w:val="22"/>
        </w:rPr>
        <w:t>"Les dirigeants sont responsables de leurs décisions"</w:t>
      </w:r>
      <w:r w:rsidRPr="00E2052F">
        <w:rPr>
          <w:rFonts w:cstheme="majorBidi"/>
          <w:color w:val="000000"/>
          <w:sz w:val="22"/>
        </w:rPr>
        <w:t xml:space="preserve"> (t = 27,487), ce qui confirme la solidité des pratiques de gouvernance au sein de l’entreprise.</w:t>
      </w:r>
    </w:p>
    <w:p w14:paraId="77CEE6F8"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698" w:name="_Toc229156011"/>
      <w:bookmarkStart w:id="1699" w:name="_Toc231747009"/>
      <w:bookmarkStart w:id="1700" w:name="_Toc231752415"/>
      <w:bookmarkStart w:id="1701" w:name="_Toc231810718"/>
      <w:bookmarkStart w:id="1702" w:name="_Toc231812061"/>
      <w:bookmarkStart w:id="1703" w:name="_Toc231812339"/>
      <w:bookmarkStart w:id="1704" w:name="_Toc231815223"/>
      <w:r w:rsidRPr="00E2052F">
        <w:rPr>
          <w:rFonts w:asciiTheme="majorBidi" w:hAnsiTheme="majorBidi"/>
          <w:i w:val="0"/>
          <w:iCs w:val="0"/>
          <w:color w:val="auto"/>
          <w:sz w:val="22"/>
        </w:rPr>
        <w:t>Analyse du deuxième axe concernant la dimension du la préservation des droits des actionnaires :</w:t>
      </w:r>
      <w:bookmarkEnd w:id="1698"/>
      <w:bookmarkEnd w:id="1699"/>
      <w:bookmarkEnd w:id="1700"/>
      <w:bookmarkEnd w:id="1701"/>
      <w:bookmarkEnd w:id="1702"/>
      <w:bookmarkEnd w:id="1703"/>
      <w:bookmarkEnd w:id="1704"/>
    </w:p>
    <w:p w14:paraId="577FB00E" w14:textId="77777777" w:rsidR="00086FF4" w:rsidRPr="00E2052F" w:rsidRDefault="00086FF4" w:rsidP="002B603A">
      <w:pPr>
        <w:spacing w:before="0" w:beforeAutospacing="0"/>
        <w:rPr>
          <w:rFonts w:cstheme="majorBidi"/>
          <w:color w:val="000000"/>
          <w:sz w:val="22"/>
        </w:rPr>
      </w:pPr>
      <w:r w:rsidRPr="00E2052F">
        <w:rPr>
          <w:rFonts w:cstheme="majorBidi"/>
          <w:b/>
          <w:bCs/>
          <w:color w:val="000000"/>
          <w:sz w:val="22"/>
          <w:u w:val="single"/>
        </w:rPr>
        <w:t xml:space="preserve">Tableau </w:t>
      </w:r>
      <w:r w:rsidR="006740A8" w:rsidRPr="00E2052F">
        <w:rPr>
          <w:rFonts w:cstheme="majorBidi"/>
          <w:b/>
          <w:bCs/>
          <w:color w:val="000000"/>
          <w:sz w:val="22"/>
          <w:u w:val="single"/>
        </w:rPr>
        <w:t>21</w:t>
      </w:r>
      <w:r w:rsidRPr="00E2052F">
        <w:rPr>
          <w:rFonts w:cstheme="majorBidi"/>
          <w:b/>
          <w:bCs/>
          <w:color w:val="000000"/>
          <w:sz w:val="22"/>
          <w:u w:val="single"/>
        </w:rPr>
        <w:t> :</w:t>
      </w:r>
      <w:r w:rsidRPr="00E2052F">
        <w:rPr>
          <w:rFonts w:cstheme="majorBidi"/>
          <w:b/>
          <w:bCs/>
          <w:color w:val="000000"/>
          <w:sz w:val="22"/>
        </w:rPr>
        <w:t xml:space="preserve"> </w:t>
      </w:r>
      <w:r w:rsidR="006740A8" w:rsidRPr="00F562CA">
        <w:rPr>
          <w:rFonts w:cstheme="majorBidi"/>
          <w:b/>
          <w:bCs/>
          <w:sz w:val="22"/>
        </w:rPr>
        <w:t>Analyse descriptive des données de l’axe la préservation des droits des actionnaires.</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961"/>
        <w:gridCol w:w="1078"/>
        <w:gridCol w:w="694"/>
        <w:gridCol w:w="564"/>
        <w:gridCol w:w="1559"/>
        <w:gridCol w:w="1418"/>
        <w:gridCol w:w="1847"/>
      </w:tblGrid>
      <w:tr w:rsidR="00086FF4" w:rsidRPr="00E2052F" w14:paraId="4C165E9A" w14:textId="77777777" w:rsidTr="00842A2D">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891DB95"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EA1BC71"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DC728AC"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701E6E"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3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44C5AE6"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047E3A0"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3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0F44234"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80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59C6689"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086FF4" w:rsidRPr="00E2052F" w14:paraId="27AA7B00"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1380E2B"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844164"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4.29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D74E5"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0.826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0A275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27.108</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933C20"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76481B"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B8FB4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8D2AA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086FF4" w:rsidRPr="00E2052F" w14:paraId="294F7F8C"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23D6E2A"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B81FD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A9779B"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0.743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5E579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26.895</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5407D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BE7D5B"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DBDE67"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0072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1B0B94D2"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9DCD48E"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D33C5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BF30B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0.671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BBFB01"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28.142</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98FCC6"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26269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A3A04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48EF2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3276FEF7"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658F41D"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99BC60"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DC7F6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0.662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113631"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31.847</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58B51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29060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D93B5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C68206"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086FF4" w:rsidRPr="00E2052F" w14:paraId="1AEBEFDE"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A201AF5"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B6D895"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3.94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9FB314"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0.774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A5F623"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21.047</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E0578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8AECC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AB39A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CEC86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5BB3EF29"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85DCB3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b/>
                <w:bCs/>
                <w:color w:val="000000"/>
                <w:sz w:val="22"/>
              </w:rPr>
              <w:lastRenderedPageBreak/>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493C2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9612E4"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0.663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5F8395"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27.028</w:t>
            </w:r>
          </w:p>
        </w:tc>
        <w:tc>
          <w:tcPr>
            <w:tcW w:w="5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479AF0"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0F985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533EEF" w14:textId="77777777" w:rsidR="00086FF4" w:rsidRPr="00E2052F" w:rsidRDefault="00086FF4" w:rsidP="002B603A">
            <w:pPr>
              <w:spacing w:before="0" w:beforeAutospacing="0"/>
              <w:jc w:val="center"/>
              <w:rPr>
                <w:rFonts w:cstheme="majorBidi"/>
                <w:color w:val="000000"/>
                <w:sz w:val="22"/>
              </w:rPr>
            </w:pPr>
            <w:r w:rsidRPr="00E2052F">
              <w:rPr>
                <w:rFonts w:cstheme="majorBidi"/>
                <w:color w:val="000000"/>
                <w:sz w:val="22"/>
              </w:rPr>
              <w:t>—</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A212B1"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bl>
    <w:p w14:paraId="20EAD016" w14:textId="50232F9E" w:rsidR="00086FF4" w:rsidRPr="00E2052F" w:rsidRDefault="00086FF4" w:rsidP="002B603A">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6B3DADD0"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3841EBE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moyennes arithmétiques des réponses varient entre 3,94 et 4,29.</w:t>
      </w:r>
    </w:p>
    <w:p w14:paraId="54034FE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27,108, supérieure à la valeur t tabulaire estimée à 1,97, et un niveau de signification de 0,000 inférieur à 0,05. Cela signifie que l’expression est positive, indiquant que les membres de l’échantillon sont tout à fait d’accord avec le contenu de cette affirmation.</w:t>
      </w:r>
    </w:p>
    <w:p w14:paraId="1E1C8AF0"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(04), avec une valeur t calculée de 31,847, supérieure à la valeur t tabulaire de 1,97, et un niveau de signification de 0,000 inférieur à 0,05. Cela signifie que l’expression est positive, ce qui traduit un niveau d’accord très élevé des répondants.</w:t>
      </w:r>
    </w:p>
    <w:p w14:paraId="480ADA00"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 troisième position vient la formule (02), avec une valeur t calculée de 26,895, supérieure à la valeur t tabulaire de 1,97, et un niveau de signification de 0,000 inférieur à 0,05. Cela signifie que l’expression est positive, indiquant un accord des répondants envers cette affirmation.</w:t>
      </w:r>
    </w:p>
    <w:p w14:paraId="635A106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(03), avec une valeur t calculée de 28,142, supérieure à la valeur t tabulaire de 1,97, et un niveau de signification de 0,000 inférieur à 0,05. Cela signifie que l’expression est positive, traduisant un niveau d’accord élevé.</w:t>
      </w:r>
    </w:p>
    <w:p w14:paraId="113460E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Enfin, la formule (05) arrive en dernière position, avec une valeur t calculée de 21,047, supérieure à la valeur t tabulaire de 1,97, et un niveau de signification de 0,000 inférieur à 0,05. Cela signifie que l’expression est positive, indiquant que les répondants sont d’accord avec cette affirmation, malgré un niveau légèrement inférieur aux autres.</w:t>
      </w:r>
    </w:p>
    <w:p w14:paraId="2175CF0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2 est de 4,14 avec un écart type de 0,663, ce qui reflète </w:t>
      </w:r>
      <w:r w:rsidRPr="00E2052F">
        <w:rPr>
          <w:rFonts w:cstheme="majorBidi"/>
          <w:b/>
          <w:bCs/>
          <w:color w:val="000000"/>
          <w:sz w:val="22"/>
        </w:rPr>
        <w:t>un niveau d'accord élevé</w:t>
      </w:r>
      <w:r w:rsidRPr="00E2052F">
        <w:rPr>
          <w:rFonts w:cstheme="majorBidi"/>
          <w:color w:val="000000"/>
          <w:sz w:val="22"/>
        </w:rPr>
        <w:t xml:space="preserve"> concernant la préservation des droits des actionnaires.</w:t>
      </w:r>
      <w:r w:rsidRPr="00E2052F">
        <w:rPr>
          <w:rFonts w:cstheme="majorBidi"/>
          <w:color w:val="000000"/>
          <w:sz w:val="22"/>
        </w:rPr>
        <w:tab/>
      </w:r>
    </w:p>
    <w:p w14:paraId="3F938B2B"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Les valeurs de t varient entre 21,047 et 31,847, avec ddl = 299 et Sig. = 0,000 pour tous les énoncés. Les répondants sont en accord avec la préservation des droits des actionnaires. Le t le plus élevé (31,847) concerne </w:t>
      </w:r>
      <w:r w:rsidRPr="00E2052F">
        <w:rPr>
          <w:rFonts w:cstheme="majorBidi"/>
          <w:b/>
          <w:bCs/>
          <w:color w:val="000000"/>
          <w:sz w:val="22"/>
        </w:rPr>
        <w:t>"Les actionnaires peuvent exprimer librement leurs préoccupations concernant la gestion "</w:t>
      </w:r>
      <w:r w:rsidRPr="00E2052F">
        <w:rPr>
          <w:rFonts w:cstheme="majorBidi"/>
          <w:color w:val="000000"/>
          <w:sz w:val="22"/>
        </w:rPr>
        <w:t>, ce qui montre un accord très fort, ce qui confirme la cohérence et la pertinence des éléments analysés.</w:t>
      </w:r>
    </w:p>
    <w:p w14:paraId="1A4ECBBD"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705" w:name="_Toc229156012"/>
      <w:bookmarkStart w:id="1706" w:name="_Toc231747010"/>
      <w:bookmarkStart w:id="1707" w:name="_Toc231752416"/>
      <w:bookmarkStart w:id="1708" w:name="_Toc231810719"/>
      <w:bookmarkStart w:id="1709" w:name="_Toc231812062"/>
      <w:bookmarkStart w:id="1710" w:name="_Toc231812340"/>
      <w:bookmarkStart w:id="1711" w:name="_Toc231815224"/>
      <w:r w:rsidRPr="00E2052F">
        <w:rPr>
          <w:rFonts w:asciiTheme="majorBidi" w:hAnsiTheme="majorBidi"/>
          <w:i w:val="0"/>
          <w:iCs w:val="0"/>
          <w:color w:val="auto"/>
          <w:sz w:val="22"/>
        </w:rPr>
        <w:lastRenderedPageBreak/>
        <w:t>Analyse du deuxième axe concernant la dimension du traitement équitable des actionnaires :</w:t>
      </w:r>
      <w:bookmarkEnd w:id="1705"/>
      <w:bookmarkEnd w:id="1706"/>
      <w:bookmarkEnd w:id="1707"/>
      <w:bookmarkEnd w:id="1708"/>
      <w:bookmarkEnd w:id="1709"/>
      <w:bookmarkEnd w:id="1710"/>
      <w:bookmarkEnd w:id="1711"/>
    </w:p>
    <w:p w14:paraId="5BEAC057" w14:textId="77777777" w:rsidR="00086FF4" w:rsidRPr="00F562CA" w:rsidRDefault="00086FF4" w:rsidP="00D23BF3">
      <w:pPr>
        <w:spacing w:before="0" w:beforeAutospacing="0"/>
        <w:rPr>
          <w:rFonts w:cstheme="majorBidi"/>
          <w:b/>
          <w:bCs/>
          <w:color w:val="000000"/>
          <w:sz w:val="22"/>
        </w:rPr>
      </w:pPr>
      <w:r w:rsidRPr="00E2052F">
        <w:rPr>
          <w:rFonts w:cstheme="majorBidi"/>
          <w:b/>
          <w:bCs/>
          <w:color w:val="000000"/>
          <w:sz w:val="22"/>
          <w:u w:val="single"/>
        </w:rPr>
        <w:t>Tableau</w:t>
      </w:r>
      <w:r w:rsidR="00B541F4" w:rsidRPr="00E2052F">
        <w:rPr>
          <w:rFonts w:cstheme="majorBidi"/>
          <w:b/>
          <w:bCs/>
          <w:color w:val="000000"/>
          <w:sz w:val="22"/>
          <w:u w:val="single"/>
        </w:rPr>
        <w:t xml:space="preserve"> 22</w:t>
      </w:r>
      <w:r w:rsidRPr="00E2052F">
        <w:rPr>
          <w:rFonts w:cstheme="majorBidi"/>
          <w:b/>
          <w:bCs/>
          <w:color w:val="000000"/>
          <w:sz w:val="22"/>
          <w:u w:val="single"/>
        </w:rPr>
        <w:t> :</w:t>
      </w:r>
      <w:r w:rsidRPr="00E2052F">
        <w:rPr>
          <w:rFonts w:cstheme="majorBidi"/>
          <w:b/>
          <w:bCs/>
          <w:color w:val="000000"/>
          <w:sz w:val="22"/>
        </w:rPr>
        <w:t xml:space="preserve"> </w:t>
      </w:r>
      <w:r w:rsidR="006740A8" w:rsidRPr="00F562CA">
        <w:rPr>
          <w:rFonts w:cstheme="majorBidi"/>
          <w:b/>
          <w:bCs/>
          <w:sz w:val="22"/>
        </w:rPr>
        <w:t xml:space="preserve">Analyse descriptive des données de l’axe </w:t>
      </w:r>
      <w:r w:rsidR="00B541F4" w:rsidRPr="00F562CA">
        <w:rPr>
          <w:rFonts w:cstheme="majorBidi"/>
          <w:b/>
          <w:bCs/>
          <w:sz w:val="22"/>
        </w:rPr>
        <w:t>le traitement équitable des actionnaires.</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85"/>
        <w:gridCol w:w="709"/>
        <w:gridCol w:w="537"/>
        <w:gridCol w:w="1559"/>
        <w:gridCol w:w="1352"/>
        <w:gridCol w:w="1943"/>
      </w:tblGrid>
      <w:tr w:rsidR="00086FF4" w:rsidRPr="00E2052F" w14:paraId="2239A07D" w14:textId="77777777" w:rsidTr="00842A2D">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7E1A9AA"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736B35B"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105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88B604E"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5FA7DA7"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0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5B37066"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FEBAEED"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32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FA2AAF1"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89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E84A84E"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086FF4" w:rsidRPr="00E2052F" w14:paraId="0B183E5D"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7CEA152"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0F8C5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4.17</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871536"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0.778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456FF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26.121</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E61FAB"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59A60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3629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1</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2AF57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086FF4" w:rsidRPr="00E2052F" w14:paraId="3A724A71"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C1D1EA0"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2CA1C1"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4.06</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46382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0.731</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E56EEF"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25.193</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DDB25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0FCCE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34D28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3</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E1ED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1DA2F591"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D9EA233"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C14D80"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4.03</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C71292"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0.751</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205A8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23.749</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3DF80A"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6148EF"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37E69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964A0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32B1AC00"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FB37B4B"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8DA7E3"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4.03</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6E9FC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0.805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F4A04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22.088</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B5E82F"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9940D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597C5B"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5</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047963"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687CCAE6"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5203817" w14:textId="77777777" w:rsidR="00086FF4" w:rsidRPr="00E2052F" w:rsidRDefault="00086FF4" w:rsidP="002B603A">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14BE1F"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4.11</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CE7717"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0.673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BB804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28.573</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35E6B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E18F30"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3F1CE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456693"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7937E393" w14:textId="77777777" w:rsidTr="00842A2D">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680CDEC"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688D94"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4.08</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0C657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0.690</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9D8C59"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25.145</w:t>
            </w:r>
          </w:p>
        </w:tc>
        <w:tc>
          <w:tcPr>
            <w:tcW w:w="5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1E37C8"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4EBA76"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0.000</w:t>
            </w:r>
          </w:p>
        </w:tc>
        <w:tc>
          <w:tcPr>
            <w:tcW w:w="13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5433A8" w14:textId="77777777" w:rsidR="00086FF4" w:rsidRPr="00E2052F" w:rsidRDefault="00086FF4" w:rsidP="002B603A">
            <w:pPr>
              <w:spacing w:before="0" w:beforeAutospacing="0"/>
              <w:jc w:val="center"/>
              <w:rPr>
                <w:rFonts w:cstheme="majorBidi"/>
                <w:color w:val="000000"/>
                <w:sz w:val="22"/>
              </w:rPr>
            </w:pPr>
            <w:r w:rsidRPr="00E2052F">
              <w:rPr>
                <w:rFonts w:cstheme="majorBidi"/>
                <w:color w:val="000000"/>
                <w:sz w:val="22"/>
              </w:rPr>
              <w:t>—</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4E985D" w14:textId="77777777" w:rsidR="00086FF4" w:rsidRPr="00E2052F" w:rsidRDefault="00086FF4" w:rsidP="002B603A">
            <w:pPr>
              <w:spacing w:before="0" w:beforeAutospacing="0"/>
              <w:ind w:firstLine="0"/>
              <w:jc w:val="center"/>
              <w:rPr>
                <w:rFonts w:cstheme="majorBidi"/>
                <w:color w:val="000000"/>
                <w:sz w:val="22"/>
              </w:rPr>
            </w:pPr>
            <w:r w:rsidRPr="00E2052F">
              <w:rPr>
                <w:rFonts w:cstheme="majorBidi"/>
                <w:color w:val="000000"/>
                <w:sz w:val="22"/>
              </w:rPr>
              <w:t>D’accord</w:t>
            </w:r>
          </w:p>
        </w:tc>
      </w:tr>
    </w:tbl>
    <w:p w14:paraId="70227CA8" w14:textId="6F959BE7" w:rsidR="00086FF4" w:rsidRPr="00E2052F" w:rsidRDefault="00086FF4" w:rsidP="00842A2D">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76152C5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25531AC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moyennes arithmétiques des réponses varient entre 4,03 et 4,17.</w:t>
      </w:r>
    </w:p>
    <w:p w14:paraId="003783B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26,121, supérieure à la valeur t tabulaire estimée à 1,97, et un niveau de signification de 0,000 inférieur à 0,05. Cela signifie que l’expression est positive, indiquant que les membres de l’échantillon sont tout à fait d’accord avec cette affirmation.</w:t>
      </w:r>
    </w:p>
    <w:p w14:paraId="6CC5A0A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(05), avec une valeur t calculée de 28,573, supérieure à la valeur t tabulaire de 1,97, et un niveau de signification de 0,000 inférieur à 0,05. Cela signifie que l’expression est positive, traduisant un accord élevé des répondants.</w:t>
      </w:r>
    </w:p>
    <w:p w14:paraId="74B1334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 troisième position vient la formule (02), avec une valeur t calculée de 25,193, supérieure à la valeur t tabulaire de 1,97, et un niveau de signification de 0,000 inférieur à 0,05. Cela signifie que l’expression est positive, indiquant un accord des répondants envers cette affirmation.</w:t>
      </w:r>
    </w:p>
    <w:p w14:paraId="4D0A43A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(03), avec une valeur t calculée de 23,749, supérieure à la valeur t tabulaire de 1,97, et un niveau de signification de 0,000 inférieur à 0,05. Cela signifie que l’expression est positive, traduisant un niveau d’accord élevé.</w:t>
      </w:r>
    </w:p>
    <w:p w14:paraId="1DD325E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Enfin, la formule (04) arrive en dernière position, avec une valeur t calculée de 22,088, supérieure à la valeur t tabulaire de 1,97, et un niveau de signification de 0,000 inférieur à 0,05. Cela signifie que </w:t>
      </w:r>
      <w:r w:rsidRPr="00E2052F">
        <w:rPr>
          <w:rFonts w:cstheme="majorBidi"/>
          <w:color w:val="000000"/>
          <w:sz w:val="22"/>
        </w:rPr>
        <w:lastRenderedPageBreak/>
        <w:t>l’expression est positive, indiquant que les répondants sont d’accord avec cette affirmation, mais à un degré relativement moins élevé que les autres.</w:t>
      </w:r>
    </w:p>
    <w:p w14:paraId="4862EC6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3 est de 4,08 avec un écart type de 0,690, ce qui reflète </w:t>
      </w:r>
      <w:r w:rsidRPr="00E2052F">
        <w:rPr>
          <w:rFonts w:cstheme="majorBidi"/>
          <w:b/>
          <w:bCs/>
          <w:color w:val="000000"/>
          <w:sz w:val="22"/>
        </w:rPr>
        <w:t xml:space="preserve">un niveau d'accord élevé </w:t>
      </w:r>
      <w:r w:rsidRPr="00E2052F">
        <w:rPr>
          <w:rFonts w:cstheme="majorBidi"/>
          <w:color w:val="000000"/>
          <w:sz w:val="22"/>
        </w:rPr>
        <w:t>concernant le traitement équitable des actionnaires.</w:t>
      </w:r>
    </w:p>
    <w:p w14:paraId="16134C0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Les valeurs de t sont comprises entre 22,088 et 28,573, avec ddl = 299 et Sig. = 0,000 pour tous les énoncés. Les répondants valident le traitement équitable des actionnaires. Le t le plus élevé (28,573) concerne </w:t>
      </w:r>
      <w:r w:rsidRPr="00E2052F">
        <w:rPr>
          <w:rFonts w:cstheme="majorBidi"/>
          <w:b/>
          <w:bCs/>
          <w:color w:val="000000"/>
          <w:sz w:val="22"/>
        </w:rPr>
        <w:t xml:space="preserve">"Les règles de gouvernance doivent garantir une communication simultanée et équitable de toute information susceptible d’influencer les décisions d’investissement ", </w:t>
      </w:r>
      <w:r w:rsidRPr="00E2052F">
        <w:rPr>
          <w:rFonts w:cstheme="majorBidi"/>
          <w:color w:val="000000"/>
          <w:sz w:val="22"/>
        </w:rPr>
        <w:t>ce qui confirme la perception positive des éléments analysés.</w:t>
      </w:r>
    </w:p>
    <w:p w14:paraId="7D58C657"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712" w:name="_Toc229156013"/>
      <w:bookmarkStart w:id="1713" w:name="_Toc231747011"/>
      <w:bookmarkStart w:id="1714" w:name="_Toc231752417"/>
      <w:bookmarkStart w:id="1715" w:name="_Toc231810720"/>
      <w:bookmarkStart w:id="1716" w:name="_Toc231812063"/>
      <w:bookmarkStart w:id="1717" w:name="_Toc231812341"/>
      <w:bookmarkStart w:id="1718" w:name="_Toc231815225"/>
      <w:r w:rsidRPr="00E2052F">
        <w:rPr>
          <w:rFonts w:asciiTheme="majorBidi" w:hAnsiTheme="majorBidi"/>
          <w:i w:val="0"/>
          <w:iCs w:val="0"/>
          <w:color w:val="auto"/>
          <w:sz w:val="22"/>
        </w:rPr>
        <w:t>Analyse du deuxième axe concernant la dimension du rôle des parties prenantes :</w:t>
      </w:r>
      <w:bookmarkEnd w:id="1712"/>
      <w:bookmarkEnd w:id="1713"/>
      <w:bookmarkEnd w:id="1714"/>
      <w:bookmarkEnd w:id="1715"/>
      <w:bookmarkEnd w:id="1716"/>
      <w:bookmarkEnd w:id="1717"/>
      <w:bookmarkEnd w:id="1718"/>
    </w:p>
    <w:p w14:paraId="51BDE5F9" w14:textId="77777777" w:rsidR="00B541F4" w:rsidRPr="00E2052F" w:rsidRDefault="00086FF4" w:rsidP="00D23BF3">
      <w:pPr>
        <w:spacing w:before="0" w:beforeAutospacing="0"/>
        <w:rPr>
          <w:rFonts w:cstheme="majorBidi"/>
          <w:color w:val="000000"/>
          <w:sz w:val="22"/>
        </w:rPr>
      </w:pPr>
      <w:r w:rsidRPr="00E2052F">
        <w:rPr>
          <w:rFonts w:cstheme="majorBidi"/>
          <w:b/>
          <w:bCs/>
          <w:color w:val="000000"/>
          <w:sz w:val="22"/>
          <w:u w:val="single"/>
        </w:rPr>
        <w:t>Tableau</w:t>
      </w:r>
      <w:r w:rsidR="00B541F4" w:rsidRPr="00E2052F">
        <w:rPr>
          <w:rFonts w:cstheme="majorBidi"/>
          <w:b/>
          <w:bCs/>
          <w:color w:val="000000"/>
          <w:sz w:val="22"/>
          <w:u w:val="single"/>
        </w:rPr>
        <w:t xml:space="preserve"> 23 </w:t>
      </w:r>
      <w:r w:rsidRPr="00E2052F">
        <w:rPr>
          <w:rFonts w:cstheme="majorBidi"/>
          <w:b/>
          <w:bCs/>
          <w:color w:val="000000"/>
          <w:sz w:val="22"/>
          <w:u w:val="single"/>
        </w:rPr>
        <w:t>:</w:t>
      </w:r>
      <w:r w:rsidRPr="00E2052F">
        <w:rPr>
          <w:rFonts w:cstheme="majorBidi"/>
          <w:b/>
          <w:bCs/>
          <w:color w:val="000000"/>
          <w:sz w:val="22"/>
        </w:rPr>
        <w:t xml:space="preserve"> </w:t>
      </w:r>
      <w:r w:rsidR="00B541F4" w:rsidRPr="00F562CA">
        <w:rPr>
          <w:rFonts w:cstheme="majorBidi"/>
          <w:b/>
          <w:bCs/>
          <w:sz w:val="22"/>
        </w:rPr>
        <w:t>Analyse descriptive des données de l’axe le rôle des parties prenantes.</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978"/>
        <w:gridCol w:w="1098"/>
        <w:gridCol w:w="706"/>
        <w:gridCol w:w="436"/>
        <w:gridCol w:w="1596"/>
        <w:gridCol w:w="1395"/>
        <w:gridCol w:w="1894"/>
      </w:tblGrid>
      <w:tr w:rsidR="00086FF4" w:rsidRPr="00E2052F" w14:paraId="407959AE" w14:textId="77777777" w:rsidTr="00B679BA">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D2C70B9"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CED5F4C"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96DA447"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E43FE13"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1770747"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E5F09AF"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F033EB6"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A89B889"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086FF4" w:rsidRPr="00E2052F" w14:paraId="01B1F154"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A722FFF"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A7FD9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B7526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0.760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E22CF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30.857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E4B662"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35AA9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DE264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6FD10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086FF4" w:rsidRPr="00E2052F" w14:paraId="21332460"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283CE74"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93EEB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38CFC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0.794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879FB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18.114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081A6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EAE91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FC1BB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C06D6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7AF38A49"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20743D4"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1E46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63E25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EFE44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27.757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1621A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151E85"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07F8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6A16A5"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068B7DCC"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0D0442"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694DF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E1C00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915DB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34.647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C5B2D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69B44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35ABA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0832A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086FF4" w:rsidRPr="00E2052F" w14:paraId="4951C8FA"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065A1C6"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FBF847"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70A357"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3741D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31.159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E6552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5CECD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F5E43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4201F4"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086FF4" w:rsidRPr="00E2052F" w14:paraId="6832BD3E" w14:textId="77777777" w:rsidTr="00B679B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19808C4" w14:textId="77777777" w:rsidR="00086FF4" w:rsidRPr="00E2052F" w:rsidRDefault="00086FF4" w:rsidP="007131E3">
            <w:pPr>
              <w:spacing w:before="0" w:beforeAutospacing="0"/>
              <w:jc w:val="center"/>
              <w:rPr>
                <w:rFonts w:cstheme="majorBidi"/>
                <w:b/>
                <w:bCs/>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95414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F57D0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CB7A8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28.507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27300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69765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EE01F5" w14:textId="77777777" w:rsidR="00086FF4" w:rsidRPr="00E2052F" w:rsidRDefault="00086FF4" w:rsidP="007131E3">
            <w:pPr>
              <w:spacing w:before="0" w:beforeAutospacing="0"/>
              <w:jc w:val="center"/>
              <w:rPr>
                <w:rFonts w:cstheme="majorBidi"/>
                <w:color w:val="000000"/>
                <w:sz w:val="22"/>
              </w:rPr>
            </w:pPr>
            <w:r w:rsidRPr="00E2052F">
              <w:rPr>
                <w:rFonts w:cstheme="majorBidi"/>
                <w:color w:val="000000"/>
                <w:sz w:val="22"/>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CDF4B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bl>
    <w:p w14:paraId="7D92D168" w14:textId="4030B593" w:rsidR="00086FF4" w:rsidRPr="00E2052F" w:rsidRDefault="00086FF4" w:rsidP="007131E3">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0478737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1BF2C9F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moyennes arithmétiques des réponses varient entre 3,83 et 4,35.</w:t>
      </w:r>
    </w:p>
    <w:p w14:paraId="4C3BD15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30,857, supérieure à la valeur t tabulaire estimée à 1,97, et un niveau de signification de 0,000 inférieur à 0,05. Cela signifie que l’expression est positive, indiquant que les membres de l’échantillon sont tout à fait d’accord avec cette affirmation.</w:t>
      </w:r>
    </w:p>
    <w:p w14:paraId="2DDBD08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(04), avec une valeur t calculée de 34,647, supérieure à la valeur t tabulaire de 1,97, et un niveau de signification de 0,000 inférieur à 0,05. Cela signifie que l’expression est positive, traduisant un niveau d’accord très élevé des répondants.</w:t>
      </w:r>
    </w:p>
    <w:p w14:paraId="64DC7D0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En troisième position vient la formule (05), avec une valeur t calculée de 31,159, supérieure à la valeur t tabulaire de 1,97, et un niveau de signification de 0,000 inférieur à 0,05. Cela signifie que l’expression est positive, indiquant un accord élevé des répondants.</w:t>
      </w:r>
    </w:p>
    <w:p w14:paraId="79B62EAA"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(03), avec une valeur t calculée de 27,757, supérieure à la valeur t tabulaire de 1,97, et un niveau de signification de 0,000 inférieur à 0,05. Cela signifie que l’expression est positive, traduisant un niveau d’accord élevé.</w:t>
      </w:r>
    </w:p>
    <w:p w14:paraId="5D2932E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Enfin, la formule (02) arrive en dernière position, avec une valeur t calculée de 18,114, supérieure à la valeur t tabulaire de 1,97, et un niveau de signification de 0,000 inférieur à 0,05. Cela signifie que l’expression est positive, indiquant que les répondants sont d’accord avec cette affirmation, mais à un niveau relativement plus faible que les autres.</w:t>
      </w:r>
    </w:p>
    <w:p w14:paraId="1091DD2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4 est de 4,14 avec un écart type de 0,637, ce qui reflète </w:t>
      </w:r>
      <w:r w:rsidRPr="00E2052F">
        <w:rPr>
          <w:rFonts w:cstheme="majorBidi"/>
          <w:b/>
          <w:bCs/>
          <w:color w:val="000000"/>
          <w:sz w:val="22"/>
        </w:rPr>
        <w:t>un niveau d'accord élevé</w:t>
      </w:r>
      <w:r w:rsidRPr="00E2052F">
        <w:rPr>
          <w:rFonts w:cstheme="majorBidi"/>
          <w:color w:val="000000"/>
          <w:sz w:val="22"/>
        </w:rPr>
        <w:t xml:space="preserve"> concernant le rôle des parties prenantes.</w:t>
      </w:r>
    </w:p>
    <w:p w14:paraId="46DDB480"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Les valeurs de t vont de 18,114 à 34,647, avec ddl = 299 et Sig. = 0,000 pour tous les énoncés. C'est l'axe qui a la valeur t la plus élevée de toute l'étude (34,647 pour </w:t>
      </w:r>
      <w:r w:rsidRPr="00E2052F">
        <w:rPr>
          <w:rFonts w:cstheme="majorBidi"/>
          <w:b/>
          <w:bCs/>
          <w:color w:val="000000"/>
          <w:sz w:val="22"/>
        </w:rPr>
        <w:t xml:space="preserve">"Les dispositifs d’accès à l’information permettent aux parties prenantes d’exercer un rôle éclairé dans l’évaluation des performances de TAYAL", </w:t>
      </w:r>
      <w:r w:rsidRPr="00E2052F">
        <w:rPr>
          <w:rFonts w:cstheme="majorBidi"/>
          <w:color w:val="000000"/>
          <w:sz w:val="22"/>
        </w:rPr>
        <w:t>ce qui confirme la perception positive des éléments analysés.</w:t>
      </w:r>
    </w:p>
    <w:p w14:paraId="42626718"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719" w:name="_Toc229156014"/>
      <w:bookmarkStart w:id="1720" w:name="_Toc231747012"/>
      <w:bookmarkStart w:id="1721" w:name="_Toc231752418"/>
      <w:bookmarkStart w:id="1722" w:name="_Toc231810721"/>
      <w:bookmarkStart w:id="1723" w:name="_Toc231812064"/>
      <w:bookmarkStart w:id="1724" w:name="_Toc231812342"/>
      <w:bookmarkStart w:id="1725" w:name="_Toc231815226"/>
      <w:r w:rsidRPr="00E2052F">
        <w:rPr>
          <w:rFonts w:asciiTheme="majorBidi" w:hAnsiTheme="majorBidi"/>
          <w:i w:val="0"/>
          <w:iCs w:val="0"/>
          <w:color w:val="auto"/>
          <w:sz w:val="22"/>
        </w:rPr>
        <w:t>Analyse du deuxième axe concernant la dimension du la transparence et la divulgation :</w:t>
      </w:r>
      <w:bookmarkEnd w:id="1719"/>
      <w:bookmarkEnd w:id="1720"/>
      <w:bookmarkEnd w:id="1721"/>
      <w:bookmarkEnd w:id="1722"/>
      <w:bookmarkEnd w:id="1723"/>
      <w:bookmarkEnd w:id="1724"/>
      <w:bookmarkEnd w:id="1725"/>
    </w:p>
    <w:p w14:paraId="5419E054" w14:textId="77777777" w:rsidR="00B541F4" w:rsidRPr="00E2052F" w:rsidRDefault="00B541F4" w:rsidP="00D23BF3">
      <w:pPr>
        <w:spacing w:before="0" w:beforeAutospacing="0"/>
        <w:rPr>
          <w:rFonts w:cstheme="majorBidi"/>
          <w:color w:val="000000"/>
          <w:sz w:val="22"/>
        </w:rPr>
      </w:pPr>
      <w:r w:rsidRPr="00E2052F">
        <w:rPr>
          <w:rFonts w:cstheme="majorBidi"/>
          <w:b/>
          <w:bCs/>
          <w:color w:val="000000"/>
          <w:sz w:val="22"/>
          <w:u w:val="single"/>
        </w:rPr>
        <w:t xml:space="preserve">Tableau 24 </w:t>
      </w:r>
      <w:r w:rsidR="00086FF4" w:rsidRPr="00E2052F">
        <w:rPr>
          <w:rFonts w:cstheme="majorBidi"/>
          <w:b/>
          <w:bCs/>
          <w:color w:val="000000"/>
          <w:sz w:val="22"/>
          <w:u w:val="single"/>
        </w:rPr>
        <w:t>:</w:t>
      </w:r>
      <w:r w:rsidR="00086FF4" w:rsidRPr="00E2052F">
        <w:rPr>
          <w:rFonts w:cstheme="majorBidi"/>
          <w:b/>
          <w:bCs/>
          <w:color w:val="000000"/>
          <w:sz w:val="22"/>
        </w:rPr>
        <w:t xml:space="preserve"> </w:t>
      </w:r>
      <w:r w:rsidRPr="007530A6">
        <w:rPr>
          <w:rFonts w:cstheme="majorBidi"/>
          <w:b/>
          <w:bCs/>
          <w:sz w:val="22"/>
        </w:rPr>
        <w:t>Analyse descriptive des données de l’axe la transparence et la divulgation.</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85"/>
        <w:gridCol w:w="851"/>
        <w:gridCol w:w="567"/>
        <w:gridCol w:w="1559"/>
        <w:gridCol w:w="1417"/>
        <w:gridCol w:w="1706"/>
      </w:tblGrid>
      <w:tr w:rsidR="007131E3" w:rsidRPr="00E2052F" w14:paraId="72336774" w14:textId="77777777" w:rsidTr="007530A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FBFE3D5"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F94631A"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105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AAADF0B"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82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83B99EB"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3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18C75A7"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8A8B18"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38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206E246"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66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D236702"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7131E3" w:rsidRPr="00E2052F" w14:paraId="1EFB231C"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914C208"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646E2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4.22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E3497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0.800</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86AFD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26.405</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15129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760C6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5DEE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1</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05DCF8" w14:textId="77777777" w:rsidR="00086FF4" w:rsidRPr="00E2052F" w:rsidRDefault="00842A2D" w:rsidP="00842A2D">
            <w:pPr>
              <w:spacing w:before="0" w:beforeAutospacing="0"/>
              <w:ind w:firstLine="0"/>
              <w:rPr>
                <w:rFonts w:cstheme="majorBidi"/>
                <w:color w:val="000000"/>
                <w:sz w:val="22"/>
              </w:rPr>
            </w:pPr>
            <w:r w:rsidRPr="00842A2D">
              <w:rPr>
                <w:rFonts w:cstheme="majorBidi"/>
                <w:color w:val="000000"/>
                <w:sz w:val="22"/>
              </w:rPr>
              <w:t>Tout à fait d’accord</w:t>
            </w:r>
            <w:r>
              <w:rPr>
                <w:rFonts w:cstheme="majorBidi"/>
                <w:color w:val="000000"/>
                <w:sz w:val="22"/>
              </w:rPr>
              <w:t>.</w:t>
            </w:r>
          </w:p>
        </w:tc>
      </w:tr>
      <w:tr w:rsidR="007131E3" w:rsidRPr="00E2052F" w14:paraId="261108E1"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37EBD52"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31A597"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AA718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0.693</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D2933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27.984</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67C91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9AD5F8"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0F57A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A32D64"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7131E3" w:rsidRPr="00E2052F" w14:paraId="550C1DFE"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68E7860"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ACF682"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3.92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79A7F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0.840</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2DF7F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18.904</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8F7A68"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7A4E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5ED3F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5</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689A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7131E3" w:rsidRPr="00E2052F" w14:paraId="4A36AE32"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CE76DF1"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719A2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4.17</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32CD3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0.695</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F6852E"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29.168</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5FE7E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50CA5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6E226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2B6E64" w14:textId="77777777" w:rsidR="00086FF4" w:rsidRPr="00E2052F" w:rsidRDefault="00086FF4" w:rsidP="007131E3">
            <w:pPr>
              <w:spacing w:before="0" w:beforeAutospacing="0"/>
              <w:jc w:val="center"/>
              <w:rPr>
                <w:rFonts w:cstheme="majorBidi"/>
                <w:color w:val="000000"/>
                <w:sz w:val="22"/>
              </w:rPr>
            </w:pPr>
            <w:r w:rsidRPr="00E2052F">
              <w:rPr>
                <w:rFonts w:cstheme="majorBidi"/>
                <w:color w:val="000000"/>
                <w:sz w:val="22"/>
              </w:rPr>
              <w:t>Tout à fait d’accord</w:t>
            </w:r>
          </w:p>
        </w:tc>
      </w:tr>
      <w:tr w:rsidR="007131E3" w:rsidRPr="00E2052F" w14:paraId="65C30F81"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EC59306"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A6255E"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4.16</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47F55"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0.655</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C5C735"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30.670</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78023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FAAAA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7200B2"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916455" w14:textId="77777777" w:rsidR="00086FF4" w:rsidRPr="00E2052F" w:rsidRDefault="00086FF4" w:rsidP="007131E3">
            <w:pPr>
              <w:spacing w:before="0" w:beforeAutospacing="0"/>
              <w:jc w:val="center"/>
              <w:rPr>
                <w:rFonts w:cstheme="majorBidi"/>
                <w:color w:val="000000"/>
                <w:sz w:val="22"/>
              </w:rPr>
            </w:pPr>
            <w:r w:rsidRPr="00E2052F">
              <w:rPr>
                <w:rFonts w:cstheme="majorBidi"/>
                <w:color w:val="000000"/>
                <w:sz w:val="22"/>
              </w:rPr>
              <w:t>Tout à fait d’accord</w:t>
            </w:r>
          </w:p>
        </w:tc>
      </w:tr>
      <w:tr w:rsidR="007131E3" w:rsidRPr="00E2052F" w14:paraId="28DB298B"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736C72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83876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EE3888"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0.681</w:t>
            </w:r>
          </w:p>
        </w:tc>
        <w:tc>
          <w:tcPr>
            <w:tcW w:w="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FBA98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26.646</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A2632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C285DE"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96600E"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w:t>
            </w:r>
          </w:p>
        </w:tc>
        <w:tc>
          <w:tcPr>
            <w:tcW w:w="16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EFBABA" w14:textId="77777777" w:rsidR="00086FF4" w:rsidRPr="00E2052F" w:rsidRDefault="00086FF4" w:rsidP="007131E3">
            <w:pPr>
              <w:spacing w:before="0" w:beforeAutospacing="0"/>
              <w:jc w:val="center"/>
              <w:rPr>
                <w:rFonts w:cstheme="majorBidi"/>
                <w:color w:val="000000"/>
                <w:sz w:val="22"/>
              </w:rPr>
            </w:pPr>
            <w:r w:rsidRPr="00E2052F">
              <w:rPr>
                <w:rFonts w:cstheme="majorBidi"/>
                <w:color w:val="000000"/>
                <w:sz w:val="22"/>
              </w:rPr>
              <w:t>D’accord</w:t>
            </w:r>
          </w:p>
        </w:tc>
      </w:tr>
    </w:tbl>
    <w:p w14:paraId="7AD58745" w14:textId="6371E5C3" w:rsidR="00086FF4" w:rsidRPr="00E2052F" w:rsidRDefault="00086FF4" w:rsidP="00B44E67">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Réalisé par nous-mêmes à partir d’E</w:t>
      </w:r>
      <w:r w:rsidR="00B44E67">
        <w:rPr>
          <w:rFonts w:cstheme="majorBidi"/>
          <w:color w:val="000000"/>
          <w:sz w:val="22"/>
        </w:rPr>
        <w:t>X</w:t>
      </w:r>
      <w:r w:rsidRPr="00E2052F">
        <w:rPr>
          <w:rFonts w:cstheme="majorBidi"/>
          <w:color w:val="000000"/>
          <w:sz w:val="22"/>
        </w:rPr>
        <w:t>CEL et SPSS v27.</w:t>
      </w:r>
    </w:p>
    <w:p w14:paraId="6CB350B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D'après les résultats du tableau précédent, nous pouvons voir que :</w:t>
      </w:r>
    </w:p>
    <w:p w14:paraId="362D2114" w14:textId="77777777" w:rsidR="00086FF4" w:rsidRPr="00E2052F" w:rsidRDefault="00086FF4" w:rsidP="007131E3">
      <w:pPr>
        <w:spacing w:before="0" w:beforeAutospacing="0"/>
        <w:rPr>
          <w:rFonts w:cstheme="majorBidi"/>
          <w:color w:val="000000"/>
          <w:sz w:val="22"/>
        </w:rPr>
      </w:pPr>
      <w:r w:rsidRPr="00E2052F">
        <w:rPr>
          <w:rFonts w:cstheme="majorBidi"/>
          <w:color w:val="000000"/>
          <w:sz w:val="22"/>
        </w:rPr>
        <w:t>Les moyennes arithmétiques des réponses varient entre 3,92 et 4,22.</w:t>
      </w:r>
    </w:p>
    <w:p w14:paraId="7C5ABB9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26,405, supérieure à la valeur t tabulaire estimée à 1,97, et un niveau de signification de 0,000 inférieur à 0,05. Cela signifie que l’expression est positive, indiquant que les membres de l’échantillon sont tout à fait d’accord avec cette affirmation.</w:t>
      </w:r>
    </w:p>
    <w:p w14:paraId="3FDB094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(04), avec une valeur t calculée de 29,168, supérieure à la valeur t tabulaire de 1,97, et un niveau de signification de 0,000 inférieur à 0,05. Cela signifie que l’expression est positive, traduisant un niveau d’accord très élevé des répondants.</w:t>
      </w:r>
    </w:p>
    <w:p w14:paraId="50FF29C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 troisième position vient la formule (05), avec une valeur t calculée de 30,670, supérieure à la valeur t tabulaire de 1,97, et un niveau de signification de 0,000 inférieur à 0,05. Cela signifie que l’expression est positive, indiquant un accord très élevé des répondants.</w:t>
      </w:r>
    </w:p>
    <w:p w14:paraId="67F29A59"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(02), avec une valeur t calculée de 27,984, supérieure à la valeur t tabulaire de 1,97, et un niveau de signification de 0,000 inférieur à 0,05. Cela signifie que l’expression est positive, traduisant un niveau d’accord élevé.</w:t>
      </w:r>
    </w:p>
    <w:p w14:paraId="6118271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Enfin, la formule (03) arrive en dernière position, avec une valeur t calculée de 18,904, supérieure à la valeur t tabulaire de 1,97, et un niveau de signification de 0,000 inférieur à 0,05. Cela signifie que l’expression est positive, indiquant que les répondants sont d’accord avec cette affirmation, mais à un degré relativement moins élevé que les autres.</w:t>
      </w:r>
    </w:p>
    <w:p w14:paraId="76A17B1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5 est de 4,12 avec un écart type de 0,681, ce qui reflète </w:t>
      </w:r>
      <w:r w:rsidRPr="00E2052F">
        <w:rPr>
          <w:rFonts w:cstheme="majorBidi"/>
          <w:b/>
          <w:bCs/>
          <w:color w:val="000000"/>
          <w:sz w:val="22"/>
        </w:rPr>
        <w:t>un niveau d'accord élevé</w:t>
      </w:r>
      <w:r w:rsidRPr="00E2052F">
        <w:rPr>
          <w:rFonts w:cstheme="majorBidi"/>
          <w:color w:val="000000"/>
          <w:sz w:val="22"/>
        </w:rPr>
        <w:t xml:space="preserve"> concernant la transparence et la divulgation.</w:t>
      </w:r>
    </w:p>
    <w:p w14:paraId="2BFD2A35"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valeurs de t sont comprises entre 18,904 et 30,670, avec ddl = 299 et Sig. = 0,000 pour tous les énoncés. Les répondants sont d’accord sur le fait que TAYAL pratique une bonne transparence. Le t le plus élevé (30,670) concerne "</w:t>
      </w:r>
      <w:r w:rsidRPr="00E2052F">
        <w:rPr>
          <w:rFonts w:cstheme="majorBidi"/>
          <w:b/>
          <w:bCs/>
          <w:color w:val="000000"/>
          <w:sz w:val="22"/>
        </w:rPr>
        <w:t xml:space="preserve">Les orientations stratégiques et les objectifs institutionnels de TAYAL sont formalisés et communiqués de manière transparente aux </w:t>
      </w:r>
      <w:r w:rsidR="00557590" w:rsidRPr="00E2052F">
        <w:rPr>
          <w:rFonts w:cstheme="majorBidi"/>
          <w:b/>
          <w:bCs/>
          <w:color w:val="000000"/>
          <w:sz w:val="22"/>
        </w:rPr>
        <w:t>actionnaires»</w:t>
      </w:r>
      <w:r w:rsidR="00557590" w:rsidRPr="00E2052F">
        <w:rPr>
          <w:rFonts w:cstheme="majorBidi"/>
          <w:color w:val="000000"/>
          <w:sz w:val="22"/>
        </w:rPr>
        <w:t>, ce</w:t>
      </w:r>
      <w:r w:rsidRPr="00E2052F">
        <w:rPr>
          <w:rFonts w:cstheme="majorBidi"/>
          <w:color w:val="000000"/>
          <w:sz w:val="22"/>
        </w:rPr>
        <w:t xml:space="preserve"> qui confirme la perception positive des éléments analysés.</w:t>
      </w:r>
    </w:p>
    <w:p w14:paraId="2A48F3EB" w14:textId="77777777" w:rsidR="00086FF4" w:rsidRPr="00E2052F" w:rsidRDefault="00086FF4" w:rsidP="00D61875">
      <w:pPr>
        <w:pStyle w:val="Titre4"/>
        <w:numPr>
          <w:ilvl w:val="0"/>
          <w:numId w:val="34"/>
        </w:numPr>
        <w:spacing w:before="0" w:beforeAutospacing="0" w:after="160"/>
        <w:ind w:hanging="720"/>
        <w:rPr>
          <w:rFonts w:asciiTheme="majorBidi" w:hAnsiTheme="majorBidi"/>
          <w:i w:val="0"/>
          <w:iCs w:val="0"/>
          <w:color w:val="auto"/>
          <w:sz w:val="22"/>
        </w:rPr>
      </w:pPr>
      <w:bookmarkStart w:id="1726" w:name="_Toc229156015"/>
      <w:bookmarkStart w:id="1727" w:name="_Toc231747013"/>
      <w:bookmarkStart w:id="1728" w:name="_Toc231752419"/>
      <w:bookmarkStart w:id="1729" w:name="_Toc231810722"/>
      <w:bookmarkStart w:id="1730" w:name="_Toc231812065"/>
      <w:bookmarkStart w:id="1731" w:name="_Toc231812343"/>
      <w:bookmarkStart w:id="1732" w:name="_Toc231815227"/>
      <w:r w:rsidRPr="00E2052F">
        <w:rPr>
          <w:rFonts w:asciiTheme="majorBidi" w:hAnsiTheme="majorBidi"/>
          <w:i w:val="0"/>
          <w:iCs w:val="0"/>
          <w:color w:val="auto"/>
          <w:sz w:val="22"/>
        </w:rPr>
        <w:t>Analyse du deuxième axe concernant la dimension du la responsabilité du conseil d’administration :</w:t>
      </w:r>
      <w:bookmarkEnd w:id="1726"/>
      <w:bookmarkEnd w:id="1727"/>
      <w:bookmarkEnd w:id="1728"/>
      <w:bookmarkEnd w:id="1729"/>
      <w:bookmarkEnd w:id="1730"/>
      <w:bookmarkEnd w:id="1731"/>
      <w:bookmarkEnd w:id="1732"/>
    </w:p>
    <w:p w14:paraId="4BC24ED8" w14:textId="77777777" w:rsidR="00B541F4" w:rsidRPr="00E2052F" w:rsidRDefault="00086FF4" w:rsidP="00D23BF3">
      <w:pPr>
        <w:spacing w:before="0" w:beforeAutospacing="0"/>
        <w:rPr>
          <w:rFonts w:cstheme="majorBidi"/>
          <w:color w:val="000000"/>
          <w:sz w:val="22"/>
        </w:rPr>
      </w:pPr>
      <w:r w:rsidRPr="00E2052F">
        <w:rPr>
          <w:rFonts w:cstheme="majorBidi"/>
          <w:b/>
          <w:bCs/>
          <w:color w:val="000000"/>
          <w:sz w:val="22"/>
          <w:u w:val="single"/>
        </w:rPr>
        <w:t xml:space="preserve">Tableau </w:t>
      </w:r>
      <w:r w:rsidR="00B541F4" w:rsidRPr="00E2052F">
        <w:rPr>
          <w:rFonts w:cstheme="majorBidi"/>
          <w:b/>
          <w:bCs/>
          <w:color w:val="000000"/>
          <w:sz w:val="22"/>
          <w:u w:val="single"/>
        </w:rPr>
        <w:t xml:space="preserve">25 </w:t>
      </w:r>
      <w:r w:rsidRPr="00E2052F">
        <w:rPr>
          <w:rFonts w:cstheme="majorBidi"/>
          <w:b/>
          <w:bCs/>
          <w:color w:val="000000"/>
          <w:sz w:val="22"/>
          <w:u w:val="single"/>
        </w:rPr>
        <w:t xml:space="preserve">: </w:t>
      </w:r>
      <w:r w:rsidR="00B541F4" w:rsidRPr="007530A6">
        <w:rPr>
          <w:rFonts w:cstheme="majorBidi"/>
          <w:b/>
          <w:bCs/>
          <w:sz w:val="22"/>
        </w:rPr>
        <w:t>Analyse descriptive des données de l’axe la responsabilité du conseil d’administration.</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85"/>
        <w:gridCol w:w="709"/>
        <w:gridCol w:w="567"/>
        <w:gridCol w:w="1559"/>
        <w:gridCol w:w="1418"/>
        <w:gridCol w:w="1847"/>
      </w:tblGrid>
      <w:tr w:rsidR="00C840A2" w:rsidRPr="00E2052F" w14:paraId="06E29F9F" w14:textId="77777777" w:rsidTr="007530A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8579174"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lastRenderedPageBreak/>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273F8F0"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105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621FB4F"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0B2E3A9"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3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9D49BB2"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C65B236"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3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472A473"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80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D1B99A8" w14:textId="77777777" w:rsidR="00086FF4" w:rsidRPr="00E2052F" w:rsidRDefault="00086FF4" w:rsidP="00C840A2">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C840A2" w:rsidRPr="00E2052F" w14:paraId="5913C855"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F124538"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F6407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4.28</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15291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0.823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D6593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26.941</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2917C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81F8B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308DD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BED58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C840A2" w:rsidRPr="00E2052F" w14:paraId="2394F375"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6F9489B"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63597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4.06</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6B3CE8"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0.703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0C8FF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26.196</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FB979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F4A4F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6ABC9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D2445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C840A2" w:rsidRPr="00E2052F" w14:paraId="4356CF25"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44CA347"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20911E"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4.09</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6BF9D4"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0.764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5BE9E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24.708</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28D2A8"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26300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0E4554"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8682D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C840A2" w:rsidRPr="00E2052F" w14:paraId="0318A79F"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4559222"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D429E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4.24</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5826A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0.686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CFED86"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31.307</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D7F62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A68F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6AAEA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BB9A3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C840A2" w:rsidRPr="00E2052F" w14:paraId="1A4B40B9"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3E33E99" w14:textId="77777777" w:rsidR="00086FF4" w:rsidRPr="00E2052F" w:rsidRDefault="00086FF4" w:rsidP="007131E3">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E56A7F"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4.15</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335EBB"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0.725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C6088C"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27.572</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42A9D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79914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C79FF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50D013"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r w:rsidR="00C840A2" w:rsidRPr="00E2052F" w14:paraId="650295EA" w14:textId="77777777" w:rsidTr="007530A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3FEBF30"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F9874D"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4.17</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C88044"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0.676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EDB51A"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27.345</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497EC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91C4C7"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36E561"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0A80F9" w14:textId="77777777" w:rsidR="00086FF4" w:rsidRPr="00E2052F" w:rsidRDefault="00086FF4" w:rsidP="007131E3">
            <w:pPr>
              <w:spacing w:before="0" w:beforeAutospacing="0"/>
              <w:ind w:firstLine="0"/>
              <w:jc w:val="center"/>
              <w:rPr>
                <w:rFonts w:cstheme="majorBidi"/>
                <w:color w:val="000000"/>
                <w:sz w:val="22"/>
              </w:rPr>
            </w:pPr>
            <w:r w:rsidRPr="00E2052F">
              <w:rPr>
                <w:rFonts w:cstheme="majorBidi"/>
                <w:color w:val="000000"/>
                <w:sz w:val="22"/>
              </w:rPr>
              <w:t>D’accord</w:t>
            </w:r>
          </w:p>
        </w:tc>
      </w:tr>
    </w:tbl>
    <w:p w14:paraId="2F3E1A76" w14:textId="38EB86C8" w:rsidR="00086FF4" w:rsidRPr="00E2052F" w:rsidRDefault="00086FF4" w:rsidP="007131E3">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7C89DC4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4FD4B7E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moyennes arithmétiques des réponses varient entre 4,06 et 4,28.</w:t>
      </w:r>
    </w:p>
    <w:p w14:paraId="2EA11661"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26,941, supérieure à la valeur t tabulaire estimée à 1,97, et un niveau de signification de 0,000 inférieur à 0,05. Cela signifie que l’expression est positive, indiquant que les membres de l’échantillon sont tout à fait d’accord avec cette affirmation.</w:t>
      </w:r>
    </w:p>
    <w:p w14:paraId="74E456C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(04), avec une valeur t calculée de 31,307, supérieure à la valeur t tabulaire de 1,97, et un niveau de signification de 0,000 inférieur à 0,05. Cela signifie que l’expression est positive, traduisant un niveau d’accord très élevé des répondants.</w:t>
      </w:r>
    </w:p>
    <w:p w14:paraId="76E33FA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 troisième position vient la formule (05), avec une valeur t calculée de 27,572, supérieure à la valeur t tabulaire de 1,97, et un niveau de signification de 0,000 inférieur à 0,05. Cela signifie que l’expression est positive, indiquant un accord élevé des répondants.</w:t>
      </w:r>
    </w:p>
    <w:p w14:paraId="070DDEA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(03), avec une valeur t calculée de 24,708, supérieure à la valeur t tabulaire de 1,97, et un niveau de signification de 0,000 inférieur à 0,05. Cela signifie que l’expression est positive, traduisant un niveau d’accord élevé.</w:t>
      </w:r>
    </w:p>
    <w:p w14:paraId="3A22B528"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Enfin, la formule (02) arrive en dernière position, avec une valeur t calculée de 26,196, supérieure à la valeur t tabulaire de 1,97, et un niveau de signification de 0,000 inférieur à 0,05. Cela signifie que l’expression est positive, indiquant que les répondants sont d’accord avec cette affirmation, mais à un niveau relativement moins élevé que les autres.</w:t>
      </w:r>
    </w:p>
    <w:p w14:paraId="608CA43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moyenne générale de l'axe 6 est de 4,17 avec un écart type de 0,676, ce qui reflète un niveau d'accord élevé concernant la responsabilité du conseil d'administration.</w:t>
      </w:r>
    </w:p>
    <w:p w14:paraId="0E85706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 xml:space="preserve">Les valeurs de t varient entre 24,708 et 31,307, avec ddl = 299 et Sig. = 0,000 pour tous les énoncés. Les répondants sont très largement d’accord sur la responsabilité du conseil d’administration. Le t le plus élevé (31,307) concerne "Le conseil d’administration met en place des mécanismes formalisés permettant d’identifier, de prévenir et de gérer efficacement les situations de conflits d’intérêts", ce qui confirme la perception </w:t>
      </w:r>
      <w:r w:rsidR="0040382A" w:rsidRPr="00E2052F">
        <w:rPr>
          <w:rFonts w:cstheme="majorBidi"/>
          <w:color w:val="000000"/>
          <w:sz w:val="22"/>
        </w:rPr>
        <w:t>positive des éléments analysés.</w:t>
      </w:r>
    </w:p>
    <w:p w14:paraId="3037159C" w14:textId="77777777" w:rsidR="00086FF4" w:rsidRPr="00E2052F" w:rsidRDefault="0040382A" w:rsidP="00D23BF3">
      <w:pPr>
        <w:spacing w:before="0" w:beforeAutospacing="0"/>
        <w:rPr>
          <w:rFonts w:cstheme="majorBidi"/>
          <w:color w:val="000000"/>
          <w:sz w:val="22"/>
        </w:rPr>
      </w:pPr>
      <w:r w:rsidRPr="00E2052F">
        <w:rPr>
          <w:rFonts w:cstheme="majorBidi"/>
          <w:b/>
          <w:bCs/>
          <w:color w:val="000000"/>
          <w:sz w:val="22"/>
          <w:u w:val="single"/>
        </w:rPr>
        <w:t xml:space="preserve">Tableau 26 </w:t>
      </w:r>
      <w:r w:rsidR="00086FF4" w:rsidRPr="00E2052F">
        <w:rPr>
          <w:rFonts w:cstheme="majorBidi"/>
          <w:b/>
          <w:bCs/>
          <w:color w:val="000000"/>
          <w:sz w:val="22"/>
          <w:u w:val="single"/>
        </w:rPr>
        <w:t>:</w:t>
      </w:r>
      <w:r w:rsidR="00086FF4" w:rsidRPr="00E2052F">
        <w:rPr>
          <w:rFonts w:cstheme="majorBidi"/>
          <w:b/>
          <w:bCs/>
          <w:color w:val="000000"/>
          <w:sz w:val="22"/>
        </w:rPr>
        <w:t xml:space="preserve"> Le degré global</w:t>
      </w:r>
      <w:r w:rsidRPr="00E2052F">
        <w:rPr>
          <w:rFonts w:cstheme="majorBidi"/>
          <w:b/>
          <w:bCs/>
          <w:color w:val="000000"/>
          <w:sz w:val="22"/>
        </w:rPr>
        <w:t xml:space="preserve"> de la partie 01</w:t>
      </w:r>
      <w:r w:rsidR="00086FF4" w:rsidRPr="00E2052F">
        <w:rPr>
          <w:rFonts w:cstheme="majorBidi"/>
          <w:b/>
          <w:bCs/>
          <w:color w:val="000000"/>
          <w:sz w:val="22"/>
        </w:rPr>
        <w:t>.</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394"/>
        <w:gridCol w:w="1566"/>
        <w:gridCol w:w="1330"/>
        <w:gridCol w:w="1278"/>
        <w:gridCol w:w="2130"/>
      </w:tblGrid>
      <w:tr w:rsidR="00086FF4" w:rsidRPr="00E2052F" w14:paraId="62AC50DE" w14:textId="77777777" w:rsidTr="007530A6">
        <w:trPr>
          <w:trHeight w:val="404"/>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C44DFDB"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94CBAC4"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FA59B63"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F4708EB"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124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32E050D"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208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78489EE"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Sig. (Bilatérale)</w:t>
            </w:r>
          </w:p>
        </w:tc>
      </w:tr>
      <w:tr w:rsidR="00086FF4" w:rsidRPr="00E2052F" w14:paraId="35602CF5"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7A73396" w14:textId="77777777" w:rsidR="00086FF4" w:rsidRPr="00E2052F" w:rsidRDefault="00086FF4" w:rsidP="00A04154">
            <w:pPr>
              <w:spacing w:before="0" w:beforeAutospacing="0"/>
              <w:ind w:firstLine="0"/>
              <w:jc w:val="center"/>
              <w:rPr>
                <w:rFonts w:cstheme="majorBidi"/>
                <w:b/>
                <w:bCs/>
                <w:color w:val="000000"/>
                <w:sz w:val="22"/>
              </w:rPr>
            </w:pPr>
            <w:r w:rsidRPr="00E2052F">
              <w:rPr>
                <w:rFonts w:cstheme="majorBidi"/>
                <w:b/>
                <w:bCs/>
                <w:color w:val="000000"/>
                <w:sz w:val="22"/>
              </w:rPr>
              <w:t>Axe1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72BA4A" w14:textId="77777777" w:rsidR="00086FF4" w:rsidRPr="00E2052F" w:rsidRDefault="00086FF4" w:rsidP="00A04154">
            <w:pPr>
              <w:spacing w:before="0" w:beforeAutospacing="0"/>
              <w:ind w:firstLine="0"/>
              <w:jc w:val="center"/>
              <w:rPr>
                <w:rFonts w:cstheme="majorBidi"/>
                <w:color w:val="000000"/>
                <w:sz w:val="22"/>
              </w:rPr>
            </w:pPr>
            <w:r w:rsidRPr="00E2052F">
              <w:rPr>
                <w:rFonts w:cstheme="majorBidi"/>
                <w:color w:val="000000"/>
                <w:sz w:val="22"/>
              </w:rPr>
              <w:t>4.13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617696" w14:textId="77777777" w:rsidR="00086FF4" w:rsidRPr="00E2052F" w:rsidRDefault="00086FF4" w:rsidP="00A04154">
            <w:pPr>
              <w:spacing w:before="0" w:beforeAutospacing="0"/>
              <w:ind w:firstLine="0"/>
              <w:jc w:val="center"/>
              <w:rPr>
                <w:rFonts w:cstheme="majorBidi"/>
                <w:color w:val="000000"/>
                <w:sz w:val="22"/>
              </w:rPr>
            </w:pPr>
            <w:r w:rsidRPr="00E2052F">
              <w:rPr>
                <w:rFonts w:cstheme="majorBidi"/>
                <w:color w:val="000000"/>
                <w:sz w:val="22"/>
              </w:rPr>
              <w:t>0.784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0F19D5" w14:textId="77777777" w:rsidR="00086FF4" w:rsidRPr="00E2052F" w:rsidRDefault="00086FF4" w:rsidP="00A04154">
            <w:pPr>
              <w:spacing w:before="0" w:beforeAutospacing="0"/>
              <w:ind w:firstLine="0"/>
              <w:jc w:val="center"/>
              <w:rPr>
                <w:rFonts w:cstheme="majorBidi"/>
                <w:color w:val="000000"/>
                <w:sz w:val="22"/>
              </w:rPr>
            </w:pPr>
            <w:r w:rsidRPr="00E2052F">
              <w:rPr>
                <w:rFonts w:cstheme="majorBidi"/>
                <w:color w:val="000000"/>
                <w:sz w:val="22"/>
              </w:rPr>
              <w:t>25.591</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5EC2D8" w14:textId="77777777" w:rsidR="00086FF4" w:rsidRPr="00E2052F" w:rsidRDefault="00086FF4"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65905D" w14:textId="77777777" w:rsidR="00086FF4" w:rsidRPr="00E2052F" w:rsidRDefault="00086FF4"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7886EDB0"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45A97F6E" w14:textId="77777777" w:rsidR="00D376D9" w:rsidRPr="00E2052F" w:rsidRDefault="00D376D9" w:rsidP="00A04154">
            <w:pPr>
              <w:spacing w:before="0" w:beforeAutospacing="0"/>
              <w:ind w:firstLine="0"/>
              <w:jc w:val="center"/>
              <w:rPr>
                <w:rFonts w:cstheme="majorBidi"/>
                <w:b/>
                <w:bCs/>
                <w:color w:val="000000"/>
                <w:sz w:val="22"/>
              </w:rPr>
            </w:pPr>
            <w:r w:rsidRPr="00E2052F">
              <w:rPr>
                <w:rFonts w:cstheme="majorBidi"/>
                <w:b/>
                <w:bCs/>
                <w:color w:val="000000"/>
                <w:sz w:val="22"/>
              </w:rPr>
              <w:t>Axe2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8A834B"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B9009"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0.663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1A787"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27.028</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49BFD"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1130B8"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178A9874" w14:textId="77777777" w:rsidTr="007530A6">
        <w:trPr>
          <w:trHeight w:val="413"/>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B5979E3" w14:textId="77777777" w:rsidR="00D376D9" w:rsidRPr="00E2052F" w:rsidRDefault="00D376D9" w:rsidP="00A04154">
            <w:pPr>
              <w:spacing w:before="0" w:beforeAutospacing="0"/>
              <w:ind w:firstLine="0"/>
              <w:jc w:val="center"/>
              <w:rPr>
                <w:rFonts w:cstheme="majorBidi"/>
                <w:b/>
                <w:bCs/>
                <w:color w:val="000000"/>
                <w:sz w:val="22"/>
              </w:rPr>
            </w:pPr>
            <w:r w:rsidRPr="00E2052F">
              <w:rPr>
                <w:rFonts w:cstheme="majorBidi"/>
                <w:b/>
                <w:bCs/>
                <w:color w:val="000000"/>
                <w:sz w:val="22"/>
              </w:rPr>
              <w:t>Axe3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A5EA88"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4.08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2340FF"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0.690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812517"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25.145</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78D4E0"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8B500B"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73BBB21D"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B07678B" w14:textId="77777777" w:rsidR="00D376D9" w:rsidRPr="00E2052F" w:rsidRDefault="00D376D9" w:rsidP="00A04154">
            <w:pPr>
              <w:spacing w:before="0" w:beforeAutospacing="0"/>
              <w:ind w:firstLine="0"/>
              <w:jc w:val="center"/>
              <w:rPr>
                <w:rFonts w:cstheme="majorBidi"/>
                <w:b/>
                <w:bCs/>
                <w:color w:val="000000"/>
                <w:sz w:val="22"/>
              </w:rPr>
            </w:pPr>
            <w:r w:rsidRPr="00E2052F">
              <w:rPr>
                <w:rFonts w:cstheme="majorBidi"/>
                <w:b/>
                <w:bCs/>
                <w:color w:val="000000"/>
                <w:sz w:val="22"/>
              </w:rPr>
              <w:t>Axe4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1C0B53"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B421A"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0.637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395D9"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28.507</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8545E"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945E9"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09A3D4F0"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2AD04C4" w14:textId="77777777" w:rsidR="00D376D9" w:rsidRPr="00E2052F" w:rsidRDefault="00D376D9" w:rsidP="00A04154">
            <w:pPr>
              <w:spacing w:before="0" w:beforeAutospacing="0"/>
              <w:ind w:firstLine="0"/>
              <w:jc w:val="center"/>
              <w:rPr>
                <w:rFonts w:cstheme="majorBidi"/>
                <w:b/>
                <w:bCs/>
                <w:color w:val="000000"/>
                <w:sz w:val="22"/>
              </w:rPr>
            </w:pPr>
            <w:r w:rsidRPr="00E2052F">
              <w:rPr>
                <w:rFonts w:cstheme="majorBidi"/>
                <w:b/>
                <w:bCs/>
                <w:color w:val="000000"/>
                <w:sz w:val="22"/>
              </w:rPr>
              <w:t>Axe5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9C7AFD"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272710"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0.681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12518D"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26.646</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CF65AB"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7C03A0"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1704ECA6"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6D2CBD6C" w14:textId="77777777" w:rsidR="00D376D9" w:rsidRPr="00E2052F" w:rsidRDefault="00D376D9" w:rsidP="00A04154">
            <w:pPr>
              <w:spacing w:before="0" w:beforeAutospacing="0"/>
              <w:ind w:firstLine="0"/>
              <w:jc w:val="center"/>
              <w:rPr>
                <w:rFonts w:cstheme="majorBidi"/>
                <w:b/>
                <w:bCs/>
                <w:color w:val="000000"/>
                <w:sz w:val="22"/>
              </w:rPr>
            </w:pPr>
            <w:r w:rsidRPr="00E2052F">
              <w:rPr>
                <w:rFonts w:cstheme="majorBidi"/>
                <w:b/>
                <w:bCs/>
                <w:color w:val="000000"/>
                <w:sz w:val="22"/>
              </w:rPr>
              <w:t>Axe6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BC7F3"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E2AEE4"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0.676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C0CBC"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27.345</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17311"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884D28"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r w:rsidR="00D376D9" w:rsidRPr="00E2052F" w14:paraId="5ABB8B35" w14:textId="77777777" w:rsidTr="007530A6">
        <w:trPr>
          <w:trHeight w:val="404"/>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2F74C1C"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2FA3AA"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4.13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A69443" w14:textId="77777777" w:rsidR="00D376D9" w:rsidRPr="00E2052F" w:rsidRDefault="00126A80" w:rsidP="00A04154">
            <w:pPr>
              <w:spacing w:before="0" w:beforeAutospacing="0"/>
              <w:ind w:firstLine="0"/>
              <w:jc w:val="center"/>
              <w:rPr>
                <w:rFonts w:cstheme="majorBidi"/>
                <w:color w:val="000000"/>
                <w:sz w:val="22"/>
              </w:rPr>
            </w:pPr>
            <w:r w:rsidRPr="00E2052F">
              <w:rPr>
                <w:rFonts w:cstheme="majorBidi"/>
                <w:color w:val="000000"/>
                <w:sz w:val="22"/>
              </w:rPr>
              <w:t>0.6885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92B093" w14:textId="77777777" w:rsidR="00D376D9" w:rsidRPr="00E2052F" w:rsidRDefault="00126A80" w:rsidP="00A04154">
            <w:pPr>
              <w:spacing w:before="0" w:beforeAutospacing="0"/>
              <w:ind w:firstLine="0"/>
              <w:jc w:val="center"/>
              <w:rPr>
                <w:rFonts w:cstheme="majorBidi"/>
                <w:color w:val="000000"/>
                <w:sz w:val="22"/>
              </w:rPr>
            </w:pPr>
            <w:r w:rsidRPr="00E2052F">
              <w:rPr>
                <w:rFonts w:cstheme="majorBidi"/>
                <w:color w:val="000000"/>
                <w:sz w:val="22"/>
              </w:rPr>
              <w:t>26.71033</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8CAFE7"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299</w:t>
            </w:r>
          </w:p>
        </w:tc>
        <w:tc>
          <w:tcPr>
            <w:tcW w:w="20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44E2BF" w14:textId="77777777" w:rsidR="00D376D9" w:rsidRPr="00E2052F" w:rsidRDefault="00D376D9" w:rsidP="00A04154">
            <w:pPr>
              <w:spacing w:before="0" w:beforeAutospacing="0"/>
              <w:ind w:firstLine="0"/>
              <w:jc w:val="center"/>
              <w:rPr>
                <w:rFonts w:cstheme="majorBidi"/>
                <w:color w:val="000000"/>
                <w:sz w:val="22"/>
              </w:rPr>
            </w:pPr>
            <w:r w:rsidRPr="00E2052F">
              <w:rPr>
                <w:rFonts w:cstheme="majorBidi"/>
                <w:color w:val="000000"/>
                <w:sz w:val="22"/>
              </w:rPr>
              <w:t>0.000</w:t>
            </w:r>
          </w:p>
        </w:tc>
      </w:tr>
    </w:tbl>
    <w:p w14:paraId="67D85794" w14:textId="2A88DD82" w:rsidR="00086FF4" w:rsidRPr="00E2052F" w:rsidRDefault="00086FF4" w:rsidP="00A04154">
      <w:pPr>
        <w:spacing w:before="0" w:beforeAutospacing="0"/>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d’EXC</w:t>
      </w:r>
      <w:r w:rsidRPr="00E2052F">
        <w:rPr>
          <w:rFonts w:cstheme="majorBidi"/>
          <w:color w:val="000000"/>
          <w:sz w:val="22"/>
        </w:rPr>
        <w:t>EL et SPSS v27.</w:t>
      </w:r>
    </w:p>
    <w:p w14:paraId="71A4B51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Les résultats du tableau ci-dessus montrent que le score total moyen pour cette partie (les principes de la gouvernance) est de 4.13. Ceci suggère que les personnes de l'échantillon s'accordent sur l'importance des principes de la gouvernance dans la promotion de la responsabilité sociale des entreprises.</w:t>
      </w:r>
    </w:p>
    <w:p w14:paraId="56C4E609" w14:textId="77777777" w:rsidR="00086FF4" w:rsidRPr="00E2052F" w:rsidRDefault="00086FF4" w:rsidP="00C8480E">
      <w:pPr>
        <w:pStyle w:val="Titre2"/>
      </w:pPr>
      <w:bookmarkStart w:id="1733" w:name="_Toc229156016"/>
      <w:bookmarkStart w:id="1734" w:name="_Toc231747014"/>
      <w:bookmarkStart w:id="1735" w:name="_Toc231752420"/>
      <w:bookmarkStart w:id="1736" w:name="_Toc231810723"/>
      <w:bookmarkStart w:id="1737" w:name="_Toc231812066"/>
      <w:bookmarkStart w:id="1738" w:name="_Toc231812344"/>
      <w:bookmarkStart w:id="1739" w:name="_Toc231815228"/>
      <w:r w:rsidRPr="00E2052F">
        <w:t xml:space="preserve">L’analyse </w:t>
      </w:r>
      <w:r w:rsidRPr="00E2052F">
        <w:rPr>
          <w:rStyle w:val="Titre2Car"/>
          <w:b/>
          <w:bCs/>
        </w:rPr>
        <w:t>de</w:t>
      </w:r>
      <w:r w:rsidRPr="00E2052F">
        <w:t xml:space="preserve"> la partie</w:t>
      </w:r>
      <w:r w:rsidR="0040382A" w:rsidRPr="00E2052F">
        <w:t xml:space="preserve"> la responsabilité sociale des entreprises </w:t>
      </w:r>
      <w:r w:rsidRPr="00E2052F">
        <w:t>:</w:t>
      </w:r>
      <w:bookmarkEnd w:id="1733"/>
      <w:bookmarkEnd w:id="1734"/>
      <w:bookmarkEnd w:id="1735"/>
      <w:bookmarkEnd w:id="1736"/>
      <w:bookmarkEnd w:id="1737"/>
      <w:bookmarkEnd w:id="1738"/>
      <w:bookmarkEnd w:id="1739"/>
    </w:p>
    <w:p w14:paraId="5AB9D2A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Cette partie traite l’analyse des informations concernant la responsabilité sociale des entreprises</w:t>
      </w:r>
      <w:r w:rsidR="00193ABF" w:rsidRPr="00E2052F">
        <w:rPr>
          <w:rFonts w:cstheme="majorBidi"/>
          <w:color w:val="000000"/>
          <w:sz w:val="22"/>
        </w:rPr>
        <w:t>.</w:t>
      </w:r>
    </w:p>
    <w:p w14:paraId="25D2C295" w14:textId="77777777" w:rsidR="00193ABF" w:rsidRPr="00E2052F" w:rsidRDefault="00193ABF" w:rsidP="00D23BF3">
      <w:pPr>
        <w:spacing w:before="0" w:beforeAutospacing="0"/>
        <w:ind w:firstLine="0"/>
        <w:rPr>
          <w:rFonts w:cstheme="majorBidi"/>
          <w:b/>
          <w:bCs/>
          <w:color w:val="000000"/>
          <w:sz w:val="22"/>
        </w:rPr>
      </w:pPr>
      <w:r w:rsidRPr="00E2052F">
        <w:rPr>
          <w:rFonts w:cstheme="majorBidi"/>
          <w:b/>
          <w:bCs/>
          <w:color w:val="000000"/>
          <w:sz w:val="22"/>
          <w:u w:val="single"/>
        </w:rPr>
        <w:t>Tableau 27 :</w:t>
      </w:r>
      <w:r w:rsidRPr="00E2052F">
        <w:rPr>
          <w:rFonts w:cstheme="majorBidi"/>
          <w:b/>
          <w:bCs/>
          <w:color w:val="000000"/>
          <w:sz w:val="22"/>
        </w:rPr>
        <w:t xml:space="preserve"> Coefficient de fiabilité des parties de la responsabilité sociale des entreprises.</w:t>
      </w:r>
    </w:p>
    <w:tbl>
      <w:tblPr>
        <w:tblStyle w:val="Grilledutableau"/>
        <w:tblW w:w="9072" w:type="dxa"/>
        <w:jc w:val="center"/>
        <w:tblLook w:val="04A0" w:firstRow="1" w:lastRow="0" w:firstColumn="1" w:lastColumn="0" w:noHBand="0" w:noVBand="1"/>
      </w:tblPr>
      <w:tblGrid>
        <w:gridCol w:w="3401"/>
        <w:gridCol w:w="1417"/>
        <w:gridCol w:w="1764"/>
        <w:gridCol w:w="2490"/>
      </w:tblGrid>
      <w:tr w:rsidR="00193ABF" w:rsidRPr="00E2052F" w14:paraId="19614820" w14:textId="77777777" w:rsidTr="007530A6">
        <w:trPr>
          <w:trHeight w:val="871"/>
          <w:jc w:val="center"/>
        </w:trPr>
        <w:tc>
          <w:tcPr>
            <w:tcW w:w="36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17FA247" w14:textId="77777777"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Axes</w:t>
            </w:r>
          </w:p>
        </w:tc>
        <w:tc>
          <w:tcPr>
            <w:tcW w:w="14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813098" w14:textId="77777777"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Nombres D’énoncées</w:t>
            </w:r>
          </w:p>
        </w:tc>
        <w:tc>
          <w:tcPr>
            <w:tcW w:w="184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3216E7" w14:textId="77777777"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Valeur alpha de Cronbach</w:t>
            </w:r>
          </w:p>
        </w:tc>
        <w:tc>
          <w:tcPr>
            <w:tcW w:w="263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A57408" w14:textId="77777777"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Lors de la suppression de l'honnêteté</w:t>
            </w:r>
          </w:p>
        </w:tc>
      </w:tr>
      <w:tr w:rsidR="00193ABF" w:rsidRPr="00E2052F" w14:paraId="1995E4A4" w14:textId="77777777" w:rsidTr="007530A6">
        <w:trPr>
          <w:trHeight w:val="411"/>
          <w:jc w:val="center"/>
        </w:trPr>
        <w:tc>
          <w:tcPr>
            <w:tcW w:w="36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418B8B5" w14:textId="77777777"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Responsabilité sociale des entreprises (RSE)</w:t>
            </w:r>
          </w:p>
        </w:tc>
        <w:tc>
          <w:tcPr>
            <w:tcW w:w="1434" w:type="dxa"/>
            <w:tcBorders>
              <w:top w:val="single" w:sz="4" w:space="0" w:color="auto"/>
              <w:left w:val="single" w:sz="4" w:space="0" w:color="auto"/>
              <w:bottom w:val="single" w:sz="4" w:space="0" w:color="auto"/>
              <w:right w:val="single" w:sz="4" w:space="0" w:color="auto"/>
            </w:tcBorders>
            <w:hideMark/>
          </w:tcPr>
          <w:p w14:paraId="0372E3BB" w14:textId="77777777" w:rsidR="00193ABF" w:rsidRPr="00E2052F" w:rsidRDefault="00193ABF" w:rsidP="00A04154">
            <w:pPr>
              <w:spacing w:before="0" w:beforeAutospacing="0"/>
              <w:ind w:firstLine="0"/>
              <w:jc w:val="center"/>
              <w:rPr>
                <w:rFonts w:cstheme="majorBidi"/>
                <w:color w:val="000000"/>
                <w:sz w:val="22"/>
              </w:rPr>
            </w:pPr>
            <w:r w:rsidRPr="00E2052F">
              <w:rPr>
                <w:rFonts w:cstheme="majorBidi"/>
                <w:color w:val="000000"/>
                <w:sz w:val="22"/>
              </w:rPr>
              <w:t>30 énoncées</w:t>
            </w:r>
          </w:p>
        </w:tc>
        <w:tc>
          <w:tcPr>
            <w:tcW w:w="1840" w:type="dxa"/>
            <w:tcBorders>
              <w:top w:val="single" w:sz="4" w:space="0" w:color="auto"/>
              <w:left w:val="single" w:sz="4" w:space="0" w:color="auto"/>
              <w:bottom w:val="single" w:sz="4" w:space="0" w:color="auto"/>
              <w:right w:val="single" w:sz="4" w:space="0" w:color="auto"/>
            </w:tcBorders>
            <w:hideMark/>
          </w:tcPr>
          <w:p w14:paraId="69972697" w14:textId="77777777" w:rsidR="00193ABF" w:rsidRPr="00E2052F" w:rsidRDefault="00193ABF" w:rsidP="00A04154">
            <w:pPr>
              <w:spacing w:before="0" w:beforeAutospacing="0"/>
              <w:ind w:firstLine="0"/>
              <w:jc w:val="center"/>
              <w:rPr>
                <w:rFonts w:cstheme="majorBidi"/>
                <w:color w:val="000000"/>
                <w:sz w:val="22"/>
              </w:rPr>
            </w:pPr>
            <w:r w:rsidRPr="00E2052F">
              <w:rPr>
                <w:rFonts w:cstheme="majorBidi"/>
                <w:color w:val="000000"/>
                <w:sz w:val="22"/>
              </w:rPr>
              <w:t>0,978</w:t>
            </w:r>
          </w:p>
        </w:tc>
        <w:tc>
          <w:tcPr>
            <w:tcW w:w="2635" w:type="dxa"/>
            <w:tcBorders>
              <w:top w:val="single" w:sz="4" w:space="0" w:color="auto"/>
              <w:left w:val="single" w:sz="4" w:space="0" w:color="auto"/>
              <w:bottom w:val="single" w:sz="4" w:space="0" w:color="auto"/>
              <w:right w:val="single" w:sz="4" w:space="0" w:color="auto"/>
            </w:tcBorders>
            <w:hideMark/>
          </w:tcPr>
          <w:p w14:paraId="66B06EC2" w14:textId="77777777" w:rsidR="00193ABF" w:rsidRPr="00E2052F" w:rsidRDefault="00193ABF" w:rsidP="00A04154">
            <w:pPr>
              <w:spacing w:before="0" w:beforeAutospacing="0"/>
              <w:ind w:firstLine="0"/>
              <w:jc w:val="center"/>
              <w:rPr>
                <w:rFonts w:cstheme="majorBidi"/>
                <w:color w:val="000000"/>
                <w:sz w:val="22"/>
              </w:rPr>
            </w:pPr>
            <w:r w:rsidRPr="00E2052F">
              <w:rPr>
                <w:rFonts w:cstheme="majorBidi"/>
                <w:color w:val="000000"/>
                <w:sz w:val="22"/>
              </w:rPr>
              <w:t>0,990</w:t>
            </w:r>
          </w:p>
        </w:tc>
      </w:tr>
    </w:tbl>
    <w:p w14:paraId="26712B17" w14:textId="183E91D0" w:rsidR="00193ABF" w:rsidRPr="00E2052F" w:rsidRDefault="00193ABF" w:rsidP="00A04154">
      <w:pPr>
        <w:spacing w:before="0" w:beforeAutospacing="0"/>
        <w:ind w:firstLine="0"/>
        <w:jc w:val="center"/>
        <w:rPr>
          <w:rFonts w:cstheme="majorBidi"/>
          <w:b/>
          <w:bCs/>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5E8EDE15" w14:textId="77777777" w:rsidR="00834574" w:rsidRPr="00E2052F" w:rsidRDefault="00086FF4" w:rsidP="00834574">
      <w:pPr>
        <w:spacing w:before="0" w:beforeAutospacing="0"/>
        <w:rPr>
          <w:rFonts w:cstheme="majorBidi"/>
          <w:color w:val="000000"/>
          <w:sz w:val="22"/>
        </w:rPr>
      </w:pPr>
      <w:r w:rsidRPr="00E2052F">
        <w:rPr>
          <w:rFonts w:cstheme="majorBidi"/>
          <w:color w:val="000000"/>
          <w:sz w:val="22"/>
        </w:rPr>
        <w:t>D’après le tableau précédent, en remarque que le coefficient Alpha de cronbach est supérieure à 0.6, donc il y a une fiabilité entre les expressions de la responsabilité sociale d</w:t>
      </w:r>
      <w:bookmarkStart w:id="1740" w:name="_Hlk228453198"/>
      <w:r w:rsidR="00834574" w:rsidRPr="00E2052F">
        <w:rPr>
          <w:rFonts w:cstheme="majorBidi"/>
          <w:color w:val="000000"/>
          <w:sz w:val="22"/>
        </w:rPr>
        <w:t>es entreprises.</w:t>
      </w:r>
    </w:p>
    <w:p w14:paraId="29EAA578" w14:textId="77777777" w:rsidR="00086FF4" w:rsidRPr="00E2052F" w:rsidRDefault="00086FF4" w:rsidP="00834574">
      <w:pPr>
        <w:spacing w:before="0" w:beforeAutospacing="0"/>
        <w:rPr>
          <w:rFonts w:cstheme="majorBidi"/>
          <w:color w:val="000000"/>
          <w:sz w:val="22"/>
        </w:rPr>
      </w:pPr>
      <w:r w:rsidRPr="00E2052F">
        <w:rPr>
          <w:rFonts w:cstheme="majorBidi"/>
          <w:b/>
          <w:bCs/>
          <w:color w:val="000000"/>
          <w:sz w:val="22"/>
          <w:u w:val="single"/>
        </w:rPr>
        <w:lastRenderedPageBreak/>
        <w:t xml:space="preserve">Tableau </w:t>
      </w:r>
      <w:r w:rsidR="00CB7BF5" w:rsidRPr="00E2052F">
        <w:rPr>
          <w:rFonts w:cstheme="majorBidi"/>
          <w:b/>
          <w:bCs/>
          <w:color w:val="000000"/>
          <w:sz w:val="22"/>
          <w:u w:val="single"/>
        </w:rPr>
        <w:t>2</w:t>
      </w:r>
      <w:r w:rsidR="00193ABF" w:rsidRPr="00E2052F">
        <w:rPr>
          <w:rFonts w:cstheme="majorBidi"/>
          <w:b/>
          <w:bCs/>
          <w:color w:val="000000"/>
          <w:sz w:val="22"/>
          <w:u w:val="single"/>
        </w:rPr>
        <w:t>8</w:t>
      </w:r>
      <w:r w:rsidRPr="00E2052F">
        <w:rPr>
          <w:rFonts w:cstheme="majorBidi"/>
          <w:b/>
          <w:bCs/>
          <w:color w:val="000000"/>
          <w:sz w:val="22"/>
          <w:u w:val="single"/>
        </w:rPr>
        <w:t xml:space="preserve"> :</w:t>
      </w:r>
      <w:bookmarkEnd w:id="1740"/>
      <w:r w:rsidRPr="00E2052F">
        <w:rPr>
          <w:rFonts w:cstheme="majorBidi"/>
          <w:color w:val="000000"/>
          <w:sz w:val="22"/>
        </w:rPr>
        <w:t xml:space="preserve"> </w:t>
      </w:r>
      <w:r w:rsidRPr="00E2052F">
        <w:rPr>
          <w:rFonts w:cstheme="majorBidi"/>
          <w:b/>
          <w:bCs/>
          <w:color w:val="000000"/>
          <w:sz w:val="22"/>
        </w:rPr>
        <w:t>Analyse descriptive des données de l’axe performance de la responsabilité sociale des entreprises (RSE).</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34"/>
        <w:gridCol w:w="709"/>
        <w:gridCol w:w="425"/>
        <w:gridCol w:w="1559"/>
        <w:gridCol w:w="1418"/>
        <w:gridCol w:w="1847"/>
      </w:tblGrid>
      <w:tr w:rsidR="00EC7BDC" w:rsidRPr="00E2052F" w14:paraId="5E4BFD3B" w14:textId="77777777" w:rsidTr="007530A6">
        <w:trPr>
          <w:tblHeade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9DABE44"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Question</w:t>
            </w:r>
          </w:p>
        </w:tc>
        <w:tc>
          <w:tcPr>
            <w:tcW w:w="96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7C21018"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Moyenne</w:t>
            </w:r>
          </w:p>
        </w:tc>
        <w:tc>
          <w:tcPr>
            <w:tcW w:w="110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AF036F1"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78ADAA"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Test T</w:t>
            </w:r>
          </w:p>
        </w:tc>
        <w:tc>
          <w:tcPr>
            <w:tcW w:w="39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AB452C"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18990EA"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Sig. (Bilatérale)</w:t>
            </w:r>
          </w:p>
        </w:tc>
        <w:tc>
          <w:tcPr>
            <w:tcW w:w="13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5891217"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Classification</w:t>
            </w:r>
          </w:p>
        </w:tc>
        <w:tc>
          <w:tcPr>
            <w:tcW w:w="180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687AEDC" w14:textId="77777777" w:rsidR="00086FF4" w:rsidRPr="00E2052F" w:rsidRDefault="00086FF4" w:rsidP="00EC7BDC">
            <w:pPr>
              <w:spacing w:before="0" w:beforeAutospacing="0" w:line="240" w:lineRule="auto"/>
              <w:ind w:firstLine="0"/>
              <w:jc w:val="center"/>
              <w:rPr>
                <w:rFonts w:cstheme="majorBidi"/>
                <w:b/>
                <w:bCs/>
                <w:color w:val="000000"/>
                <w:sz w:val="22"/>
              </w:rPr>
            </w:pPr>
            <w:r w:rsidRPr="00E2052F">
              <w:rPr>
                <w:rFonts w:cstheme="majorBidi"/>
                <w:b/>
                <w:bCs/>
                <w:color w:val="000000"/>
                <w:sz w:val="22"/>
              </w:rPr>
              <w:t>Niveau d’accord</w:t>
            </w:r>
          </w:p>
        </w:tc>
      </w:tr>
      <w:tr w:rsidR="00EC7BDC" w:rsidRPr="00E2052F" w14:paraId="0E87A113"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243EB7B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1AEE4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4.52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33EAD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0.765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C60EA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34.346</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2D0BD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2CE60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81F5C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BEE5E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7144EAE9"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043AFF9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6B10D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4.39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72575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0.698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8E27E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34.585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9EC88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80A31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C6E7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27647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405DDE5C"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BF4DEC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12AAE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4.00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32D4C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0.729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18C78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23.831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AC6B8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A5E4D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483E6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8EE7C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5D1589B6"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6C28440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C62A1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4.11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48952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0.678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8E13B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28.364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972F9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08B09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6B14F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10944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3640D7EC"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1E50F93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7479C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3.15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6FE0B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1.283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0CB32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2.025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40F35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C4689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0.044</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EC1DE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42F1B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6D30A184"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0A840A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C5A1F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4.08</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E40D8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0.623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E6AFE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30.022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F64D6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04ACF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6BF79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0530D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1E85434B"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DB1423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46C64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4.44</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303F9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0.745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057D5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33.482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A6770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3039A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1FAE6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737CB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2661282A"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973458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3FF9A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4.23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58735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0.703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4EF43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30.397</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FB4FE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35F33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BF6C3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A6E9B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53D780CF"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84E917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2EB97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3.60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8E48E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0.936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906A3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11.102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4789B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7ADAC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276E4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BDF11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244E0784"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0D75638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784C8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3.99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1D5F2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0.767</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D8B30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22.278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5945E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DA6D0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9495E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47B74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45D959B9"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08310B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2449E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4.01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347A4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0.725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43378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24.144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6120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DF7F0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18DE2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0F310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7A374AEF"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E53E92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25041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3.96</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1ACEA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0.777</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76D6E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21.330</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1E330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9883B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1B3B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590C3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2857D1EF"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642BDA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7312E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3.92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A9E4B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0.838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B8196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19.010</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B40F0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B0CA9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580CD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F1911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73C828F9"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4C1D889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0E606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3.73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95FF5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0.868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71092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14.571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796D5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63AD3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F818C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DC4EC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1D203EF1"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60D8C72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BFB6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3.83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C8840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0.819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D995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17.563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70A38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3E54B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451F8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D6CA6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73110D0A"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91B75E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86C3E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3.88</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17777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0.816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4F3A0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18.758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719C3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82F86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81062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D6B60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412B7846"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02E402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60EED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3.72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B6942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0.959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5D856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12.945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D3FBA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6A7F8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AB1E8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C0167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7A480F2B"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BB1FE7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7C987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4.15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F2CB2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0.655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68658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30.413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0C5F3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AC782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8B119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2FA7D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767EDEC7"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97AD9E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Q19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05974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4.04</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89796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0.658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02380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27.369</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2B804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E56F6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EE943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B84D6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202DD91D"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C35817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B5625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3.81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8B6E6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0.826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17B02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16.978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CE75C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884AE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AF297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D652A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3EE94D77"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9EEFE7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A4AEF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4.35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D7FE4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0.758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2185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30.758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ACE29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7EFB3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78B78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24F57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EC7BDC" w:rsidRPr="00E2052F" w14:paraId="7122DBD2"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74D9E6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C2BCE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4.20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D5711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0.716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6129C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28.938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8D3CC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620EB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DC3E1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4661C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7B171F0D"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1580C2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D6768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3.92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8CF9E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0.804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5BA78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19.893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3697A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64783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4F00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594E2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27E6D887"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10F387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F6527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3.82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C5CD1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0.833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5A820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17.113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3A9AF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56A79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68A48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7D746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6A4910F3"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E0D6F5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75FEB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4.11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BA0B6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0.745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541C1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25.869</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C7C9F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9C20D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A4813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FEF6A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6A0F692D"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01C218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lastRenderedPageBreak/>
              <w:t>Q26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3F1D6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4.09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5888D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0.762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87247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24.691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8F643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05650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01BAD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8FF1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28F1FD38"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42D04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3DAB2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4.10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DB01C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0.704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DF311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26.981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C03D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DD4FC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4AC0B1"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CF04A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5476223E"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68C079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0AFE5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3.80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CB75E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0.843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7781F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16.364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C12F5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4274FF"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8F4AA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2FD7C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16246C45"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30C97C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Q29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26FB9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3.72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8FA5D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0.732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D9902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17.125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7C15B6"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59D663"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8263C4"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3A1AD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60C9C556"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E5A5588"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Q30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8FFA4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4.12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824925"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0.852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3CDCDE"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22.708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F214F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1B9CFA"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61FAD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E1B42C"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EC7BDC" w:rsidRPr="00E2052F" w14:paraId="000E4C1E" w14:textId="77777777" w:rsidTr="007530A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7A46DC7"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Total</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14369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3.99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7F541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0.622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CAAFC9"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25.972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65DED"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0E37E0"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8239A2"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color w:val="000000"/>
                <w:sz w:val="22"/>
              </w:rPr>
              <w:t>—</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E9CA9B" w14:textId="77777777"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D’accord</w:t>
            </w:r>
          </w:p>
        </w:tc>
      </w:tr>
    </w:tbl>
    <w:p w14:paraId="3F8ACA07" w14:textId="1CAD7B2E" w:rsidR="00086FF4" w:rsidRPr="00E2052F" w:rsidRDefault="00086FF4" w:rsidP="00EC7BDC">
      <w:pPr>
        <w:spacing w:before="0" w:beforeAutospacing="0" w:line="240" w:lineRule="auto"/>
        <w:ind w:firstLine="0"/>
        <w:jc w:val="center"/>
        <w:rPr>
          <w:rFonts w:cstheme="majorBidi"/>
          <w:color w:val="000000"/>
          <w:sz w:val="22"/>
        </w:rPr>
      </w:pPr>
      <w:r w:rsidRPr="00E2052F">
        <w:rPr>
          <w:rFonts w:cstheme="majorBidi"/>
          <w:b/>
          <w:bCs/>
          <w:color w:val="000000"/>
          <w:sz w:val="22"/>
        </w:rPr>
        <w:t>Source :</w:t>
      </w:r>
      <w:r w:rsidRPr="00E2052F">
        <w:rPr>
          <w:rFonts w:cstheme="majorBidi"/>
          <w:color w:val="000000"/>
          <w:sz w:val="22"/>
        </w:rPr>
        <w:t xml:space="preserve"> Réal</w:t>
      </w:r>
      <w:r w:rsidR="00B44E67">
        <w:rPr>
          <w:rFonts w:cstheme="majorBidi"/>
          <w:color w:val="000000"/>
          <w:sz w:val="22"/>
        </w:rPr>
        <w:t>isé par nous-mêmes à partir d’E</w:t>
      </w:r>
      <w:r w:rsidRPr="00E2052F">
        <w:rPr>
          <w:rFonts w:cstheme="majorBidi"/>
          <w:color w:val="000000"/>
          <w:sz w:val="22"/>
        </w:rPr>
        <w:t>X</w:t>
      </w:r>
      <w:r w:rsidR="00B44E67">
        <w:rPr>
          <w:rFonts w:cstheme="majorBidi"/>
          <w:color w:val="000000"/>
          <w:sz w:val="22"/>
        </w:rPr>
        <w:t>C</w:t>
      </w:r>
      <w:r w:rsidRPr="00E2052F">
        <w:rPr>
          <w:rFonts w:cstheme="majorBidi"/>
          <w:color w:val="000000"/>
          <w:sz w:val="22"/>
        </w:rPr>
        <w:t>EL et SPSS v27.</w:t>
      </w:r>
    </w:p>
    <w:p w14:paraId="4A75520C"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D'après les résultats du tableau précédent, nous pouvons voir que :</w:t>
      </w:r>
    </w:p>
    <w:p w14:paraId="11D9863B"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formule numéro (01) vient en premier, avec une valeur t calculée de 34,346, supérieure à la valeur t tabulaire estimée à 1,97, et un niveau de signification de 0,000 inférieur à 0,05. Cela signifie que l’expression est positive, indiquant que les membres de l’échantillon sont tout à fait d’accord avec cette affirmation. Ce qui montre que la gouvernance considère la RSE comme un facteur stratégique de performance.</w:t>
      </w:r>
    </w:p>
    <w:p w14:paraId="60FF402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Le deuxième rang est occupé par la formule (07), avec une valeur t calculée de 33,482, supérieure à la valeur t tabulaire de 1,97, et un niveau de signification de 0,000 inférieur à 0,05. Cela signifie que l’expression est positive, traduisant un niveau d’accord très élevé des répondants. Ce qui reflète une gouvernance proactive.</w:t>
      </w:r>
    </w:p>
    <w:p w14:paraId="3B4DE7C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En troisième position vient la formule (02), avec une valeur t calculée de 34,585, supérieure à la valeur t tabulaire de 1,97, et un niveau de signification de 0,000 inférieur à 0,05. Cela signifie que l’expression est positive, indiquant un accord très élevé sur l’engagement stratégique de la gouvernance.</w:t>
      </w:r>
    </w:p>
    <w:p w14:paraId="36C1603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quatrième position revient à la formule (21), avec une valeur t calculée de 30,758, supérieure à la valeur t tabulaire de 1,97, et un niveau de signification de 0,000 inférieur à 0,05. Cela signifie que l’expression est positive, traduisant un niveau d’accord très élevé montrant une perception plus nuancée.</w:t>
      </w:r>
    </w:p>
    <w:p w14:paraId="3394C3D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cinquième position est occupée par la formule (08), avec une valeur t calculée de 30,397, supérieure à 1,97 et un seuil de 0,000 inférieur à 0,05, indiquant un accord très élevé, montrant une perception plus nuancée.</w:t>
      </w:r>
    </w:p>
    <w:p w14:paraId="6D291EB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sixième position revient aux formules (18) et (22), avec des valeurs t calculées respectives de 30,413 et 28,938, supérieures à 1,97 et une significativité de 0,000 inférieur à 0,05, traduisant un accord élevé à très élevé, reflétant une gouvernance exigeante. </w:t>
      </w:r>
    </w:p>
    <w:p w14:paraId="5D8C1AA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La septième position est occupée par la formule (30), avec une valeur t calculée de 22,708, supérieure à 1,97 et un seuil de 0,000 inférieur à 0,05, indiquant un accord élevé, confirmant un engagement opérationnel fort.</w:t>
      </w:r>
    </w:p>
    <w:p w14:paraId="62E6B60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huitième position revient à la formule (25), avec une valeur t calculée de 25,869, supérieure à 1,97 et une significativité de 0,000 inférieur à 0,05, traduisant un accord élevé, ce qui renforce la confiance organisationnelle.</w:t>
      </w:r>
    </w:p>
    <w:p w14:paraId="47E324E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neuvième position est occupée par la formule (04), avec une valeur t calculée de 28,364, supérieure à 1,97 et un seuil de 0,000 inférieur à 0,05, indiquant un accord élevé, montrant une intégration encore partielle.</w:t>
      </w:r>
    </w:p>
    <w:p w14:paraId="700CA33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dixième position revient à la formule (27), avec une valeur t calculée de 26,981, supérieure à 1,97 et une significativité de 0,000 inférieur à 0,05, traduisant un accord élevé sur les pratiques RH responsables.</w:t>
      </w:r>
    </w:p>
    <w:p w14:paraId="2FDF40C4"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onzième position est occupée par la formule (26), avec une valeur t calculée de 24,691, supérieure à 1,97 et un seuil de 0,000 inférieur à 0,05, indiquant un accord élevé.</w:t>
      </w:r>
    </w:p>
    <w:p w14:paraId="22C45E5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douzième position revient à la formule (06), avec une valeur t calculée de 30,022, supérieure à 1,97 et une significativité de 0,000 inférieur à 0,05, traduisant un accord élevé.</w:t>
      </w:r>
    </w:p>
    <w:p w14:paraId="62651AB5"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treizième position est occupée par la formule (19), avec une valeur t calculée de 27,369, supérieure à 1,97 et un seuil de 0,000 inférieur à 0,05, indiquant un accord élevé, confirmant des contraintes organisationnelles.</w:t>
      </w:r>
    </w:p>
    <w:p w14:paraId="5BBE746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quatorzième position revient à la formule (11), avec une valeur t calculée de 24,144, supérieure à 1,97 et une significativité de 0,000 inférieur à 0,05, traduisant un accord élevé, confirmant des contraintes organisationnelles.</w:t>
      </w:r>
    </w:p>
    <w:p w14:paraId="3485A8A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quinzième position est occupée par la formule (03), avec une valeur t calculée de 23,831, supérieure à 1,97 et un seuil de 0,000 inférieur à 0,05, traduisant un accord modéré à positif, signalant un obstacle structurel.</w:t>
      </w:r>
    </w:p>
    <w:p w14:paraId="06A30E5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seizième position revient à la formule (10), avec une valeur t calculée de 22,278, supérieure à 1,97 et une significativité de 0,000 inférieur à 0,05, un accord modéré à positif, montrant un besoin de soutien.</w:t>
      </w:r>
    </w:p>
    <w:p w14:paraId="38690D7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dix-septième position est occupée par la formule (12), avec une valeur t calculée de 21,330, supérieure à 1,97 et un seuil de 0,000 inférieur à 0,05, indiquant un accord élevé, reflétant une prise de conscience partielle.</w:t>
      </w:r>
    </w:p>
    <w:p w14:paraId="3137935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lastRenderedPageBreak/>
        <w:t>La dix-huitième position revient à la formule (13), avec une valeur t calculée de 19,010, supérieure à 1,97 et une significativité de 0,000 inférieur à 0,05, traduisant un accord élevé, confirmant un pilotage responsable.</w:t>
      </w:r>
    </w:p>
    <w:p w14:paraId="3C1C07A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dix-neuvième position est occupée par la formule (23), avec une valeur t calculée de 19,893, supérieure à 1,97 et un seuil de 0,000 inférieur à 0,05, indiquant un accord modéré a élevé.</w:t>
      </w:r>
    </w:p>
    <w:p w14:paraId="1A5F9C51"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vingtième position revient à la formule (16), avec une valeur t calculée de 18,758, supérieure à 1,97 et une significativité de 0,000 inférieur à 0,05, traduisant un accord strategique élevé.</w:t>
      </w:r>
    </w:p>
    <w:p w14:paraId="60FC9DCD"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 et unième position est occupée par la formule (15), avec une valeur t calculée de 17,563, supérieure à 1,97 et un seuil de 0,000 inférieur à 0,05, indiquant un accord élevé.</w:t>
      </w:r>
    </w:p>
    <w:p w14:paraId="563E9B29"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vingt-deuxième position revient à la formule (24), avec une valeur t calculée de 17,113, supérieure à 1,97 et une significativité de 0,000 inférieur à 0,05, traduisant un accord élevé, confirmant un rôle actif de la gouvernance.</w:t>
      </w:r>
    </w:p>
    <w:p w14:paraId="3AD35DFE"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vingt-troisième position est occupée par la formule (20), avec une valeur t calculée de 16,978, supérieure à 1,97 et un seuil de 0,000 inférieur à 0,05, indiquant un accord modéré a positive.</w:t>
      </w:r>
    </w:p>
    <w:p w14:paraId="59C9BAE7"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vingt-quatrième position revient à la formule (28), avec une valeur t calculée de 16,364, supérieure à 1,97 et une significativité de 0,000 inférieur à 0,05, traduisant un accord modéré, montrant une évolution progressive.</w:t>
      </w:r>
    </w:p>
    <w:p w14:paraId="2B1423C2"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vingt-cinquième position est occupée par la formule (14), avec une valeur t calculée de 14,571, supérieure à 1,97 et un seuil de 0,000 inférieur à 0,05, indiquant un accord modéré.</w:t>
      </w:r>
    </w:p>
    <w:p w14:paraId="3EAC9C46"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vingt-sixième position revient à la formule (17), avec une valeur t calculée de 12,945, supérieure à 1,97 et une significativité de 0,000 inférieur à 0,05, traduisant un accord modéré.</w:t>
      </w:r>
    </w:p>
    <w:p w14:paraId="7EF3F840"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vingt-septième position est occupée par la formule (29), avec une valeur t calculée de 17,125, supérieure à 1,97 et un seuil de 0,000 inférieur à 0,05, indiquant un accord modéré a élevé, confirmant une vision stratégique.</w:t>
      </w:r>
    </w:p>
    <w:p w14:paraId="7087B2BF"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vingt-huitième position revient à la formule (09), avec une valeur t calculée de 11,102, supérieure à 1,97 et une significativité de 0,000 inférieur à 0,05, traduisant un accord relativement plus faible.</w:t>
      </w:r>
    </w:p>
    <w:p w14:paraId="20E14133"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La vingt-neuvième position est occupée par la formule (05), avec une valeur t calculée de 2,025, supérieure à 1,97 et un niveau de signification de 0,044 inférieur à 0,05, ce qui signifie que l’expression reste positive mais avec un niveau d’accord fai</w:t>
      </w:r>
      <w:r w:rsidR="00695A21" w:rsidRPr="00E2052F">
        <w:rPr>
          <w:rFonts w:cstheme="majorBidi"/>
          <w:color w:val="000000"/>
          <w:sz w:val="22"/>
        </w:rPr>
        <w:t>ble comparativement aux autres.</w:t>
      </w:r>
    </w:p>
    <w:p w14:paraId="7C8F0615" w14:textId="77777777" w:rsidR="00086FF4" w:rsidRPr="00E2052F" w:rsidRDefault="00086FF4" w:rsidP="00D23BF3">
      <w:pPr>
        <w:spacing w:before="0" w:beforeAutospacing="0"/>
        <w:rPr>
          <w:rFonts w:cstheme="majorBidi"/>
          <w:color w:val="000000"/>
          <w:sz w:val="22"/>
        </w:rPr>
      </w:pPr>
      <w:r w:rsidRPr="00E2052F">
        <w:rPr>
          <w:rFonts w:cstheme="majorBidi"/>
          <w:color w:val="000000"/>
          <w:sz w:val="22"/>
        </w:rPr>
        <w:t xml:space="preserve">La moyenne générale de l'axe 7 (RSE) est de 3,99 avec un écart type de 0,622, ce qui reflète </w:t>
      </w:r>
      <w:r w:rsidRPr="00E2052F">
        <w:rPr>
          <w:rFonts w:cstheme="majorBidi"/>
          <w:b/>
          <w:bCs/>
          <w:color w:val="000000"/>
          <w:sz w:val="22"/>
        </w:rPr>
        <w:t>un niveau d'accord élevé</w:t>
      </w:r>
      <w:r w:rsidRPr="00E2052F">
        <w:rPr>
          <w:rFonts w:cstheme="majorBidi"/>
          <w:color w:val="000000"/>
          <w:sz w:val="22"/>
        </w:rPr>
        <w:t xml:space="preserve"> concernant la responsabilité sociale des entreprises au sein du groupe TAYAL.</w:t>
      </w:r>
    </w:p>
    <w:p w14:paraId="15E95B8D" w14:textId="77777777" w:rsidR="0049793D" w:rsidRPr="00E2052F" w:rsidRDefault="00086FF4" w:rsidP="00D23BF3">
      <w:pPr>
        <w:spacing w:before="0" w:beforeAutospacing="0"/>
        <w:rPr>
          <w:rFonts w:cstheme="majorBidi"/>
          <w:color w:val="000000"/>
          <w:sz w:val="22"/>
        </w:rPr>
      </w:pPr>
      <w:r w:rsidRPr="00E2052F">
        <w:rPr>
          <w:rFonts w:cstheme="majorBidi"/>
          <w:color w:val="000000"/>
          <w:sz w:val="22"/>
        </w:rPr>
        <w:lastRenderedPageBreak/>
        <w:t xml:space="preserve">La plupart des valeurs t sont supérieures à 20, avec ddl = 299 et Sig. = 0,000. Les répondants sont engagés en faveur de la RSE. Cependant, un énoncé fait exception : </w:t>
      </w:r>
      <w:r w:rsidRPr="00E2052F">
        <w:rPr>
          <w:rFonts w:cstheme="majorBidi"/>
          <w:b/>
          <w:bCs/>
          <w:color w:val="000000"/>
          <w:sz w:val="22"/>
        </w:rPr>
        <w:t>"Une entreprise ne peut rester viable sans générer un impact social positif."</w:t>
      </w:r>
      <w:r w:rsidRPr="00E2052F">
        <w:rPr>
          <w:rFonts w:cstheme="majorBidi"/>
          <w:color w:val="000000"/>
          <w:sz w:val="22"/>
        </w:rPr>
        <w:t xml:space="preserve"> avec t = 2,025, ce qui indique un accord plus faible et à l</w:t>
      </w:r>
      <w:r w:rsidR="00CB7BF5" w:rsidRPr="00E2052F">
        <w:rPr>
          <w:rFonts w:cstheme="majorBidi"/>
          <w:color w:val="000000"/>
          <w:sz w:val="22"/>
        </w:rPr>
        <w:t>a limite de la significativité.</w:t>
      </w:r>
    </w:p>
    <w:p w14:paraId="3469F6E2" w14:textId="77777777" w:rsidR="0049793D" w:rsidRPr="00E2052F" w:rsidRDefault="0049793D" w:rsidP="00BC1AEC">
      <w:pPr>
        <w:pStyle w:val="Titre1"/>
      </w:pPr>
      <w:bookmarkStart w:id="1741" w:name="_Toc229156017"/>
      <w:bookmarkStart w:id="1742" w:name="_Toc231742177"/>
      <w:bookmarkStart w:id="1743" w:name="_Toc231747015"/>
      <w:bookmarkStart w:id="1744" w:name="_Toc231752421"/>
      <w:bookmarkStart w:id="1745" w:name="_Toc231810724"/>
      <w:bookmarkStart w:id="1746" w:name="_Toc231811435"/>
      <w:bookmarkStart w:id="1747" w:name="_Toc231812067"/>
      <w:bookmarkStart w:id="1748" w:name="_Toc231812345"/>
      <w:bookmarkStart w:id="1749" w:name="_Toc231815229"/>
      <w:r w:rsidRPr="00E2052F">
        <w:t>Section 03 :</w:t>
      </w:r>
      <w:bookmarkEnd w:id="1741"/>
      <w:r w:rsidR="00106A37" w:rsidRPr="00E2052F">
        <w:t xml:space="preserve"> Tester les hypothèses et discuter des résultats de l’étude</w:t>
      </w:r>
      <w:bookmarkEnd w:id="1742"/>
      <w:bookmarkEnd w:id="1743"/>
      <w:bookmarkEnd w:id="1744"/>
      <w:bookmarkEnd w:id="1745"/>
      <w:r w:rsidR="003B6F7B">
        <w:t> :</w:t>
      </w:r>
      <w:bookmarkEnd w:id="1746"/>
      <w:bookmarkEnd w:id="1747"/>
      <w:bookmarkEnd w:id="1748"/>
      <w:bookmarkEnd w:id="1749"/>
    </w:p>
    <w:p w14:paraId="6030FA97" w14:textId="77777777" w:rsidR="00602C5E" w:rsidRPr="00E2052F" w:rsidRDefault="00602C5E" w:rsidP="00D23BF3">
      <w:pPr>
        <w:spacing w:before="0" w:beforeAutospacing="0"/>
        <w:rPr>
          <w:rFonts w:cstheme="majorBidi"/>
          <w:sz w:val="22"/>
        </w:rPr>
      </w:pPr>
      <w:r w:rsidRPr="00E2052F">
        <w:rPr>
          <w:rFonts w:cstheme="majorBidi"/>
          <w:sz w:val="22"/>
        </w:rPr>
        <w:t>Cette section vise à permettre à l’étudiant de vérifier l’hypothèse formulée au départ en réponse aux questions de recherche. Elle consiste à en évaluer la validité en s’appuyant sur les résultats obtenus, ainsi qu’à analyser et discuter les données issues des différents axes du questionnaire. L’hypothèse principale de l’étude postule l’existence d’une relation positive et significative entre les différentes dimensions des principes de gouvernance et la responsabilité sociale des entreprises au sein de l’entreprise TAYAL SPA (L’Algérienne des Industries Textiles).</w:t>
      </w:r>
    </w:p>
    <w:p w14:paraId="520A5F6D" w14:textId="77777777" w:rsidR="00602C5E" w:rsidRPr="00E2052F" w:rsidRDefault="00602C5E" w:rsidP="00D23BF3">
      <w:pPr>
        <w:spacing w:before="0" w:beforeAutospacing="0"/>
        <w:rPr>
          <w:rFonts w:cstheme="majorBidi"/>
          <w:sz w:val="22"/>
        </w:rPr>
      </w:pPr>
      <w:r w:rsidRPr="00E2052F">
        <w:rPr>
          <w:rFonts w:cstheme="majorBidi"/>
          <w:sz w:val="22"/>
        </w:rPr>
        <w:t>Où il s’est divisé à six sous-hypothèses :</w:t>
      </w:r>
    </w:p>
    <w:p w14:paraId="72FBBA00" w14:textId="77777777" w:rsidR="00C827F5" w:rsidRPr="00E2052F" w:rsidRDefault="00602C5E" w:rsidP="00D23BF3">
      <w:pPr>
        <w:spacing w:before="0" w:beforeAutospacing="0"/>
        <w:rPr>
          <w:rFonts w:cstheme="majorBidi"/>
          <w:sz w:val="22"/>
        </w:rPr>
      </w:pPr>
      <w:r w:rsidRPr="00E2052F">
        <w:rPr>
          <w:rFonts w:cstheme="majorBidi"/>
          <w:b/>
          <w:bCs/>
          <w:sz w:val="22"/>
        </w:rPr>
        <w:t>H1 :</w:t>
      </w:r>
      <w:r w:rsidRPr="00E2052F">
        <w:rPr>
          <w:rFonts w:cstheme="majorBidi"/>
          <w:sz w:val="22"/>
        </w:rPr>
        <w:t xml:space="preserve"> Il existe une relation positive significative entre les principes de la gouvernance et la responsabilité sociale des entreprises au sein de l’entreprise TAYAL SPA.</w:t>
      </w:r>
    </w:p>
    <w:p w14:paraId="3E1B974C" w14:textId="77777777" w:rsidR="00602C5E" w:rsidRPr="00E2052F" w:rsidRDefault="00602C5E" w:rsidP="00D23BF3">
      <w:pPr>
        <w:spacing w:before="0" w:beforeAutospacing="0"/>
        <w:rPr>
          <w:rFonts w:cstheme="majorBidi"/>
          <w:sz w:val="22"/>
        </w:rPr>
      </w:pPr>
      <w:r w:rsidRPr="00E2052F">
        <w:rPr>
          <w:rFonts w:cstheme="majorBidi"/>
          <w:sz w:val="22"/>
        </w:rPr>
        <w:t>Cette hypothèse est divisées en un certain nombre de sous hypothèses comme suit :</w:t>
      </w:r>
    </w:p>
    <w:p w14:paraId="43881DD8" w14:textId="77777777" w:rsidR="00602C5E" w:rsidRPr="00E2052F" w:rsidRDefault="00602C5E" w:rsidP="00D23BF3">
      <w:pPr>
        <w:spacing w:before="0" w:beforeAutospacing="0"/>
        <w:rPr>
          <w:rFonts w:cstheme="majorBidi"/>
          <w:sz w:val="22"/>
        </w:rPr>
      </w:pPr>
      <w:r w:rsidRPr="00E2052F">
        <w:rPr>
          <w:rFonts w:cstheme="majorBidi"/>
          <w:b/>
          <w:bCs/>
          <w:sz w:val="22"/>
        </w:rPr>
        <w:t>H1a :</w:t>
      </w:r>
      <w:r w:rsidRPr="00E2052F">
        <w:rPr>
          <w:rFonts w:cstheme="majorBidi"/>
          <w:sz w:val="22"/>
        </w:rPr>
        <w:t xml:space="preserve"> Il existe une relation positive significative entre l’existence d’une base pour un cadre efficace de gouvernance et la responsabilité sociale des entreprises au sein de Tayal SPA.</w:t>
      </w:r>
    </w:p>
    <w:p w14:paraId="57EDBC23" w14:textId="77777777" w:rsidR="00602C5E" w:rsidRPr="00E2052F" w:rsidRDefault="00602C5E" w:rsidP="00D23BF3">
      <w:pPr>
        <w:spacing w:before="0" w:beforeAutospacing="0"/>
        <w:rPr>
          <w:rFonts w:cstheme="majorBidi"/>
          <w:sz w:val="22"/>
        </w:rPr>
      </w:pPr>
      <w:r w:rsidRPr="00E2052F">
        <w:rPr>
          <w:rFonts w:cstheme="majorBidi"/>
          <w:b/>
          <w:bCs/>
          <w:sz w:val="22"/>
        </w:rPr>
        <w:t>H1b :</w:t>
      </w:r>
      <w:r w:rsidRPr="00E2052F">
        <w:rPr>
          <w:rFonts w:cstheme="majorBidi"/>
          <w:sz w:val="22"/>
        </w:rPr>
        <w:t xml:space="preserve"> Il existe une relation positive significative entre la préservation des droits des actionnaires et la responsabilité sociale des entreprises au sein de Tayal SPA.</w:t>
      </w:r>
    </w:p>
    <w:p w14:paraId="56576E4B" w14:textId="77777777" w:rsidR="00602C5E" w:rsidRPr="00E2052F" w:rsidRDefault="00602C5E" w:rsidP="00D23BF3">
      <w:pPr>
        <w:spacing w:before="0" w:beforeAutospacing="0"/>
        <w:rPr>
          <w:rFonts w:cstheme="majorBidi"/>
          <w:sz w:val="22"/>
        </w:rPr>
      </w:pPr>
      <w:r w:rsidRPr="00E2052F">
        <w:rPr>
          <w:rFonts w:cstheme="majorBidi"/>
          <w:b/>
          <w:bCs/>
          <w:sz w:val="22"/>
        </w:rPr>
        <w:t>H1c :</w:t>
      </w:r>
      <w:r w:rsidRPr="00E2052F">
        <w:rPr>
          <w:rFonts w:cstheme="majorBidi"/>
          <w:sz w:val="22"/>
        </w:rPr>
        <w:t xml:space="preserve"> Il existe une relation positive significative entre le traitement équitable des actionnaires et la responsabilité sociale des entreprises au sein de Tayal SPA.</w:t>
      </w:r>
    </w:p>
    <w:p w14:paraId="732F1C71" w14:textId="77777777" w:rsidR="00602C5E" w:rsidRPr="00E2052F" w:rsidRDefault="00602C5E" w:rsidP="00D23BF3">
      <w:pPr>
        <w:spacing w:before="0" w:beforeAutospacing="0"/>
        <w:rPr>
          <w:rFonts w:cstheme="majorBidi"/>
          <w:sz w:val="22"/>
        </w:rPr>
      </w:pPr>
      <w:r w:rsidRPr="00E2052F">
        <w:rPr>
          <w:rFonts w:cstheme="majorBidi"/>
          <w:b/>
          <w:bCs/>
          <w:sz w:val="22"/>
        </w:rPr>
        <w:t>H1d :</w:t>
      </w:r>
      <w:r w:rsidRPr="00E2052F">
        <w:rPr>
          <w:rFonts w:cstheme="majorBidi"/>
          <w:sz w:val="22"/>
        </w:rPr>
        <w:t xml:space="preserve"> Il existe une relation positive significative entre le rôle des parties prenantes dans la gouvernance et la responsabilité sociale des entreprises au sein de Tayal SPA.</w:t>
      </w:r>
    </w:p>
    <w:p w14:paraId="71631C26" w14:textId="77777777" w:rsidR="00602C5E" w:rsidRPr="00E2052F" w:rsidRDefault="00602C5E" w:rsidP="00D23BF3">
      <w:pPr>
        <w:spacing w:before="0" w:beforeAutospacing="0"/>
        <w:rPr>
          <w:rFonts w:cstheme="majorBidi"/>
          <w:sz w:val="22"/>
        </w:rPr>
      </w:pPr>
      <w:r w:rsidRPr="00E2052F">
        <w:rPr>
          <w:rFonts w:cstheme="majorBidi"/>
          <w:b/>
          <w:bCs/>
          <w:sz w:val="22"/>
        </w:rPr>
        <w:t>H1e :</w:t>
      </w:r>
      <w:r w:rsidRPr="00E2052F">
        <w:rPr>
          <w:rFonts w:cstheme="majorBidi"/>
          <w:sz w:val="22"/>
        </w:rPr>
        <w:t xml:space="preserve"> Il existe une relation positive significative entre la divulgation et la transparence et la responsabilité sociale des entreprises au sein de Tayal SPA.</w:t>
      </w:r>
    </w:p>
    <w:p w14:paraId="023BDCD0" w14:textId="77777777" w:rsidR="00602C5E" w:rsidRPr="00E2052F" w:rsidRDefault="00602C5E" w:rsidP="00D23BF3">
      <w:pPr>
        <w:spacing w:before="0" w:beforeAutospacing="0"/>
        <w:rPr>
          <w:rFonts w:cstheme="majorBidi"/>
          <w:sz w:val="22"/>
        </w:rPr>
      </w:pPr>
      <w:r w:rsidRPr="00E2052F">
        <w:rPr>
          <w:rFonts w:cstheme="majorBidi"/>
          <w:b/>
          <w:bCs/>
          <w:sz w:val="22"/>
        </w:rPr>
        <w:t>H1f :</w:t>
      </w:r>
      <w:r w:rsidRPr="00E2052F">
        <w:rPr>
          <w:rFonts w:cstheme="majorBidi"/>
          <w:sz w:val="22"/>
        </w:rPr>
        <w:t xml:space="preserve"> Il existe une relation positive significative entre la responsabilité du conseil d’administration et la responsabilité sociale des entreprises au sein de Tayal SPA.</w:t>
      </w:r>
    </w:p>
    <w:p w14:paraId="4D92C68B" w14:textId="77777777" w:rsidR="00FB6589" w:rsidRPr="00E2052F" w:rsidRDefault="00FB6589" w:rsidP="00D23BF3">
      <w:pPr>
        <w:spacing w:before="0" w:beforeAutospacing="0"/>
        <w:rPr>
          <w:rFonts w:cstheme="majorBidi"/>
          <w:sz w:val="22"/>
        </w:rPr>
      </w:pPr>
      <w:r w:rsidRPr="00E2052F">
        <w:rPr>
          <w:rFonts w:cstheme="majorBidi"/>
          <w:b/>
          <w:bCs/>
          <w:sz w:val="22"/>
        </w:rPr>
        <w:t xml:space="preserve">   </w:t>
      </w:r>
      <w:r w:rsidRPr="00E2052F">
        <w:rPr>
          <w:rFonts w:cstheme="majorBidi"/>
          <w:sz w:val="22"/>
        </w:rPr>
        <w:t>Nous avons effectué des mesures statistiques pour démontrer la validité et la fiabilité des énoncés du questionnaire, en calculant le coefficient alpha de Cronbach. Le tableau suivant montre les valeurs alpha de Cronbach pour tous les axes d’étude et l’alpha de Cronbach total.</w:t>
      </w:r>
    </w:p>
    <w:p w14:paraId="12D79812" w14:textId="77777777" w:rsidR="00FB6589" w:rsidRPr="00E2052F" w:rsidRDefault="00FB6589" w:rsidP="00D23BF3">
      <w:pPr>
        <w:spacing w:before="0" w:beforeAutospacing="0"/>
        <w:rPr>
          <w:rFonts w:cstheme="majorBidi"/>
          <w:b/>
          <w:bCs/>
          <w:sz w:val="22"/>
        </w:rPr>
      </w:pPr>
      <w:r w:rsidRPr="00E2052F">
        <w:rPr>
          <w:rFonts w:cstheme="majorBidi"/>
          <w:b/>
          <w:bCs/>
          <w:sz w:val="22"/>
          <w:u w:val="single"/>
        </w:rPr>
        <w:t>Tableau</w:t>
      </w:r>
      <w:r w:rsidR="00193ABF" w:rsidRPr="00E2052F">
        <w:rPr>
          <w:rFonts w:cstheme="majorBidi"/>
          <w:b/>
          <w:bCs/>
          <w:sz w:val="22"/>
          <w:u w:val="single"/>
        </w:rPr>
        <w:t xml:space="preserve"> 29</w:t>
      </w:r>
      <w:r w:rsidR="00695A21" w:rsidRPr="00E2052F">
        <w:rPr>
          <w:rFonts w:cstheme="majorBidi"/>
          <w:b/>
          <w:bCs/>
          <w:sz w:val="22"/>
          <w:u w:val="single"/>
        </w:rPr>
        <w:t xml:space="preserve"> </w:t>
      </w:r>
      <w:r w:rsidRPr="00E2052F">
        <w:rPr>
          <w:rFonts w:cstheme="majorBidi"/>
          <w:b/>
          <w:bCs/>
          <w:sz w:val="22"/>
          <w:u w:val="single"/>
        </w:rPr>
        <w:t>:</w:t>
      </w:r>
      <w:r w:rsidRPr="00E2052F">
        <w:rPr>
          <w:rFonts w:cstheme="majorBidi"/>
          <w:b/>
          <w:bCs/>
          <w:sz w:val="22"/>
        </w:rPr>
        <w:t xml:space="preserve"> </w:t>
      </w:r>
      <w:r w:rsidR="00651173" w:rsidRPr="00E2052F">
        <w:rPr>
          <w:rFonts w:cstheme="majorBidi"/>
          <w:b/>
          <w:bCs/>
          <w:sz w:val="22"/>
        </w:rPr>
        <w:t>Le test total d’Alpha cronbach.</w:t>
      </w:r>
    </w:p>
    <w:tbl>
      <w:tblPr>
        <w:tblStyle w:val="Grilledutableau"/>
        <w:tblW w:w="9072" w:type="dxa"/>
        <w:tblLook w:val="04A0" w:firstRow="1" w:lastRow="0" w:firstColumn="1" w:lastColumn="0" w:noHBand="0" w:noVBand="1"/>
      </w:tblPr>
      <w:tblGrid>
        <w:gridCol w:w="3119"/>
        <w:gridCol w:w="3101"/>
        <w:gridCol w:w="2852"/>
      </w:tblGrid>
      <w:tr w:rsidR="0039676D" w:rsidRPr="00E2052F" w14:paraId="02B8A500" w14:textId="77777777" w:rsidTr="007530A6">
        <w:tc>
          <w:tcPr>
            <w:tcW w:w="3526" w:type="dxa"/>
            <w:shd w:val="clear" w:color="auto" w:fill="D9E2F3" w:themeFill="accent1" w:themeFillTint="33"/>
          </w:tcPr>
          <w:p w14:paraId="73F19F49" w14:textId="77777777" w:rsidR="0039676D" w:rsidRPr="00E2052F" w:rsidRDefault="0039676D" w:rsidP="00EC7BDC">
            <w:pPr>
              <w:spacing w:before="0" w:beforeAutospacing="0"/>
              <w:ind w:firstLine="0"/>
              <w:jc w:val="center"/>
              <w:rPr>
                <w:rFonts w:cstheme="majorBidi"/>
                <w:b/>
                <w:bCs/>
                <w:sz w:val="22"/>
              </w:rPr>
            </w:pPr>
            <w:r w:rsidRPr="00E2052F">
              <w:rPr>
                <w:rFonts w:cstheme="majorBidi"/>
                <w:b/>
                <w:bCs/>
                <w:sz w:val="22"/>
              </w:rPr>
              <w:lastRenderedPageBreak/>
              <w:t>Nombre d’élément</w:t>
            </w:r>
          </w:p>
        </w:tc>
        <w:tc>
          <w:tcPr>
            <w:tcW w:w="3502" w:type="dxa"/>
            <w:shd w:val="clear" w:color="auto" w:fill="D9E2F3" w:themeFill="accent1" w:themeFillTint="33"/>
          </w:tcPr>
          <w:p w14:paraId="1778AEEE" w14:textId="77777777" w:rsidR="0039676D" w:rsidRPr="00E2052F" w:rsidRDefault="0039676D" w:rsidP="00EC7BDC">
            <w:pPr>
              <w:spacing w:before="0" w:beforeAutospacing="0"/>
              <w:ind w:firstLine="0"/>
              <w:jc w:val="center"/>
              <w:rPr>
                <w:rFonts w:cstheme="majorBidi"/>
                <w:b/>
                <w:bCs/>
                <w:sz w:val="22"/>
              </w:rPr>
            </w:pPr>
            <w:r w:rsidRPr="00E2052F">
              <w:rPr>
                <w:rFonts w:cstheme="majorBidi"/>
                <w:b/>
                <w:bCs/>
                <w:sz w:val="22"/>
              </w:rPr>
              <w:t>Alpha Cronbach</w:t>
            </w:r>
          </w:p>
        </w:tc>
        <w:tc>
          <w:tcPr>
            <w:tcW w:w="3166" w:type="dxa"/>
            <w:shd w:val="clear" w:color="auto" w:fill="D9E2F3" w:themeFill="accent1" w:themeFillTint="33"/>
          </w:tcPr>
          <w:p w14:paraId="0BDB9A3C" w14:textId="77777777" w:rsidR="0039676D" w:rsidRPr="00E2052F" w:rsidRDefault="0039676D" w:rsidP="00EC7BDC">
            <w:pPr>
              <w:spacing w:before="0" w:beforeAutospacing="0"/>
              <w:ind w:firstLine="0"/>
              <w:jc w:val="center"/>
              <w:rPr>
                <w:rFonts w:cstheme="majorBidi"/>
                <w:sz w:val="22"/>
              </w:rPr>
            </w:pPr>
            <w:r w:rsidRPr="00E2052F">
              <w:rPr>
                <w:rFonts w:cstheme="majorBidi"/>
                <w:b/>
                <w:bCs/>
                <w:sz w:val="22"/>
              </w:rPr>
              <w:t>Lors de la suppression de l'honnêteté</w:t>
            </w:r>
          </w:p>
        </w:tc>
      </w:tr>
      <w:tr w:rsidR="0039676D" w:rsidRPr="00E2052F" w14:paraId="5A685D29" w14:textId="77777777" w:rsidTr="00EC7BDC">
        <w:tc>
          <w:tcPr>
            <w:tcW w:w="3526" w:type="dxa"/>
          </w:tcPr>
          <w:p w14:paraId="009EA322" w14:textId="77777777" w:rsidR="0039676D" w:rsidRPr="00E2052F" w:rsidRDefault="0039676D" w:rsidP="00EC7BDC">
            <w:pPr>
              <w:spacing w:before="0" w:beforeAutospacing="0"/>
              <w:ind w:firstLine="0"/>
              <w:jc w:val="center"/>
              <w:rPr>
                <w:rFonts w:cstheme="majorBidi"/>
                <w:sz w:val="22"/>
              </w:rPr>
            </w:pPr>
            <w:r w:rsidRPr="00E2052F">
              <w:rPr>
                <w:rFonts w:cstheme="majorBidi"/>
                <w:sz w:val="22"/>
              </w:rPr>
              <w:t>60</w:t>
            </w:r>
          </w:p>
        </w:tc>
        <w:tc>
          <w:tcPr>
            <w:tcW w:w="3502" w:type="dxa"/>
          </w:tcPr>
          <w:p w14:paraId="60E4F052" w14:textId="77777777" w:rsidR="0039676D" w:rsidRPr="00E2052F" w:rsidRDefault="0039676D" w:rsidP="00EC7BDC">
            <w:pPr>
              <w:spacing w:before="0" w:beforeAutospacing="0"/>
              <w:ind w:firstLine="0"/>
              <w:jc w:val="center"/>
              <w:rPr>
                <w:rFonts w:cstheme="majorBidi"/>
                <w:sz w:val="22"/>
              </w:rPr>
            </w:pPr>
            <w:r w:rsidRPr="00E2052F">
              <w:rPr>
                <w:rFonts w:cstheme="majorBidi"/>
                <w:sz w:val="22"/>
              </w:rPr>
              <w:t>0,982</w:t>
            </w:r>
          </w:p>
        </w:tc>
        <w:tc>
          <w:tcPr>
            <w:tcW w:w="3166" w:type="dxa"/>
          </w:tcPr>
          <w:p w14:paraId="49E467A1" w14:textId="77777777" w:rsidR="0039676D" w:rsidRPr="00E2052F" w:rsidRDefault="0039676D" w:rsidP="00EC7BDC">
            <w:pPr>
              <w:spacing w:before="0" w:beforeAutospacing="0"/>
              <w:ind w:firstLine="0"/>
              <w:jc w:val="center"/>
              <w:rPr>
                <w:rFonts w:cstheme="majorBidi"/>
                <w:color w:val="2F5496" w:themeColor="accent1" w:themeShade="BF"/>
                <w:sz w:val="22"/>
              </w:rPr>
            </w:pPr>
            <w:r w:rsidRPr="00E2052F">
              <w:rPr>
                <w:rFonts w:cstheme="majorBidi"/>
                <w:sz w:val="22"/>
              </w:rPr>
              <w:t>0,981</w:t>
            </w:r>
          </w:p>
        </w:tc>
      </w:tr>
    </w:tbl>
    <w:p w14:paraId="70CAC748" w14:textId="77777777" w:rsidR="00FB6589" w:rsidRPr="00E2052F" w:rsidRDefault="006E35B0" w:rsidP="00EC7BDC">
      <w:pPr>
        <w:spacing w:before="0" w:beforeAutospacing="0" w:line="240" w:lineRule="auto"/>
        <w:jc w:val="center"/>
        <w:rPr>
          <w:rFonts w:cstheme="majorBidi"/>
          <w:sz w:val="22"/>
        </w:rPr>
      </w:pPr>
      <w:r w:rsidRPr="00E2052F">
        <w:rPr>
          <w:rFonts w:cstheme="majorBidi"/>
          <w:b/>
          <w:bCs/>
          <w:sz w:val="22"/>
        </w:rPr>
        <w:t xml:space="preserve">Source : </w:t>
      </w:r>
      <w:r w:rsidRPr="00E2052F">
        <w:rPr>
          <w:rFonts w:cstheme="majorBidi"/>
          <w:sz w:val="22"/>
        </w:rPr>
        <w:t>Réalisé par l'étudiante à partir des résultats du SPSS</w:t>
      </w:r>
      <w:r w:rsidR="0039676D" w:rsidRPr="00E2052F">
        <w:rPr>
          <w:rFonts w:cstheme="majorBidi"/>
          <w:sz w:val="22"/>
        </w:rPr>
        <w:t xml:space="preserve"> 27</w:t>
      </w:r>
      <w:r w:rsidRPr="00E2052F">
        <w:rPr>
          <w:rFonts w:cstheme="majorBidi"/>
          <w:sz w:val="22"/>
        </w:rPr>
        <w:t>.</w:t>
      </w:r>
    </w:p>
    <w:p w14:paraId="2E4C09BF" w14:textId="77777777" w:rsidR="00D62FF7" w:rsidRPr="00E2052F" w:rsidRDefault="00D62FF7" w:rsidP="00D23BF3">
      <w:pPr>
        <w:spacing w:before="0" w:beforeAutospacing="0"/>
        <w:rPr>
          <w:rFonts w:cstheme="majorBidi"/>
          <w:sz w:val="22"/>
        </w:rPr>
      </w:pPr>
      <w:r w:rsidRPr="00E2052F">
        <w:rPr>
          <w:rFonts w:cstheme="majorBidi"/>
          <w:sz w:val="22"/>
        </w:rPr>
        <w:t>Le tableau montre que le coefficient de fiabilité Alpha de Cronbach pour les dimensions de l'étude est très élevé, atteignant 0,982 pour l'ensemble d</w:t>
      </w:r>
      <w:r w:rsidR="00DD0DE2" w:rsidRPr="00E2052F">
        <w:rPr>
          <w:rFonts w:cstheme="majorBidi"/>
          <w:sz w:val="22"/>
        </w:rPr>
        <w:t>es 60 énoncés du questionnaire ; ce qui dépasse largement le seuil de 0,6.</w:t>
      </w:r>
      <w:r w:rsidRPr="00E2052F">
        <w:rPr>
          <w:rFonts w:cstheme="majorBidi"/>
          <w:sz w:val="22"/>
        </w:rPr>
        <w:t>Cela indique que le questionnaire bénéficie d'un haut degré de stabilité et que les réponses présentent une forte crédibilité.</w:t>
      </w:r>
    </w:p>
    <w:p w14:paraId="361EB024" w14:textId="77777777" w:rsidR="00D62FF7" w:rsidRPr="00E2052F" w:rsidRDefault="00D62FF7" w:rsidP="00D23BF3">
      <w:pPr>
        <w:spacing w:before="0" w:beforeAutospacing="0"/>
        <w:rPr>
          <w:rFonts w:cstheme="majorBidi"/>
          <w:sz w:val="22"/>
        </w:rPr>
      </w:pPr>
      <w:r w:rsidRPr="00E2052F">
        <w:rPr>
          <w:rFonts w:cstheme="majorBidi"/>
          <w:sz w:val="22"/>
        </w:rPr>
        <w:t xml:space="preserve">De plus, en calculant la validité du questionnaire à travers la racine carrée des coefficients de fiabilité, nous avons obtenu une valeur de 0,991 pour l'ensemble des </w:t>
      </w:r>
      <w:r w:rsidR="00DD0DE2" w:rsidRPr="00E2052F">
        <w:rPr>
          <w:rFonts w:cstheme="majorBidi"/>
          <w:sz w:val="22"/>
        </w:rPr>
        <w:t>énoncés. Ces</w:t>
      </w:r>
      <w:r w:rsidRPr="00E2052F">
        <w:rPr>
          <w:rFonts w:cstheme="majorBidi"/>
          <w:sz w:val="22"/>
        </w:rPr>
        <w:t xml:space="preserve"> résultats confirment que les</w:t>
      </w:r>
      <w:r w:rsidR="00DD0DE2" w:rsidRPr="00E2052F">
        <w:rPr>
          <w:rFonts w:cstheme="majorBidi"/>
          <w:sz w:val="22"/>
        </w:rPr>
        <w:t xml:space="preserve"> items du</w:t>
      </w:r>
      <w:r w:rsidRPr="00E2052F">
        <w:rPr>
          <w:rFonts w:cstheme="majorBidi"/>
          <w:sz w:val="22"/>
        </w:rPr>
        <w:t xml:space="preserve"> questionnaire jouissent d'une forte cohérence interne et qu'il est possible de se fier à cet instrument pour l'application sur le terrain, ce qui atteste de la validité de l'outil de mesure par rapport aux objectifs pour lesquels il a été conçu.</w:t>
      </w:r>
    </w:p>
    <w:p w14:paraId="5258210E" w14:textId="77777777" w:rsidR="00D62FF7" w:rsidRPr="00E2052F" w:rsidRDefault="00D62FF7" w:rsidP="00F36332">
      <w:pPr>
        <w:pStyle w:val="Titre2"/>
        <w:numPr>
          <w:ilvl w:val="0"/>
          <w:numId w:val="227"/>
        </w:numPr>
      </w:pPr>
      <w:bookmarkStart w:id="1750" w:name="_Toc229156018"/>
      <w:bookmarkStart w:id="1751" w:name="_Toc231747016"/>
      <w:bookmarkStart w:id="1752" w:name="_Toc231752422"/>
      <w:bookmarkStart w:id="1753" w:name="_Toc231810725"/>
      <w:bookmarkStart w:id="1754" w:name="_Toc231812068"/>
      <w:bookmarkStart w:id="1755" w:name="_Toc231812346"/>
      <w:bookmarkStart w:id="1756" w:name="_Toc231815230"/>
      <w:r w:rsidRPr="00E2052F">
        <w:t>Coefficient de corrélation et Analyse de variance ANOVA :</w:t>
      </w:r>
      <w:bookmarkEnd w:id="1750"/>
      <w:bookmarkEnd w:id="1751"/>
      <w:bookmarkEnd w:id="1752"/>
      <w:bookmarkEnd w:id="1753"/>
      <w:bookmarkEnd w:id="1754"/>
      <w:bookmarkEnd w:id="1755"/>
      <w:bookmarkEnd w:id="1756"/>
    </w:p>
    <w:p w14:paraId="19F8F6F9" w14:textId="77777777" w:rsidR="00D62FF7" w:rsidRPr="00E2052F" w:rsidRDefault="00D62FF7" w:rsidP="00D61875">
      <w:pPr>
        <w:pStyle w:val="Titre3"/>
        <w:numPr>
          <w:ilvl w:val="0"/>
          <w:numId w:val="17"/>
        </w:numPr>
        <w:spacing w:before="0" w:beforeAutospacing="0" w:after="160"/>
        <w:ind w:left="568" w:hanging="284"/>
        <w:rPr>
          <w:rFonts w:asciiTheme="majorBidi" w:hAnsiTheme="majorBidi"/>
          <w:color w:val="auto"/>
          <w:sz w:val="22"/>
        </w:rPr>
      </w:pPr>
      <w:bookmarkStart w:id="1757" w:name="_Toc229156019"/>
      <w:bookmarkStart w:id="1758" w:name="_Toc231747017"/>
      <w:bookmarkStart w:id="1759" w:name="_Toc231752423"/>
      <w:bookmarkStart w:id="1760" w:name="_Toc231810726"/>
      <w:bookmarkStart w:id="1761" w:name="_Toc231812069"/>
      <w:bookmarkStart w:id="1762" w:name="_Toc231812347"/>
      <w:bookmarkStart w:id="1763" w:name="_Toc231815231"/>
      <w:r w:rsidRPr="00E2052F">
        <w:rPr>
          <w:rFonts w:asciiTheme="majorBidi" w:hAnsiTheme="majorBidi"/>
          <w:color w:val="auto"/>
          <w:sz w:val="22"/>
        </w:rPr>
        <w:t>Coefficient de corrélation et de sélection :</w:t>
      </w:r>
      <w:bookmarkEnd w:id="1757"/>
      <w:bookmarkEnd w:id="1758"/>
      <w:bookmarkEnd w:id="1759"/>
      <w:bookmarkEnd w:id="1760"/>
      <w:bookmarkEnd w:id="1761"/>
      <w:bookmarkEnd w:id="1762"/>
      <w:bookmarkEnd w:id="1763"/>
    </w:p>
    <w:p w14:paraId="7F275C9C" w14:textId="77777777" w:rsidR="00D62FF7" w:rsidRPr="00E2052F" w:rsidRDefault="00D62FF7" w:rsidP="00D23BF3">
      <w:pPr>
        <w:spacing w:before="0" w:beforeAutospacing="0"/>
        <w:rPr>
          <w:rFonts w:cstheme="majorBidi"/>
          <w:sz w:val="22"/>
        </w:rPr>
      </w:pPr>
      <w:r w:rsidRPr="00E2052F">
        <w:rPr>
          <w:rFonts w:cstheme="majorBidi"/>
          <w:sz w:val="22"/>
        </w:rPr>
        <w:t>Pour vérifier la validité ou la fausseté des hypothèses de l’étude, nous avons utilisé le coefficient de corrélation.</w:t>
      </w:r>
    </w:p>
    <w:p w14:paraId="2418C8AE" w14:textId="77777777" w:rsidR="00D62FF7" w:rsidRPr="00E2052F" w:rsidRDefault="00D62FF7" w:rsidP="00D23BF3">
      <w:pPr>
        <w:spacing w:before="0" w:beforeAutospacing="0"/>
        <w:rPr>
          <w:rFonts w:cstheme="majorBidi"/>
          <w:sz w:val="22"/>
        </w:rPr>
      </w:pPr>
      <w:r w:rsidRPr="00E2052F">
        <w:rPr>
          <w:rFonts w:cstheme="majorBidi"/>
          <w:sz w:val="22"/>
        </w:rPr>
        <w:t>Corrélations Pour tester la relation entre les dimensions de la variable indépendante (la gouvernance d'entreprise) et de la variable dépendante (La responsabilité sociale des entreprises (RSE),) et pour mesurer la force de la corrélation entre elles, le cas échéant.</w:t>
      </w:r>
    </w:p>
    <w:p w14:paraId="65D7865D" w14:textId="77777777" w:rsidR="00D62FF7" w:rsidRPr="00E2052F" w:rsidRDefault="00D62FF7" w:rsidP="00D61875">
      <w:pPr>
        <w:pStyle w:val="Titre3"/>
        <w:numPr>
          <w:ilvl w:val="0"/>
          <w:numId w:val="17"/>
        </w:numPr>
        <w:spacing w:before="0" w:beforeAutospacing="0" w:after="160"/>
        <w:ind w:left="568" w:hanging="284"/>
        <w:rPr>
          <w:rFonts w:asciiTheme="majorBidi" w:hAnsiTheme="majorBidi"/>
          <w:color w:val="auto"/>
          <w:sz w:val="22"/>
        </w:rPr>
      </w:pPr>
      <w:bookmarkStart w:id="1764" w:name="_Toc229156020"/>
      <w:bookmarkStart w:id="1765" w:name="_Toc231747018"/>
      <w:bookmarkStart w:id="1766" w:name="_Toc231752424"/>
      <w:bookmarkStart w:id="1767" w:name="_Toc231810727"/>
      <w:bookmarkStart w:id="1768" w:name="_Toc231812070"/>
      <w:bookmarkStart w:id="1769" w:name="_Toc231812348"/>
      <w:bookmarkStart w:id="1770" w:name="_Toc231815232"/>
      <w:r w:rsidRPr="00E2052F">
        <w:rPr>
          <w:rFonts w:asciiTheme="majorBidi" w:hAnsiTheme="majorBidi"/>
          <w:color w:val="auto"/>
          <w:sz w:val="22"/>
        </w:rPr>
        <w:t>Tester les hypothèses :</w:t>
      </w:r>
      <w:bookmarkEnd w:id="1764"/>
      <w:bookmarkEnd w:id="1765"/>
      <w:bookmarkEnd w:id="1766"/>
      <w:bookmarkEnd w:id="1767"/>
      <w:bookmarkEnd w:id="1768"/>
      <w:bookmarkEnd w:id="1769"/>
      <w:bookmarkEnd w:id="1770"/>
    </w:p>
    <w:p w14:paraId="184A7EBF" w14:textId="77777777" w:rsidR="00D62FF7" w:rsidRPr="00E2052F" w:rsidRDefault="00D62FF7" w:rsidP="00D23BF3">
      <w:pPr>
        <w:spacing w:before="0" w:beforeAutospacing="0"/>
        <w:rPr>
          <w:rFonts w:cstheme="majorBidi"/>
          <w:sz w:val="22"/>
        </w:rPr>
      </w:pPr>
      <w:r w:rsidRPr="00E2052F">
        <w:rPr>
          <w:rFonts w:cstheme="majorBidi"/>
          <w:sz w:val="22"/>
        </w:rPr>
        <w:t>En utilisant le programme de statistiques spss, nous avons obtenu les résultats suivants :</w:t>
      </w:r>
    </w:p>
    <w:p w14:paraId="7CED1A82" w14:textId="77777777" w:rsidR="00FF73E7" w:rsidRPr="00E2052F" w:rsidRDefault="00FF73E7" w:rsidP="00D61875">
      <w:pPr>
        <w:pStyle w:val="Titre4"/>
        <w:numPr>
          <w:ilvl w:val="0"/>
          <w:numId w:val="18"/>
        </w:numPr>
        <w:spacing w:before="0" w:beforeAutospacing="0" w:after="160"/>
        <w:ind w:left="1287" w:hanging="720"/>
        <w:rPr>
          <w:rFonts w:asciiTheme="majorBidi" w:hAnsiTheme="majorBidi"/>
          <w:i w:val="0"/>
          <w:iCs w:val="0"/>
          <w:color w:val="auto"/>
          <w:sz w:val="22"/>
        </w:rPr>
      </w:pPr>
      <w:bookmarkStart w:id="1771" w:name="_Toc229156021"/>
      <w:bookmarkStart w:id="1772" w:name="_Toc231747019"/>
      <w:bookmarkStart w:id="1773" w:name="_Toc231752425"/>
      <w:bookmarkStart w:id="1774" w:name="_Toc231810728"/>
      <w:bookmarkStart w:id="1775" w:name="_Toc231812071"/>
      <w:bookmarkStart w:id="1776" w:name="_Toc231812349"/>
      <w:bookmarkStart w:id="1777" w:name="_Toc231815233"/>
      <w:r w:rsidRPr="00E2052F">
        <w:rPr>
          <w:rFonts w:asciiTheme="majorBidi" w:hAnsiTheme="majorBidi"/>
          <w:i w:val="0"/>
          <w:iCs w:val="0"/>
          <w:color w:val="auto"/>
          <w:sz w:val="22"/>
        </w:rPr>
        <w:t>L’hypothèse principale :</w:t>
      </w:r>
      <w:bookmarkEnd w:id="1771"/>
      <w:bookmarkEnd w:id="1772"/>
      <w:bookmarkEnd w:id="1773"/>
      <w:bookmarkEnd w:id="1774"/>
      <w:bookmarkEnd w:id="1775"/>
      <w:bookmarkEnd w:id="1776"/>
      <w:bookmarkEnd w:id="1777"/>
    </w:p>
    <w:p w14:paraId="2F1EE51D" w14:textId="77777777" w:rsidR="00E707AF" w:rsidRPr="00E2052F" w:rsidRDefault="001360CE" w:rsidP="00D23BF3">
      <w:pPr>
        <w:spacing w:before="0" w:beforeAutospacing="0"/>
        <w:rPr>
          <w:rFonts w:cstheme="majorBidi"/>
          <w:sz w:val="22"/>
        </w:rPr>
      </w:pPr>
      <w:r w:rsidRPr="00E2052F">
        <w:rPr>
          <w:rFonts w:cstheme="majorBidi"/>
          <w:b/>
          <w:bCs/>
          <w:sz w:val="22"/>
        </w:rPr>
        <w:t xml:space="preserve">H1 : </w:t>
      </w:r>
      <w:r w:rsidR="00E707AF" w:rsidRPr="00E2052F">
        <w:rPr>
          <w:rFonts w:cstheme="majorBidi"/>
          <w:sz w:val="22"/>
        </w:rPr>
        <w:t>Il existe une relation positive significative entre les principes de la gouvernance et la responsabilité sociale des entreprises au sein de l’entreprise TAYAL SPA.</w:t>
      </w:r>
    </w:p>
    <w:p w14:paraId="4F4854FD" w14:textId="77777777" w:rsidR="00FF73E7" w:rsidRPr="00E2052F" w:rsidRDefault="00FF73E7" w:rsidP="00D61875">
      <w:pPr>
        <w:pStyle w:val="Paragraphedeliste"/>
        <w:numPr>
          <w:ilvl w:val="0"/>
          <w:numId w:val="19"/>
        </w:numPr>
        <w:spacing w:before="0" w:beforeAutospacing="0"/>
        <w:ind w:left="1208" w:hanging="357"/>
        <w:rPr>
          <w:rFonts w:cstheme="majorBidi"/>
          <w:b/>
          <w:bCs/>
          <w:sz w:val="22"/>
        </w:rPr>
      </w:pPr>
      <w:r w:rsidRPr="00E2052F">
        <w:rPr>
          <w:rFonts w:cstheme="majorBidi"/>
          <w:b/>
          <w:bCs/>
          <w:sz w:val="22"/>
        </w:rPr>
        <w:t>Coefficient de corrélation (R carré) (R-square) :</w:t>
      </w:r>
    </w:p>
    <w:p w14:paraId="24F14461" w14:textId="77777777" w:rsidR="00D455E1" w:rsidRPr="00E2052F" w:rsidRDefault="00B72921" w:rsidP="00D23BF3">
      <w:pPr>
        <w:spacing w:before="0" w:beforeAutospacing="0"/>
        <w:rPr>
          <w:rFonts w:cstheme="majorBidi"/>
          <w:sz w:val="22"/>
        </w:rPr>
      </w:pPr>
      <w:r w:rsidRPr="00E2052F">
        <w:rPr>
          <w:rFonts w:cstheme="majorBidi"/>
          <w:b/>
          <w:bCs/>
          <w:sz w:val="22"/>
          <w:u w:val="single"/>
        </w:rPr>
        <w:t>Tableau</w:t>
      </w:r>
      <w:r w:rsidR="00193ABF" w:rsidRPr="00E2052F">
        <w:rPr>
          <w:rFonts w:cstheme="majorBidi"/>
          <w:b/>
          <w:bCs/>
          <w:sz w:val="22"/>
          <w:u w:val="single"/>
        </w:rPr>
        <w:t xml:space="preserve"> 30</w:t>
      </w:r>
      <w:r w:rsidR="00D455E1" w:rsidRPr="00E2052F">
        <w:rPr>
          <w:rFonts w:cstheme="majorBidi"/>
          <w:b/>
          <w:bCs/>
          <w:sz w:val="22"/>
          <w:u w:val="single"/>
        </w:rPr>
        <w:t xml:space="preserve"> :</w:t>
      </w:r>
      <w:r w:rsidR="00D455E1" w:rsidRPr="00E2052F">
        <w:rPr>
          <w:rFonts w:cstheme="majorBidi"/>
          <w:b/>
          <w:bCs/>
          <w:sz w:val="22"/>
        </w:rPr>
        <w:t xml:space="preserve"> Coefficient de corrélation.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1582"/>
        <w:gridCol w:w="1133"/>
        <w:gridCol w:w="1559"/>
        <w:gridCol w:w="3407"/>
      </w:tblGrid>
      <w:tr w:rsidR="002E37E9" w:rsidRPr="00E2052F" w14:paraId="75C9430B" w14:textId="77777777" w:rsidTr="007530A6">
        <w:trPr>
          <w:cantSplit/>
          <w:trHeight w:val="814"/>
          <w:jc w:val="center"/>
        </w:trPr>
        <w:tc>
          <w:tcPr>
            <w:tcW w:w="1391" w:type="dxa"/>
            <w:shd w:val="clear" w:color="auto" w:fill="D9E2F3" w:themeFill="accent1" w:themeFillTint="33"/>
            <w:vAlign w:val="bottom"/>
          </w:tcPr>
          <w:p w14:paraId="56D9083E"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1582" w:type="dxa"/>
            <w:shd w:val="clear" w:color="auto" w:fill="D9E2F3" w:themeFill="accent1" w:themeFillTint="33"/>
            <w:vAlign w:val="bottom"/>
          </w:tcPr>
          <w:p w14:paraId="5F1E058B"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w:t>
            </w:r>
          </w:p>
        </w:tc>
        <w:tc>
          <w:tcPr>
            <w:tcW w:w="1133" w:type="dxa"/>
            <w:shd w:val="clear" w:color="auto" w:fill="D9E2F3" w:themeFill="accent1" w:themeFillTint="33"/>
            <w:vAlign w:val="bottom"/>
          </w:tcPr>
          <w:p w14:paraId="1DC7893A"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R-deux</w:t>
            </w:r>
          </w:p>
        </w:tc>
        <w:tc>
          <w:tcPr>
            <w:tcW w:w="1559" w:type="dxa"/>
            <w:shd w:val="clear" w:color="auto" w:fill="D9E2F3" w:themeFill="accent1" w:themeFillTint="33"/>
            <w:vAlign w:val="bottom"/>
          </w:tcPr>
          <w:p w14:paraId="0AE846D9"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R-deux ajusté</w:t>
            </w:r>
          </w:p>
        </w:tc>
        <w:tc>
          <w:tcPr>
            <w:tcW w:w="3407" w:type="dxa"/>
            <w:shd w:val="clear" w:color="auto" w:fill="D9E2F3" w:themeFill="accent1" w:themeFillTint="33"/>
            <w:vAlign w:val="bottom"/>
          </w:tcPr>
          <w:p w14:paraId="0BF29EF8"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Erreur standard de l'estimation</w:t>
            </w:r>
          </w:p>
        </w:tc>
      </w:tr>
      <w:tr w:rsidR="002E37E9" w:rsidRPr="00E2052F" w14:paraId="4F4AD7CA" w14:textId="77777777" w:rsidTr="007530A6">
        <w:trPr>
          <w:cantSplit/>
          <w:trHeight w:val="401"/>
          <w:jc w:val="center"/>
        </w:trPr>
        <w:tc>
          <w:tcPr>
            <w:tcW w:w="1391" w:type="dxa"/>
            <w:shd w:val="clear" w:color="auto" w:fill="D9E2F3" w:themeFill="accent1" w:themeFillTint="33"/>
          </w:tcPr>
          <w:p w14:paraId="451DEA9E" w14:textId="77777777" w:rsidR="002E37E9" w:rsidRPr="00E2052F" w:rsidRDefault="002E37E9"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1</w:t>
            </w:r>
          </w:p>
        </w:tc>
        <w:tc>
          <w:tcPr>
            <w:tcW w:w="1582" w:type="dxa"/>
          </w:tcPr>
          <w:p w14:paraId="27BE7F59" w14:textId="77777777" w:rsidR="002E37E9"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2E37E9" w:rsidRPr="00E2052F">
              <w:rPr>
                <w:rFonts w:cstheme="majorBidi"/>
                <w:kern w:val="2"/>
                <w:sz w:val="22"/>
                <w:lang w:bidi="ar-DZ"/>
              </w:rPr>
              <w:t>.548</w:t>
            </w:r>
            <w:r w:rsidR="002E37E9" w:rsidRPr="00E2052F">
              <w:rPr>
                <w:rFonts w:cstheme="majorBidi"/>
                <w:kern w:val="2"/>
                <w:sz w:val="22"/>
                <w:vertAlign w:val="superscript"/>
                <w:lang w:bidi="ar-DZ"/>
              </w:rPr>
              <w:t>a</w:t>
            </w:r>
          </w:p>
        </w:tc>
        <w:tc>
          <w:tcPr>
            <w:tcW w:w="1133" w:type="dxa"/>
          </w:tcPr>
          <w:p w14:paraId="52284BE7" w14:textId="77777777" w:rsidR="002E37E9"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2E37E9" w:rsidRPr="00E2052F">
              <w:rPr>
                <w:rFonts w:cstheme="majorBidi"/>
                <w:kern w:val="2"/>
                <w:sz w:val="22"/>
                <w:lang w:bidi="ar-DZ"/>
              </w:rPr>
              <w:t>.301</w:t>
            </w:r>
          </w:p>
        </w:tc>
        <w:tc>
          <w:tcPr>
            <w:tcW w:w="1559" w:type="dxa"/>
          </w:tcPr>
          <w:p w14:paraId="6EF4BD33" w14:textId="77777777" w:rsidR="002E37E9"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2E37E9" w:rsidRPr="00E2052F">
              <w:rPr>
                <w:rFonts w:cstheme="majorBidi"/>
                <w:kern w:val="2"/>
                <w:sz w:val="22"/>
                <w:lang w:bidi="ar-DZ"/>
              </w:rPr>
              <w:t>.298</w:t>
            </w:r>
          </w:p>
        </w:tc>
        <w:tc>
          <w:tcPr>
            <w:tcW w:w="3407" w:type="dxa"/>
          </w:tcPr>
          <w:p w14:paraId="3E0B3707" w14:textId="77777777" w:rsidR="002E37E9"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2E37E9" w:rsidRPr="00E2052F">
              <w:rPr>
                <w:rFonts w:cstheme="majorBidi"/>
                <w:kern w:val="2"/>
                <w:sz w:val="22"/>
                <w:lang w:bidi="ar-DZ"/>
              </w:rPr>
              <w:t>.521</w:t>
            </w:r>
          </w:p>
        </w:tc>
      </w:tr>
      <w:tr w:rsidR="002E37E9" w:rsidRPr="00E2052F" w14:paraId="4EEDEAD0" w14:textId="77777777" w:rsidTr="00EC7BDC">
        <w:trPr>
          <w:cantSplit/>
          <w:trHeight w:val="420"/>
          <w:jc w:val="center"/>
        </w:trPr>
        <w:tc>
          <w:tcPr>
            <w:tcW w:w="9072" w:type="dxa"/>
            <w:gridSpan w:val="5"/>
            <w:shd w:val="clear" w:color="auto" w:fill="FFFFFF"/>
          </w:tcPr>
          <w:p w14:paraId="05454ED5" w14:textId="77777777" w:rsidR="002E37E9" w:rsidRPr="00E2052F" w:rsidRDefault="002E37E9" w:rsidP="00EC7BDC">
            <w:pPr>
              <w:spacing w:before="0" w:beforeAutospacing="0" w:line="240" w:lineRule="auto"/>
              <w:rPr>
                <w:rFonts w:cstheme="majorBidi"/>
                <w:b/>
                <w:bCs/>
                <w:kern w:val="2"/>
                <w:sz w:val="22"/>
                <w:lang w:bidi="ar-DZ"/>
              </w:rPr>
            </w:pPr>
            <w:r w:rsidRPr="00E2052F">
              <w:rPr>
                <w:rFonts w:cstheme="majorBidi"/>
                <w:b/>
                <w:bCs/>
                <w:kern w:val="2"/>
                <w:sz w:val="22"/>
                <w:lang w:bidi="ar-DZ"/>
              </w:rPr>
              <w:t xml:space="preserve">a. Prédicteurs : (Constante), </w:t>
            </w:r>
            <w:bookmarkStart w:id="1778" w:name="_Hlk228457616"/>
            <w:r w:rsidRPr="00E2052F">
              <w:rPr>
                <w:rFonts w:cstheme="majorBidi"/>
                <w:b/>
                <w:bCs/>
                <w:kern w:val="2"/>
                <w:sz w:val="22"/>
                <w:lang w:bidi="ar-DZ"/>
              </w:rPr>
              <w:t xml:space="preserve">la gouvernance d'entreprise </w:t>
            </w:r>
            <w:bookmarkEnd w:id="1778"/>
          </w:p>
        </w:tc>
      </w:tr>
    </w:tbl>
    <w:p w14:paraId="18561890" w14:textId="77777777" w:rsidR="006E35B0" w:rsidRPr="00E2052F" w:rsidRDefault="00D455E1" w:rsidP="00EC7BDC">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 xml:space="preserve">établi </w:t>
      </w:r>
      <w:r w:rsidRPr="00E2052F">
        <w:rPr>
          <w:rFonts w:cstheme="majorBidi"/>
          <w:sz w:val="22"/>
        </w:rPr>
        <w:t>par nous même à partir des résultats du SPSS 27.</w:t>
      </w:r>
    </w:p>
    <w:p w14:paraId="39F90E7A" w14:textId="77777777" w:rsidR="00D455E1" w:rsidRPr="00E2052F" w:rsidRDefault="00D455E1" w:rsidP="00D23BF3">
      <w:pPr>
        <w:spacing w:before="0" w:beforeAutospacing="0"/>
        <w:rPr>
          <w:rFonts w:cstheme="majorBidi"/>
          <w:sz w:val="22"/>
        </w:rPr>
      </w:pPr>
      <w:r w:rsidRPr="00E2052F">
        <w:rPr>
          <w:rFonts w:cstheme="majorBidi"/>
          <w:sz w:val="22"/>
        </w:rPr>
        <w:lastRenderedPageBreak/>
        <w:t xml:space="preserve">Le tableau ci-dessus montre le coefficient de corrélation entre les variables, qui a été estimé à </w:t>
      </w:r>
      <w:r w:rsidRPr="00E2052F">
        <w:rPr>
          <w:rFonts w:cstheme="majorBidi"/>
          <w:b/>
          <w:bCs/>
          <w:sz w:val="22"/>
        </w:rPr>
        <w:t>0,548</w:t>
      </w:r>
      <w:r w:rsidRPr="00E2052F">
        <w:rPr>
          <w:rFonts w:cstheme="majorBidi"/>
          <w:sz w:val="22"/>
        </w:rPr>
        <w:t xml:space="preserve">. Cela signifie que la corrélation est positive et forte, ce qui indique une relation significative entre les deux variables. </w:t>
      </w:r>
    </w:p>
    <w:p w14:paraId="22AD20B5" w14:textId="77777777" w:rsidR="00B76EB9" w:rsidRPr="00E2052F" w:rsidRDefault="00B76EB9" w:rsidP="00D23BF3">
      <w:pPr>
        <w:spacing w:before="0" w:beforeAutospacing="0"/>
        <w:rPr>
          <w:rFonts w:cstheme="majorBidi"/>
          <w:sz w:val="22"/>
        </w:rPr>
      </w:pPr>
      <w:r w:rsidRPr="00E2052F">
        <w:rPr>
          <w:rFonts w:cstheme="majorBidi"/>
          <w:sz w:val="22"/>
        </w:rPr>
        <w:t xml:space="preserve">Le coefficient de détermination </w:t>
      </w:r>
      <w:r w:rsidRPr="00E2052F">
        <w:rPr>
          <w:rFonts w:cstheme="majorBidi"/>
          <w:b/>
          <w:bCs/>
          <w:sz w:val="22"/>
        </w:rPr>
        <w:t>(R² = 0,301)</w:t>
      </w:r>
      <w:r w:rsidRPr="00E2052F">
        <w:rPr>
          <w:rFonts w:cstheme="majorBidi"/>
          <w:sz w:val="22"/>
        </w:rPr>
        <w:t xml:space="preserve"> montre que 30,1 % de la variance de la variable dépendante (la RSE) est expliquée par la variable indépendante (gouvernance globale). En d'autres termes, l'amélioration de la gouvernance contribue à expliquer à hauteur de 30,1 % la variation observée dans la responsabilité sociale des entreprises. </w:t>
      </w:r>
    </w:p>
    <w:p w14:paraId="66CC970B" w14:textId="77777777" w:rsidR="00B76EB9" w:rsidRPr="00E2052F" w:rsidRDefault="00B76EB9" w:rsidP="00D23BF3">
      <w:pPr>
        <w:spacing w:before="0" w:beforeAutospacing="0"/>
        <w:rPr>
          <w:rFonts w:cstheme="majorBidi"/>
          <w:sz w:val="22"/>
        </w:rPr>
      </w:pPr>
      <w:r w:rsidRPr="00E2052F">
        <w:rPr>
          <w:rFonts w:cstheme="majorBidi"/>
          <w:sz w:val="22"/>
        </w:rPr>
        <w:t>L’erreur standard de l’estimation est de 0,35967, ce qui indique une dispersion modérée des valeurs observées autour de la droite de régression.</w:t>
      </w:r>
    </w:p>
    <w:p w14:paraId="51CB7249" w14:textId="77777777" w:rsidR="00D455E1" w:rsidRPr="00E2052F" w:rsidRDefault="00D455E1" w:rsidP="00D61875">
      <w:pPr>
        <w:pStyle w:val="Paragraphedeliste"/>
        <w:numPr>
          <w:ilvl w:val="0"/>
          <w:numId w:val="19"/>
        </w:numPr>
        <w:spacing w:before="0" w:beforeAutospacing="0"/>
        <w:ind w:left="1208" w:hanging="357"/>
        <w:rPr>
          <w:rFonts w:cstheme="majorBidi"/>
          <w:b/>
          <w:bCs/>
          <w:sz w:val="22"/>
        </w:rPr>
      </w:pPr>
      <w:r w:rsidRPr="00E2052F">
        <w:rPr>
          <w:rFonts w:cstheme="majorBidi"/>
          <w:b/>
          <w:bCs/>
          <w:sz w:val="22"/>
        </w:rPr>
        <w:t>Analyse de la variance ANOVA :</w:t>
      </w:r>
    </w:p>
    <w:p w14:paraId="04EC4CF0" w14:textId="77777777" w:rsidR="00D455E1" w:rsidRPr="00E2052F" w:rsidRDefault="00193ABF" w:rsidP="00D23BF3">
      <w:pPr>
        <w:spacing w:before="0" w:beforeAutospacing="0"/>
        <w:rPr>
          <w:rFonts w:cstheme="majorBidi"/>
          <w:sz w:val="22"/>
        </w:rPr>
      </w:pPr>
      <w:r w:rsidRPr="00E2052F">
        <w:rPr>
          <w:rFonts w:cstheme="majorBidi"/>
          <w:b/>
          <w:bCs/>
          <w:sz w:val="22"/>
          <w:u w:val="single"/>
        </w:rPr>
        <w:t>Tableau 31 :</w:t>
      </w:r>
      <w:r w:rsidR="00D455E1" w:rsidRPr="00E2052F">
        <w:rPr>
          <w:rFonts w:cstheme="majorBidi"/>
          <w:b/>
          <w:bCs/>
          <w:sz w:val="22"/>
        </w:rPr>
        <w:t xml:space="preserve"> La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5"/>
        <w:gridCol w:w="1470"/>
        <w:gridCol w:w="2079"/>
        <w:gridCol w:w="770"/>
        <w:gridCol w:w="1573"/>
        <w:gridCol w:w="1170"/>
        <w:gridCol w:w="1175"/>
      </w:tblGrid>
      <w:tr w:rsidR="00D455E1" w:rsidRPr="00E2052F" w14:paraId="3CCD413F" w14:textId="77777777" w:rsidTr="007530A6">
        <w:trPr>
          <w:cantSplit/>
          <w:trHeight w:val="421"/>
          <w:jc w:val="center"/>
        </w:trPr>
        <w:tc>
          <w:tcPr>
            <w:tcW w:w="8790" w:type="dxa"/>
            <w:gridSpan w:val="7"/>
            <w:shd w:val="clear" w:color="auto" w:fill="B4C6E7" w:themeFill="accent1" w:themeFillTint="66"/>
            <w:vAlign w:val="center"/>
          </w:tcPr>
          <w:p w14:paraId="785054AC"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ANOVA</w:t>
            </w:r>
            <w:r w:rsidRPr="00E2052F">
              <w:rPr>
                <w:rFonts w:cstheme="majorBidi"/>
                <w:b/>
                <w:bCs/>
                <w:kern w:val="2"/>
                <w:sz w:val="22"/>
                <w:vertAlign w:val="superscript"/>
                <w:lang w:bidi="ar-DZ"/>
              </w:rPr>
              <w:t>a</w:t>
            </w:r>
          </w:p>
        </w:tc>
      </w:tr>
      <w:tr w:rsidR="00D455E1" w:rsidRPr="00E2052F" w14:paraId="423141B0" w14:textId="77777777" w:rsidTr="007530A6">
        <w:trPr>
          <w:cantSplit/>
          <w:trHeight w:val="843"/>
          <w:jc w:val="center"/>
        </w:trPr>
        <w:tc>
          <w:tcPr>
            <w:tcW w:w="2234" w:type="dxa"/>
            <w:gridSpan w:val="2"/>
            <w:shd w:val="clear" w:color="auto" w:fill="D9E2F3" w:themeFill="accent1" w:themeFillTint="33"/>
            <w:vAlign w:val="bottom"/>
          </w:tcPr>
          <w:p w14:paraId="294CE3FB"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2014" w:type="dxa"/>
            <w:shd w:val="clear" w:color="auto" w:fill="D9E2F3" w:themeFill="accent1" w:themeFillTint="33"/>
            <w:vAlign w:val="bottom"/>
          </w:tcPr>
          <w:p w14:paraId="05D2E2B6"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Somme des carrés</w:t>
            </w:r>
          </w:p>
        </w:tc>
        <w:tc>
          <w:tcPr>
            <w:tcW w:w="746" w:type="dxa"/>
            <w:shd w:val="clear" w:color="auto" w:fill="D9E2F3" w:themeFill="accent1" w:themeFillTint="33"/>
            <w:vAlign w:val="bottom"/>
          </w:tcPr>
          <w:p w14:paraId="06502162" w14:textId="77777777" w:rsidR="00D455E1" w:rsidRPr="00E2052F" w:rsidRDefault="00B67312"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D</w:t>
            </w:r>
            <w:r w:rsidR="00D455E1" w:rsidRPr="00E2052F">
              <w:rPr>
                <w:rFonts w:cstheme="majorBidi"/>
                <w:b/>
                <w:bCs/>
                <w:kern w:val="2"/>
                <w:sz w:val="22"/>
                <w:lang w:bidi="ar-DZ"/>
              </w:rPr>
              <w:t>dl</w:t>
            </w:r>
          </w:p>
        </w:tc>
        <w:tc>
          <w:tcPr>
            <w:tcW w:w="1524" w:type="dxa"/>
            <w:shd w:val="clear" w:color="auto" w:fill="D9E2F3" w:themeFill="accent1" w:themeFillTint="33"/>
            <w:vAlign w:val="bottom"/>
          </w:tcPr>
          <w:p w14:paraId="4B1D6818"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Carré moyen</w:t>
            </w:r>
          </w:p>
        </w:tc>
        <w:tc>
          <w:tcPr>
            <w:tcW w:w="1134" w:type="dxa"/>
            <w:shd w:val="clear" w:color="auto" w:fill="D9E2F3" w:themeFill="accent1" w:themeFillTint="33"/>
            <w:vAlign w:val="bottom"/>
          </w:tcPr>
          <w:p w14:paraId="422F431A"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F</w:t>
            </w:r>
          </w:p>
        </w:tc>
        <w:tc>
          <w:tcPr>
            <w:tcW w:w="1138" w:type="dxa"/>
            <w:shd w:val="clear" w:color="auto" w:fill="D9E2F3" w:themeFill="accent1" w:themeFillTint="33"/>
            <w:vAlign w:val="bottom"/>
          </w:tcPr>
          <w:p w14:paraId="2A2E02E1"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Sig.</w:t>
            </w:r>
          </w:p>
        </w:tc>
      </w:tr>
      <w:tr w:rsidR="00D455E1" w:rsidRPr="00E2052F" w14:paraId="252E4D37" w14:textId="77777777" w:rsidTr="007530A6">
        <w:trPr>
          <w:cantSplit/>
          <w:trHeight w:val="205"/>
          <w:jc w:val="center"/>
        </w:trPr>
        <w:tc>
          <w:tcPr>
            <w:tcW w:w="810" w:type="dxa"/>
            <w:vMerge w:val="restart"/>
            <w:shd w:val="clear" w:color="auto" w:fill="D9E2F3" w:themeFill="accent1" w:themeFillTint="33"/>
          </w:tcPr>
          <w:p w14:paraId="76B1CF81" w14:textId="77777777" w:rsidR="00EC7BDC" w:rsidRPr="00E2052F" w:rsidRDefault="00EC7BDC" w:rsidP="00EC7BDC">
            <w:pPr>
              <w:spacing w:before="0" w:beforeAutospacing="0" w:line="240" w:lineRule="auto"/>
              <w:ind w:firstLine="0"/>
              <w:jc w:val="center"/>
              <w:rPr>
                <w:rFonts w:cstheme="majorBidi"/>
                <w:b/>
                <w:bCs/>
                <w:kern w:val="2"/>
                <w:sz w:val="22"/>
                <w:lang w:bidi="ar-DZ"/>
              </w:rPr>
            </w:pPr>
          </w:p>
          <w:p w14:paraId="1E728E83"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7530A6">
              <w:rPr>
                <w:rFonts w:cstheme="majorBidi"/>
                <w:b/>
                <w:bCs/>
                <w:kern w:val="2"/>
                <w:sz w:val="22"/>
                <w:shd w:val="clear" w:color="auto" w:fill="B4C6E7" w:themeFill="accent1" w:themeFillTint="66"/>
                <w:lang w:bidi="ar-DZ"/>
              </w:rPr>
              <w:t>1</w:t>
            </w:r>
          </w:p>
        </w:tc>
        <w:tc>
          <w:tcPr>
            <w:tcW w:w="1424" w:type="dxa"/>
            <w:shd w:val="clear" w:color="auto" w:fill="D9E2F3" w:themeFill="accent1" w:themeFillTint="33"/>
          </w:tcPr>
          <w:p w14:paraId="2BD1FACD"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Régression</w:t>
            </w:r>
          </w:p>
        </w:tc>
        <w:tc>
          <w:tcPr>
            <w:tcW w:w="2014" w:type="dxa"/>
          </w:tcPr>
          <w:p w14:paraId="318F61B1"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34.781</w:t>
            </w:r>
          </w:p>
        </w:tc>
        <w:tc>
          <w:tcPr>
            <w:tcW w:w="746" w:type="dxa"/>
          </w:tcPr>
          <w:p w14:paraId="64A38742"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1</w:t>
            </w:r>
          </w:p>
        </w:tc>
        <w:tc>
          <w:tcPr>
            <w:tcW w:w="1524" w:type="dxa"/>
          </w:tcPr>
          <w:p w14:paraId="7088E583"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34.781</w:t>
            </w:r>
          </w:p>
        </w:tc>
        <w:tc>
          <w:tcPr>
            <w:tcW w:w="1134" w:type="dxa"/>
          </w:tcPr>
          <w:p w14:paraId="4ED9BA11"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128.052</w:t>
            </w:r>
          </w:p>
        </w:tc>
        <w:tc>
          <w:tcPr>
            <w:tcW w:w="1138" w:type="dxa"/>
          </w:tcPr>
          <w:p w14:paraId="11C3F22C"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r w:rsidRPr="00E2052F">
              <w:rPr>
                <w:rFonts w:cstheme="majorBidi"/>
                <w:kern w:val="2"/>
                <w:sz w:val="22"/>
                <w:vertAlign w:val="superscript"/>
                <w:lang w:bidi="ar-DZ"/>
              </w:rPr>
              <w:t>b</w:t>
            </w:r>
          </w:p>
        </w:tc>
      </w:tr>
      <w:tr w:rsidR="00D455E1" w:rsidRPr="00E2052F" w14:paraId="6911075C" w14:textId="77777777" w:rsidTr="007530A6">
        <w:trPr>
          <w:cantSplit/>
          <w:trHeight w:val="345"/>
          <w:jc w:val="center"/>
        </w:trPr>
        <w:tc>
          <w:tcPr>
            <w:tcW w:w="810" w:type="dxa"/>
            <w:vMerge/>
            <w:shd w:val="clear" w:color="auto" w:fill="D9E2F3" w:themeFill="accent1" w:themeFillTint="33"/>
          </w:tcPr>
          <w:p w14:paraId="7C54F88A" w14:textId="77777777" w:rsidR="00D455E1" w:rsidRPr="00E2052F" w:rsidRDefault="00D455E1" w:rsidP="00EC7BDC">
            <w:pPr>
              <w:spacing w:before="0" w:beforeAutospacing="0" w:line="240" w:lineRule="auto"/>
              <w:rPr>
                <w:rFonts w:cstheme="majorBidi"/>
                <w:b/>
                <w:bCs/>
                <w:kern w:val="2"/>
                <w:sz w:val="22"/>
                <w:lang w:bidi="ar-DZ"/>
              </w:rPr>
            </w:pPr>
          </w:p>
        </w:tc>
        <w:tc>
          <w:tcPr>
            <w:tcW w:w="1424" w:type="dxa"/>
            <w:shd w:val="clear" w:color="auto" w:fill="D9E2F3" w:themeFill="accent1" w:themeFillTint="33"/>
          </w:tcPr>
          <w:p w14:paraId="62CFC3DC"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de Student</w:t>
            </w:r>
          </w:p>
        </w:tc>
        <w:tc>
          <w:tcPr>
            <w:tcW w:w="2014" w:type="dxa"/>
          </w:tcPr>
          <w:p w14:paraId="5799C755"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80.940</w:t>
            </w:r>
          </w:p>
        </w:tc>
        <w:tc>
          <w:tcPr>
            <w:tcW w:w="746" w:type="dxa"/>
          </w:tcPr>
          <w:p w14:paraId="4180DDBF"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298</w:t>
            </w:r>
          </w:p>
        </w:tc>
        <w:tc>
          <w:tcPr>
            <w:tcW w:w="1524" w:type="dxa"/>
          </w:tcPr>
          <w:p w14:paraId="07C7C860" w14:textId="77777777" w:rsidR="00D455E1" w:rsidRPr="00E2052F" w:rsidRDefault="00E53234"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D455E1" w:rsidRPr="00E2052F">
              <w:rPr>
                <w:rFonts w:cstheme="majorBidi"/>
                <w:kern w:val="2"/>
                <w:sz w:val="22"/>
                <w:lang w:bidi="ar-DZ"/>
              </w:rPr>
              <w:t>.272</w:t>
            </w:r>
          </w:p>
        </w:tc>
        <w:tc>
          <w:tcPr>
            <w:tcW w:w="1134" w:type="dxa"/>
            <w:vAlign w:val="center"/>
          </w:tcPr>
          <w:p w14:paraId="165EB224" w14:textId="77777777" w:rsidR="00D455E1" w:rsidRPr="00E2052F" w:rsidRDefault="00D455E1" w:rsidP="00EC7BDC">
            <w:pPr>
              <w:spacing w:before="0" w:beforeAutospacing="0" w:line="240" w:lineRule="auto"/>
              <w:jc w:val="center"/>
              <w:rPr>
                <w:rFonts w:cstheme="majorBidi"/>
                <w:kern w:val="2"/>
                <w:sz w:val="22"/>
                <w:lang w:bidi="ar-DZ"/>
              </w:rPr>
            </w:pPr>
          </w:p>
        </w:tc>
        <w:tc>
          <w:tcPr>
            <w:tcW w:w="1138" w:type="dxa"/>
            <w:vAlign w:val="center"/>
          </w:tcPr>
          <w:p w14:paraId="49E4C972" w14:textId="77777777" w:rsidR="00D455E1" w:rsidRPr="00E2052F" w:rsidRDefault="00D455E1" w:rsidP="00EC7BDC">
            <w:pPr>
              <w:spacing w:before="0" w:beforeAutospacing="0" w:line="240" w:lineRule="auto"/>
              <w:rPr>
                <w:rFonts w:cstheme="majorBidi"/>
                <w:b/>
                <w:bCs/>
                <w:kern w:val="2"/>
                <w:sz w:val="22"/>
                <w:lang w:bidi="ar-DZ"/>
              </w:rPr>
            </w:pPr>
          </w:p>
        </w:tc>
      </w:tr>
      <w:tr w:rsidR="00D455E1" w:rsidRPr="00E2052F" w14:paraId="5DED1FC0" w14:textId="77777777" w:rsidTr="007530A6">
        <w:trPr>
          <w:cantSplit/>
          <w:trHeight w:val="329"/>
          <w:jc w:val="center"/>
        </w:trPr>
        <w:tc>
          <w:tcPr>
            <w:tcW w:w="810" w:type="dxa"/>
            <w:vMerge/>
            <w:shd w:val="clear" w:color="auto" w:fill="D9E2F3" w:themeFill="accent1" w:themeFillTint="33"/>
          </w:tcPr>
          <w:p w14:paraId="4D54324E" w14:textId="77777777" w:rsidR="00D455E1" w:rsidRPr="00E2052F" w:rsidRDefault="00D455E1" w:rsidP="00EC7BDC">
            <w:pPr>
              <w:spacing w:before="0" w:beforeAutospacing="0" w:line="240" w:lineRule="auto"/>
              <w:rPr>
                <w:rFonts w:cstheme="majorBidi"/>
                <w:b/>
                <w:bCs/>
                <w:kern w:val="2"/>
                <w:sz w:val="22"/>
                <w:lang w:bidi="ar-DZ"/>
              </w:rPr>
            </w:pPr>
          </w:p>
        </w:tc>
        <w:tc>
          <w:tcPr>
            <w:tcW w:w="1424" w:type="dxa"/>
            <w:shd w:val="clear" w:color="auto" w:fill="D9E2F3" w:themeFill="accent1" w:themeFillTint="33"/>
          </w:tcPr>
          <w:p w14:paraId="321ACB07" w14:textId="77777777" w:rsidR="00D455E1" w:rsidRPr="00E2052F" w:rsidRDefault="00D455E1" w:rsidP="00EC7BDC">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Total</w:t>
            </w:r>
          </w:p>
        </w:tc>
        <w:tc>
          <w:tcPr>
            <w:tcW w:w="2014" w:type="dxa"/>
          </w:tcPr>
          <w:p w14:paraId="48EBAC93"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115.721</w:t>
            </w:r>
          </w:p>
        </w:tc>
        <w:tc>
          <w:tcPr>
            <w:tcW w:w="746" w:type="dxa"/>
          </w:tcPr>
          <w:p w14:paraId="144865DC" w14:textId="77777777" w:rsidR="00D455E1" w:rsidRPr="00E2052F" w:rsidRDefault="00D455E1" w:rsidP="00EC7BDC">
            <w:pPr>
              <w:spacing w:before="0" w:beforeAutospacing="0" w:line="240" w:lineRule="auto"/>
              <w:ind w:firstLine="0"/>
              <w:jc w:val="center"/>
              <w:rPr>
                <w:rFonts w:cstheme="majorBidi"/>
                <w:kern w:val="2"/>
                <w:sz w:val="22"/>
                <w:lang w:bidi="ar-DZ"/>
              </w:rPr>
            </w:pPr>
            <w:r w:rsidRPr="00E2052F">
              <w:rPr>
                <w:rFonts w:cstheme="majorBidi"/>
                <w:kern w:val="2"/>
                <w:sz w:val="22"/>
                <w:lang w:bidi="ar-DZ"/>
              </w:rPr>
              <w:t>299</w:t>
            </w:r>
          </w:p>
        </w:tc>
        <w:tc>
          <w:tcPr>
            <w:tcW w:w="1524" w:type="dxa"/>
            <w:vAlign w:val="center"/>
          </w:tcPr>
          <w:p w14:paraId="38787653" w14:textId="77777777" w:rsidR="00D455E1" w:rsidRPr="00E2052F" w:rsidRDefault="00D455E1" w:rsidP="00EC7BDC">
            <w:pPr>
              <w:spacing w:before="0" w:beforeAutospacing="0" w:line="240" w:lineRule="auto"/>
              <w:jc w:val="center"/>
              <w:rPr>
                <w:rFonts w:cstheme="majorBidi"/>
                <w:kern w:val="2"/>
                <w:sz w:val="22"/>
                <w:lang w:bidi="ar-DZ"/>
              </w:rPr>
            </w:pPr>
          </w:p>
        </w:tc>
        <w:tc>
          <w:tcPr>
            <w:tcW w:w="1134" w:type="dxa"/>
            <w:vAlign w:val="center"/>
          </w:tcPr>
          <w:p w14:paraId="006019FC" w14:textId="77777777" w:rsidR="00D455E1" w:rsidRPr="00E2052F" w:rsidRDefault="00D455E1" w:rsidP="00EC7BDC">
            <w:pPr>
              <w:spacing w:before="0" w:beforeAutospacing="0" w:line="240" w:lineRule="auto"/>
              <w:jc w:val="center"/>
              <w:rPr>
                <w:rFonts w:cstheme="majorBidi"/>
                <w:kern w:val="2"/>
                <w:sz w:val="22"/>
                <w:lang w:bidi="ar-DZ"/>
              </w:rPr>
            </w:pPr>
          </w:p>
        </w:tc>
        <w:tc>
          <w:tcPr>
            <w:tcW w:w="1138" w:type="dxa"/>
            <w:vAlign w:val="center"/>
          </w:tcPr>
          <w:p w14:paraId="01D18522" w14:textId="77777777" w:rsidR="00D455E1" w:rsidRPr="00E2052F" w:rsidRDefault="00D455E1" w:rsidP="00EC7BDC">
            <w:pPr>
              <w:spacing w:before="0" w:beforeAutospacing="0" w:line="240" w:lineRule="auto"/>
              <w:rPr>
                <w:rFonts w:cstheme="majorBidi"/>
                <w:b/>
                <w:bCs/>
                <w:kern w:val="2"/>
                <w:sz w:val="22"/>
                <w:lang w:bidi="ar-DZ"/>
              </w:rPr>
            </w:pPr>
          </w:p>
        </w:tc>
      </w:tr>
      <w:tr w:rsidR="00D455E1" w:rsidRPr="00E2052F" w14:paraId="18564938" w14:textId="77777777" w:rsidTr="00EC7BDC">
        <w:trPr>
          <w:cantSplit/>
          <w:trHeight w:val="421"/>
          <w:jc w:val="center"/>
        </w:trPr>
        <w:tc>
          <w:tcPr>
            <w:tcW w:w="8790" w:type="dxa"/>
            <w:gridSpan w:val="7"/>
            <w:shd w:val="clear" w:color="auto" w:fill="FFFFFF"/>
          </w:tcPr>
          <w:p w14:paraId="6CE7EC04" w14:textId="77777777" w:rsidR="00D455E1" w:rsidRPr="00E2052F" w:rsidRDefault="00D455E1" w:rsidP="00EC7BDC">
            <w:pPr>
              <w:spacing w:before="0" w:beforeAutospacing="0" w:line="240" w:lineRule="auto"/>
              <w:rPr>
                <w:rFonts w:cstheme="majorBidi"/>
                <w:b/>
                <w:bCs/>
                <w:kern w:val="2"/>
                <w:sz w:val="22"/>
                <w:lang w:bidi="ar-DZ"/>
              </w:rPr>
            </w:pPr>
            <w:r w:rsidRPr="00E2052F">
              <w:rPr>
                <w:rFonts w:cstheme="majorBidi"/>
                <w:b/>
                <w:bCs/>
                <w:kern w:val="2"/>
                <w:sz w:val="22"/>
                <w:lang w:bidi="ar-DZ"/>
              </w:rPr>
              <w:t xml:space="preserve">a. Variable dépendante : La responsabilité sociale </w:t>
            </w:r>
            <w:r w:rsidR="00651173" w:rsidRPr="00E2052F">
              <w:rPr>
                <w:rFonts w:cstheme="majorBidi"/>
                <w:b/>
                <w:bCs/>
                <w:kern w:val="2"/>
                <w:sz w:val="22"/>
                <w:lang w:bidi="ar-DZ"/>
              </w:rPr>
              <w:t>des entreprises</w:t>
            </w:r>
          </w:p>
        </w:tc>
      </w:tr>
      <w:tr w:rsidR="00D455E1" w:rsidRPr="00E2052F" w14:paraId="5D8D0BCD" w14:textId="77777777" w:rsidTr="00EC7BDC">
        <w:trPr>
          <w:cantSplit/>
          <w:trHeight w:val="409"/>
          <w:jc w:val="center"/>
        </w:trPr>
        <w:tc>
          <w:tcPr>
            <w:tcW w:w="8790" w:type="dxa"/>
            <w:gridSpan w:val="7"/>
            <w:shd w:val="clear" w:color="auto" w:fill="FFFFFF"/>
          </w:tcPr>
          <w:p w14:paraId="4143B53F" w14:textId="77777777" w:rsidR="00D455E1" w:rsidRPr="00E2052F" w:rsidRDefault="00D455E1" w:rsidP="00EC7BDC">
            <w:pPr>
              <w:spacing w:before="0" w:beforeAutospacing="0" w:line="240" w:lineRule="auto"/>
              <w:rPr>
                <w:rFonts w:cstheme="majorBidi"/>
                <w:b/>
                <w:bCs/>
                <w:kern w:val="2"/>
                <w:sz w:val="22"/>
                <w:lang w:bidi="ar-DZ"/>
              </w:rPr>
            </w:pPr>
            <w:r w:rsidRPr="00E2052F">
              <w:rPr>
                <w:rFonts w:cstheme="majorBidi"/>
                <w:b/>
                <w:bCs/>
                <w:kern w:val="2"/>
                <w:sz w:val="22"/>
                <w:lang w:bidi="ar-DZ"/>
              </w:rPr>
              <w:t>b. Prédicteurs : (Constante), la gouvernance d'entreprise</w:t>
            </w:r>
          </w:p>
        </w:tc>
      </w:tr>
    </w:tbl>
    <w:p w14:paraId="070A901E" w14:textId="77777777" w:rsidR="000036D1" w:rsidRPr="000036D1" w:rsidRDefault="00651173" w:rsidP="000036D1">
      <w:pPr>
        <w:spacing w:before="0" w:beforeAutospacing="0" w:line="240" w:lineRule="auto"/>
        <w:jc w:val="center"/>
        <w:rPr>
          <w:rFonts w:cstheme="majorBidi"/>
          <w:sz w:val="22"/>
        </w:rPr>
      </w:pPr>
      <w:r w:rsidRPr="00E2052F">
        <w:rPr>
          <w:rFonts w:cstheme="majorBidi"/>
          <w:b/>
          <w:bCs/>
          <w:sz w:val="22"/>
        </w:rPr>
        <w:t xml:space="preserve">Source : </w:t>
      </w:r>
      <w:r w:rsidR="000036D1" w:rsidRPr="000036D1">
        <w:rPr>
          <w:rFonts w:cstheme="majorBidi"/>
          <w:sz w:val="22"/>
        </w:rPr>
        <w:t>établi par nous même à partir des résultats du SPSS 27.</w:t>
      </w:r>
    </w:p>
    <w:p w14:paraId="3B477DCE" w14:textId="77777777" w:rsidR="005E0731" w:rsidRPr="00E2052F" w:rsidRDefault="005E0731" w:rsidP="000036D1">
      <w:pPr>
        <w:spacing w:before="0" w:beforeAutospacing="0"/>
        <w:rPr>
          <w:rFonts w:cstheme="majorBidi"/>
          <w:sz w:val="22"/>
        </w:rPr>
      </w:pPr>
      <w:r w:rsidRPr="00E2052F">
        <w:rPr>
          <w:rFonts w:cstheme="majorBidi"/>
          <w:sz w:val="22"/>
        </w:rPr>
        <w:t xml:space="preserve">Le test ANOVA montre une valeur de </w:t>
      </w:r>
      <w:r w:rsidRPr="00E2052F">
        <w:rPr>
          <w:rFonts w:cstheme="majorBidi"/>
          <w:b/>
          <w:bCs/>
          <w:sz w:val="22"/>
        </w:rPr>
        <w:t>F = 128,052</w:t>
      </w:r>
      <w:r w:rsidRPr="00E2052F">
        <w:rPr>
          <w:rFonts w:cstheme="majorBidi"/>
          <w:sz w:val="22"/>
        </w:rPr>
        <w:t xml:space="preserve"> avec un niveau de signification (Sig.) égal à 0,000, c'est-à-dire inférieur au seuil critique de 0,05.Cela signifie qu'il existe une corrélation statistiquement significative entre la gouvernance d'entreprise et la responsabilité sociale des entreprises (RSE) à un niveau de signification de 5 %.</w:t>
      </w:r>
    </w:p>
    <w:p w14:paraId="40B21670" w14:textId="77777777" w:rsidR="005E0731" w:rsidRPr="00E2052F" w:rsidRDefault="005E0731" w:rsidP="00D23BF3">
      <w:pPr>
        <w:spacing w:before="0" w:beforeAutospacing="0"/>
        <w:rPr>
          <w:rFonts w:cstheme="majorBidi"/>
          <w:sz w:val="22"/>
        </w:rPr>
      </w:pPr>
      <w:r w:rsidRPr="00E2052F">
        <w:rPr>
          <w:rFonts w:cstheme="majorBidi"/>
          <w:sz w:val="22"/>
        </w:rPr>
        <w:t xml:space="preserve"> La somme des carrés expliquée par la régression est de </w:t>
      </w:r>
      <w:r w:rsidRPr="00E2052F">
        <w:rPr>
          <w:rFonts w:cstheme="majorBidi"/>
          <w:b/>
          <w:bCs/>
          <w:sz w:val="22"/>
        </w:rPr>
        <w:t>34,781</w:t>
      </w:r>
      <w:r w:rsidRPr="00E2052F">
        <w:rPr>
          <w:rFonts w:cstheme="majorBidi"/>
          <w:sz w:val="22"/>
        </w:rPr>
        <w:t>, ce qui représente une part importante de la variance totale (115,721), tandis que la variance résiduelle (non expliquée) est de 80,940.</w:t>
      </w:r>
    </w:p>
    <w:p w14:paraId="0B138EEC" w14:textId="77777777" w:rsidR="005E0731" w:rsidRPr="00E2052F" w:rsidRDefault="005E0731" w:rsidP="00D23BF3">
      <w:pPr>
        <w:spacing w:before="0" w:beforeAutospacing="0"/>
        <w:rPr>
          <w:rFonts w:cstheme="majorBidi"/>
          <w:sz w:val="22"/>
        </w:rPr>
      </w:pPr>
      <w:r w:rsidRPr="00E2052F">
        <w:rPr>
          <w:rFonts w:cstheme="majorBidi"/>
          <w:sz w:val="22"/>
        </w:rPr>
        <w:t>Le carré moyen de l'erreur est de 0,272, ce qui indique que les écarts entre les valeurs observées et les valeurs prédites sont relativement faibles.</w:t>
      </w:r>
    </w:p>
    <w:p w14:paraId="085EAB1C" w14:textId="77777777" w:rsidR="005E0731" w:rsidRPr="00E2052F" w:rsidRDefault="005E0731" w:rsidP="00D23BF3">
      <w:pPr>
        <w:spacing w:before="0" w:beforeAutospacing="0"/>
        <w:rPr>
          <w:rFonts w:cstheme="majorBidi"/>
          <w:sz w:val="22"/>
        </w:rPr>
      </w:pPr>
      <w:r w:rsidRPr="00E2052F">
        <w:rPr>
          <w:rFonts w:cstheme="majorBidi"/>
          <w:sz w:val="22"/>
        </w:rPr>
        <w:t>Ce test permet de confirmer l'hypothèse principale et rejetez l'hypothèse H0 car elle est linéaire, à savoir que la gouvernance d’entreprise a un impact positif et significatif sur la responsabilité sociale des entreprises au sein du groupe TAYAL.</w:t>
      </w:r>
    </w:p>
    <w:p w14:paraId="32D70D91" w14:textId="77777777" w:rsidR="009C0735" w:rsidRPr="00E2052F" w:rsidRDefault="009C0735" w:rsidP="00D61875">
      <w:pPr>
        <w:pStyle w:val="Paragraphedeliste"/>
        <w:numPr>
          <w:ilvl w:val="0"/>
          <w:numId w:val="19"/>
        </w:numPr>
        <w:spacing w:before="0" w:beforeAutospacing="0"/>
        <w:ind w:left="1208" w:hanging="357"/>
        <w:rPr>
          <w:rFonts w:cstheme="majorBidi"/>
          <w:b/>
          <w:bCs/>
          <w:sz w:val="22"/>
        </w:rPr>
      </w:pPr>
      <w:r w:rsidRPr="00E2052F">
        <w:rPr>
          <w:rFonts w:cstheme="majorBidi"/>
          <w:b/>
          <w:bCs/>
          <w:sz w:val="22"/>
        </w:rPr>
        <w:t>Coefficients de régression :</w:t>
      </w:r>
    </w:p>
    <w:p w14:paraId="7F303695" w14:textId="77777777" w:rsidR="009C0735" w:rsidRPr="00E2052F" w:rsidRDefault="00193ABF" w:rsidP="00D23BF3">
      <w:pPr>
        <w:spacing w:before="0" w:beforeAutospacing="0"/>
        <w:rPr>
          <w:rFonts w:cstheme="majorBidi"/>
          <w:sz w:val="22"/>
        </w:rPr>
      </w:pPr>
      <w:r w:rsidRPr="00E2052F">
        <w:rPr>
          <w:rFonts w:cstheme="majorBidi"/>
          <w:b/>
          <w:bCs/>
          <w:sz w:val="22"/>
          <w:u w:val="single"/>
        </w:rPr>
        <w:lastRenderedPageBreak/>
        <w:t>Tableau 32</w:t>
      </w:r>
      <w:r w:rsidR="009C0735" w:rsidRPr="00E2052F">
        <w:rPr>
          <w:rFonts w:cstheme="majorBidi"/>
          <w:b/>
          <w:bCs/>
          <w:sz w:val="22"/>
          <w:u w:val="single"/>
        </w:rPr>
        <w:t xml:space="preserve"> :</w:t>
      </w:r>
      <w:r w:rsidR="009C0735" w:rsidRPr="00E2052F">
        <w:rPr>
          <w:rFonts w:cstheme="majorBidi"/>
          <w:b/>
          <w:bCs/>
          <w:sz w:val="22"/>
        </w:rPr>
        <w:t xml:space="preserve"> coefficients de régression.</w:t>
      </w:r>
    </w:p>
    <w:tbl>
      <w:tblPr>
        <w:tblW w:w="9072" w:type="dxa"/>
        <w:jc w:val="center"/>
        <w:tblLayout w:type="fixed"/>
        <w:tblCellMar>
          <w:left w:w="0" w:type="dxa"/>
          <w:right w:w="0" w:type="dxa"/>
        </w:tblCellMar>
        <w:tblLook w:val="0000" w:firstRow="0" w:lastRow="0" w:firstColumn="0" w:lastColumn="0" w:noHBand="0" w:noVBand="0"/>
      </w:tblPr>
      <w:tblGrid>
        <w:gridCol w:w="748"/>
        <w:gridCol w:w="1657"/>
        <w:gridCol w:w="992"/>
        <w:gridCol w:w="1843"/>
        <w:gridCol w:w="2410"/>
        <w:gridCol w:w="709"/>
        <w:gridCol w:w="713"/>
      </w:tblGrid>
      <w:tr w:rsidR="00A9066F" w:rsidRPr="00E2052F" w14:paraId="754D4AF8" w14:textId="77777777" w:rsidTr="007530A6">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7AAFA32"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w:t>
            </w:r>
          </w:p>
        </w:tc>
      </w:tr>
      <w:tr w:rsidR="00A9066F" w:rsidRPr="00E2052F" w14:paraId="4BB35094" w14:textId="77777777" w:rsidTr="007530A6">
        <w:trPr>
          <w:cantSplit/>
          <w:jc w:val="center"/>
        </w:trPr>
        <w:tc>
          <w:tcPr>
            <w:tcW w:w="2405"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31420135"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C35247F"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 non standardisés</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2DC5F89A"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 standardisés</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EDEE4F8" w14:textId="77777777" w:rsidR="00A9066F" w:rsidRPr="00E2052F" w:rsidRDefault="00904E48"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T</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802BA55"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Sig.</w:t>
            </w:r>
          </w:p>
        </w:tc>
      </w:tr>
      <w:tr w:rsidR="00A9066F" w:rsidRPr="00E2052F" w14:paraId="29CC6755" w14:textId="77777777" w:rsidTr="007530A6">
        <w:trPr>
          <w:cantSplit/>
          <w:jc w:val="center"/>
        </w:trPr>
        <w:tc>
          <w:tcPr>
            <w:tcW w:w="240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14:paraId="392727B7" w14:textId="77777777" w:rsidR="00A9066F" w:rsidRPr="00E2052F" w:rsidRDefault="00A9066F" w:rsidP="00283ED2">
            <w:pPr>
              <w:spacing w:before="0" w:beforeAutospacing="0" w:line="240" w:lineRule="auto"/>
              <w:jc w:val="center"/>
              <w:rPr>
                <w:rFonts w:cstheme="majorBidi"/>
                <w:b/>
                <w:bCs/>
                <w:kern w:val="2"/>
                <w:sz w:val="22"/>
                <w:lang w:bidi="ar-DZ"/>
              </w:rPr>
            </w:pP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2E2B6B2D"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B</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2BB7311"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Erreur standard</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C3A2538"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Bêta</w:t>
            </w:r>
          </w:p>
        </w:tc>
        <w:tc>
          <w:tcPr>
            <w:tcW w:w="709"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5DB2D193" w14:textId="77777777" w:rsidR="00A9066F" w:rsidRPr="00E2052F" w:rsidRDefault="00A9066F" w:rsidP="00283ED2">
            <w:pPr>
              <w:spacing w:before="0" w:beforeAutospacing="0" w:line="240" w:lineRule="auto"/>
              <w:jc w:val="center"/>
              <w:rPr>
                <w:rFonts w:cstheme="majorBidi"/>
                <w:b/>
                <w:bCs/>
                <w:kern w:val="2"/>
                <w:sz w:val="22"/>
                <w:lang w:bidi="ar-DZ"/>
              </w:rPr>
            </w:pPr>
          </w:p>
        </w:tc>
        <w:tc>
          <w:tcPr>
            <w:tcW w:w="713"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301ED489" w14:textId="77777777" w:rsidR="00A9066F" w:rsidRPr="00E2052F" w:rsidRDefault="00A9066F" w:rsidP="00283ED2">
            <w:pPr>
              <w:spacing w:before="0" w:beforeAutospacing="0" w:line="240" w:lineRule="auto"/>
              <w:jc w:val="center"/>
              <w:rPr>
                <w:rFonts w:cstheme="majorBidi"/>
                <w:b/>
                <w:bCs/>
                <w:kern w:val="2"/>
                <w:sz w:val="22"/>
                <w:lang w:bidi="ar-DZ"/>
              </w:rPr>
            </w:pPr>
          </w:p>
        </w:tc>
      </w:tr>
      <w:tr w:rsidR="00A9066F" w:rsidRPr="00E2052F" w14:paraId="7AB6D0A6" w14:textId="77777777" w:rsidTr="007530A6">
        <w:trPr>
          <w:cantSplit/>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A5005F" w14:textId="77777777" w:rsidR="00283ED2" w:rsidRPr="00E2052F" w:rsidRDefault="00283ED2" w:rsidP="00283ED2">
            <w:pPr>
              <w:spacing w:before="0" w:beforeAutospacing="0" w:line="240" w:lineRule="auto"/>
              <w:jc w:val="center"/>
              <w:rPr>
                <w:rFonts w:cstheme="majorBidi"/>
                <w:b/>
                <w:bCs/>
                <w:kern w:val="2"/>
                <w:sz w:val="22"/>
                <w:lang w:bidi="ar-DZ"/>
              </w:rPr>
            </w:pPr>
          </w:p>
          <w:p w14:paraId="520C03D8" w14:textId="77777777" w:rsidR="00A9066F" w:rsidRPr="00E2052F" w:rsidRDefault="00A9066F" w:rsidP="00283ED2">
            <w:pPr>
              <w:spacing w:before="0" w:beforeAutospacing="0" w:line="240" w:lineRule="auto"/>
              <w:jc w:val="center"/>
              <w:rPr>
                <w:rFonts w:cstheme="majorBidi"/>
                <w:b/>
                <w:bCs/>
                <w:kern w:val="2"/>
                <w:sz w:val="22"/>
                <w:lang w:bidi="ar-DZ"/>
              </w:rPr>
            </w:pPr>
            <w:r w:rsidRPr="00E2052F">
              <w:rPr>
                <w:rFonts w:cstheme="majorBidi"/>
                <w:b/>
                <w:bCs/>
                <w:kern w:val="2"/>
                <w:sz w:val="22"/>
                <w:lang w:bidi="ar-DZ"/>
              </w:rPr>
              <w:t>1</w:t>
            </w:r>
          </w:p>
        </w:tc>
        <w:tc>
          <w:tcPr>
            <w:tcW w:w="165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FC4C50"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(Constante)</w:t>
            </w:r>
          </w:p>
        </w:tc>
        <w:tc>
          <w:tcPr>
            <w:tcW w:w="992" w:type="dxa"/>
            <w:tcBorders>
              <w:top w:val="single" w:sz="4" w:space="0" w:color="auto"/>
              <w:left w:val="single" w:sz="4" w:space="0" w:color="auto"/>
              <w:bottom w:val="single" w:sz="4" w:space="0" w:color="auto"/>
              <w:right w:val="single" w:sz="4" w:space="0" w:color="auto"/>
            </w:tcBorders>
          </w:tcPr>
          <w:p w14:paraId="3708608C" w14:textId="77777777" w:rsidR="00A9066F" w:rsidRPr="00E2052F" w:rsidRDefault="00A9066F"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1.660</w:t>
            </w:r>
          </w:p>
        </w:tc>
        <w:tc>
          <w:tcPr>
            <w:tcW w:w="1843" w:type="dxa"/>
            <w:tcBorders>
              <w:top w:val="single" w:sz="4" w:space="0" w:color="auto"/>
              <w:left w:val="single" w:sz="4" w:space="0" w:color="auto"/>
              <w:bottom w:val="single" w:sz="4" w:space="0" w:color="auto"/>
              <w:right w:val="single" w:sz="4" w:space="0" w:color="auto"/>
            </w:tcBorders>
          </w:tcPr>
          <w:p w14:paraId="576C9946" w14:textId="77777777" w:rsidR="00A9066F" w:rsidRPr="00E2052F" w:rsidRDefault="00E53234"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A9066F" w:rsidRPr="00E2052F">
              <w:rPr>
                <w:rFonts w:cstheme="majorBidi"/>
                <w:kern w:val="2"/>
                <w:sz w:val="22"/>
                <w:lang w:bidi="ar-DZ"/>
              </w:rPr>
              <w:t>.208</w:t>
            </w:r>
          </w:p>
        </w:tc>
        <w:tc>
          <w:tcPr>
            <w:tcW w:w="2410" w:type="dxa"/>
            <w:tcBorders>
              <w:top w:val="single" w:sz="4" w:space="0" w:color="auto"/>
              <w:left w:val="single" w:sz="4" w:space="0" w:color="auto"/>
              <w:bottom w:val="single" w:sz="4" w:space="0" w:color="auto"/>
              <w:right w:val="single" w:sz="4" w:space="0" w:color="auto"/>
            </w:tcBorders>
            <w:vAlign w:val="center"/>
          </w:tcPr>
          <w:p w14:paraId="7C40F807" w14:textId="77777777" w:rsidR="00A9066F" w:rsidRPr="00E2052F" w:rsidRDefault="00A9066F" w:rsidP="00283ED2">
            <w:pPr>
              <w:spacing w:before="0" w:beforeAutospacing="0" w:line="240" w:lineRule="auto"/>
              <w:jc w:val="center"/>
              <w:rPr>
                <w:rFonts w:cstheme="majorBidi"/>
                <w:kern w:val="2"/>
                <w:sz w:val="22"/>
                <w:lang w:bidi="ar-DZ"/>
              </w:rPr>
            </w:pPr>
          </w:p>
        </w:tc>
        <w:tc>
          <w:tcPr>
            <w:tcW w:w="709" w:type="dxa"/>
            <w:tcBorders>
              <w:top w:val="single" w:sz="4" w:space="0" w:color="auto"/>
              <w:left w:val="single" w:sz="4" w:space="0" w:color="auto"/>
              <w:bottom w:val="single" w:sz="4" w:space="0" w:color="auto"/>
              <w:right w:val="single" w:sz="4" w:space="0" w:color="auto"/>
            </w:tcBorders>
          </w:tcPr>
          <w:p w14:paraId="6378306F" w14:textId="77777777" w:rsidR="00A9066F" w:rsidRPr="00E2052F" w:rsidRDefault="00A9066F"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7.965</w:t>
            </w:r>
          </w:p>
        </w:tc>
        <w:tc>
          <w:tcPr>
            <w:tcW w:w="713" w:type="dxa"/>
            <w:tcBorders>
              <w:top w:val="single" w:sz="4" w:space="0" w:color="auto"/>
              <w:left w:val="single" w:sz="4" w:space="0" w:color="auto"/>
              <w:bottom w:val="single" w:sz="4" w:space="0" w:color="auto"/>
              <w:right w:val="single" w:sz="4" w:space="0" w:color="auto"/>
            </w:tcBorders>
          </w:tcPr>
          <w:p w14:paraId="14E6F0F6" w14:textId="77777777" w:rsidR="00A9066F" w:rsidRPr="00E2052F" w:rsidRDefault="00A9066F"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p>
        </w:tc>
      </w:tr>
      <w:tr w:rsidR="00A9066F" w:rsidRPr="00E2052F" w14:paraId="13E0EC24" w14:textId="77777777" w:rsidTr="007530A6">
        <w:trPr>
          <w:cantSplit/>
          <w:jc w:val="center"/>
        </w:trPr>
        <w:tc>
          <w:tcPr>
            <w:tcW w:w="74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6F74DA" w14:textId="77777777" w:rsidR="00A9066F" w:rsidRPr="00E2052F" w:rsidRDefault="00A9066F" w:rsidP="00283ED2">
            <w:pPr>
              <w:spacing w:before="0" w:beforeAutospacing="0" w:line="240" w:lineRule="auto"/>
              <w:jc w:val="center"/>
              <w:rPr>
                <w:rFonts w:cstheme="majorBidi"/>
                <w:b/>
                <w:bCs/>
                <w:kern w:val="2"/>
                <w:sz w:val="22"/>
                <w:lang w:bidi="ar-DZ"/>
              </w:rPr>
            </w:pPr>
          </w:p>
        </w:tc>
        <w:tc>
          <w:tcPr>
            <w:tcW w:w="165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E2B57A" w14:textId="77777777" w:rsidR="00A9066F" w:rsidRPr="00E2052F" w:rsidRDefault="00A9066F" w:rsidP="00283ED2">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La gouvernance d'entreprise</w:t>
            </w:r>
          </w:p>
        </w:tc>
        <w:tc>
          <w:tcPr>
            <w:tcW w:w="992" w:type="dxa"/>
            <w:tcBorders>
              <w:top w:val="single" w:sz="4" w:space="0" w:color="auto"/>
              <w:left w:val="single" w:sz="4" w:space="0" w:color="auto"/>
              <w:bottom w:val="single" w:sz="4" w:space="0" w:color="auto"/>
              <w:right w:val="single" w:sz="4" w:space="0" w:color="auto"/>
            </w:tcBorders>
          </w:tcPr>
          <w:p w14:paraId="4C58BA79" w14:textId="77777777" w:rsidR="00A9066F" w:rsidRPr="00E2052F" w:rsidRDefault="00E53234"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A9066F" w:rsidRPr="00E2052F">
              <w:rPr>
                <w:rFonts w:cstheme="majorBidi"/>
                <w:kern w:val="2"/>
                <w:sz w:val="22"/>
                <w:lang w:bidi="ar-DZ"/>
              </w:rPr>
              <w:t>.565</w:t>
            </w:r>
          </w:p>
        </w:tc>
        <w:tc>
          <w:tcPr>
            <w:tcW w:w="1843" w:type="dxa"/>
            <w:tcBorders>
              <w:top w:val="single" w:sz="4" w:space="0" w:color="auto"/>
              <w:left w:val="single" w:sz="4" w:space="0" w:color="auto"/>
              <w:bottom w:val="single" w:sz="4" w:space="0" w:color="auto"/>
              <w:right w:val="single" w:sz="4" w:space="0" w:color="auto"/>
            </w:tcBorders>
          </w:tcPr>
          <w:p w14:paraId="02F693CB" w14:textId="77777777" w:rsidR="00A9066F" w:rsidRPr="00E2052F" w:rsidRDefault="00E53234"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A9066F" w:rsidRPr="00E2052F">
              <w:rPr>
                <w:rFonts w:cstheme="majorBidi"/>
                <w:kern w:val="2"/>
                <w:sz w:val="22"/>
                <w:lang w:bidi="ar-DZ"/>
              </w:rPr>
              <w:t>.050</w:t>
            </w:r>
          </w:p>
        </w:tc>
        <w:tc>
          <w:tcPr>
            <w:tcW w:w="2410" w:type="dxa"/>
            <w:tcBorders>
              <w:top w:val="single" w:sz="4" w:space="0" w:color="auto"/>
              <w:left w:val="single" w:sz="4" w:space="0" w:color="auto"/>
              <w:bottom w:val="single" w:sz="4" w:space="0" w:color="auto"/>
              <w:right w:val="single" w:sz="4" w:space="0" w:color="auto"/>
            </w:tcBorders>
          </w:tcPr>
          <w:p w14:paraId="4890926F" w14:textId="77777777" w:rsidR="00A9066F" w:rsidRPr="00E2052F" w:rsidRDefault="00E53234"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w:t>
            </w:r>
            <w:r w:rsidR="00A9066F" w:rsidRPr="00E2052F">
              <w:rPr>
                <w:rFonts w:cstheme="majorBidi"/>
                <w:kern w:val="2"/>
                <w:sz w:val="22"/>
                <w:lang w:bidi="ar-DZ"/>
              </w:rPr>
              <w:t>.548</w:t>
            </w:r>
          </w:p>
        </w:tc>
        <w:tc>
          <w:tcPr>
            <w:tcW w:w="709" w:type="dxa"/>
            <w:tcBorders>
              <w:top w:val="single" w:sz="4" w:space="0" w:color="auto"/>
              <w:left w:val="single" w:sz="4" w:space="0" w:color="auto"/>
              <w:bottom w:val="single" w:sz="4" w:space="0" w:color="auto"/>
              <w:right w:val="single" w:sz="4" w:space="0" w:color="auto"/>
            </w:tcBorders>
          </w:tcPr>
          <w:p w14:paraId="6D4E954C" w14:textId="77777777" w:rsidR="00A9066F" w:rsidRPr="00E2052F" w:rsidRDefault="00A9066F"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11.316</w:t>
            </w:r>
          </w:p>
        </w:tc>
        <w:tc>
          <w:tcPr>
            <w:tcW w:w="713" w:type="dxa"/>
            <w:tcBorders>
              <w:top w:val="single" w:sz="4" w:space="0" w:color="auto"/>
              <w:left w:val="single" w:sz="4" w:space="0" w:color="auto"/>
              <w:bottom w:val="single" w:sz="4" w:space="0" w:color="auto"/>
              <w:right w:val="single" w:sz="4" w:space="0" w:color="auto"/>
            </w:tcBorders>
          </w:tcPr>
          <w:p w14:paraId="7AC287CE" w14:textId="77777777" w:rsidR="00A9066F" w:rsidRPr="00E2052F" w:rsidRDefault="00A9066F" w:rsidP="00283ED2">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p>
        </w:tc>
      </w:tr>
      <w:tr w:rsidR="00A9066F" w:rsidRPr="00E2052F" w14:paraId="5D622588" w14:textId="77777777" w:rsidTr="00283ED2">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FFFFFF"/>
          </w:tcPr>
          <w:p w14:paraId="36CFCFC2" w14:textId="77777777" w:rsidR="00A9066F" w:rsidRPr="00E2052F" w:rsidRDefault="00A9066F" w:rsidP="00283ED2">
            <w:pPr>
              <w:spacing w:before="0" w:beforeAutospacing="0" w:line="240" w:lineRule="auto"/>
              <w:rPr>
                <w:rFonts w:cstheme="majorBidi"/>
                <w:b/>
                <w:bCs/>
                <w:kern w:val="2"/>
                <w:sz w:val="22"/>
                <w:lang w:bidi="ar-DZ"/>
              </w:rPr>
            </w:pPr>
            <w:r w:rsidRPr="00E2052F">
              <w:rPr>
                <w:rFonts w:cstheme="majorBidi"/>
                <w:b/>
                <w:bCs/>
                <w:kern w:val="2"/>
                <w:sz w:val="22"/>
                <w:lang w:bidi="ar-DZ"/>
              </w:rPr>
              <w:t>a. Variable dépendante : La responsabilité sociale des entreprises</w:t>
            </w:r>
          </w:p>
        </w:tc>
      </w:tr>
    </w:tbl>
    <w:p w14:paraId="1946CD5E" w14:textId="77777777" w:rsidR="009C0735" w:rsidRPr="00E2052F" w:rsidRDefault="00A9066F" w:rsidP="00283ED2">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4C414565" w14:textId="77777777" w:rsidR="00E53234" w:rsidRPr="00E2052F" w:rsidRDefault="00283ED2" w:rsidP="00D23BF3">
      <w:pPr>
        <w:spacing w:before="0" w:beforeAutospacing="0"/>
        <w:rPr>
          <w:rFonts w:cstheme="majorBidi"/>
          <w:sz w:val="22"/>
        </w:rPr>
      </w:pPr>
      <w:r w:rsidRPr="00E2052F">
        <w:rPr>
          <w:rFonts w:cstheme="majorBidi"/>
          <w:noProof/>
          <w:sz w:val="22"/>
          <w:lang w:eastAsia="fr-FR"/>
        </w:rPr>
        <mc:AlternateContent>
          <mc:Choice Requires="wps">
            <w:drawing>
              <wp:anchor distT="0" distB="0" distL="114300" distR="114300" simplePos="0" relativeHeight="252085248" behindDoc="0" locked="0" layoutInCell="1" allowOverlap="1" wp14:anchorId="5F71C94C" wp14:editId="2B4443A6">
                <wp:simplePos x="0" y="0"/>
                <wp:positionH relativeFrom="margin">
                  <wp:posOffset>1886980</wp:posOffset>
                </wp:positionH>
                <wp:positionV relativeFrom="paragraph">
                  <wp:posOffset>453937</wp:posOffset>
                </wp:positionV>
                <wp:extent cx="1526650" cy="381662"/>
                <wp:effectExtent l="0" t="0" r="16510" b="18415"/>
                <wp:wrapNone/>
                <wp:docPr id="227" name="Rectangle à coins arrondis 227"/>
                <wp:cNvGraphicFramePr/>
                <a:graphic xmlns:a="http://schemas.openxmlformats.org/drawingml/2006/main">
                  <a:graphicData uri="http://schemas.microsoft.com/office/word/2010/wordprocessingShape">
                    <wps:wsp>
                      <wps:cNvSpPr/>
                      <wps:spPr>
                        <a:xfrm>
                          <a:off x="0" y="0"/>
                          <a:ext cx="1526650" cy="381662"/>
                        </a:xfrm>
                        <a:prstGeom prst="roundRect">
                          <a:avLst/>
                        </a:prstGeom>
                        <a:noFill/>
                        <a:ln w="254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26E7C49" id="Rectangle à coins arrondis 227" o:spid="_x0000_s1026" style="position:absolute;margin-left:148.6pt;margin-top:35.75pt;width:120.2pt;height:30.05pt;z-index:252085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" filled="f" strokecolor="#8eaadb [1940]" strokeweight="2pt">
                <v:stroke joinstyle="miter"/>
                <w10:wrap anchorx="margin"/>
              </v:roundrect>
            </w:pict>
          </mc:Fallback>
        </mc:AlternateContent>
      </w:r>
      <w:r w:rsidR="00E53234" w:rsidRPr="00E2052F">
        <w:rPr>
          <w:rFonts w:cstheme="majorBidi"/>
          <w:sz w:val="22"/>
        </w:rPr>
        <w:t>D'après les résultats du tableau précédent, nous constatons que le modèle qui exprime la relation entre la gouvernance d'entreprise et la RSE est le suivant :</w:t>
      </w:r>
    </w:p>
    <w:p w14:paraId="7F102102" w14:textId="77777777" w:rsidR="00B67312" w:rsidRPr="00E2052F" w:rsidRDefault="00B67312" w:rsidP="00D23BF3">
      <w:pPr>
        <w:spacing w:before="0" w:beforeAutospacing="0"/>
        <w:rPr>
          <w:rFonts w:cstheme="majorBidi"/>
          <w:b/>
          <w:bCs/>
          <w:sz w:val="22"/>
        </w:rPr>
      </w:pPr>
      <w:r w:rsidRPr="00E2052F">
        <w:rPr>
          <w:rFonts w:cstheme="majorBidi"/>
          <w:sz w:val="22"/>
        </w:rPr>
        <w:t xml:space="preserve">                                     </w:t>
      </w:r>
      <w:r w:rsidR="00283ED2" w:rsidRPr="00E2052F">
        <w:rPr>
          <w:rFonts w:cstheme="majorBidi"/>
          <w:sz w:val="22"/>
        </w:rPr>
        <w:t xml:space="preserve">         </w:t>
      </w:r>
      <w:r w:rsidRPr="00E2052F">
        <w:rPr>
          <w:rFonts w:cstheme="majorBidi"/>
          <w:sz w:val="22"/>
        </w:rPr>
        <w:t xml:space="preserve">         </w:t>
      </w:r>
      <w:r w:rsidRPr="00E2052F">
        <w:rPr>
          <w:rFonts w:cstheme="majorBidi"/>
          <w:b/>
          <w:bCs/>
          <w:sz w:val="22"/>
        </w:rPr>
        <w:t>Y =0,565 X + 1,660</w:t>
      </w:r>
    </w:p>
    <w:p w14:paraId="28CF4A75" w14:textId="77777777" w:rsidR="00B67312" w:rsidRPr="00E2052F" w:rsidRDefault="00B67312" w:rsidP="00D61875">
      <w:pPr>
        <w:pStyle w:val="Paragraphedeliste"/>
        <w:numPr>
          <w:ilvl w:val="0"/>
          <w:numId w:val="20"/>
        </w:numPr>
        <w:spacing w:before="0" w:beforeAutospacing="0"/>
        <w:rPr>
          <w:rFonts w:cstheme="majorBidi"/>
          <w:sz w:val="22"/>
        </w:rPr>
      </w:pPr>
      <w:r w:rsidRPr="00E2052F">
        <w:rPr>
          <w:rFonts w:cstheme="majorBidi"/>
          <w:sz w:val="22"/>
        </w:rPr>
        <w:t>Où Y représente la variable dépendante (la responsabilité sociale des entreprises) et X est la variable indépendante (gouvernance globale).</w:t>
      </w:r>
    </w:p>
    <w:p w14:paraId="33682061" w14:textId="77777777" w:rsidR="00B67312" w:rsidRPr="00E2052F" w:rsidRDefault="00B67312" w:rsidP="00D61875">
      <w:pPr>
        <w:pStyle w:val="Paragraphedeliste"/>
        <w:numPr>
          <w:ilvl w:val="0"/>
          <w:numId w:val="20"/>
        </w:numPr>
        <w:spacing w:before="0" w:beforeAutospacing="0"/>
        <w:rPr>
          <w:rFonts w:cstheme="majorBidi"/>
          <w:sz w:val="22"/>
        </w:rPr>
      </w:pPr>
      <w:r w:rsidRPr="00E2052F">
        <w:rPr>
          <w:rFonts w:cstheme="majorBidi"/>
          <w:sz w:val="22"/>
        </w:rPr>
        <w:t xml:space="preserve">Le nombre </w:t>
      </w:r>
      <w:r w:rsidRPr="00E2052F">
        <w:rPr>
          <w:rFonts w:cstheme="majorBidi"/>
          <w:b/>
          <w:bCs/>
          <w:sz w:val="22"/>
        </w:rPr>
        <w:t>0,565</w:t>
      </w:r>
      <w:r w:rsidRPr="00E2052F">
        <w:rPr>
          <w:rFonts w:cstheme="majorBidi"/>
          <w:sz w:val="22"/>
        </w:rPr>
        <w:t xml:space="preserve"> est la valeur de </w:t>
      </w:r>
      <w:r w:rsidRPr="00E2052F">
        <w:rPr>
          <w:rFonts w:cstheme="majorBidi"/>
          <w:b/>
          <w:bCs/>
          <w:sz w:val="22"/>
        </w:rPr>
        <w:t>β</w:t>
      </w:r>
      <w:r w:rsidRPr="00E2052F">
        <w:rPr>
          <w:rFonts w:cstheme="majorBidi"/>
          <w:sz w:val="22"/>
        </w:rPr>
        <w:t xml:space="preserve"> (bêta) égale à la pente de l'équation de régression. Cela signifie que chaque augmentation d'un point de la gouvernance globale entraîne une augmentation de 0,565 point de la RSE.</w:t>
      </w:r>
    </w:p>
    <w:p w14:paraId="3CAEF3B8" w14:textId="77777777" w:rsidR="00B67312" w:rsidRPr="00E2052F" w:rsidRDefault="00B67312" w:rsidP="00D61875">
      <w:pPr>
        <w:pStyle w:val="Paragraphedeliste"/>
        <w:numPr>
          <w:ilvl w:val="0"/>
          <w:numId w:val="20"/>
        </w:numPr>
        <w:spacing w:before="0" w:beforeAutospacing="0"/>
        <w:rPr>
          <w:rFonts w:cstheme="majorBidi"/>
          <w:sz w:val="22"/>
        </w:rPr>
      </w:pPr>
      <w:r w:rsidRPr="00E2052F">
        <w:rPr>
          <w:rFonts w:cstheme="majorBidi"/>
          <w:sz w:val="22"/>
        </w:rPr>
        <w:t xml:space="preserve">La constante </w:t>
      </w:r>
      <w:r w:rsidRPr="00E2052F">
        <w:rPr>
          <w:rFonts w:cstheme="majorBidi"/>
          <w:b/>
          <w:bCs/>
          <w:sz w:val="22"/>
        </w:rPr>
        <w:t>(1,660)</w:t>
      </w:r>
      <w:r w:rsidRPr="00E2052F">
        <w:rPr>
          <w:rFonts w:cstheme="majorBidi"/>
          <w:sz w:val="22"/>
        </w:rPr>
        <w:t xml:space="preserve"> représente la valeur estimée de la RSE en l'absence de gouvernance.</w:t>
      </w:r>
    </w:p>
    <w:p w14:paraId="1EC8A274" w14:textId="77777777" w:rsidR="00B67312" w:rsidRPr="00E2052F" w:rsidRDefault="00B67312" w:rsidP="00D61875">
      <w:pPr>
        <w:pStyle w:val="Paragraphedeliste"/>
        <w:numPr>
          <w:ilvl w:val="0"/>
          <w:numId w:val="20"/>
        </w:numPr>
        <w:spacing w:before="0" w:beforeAutospacing="0"/>
        <w:rPr>
          <w:rFonts w:cstheme="majorBidi"/>
          <w:sz w:val="22"/>
        </w:rPr>
      </w:pPr>
      <w:r w:rsidRPr="00E2052F">
        <w:rPr>
          <w:rFonts w:cstheme="majorBidi"/>
          <w:sz w:val="22"/>
        </w:rPr>
        <w:t xml:space="preserve">Le coefficient de régression standardisé </w:t>
      </w:r>
      <w:r w:rsidRPr="00E2052F">
        <w:rPr>
          <w:rFonts w:cstheme="majorBidi"/>
          <w:b/>
          <w:bCs/>
          <w:sz w:val="22"/>
        </w:rPr>
        <w:t>(Bêta = 0,548)</w:t>
      </w:r>
      <w:r w:rsidRPr="00E2052F">
        <w:rPr>
          <w:rFonts w:cstheme="majorBidi"/>
          <w:sz w:val="22"/>
        </w:rPr>
        <w:t xml:space="preserve"> confirme que la gouvernance a un impact positif et significatif sur la RSE.</w:t>
      </w:r>
    </w:p>
    <w:p w14:paraId="120CEFFE" w14:textId="77777777" w:rsidR="00E53234" w:rsidRPr="00E2052F" w:rsidRDefault="00B67312" w:rsidP="00D61875">
      <w:pPr>
        <w:pStyle w:val="Paragraphedeliste"/>
        <w:numPr>
          <w:ilvl w:val="0"/>
          <w:numId w:val="20"/>
        </w:numPr>
        <w:spacing w:before="0" w:beforeAutospacing="0"/>
        <w:rPr>
          <w:rFonts w:cstheme="majorBidi"/>
          <w:sz w:val="22"/>
        </w:rPr>
      </w:pPr>
      <w:r w:rsidRPr="00E2052F">
        <w:rPr>
          <w:rFonts w:cstheme="majorBidi"/>
          <w:sz w:val="22"/>
        </w:rPr>
        <w:t xml:space="preserve">La valeur </w:t>
      </w:r>
      <w:r w:rsidRPr="00E2052F">
        <w:rPr>
          <w:rFonts w:cstheme="majorBidi"/>
          <w:b/>
          <w:bCs/>
          <w:sz w:val="22"/>
        </w:rPr>
        <w:t>t = 11,316</w:t>
      </w:r>
      <w:r w:rsidRPr="00E2052F">
        <w:rPr>
          <w:rFonts w:cstheme="majorBidi"/>
          <w:sz w:val="22"/>
        </w:rPr>
        <w:t xml:space="preserve"> avec une significativité de </w:t>
      </w:r>
      <w:r w:rsidRPr="00E2052F">
        <w:rPr>
          <w:rFonts w:cstheme="majorBidi"/>
          <w:b/>
          <w:bCs/>
          <w:sz w:val="22"/>
        </w:rPr>
        <w:t>0,000</w:t>
      </w:r>
      <w:r w:rsidRPr="00E2052F">
        <w:rPr>
          <w:rFonts w:cstheme="majorBidi"/>
          <w:sz w:val="22"/>
        </w:rPr>
        <w:t xml:space="preserve"> indique que ce coefficient est statistiquement significatif.</w:t>
      </w:r>
    </w:p>
    <w:p w14:paraId="155FB16D" w14:textId="77777777" w:rsidR="009C0735" w:rsidRPr="00E2052F" w:rsidRDefault="00B67312" w:rsidP="00D61875">
      <w:pPr>
        <w:pStyle w:val="Titre4"/>
        <w:numPr>
          <w:ilvl w:val="0"/>
          <w:numId w:val="18"/>
        </w:numPr>
        <w:spacing w:before="0" w:beforeAutospacing="0" w:after="160"/>
        <w:ind w:left="1287" w:hanging="720"/>
        <w:rPr>
          <w:rFonts w:asciiTheme="majorBidi" w:hAnsiTheme="majorBidi"/>
          <w:i w:val="0"/>
          <w:iCs w:val="0"/>
          <w:color w:val="auto"/>
          <w:sz w:val="22"/>
        </w:rPr>
      </w:pPr>
      <w:bookmarkStart w:id="1779" w:name="_Toc229156022"/>
      <w:bookmarkStart w:id="1780" w:name="_Toc231747020"/>
      <w:bookmarkStart w:id="1781" w:name="_Toc231752426"/>
      <w:bookmarkStart w:id="1782" w:name="_Toc231810729"/>
      <w:bookmarkStart w:id="1783" w:name="_Toc231812072"/>
      <w:bookmarkStart w:id="1784" w:name="_Toc231812350"/>
      <w:bookmarkStart w:id="1785" w:name="_Toc231815234"/>
      <w:r w:rsidRPr="00E2052F">
        <w:rPr>
          <w:rFonts w:asciiTheme="majorBidi" w:hAnsiTheme="majorBidi"/>
          <w:i w:val="0"/>
          <w:iCs w:val="0"/>
          <w:color w:val="auto"/>
          <w:sz w:val="22"/>
        </w:rPr>
        <w:t>La première sous hypothèse :</w:t>
      </w:r>
      <w:bookmarkEnd w:id="1779"/>
      <w:bookmarkEnd w:id="1780"/>
      <w:bookmarkEnd w:id="1781"/>
      <w:bookmarkEnd w:id="1782"/>
      <w:bookmarkEnd w:id="1783"/>
      <w:bookmarkEnd w:id="1784"/>
      <w:bookmarkEnd w:id="1785"/>
    </w:p>
    <w:p w14:paraId="13266763" w14:textId="77777777" w:rsidR="00B67312" w:rsidRPr="00E2052F" w:rsidRDefault="00B67312" w:rsidP="00D23BF3">
      <w:pPr>
        <w:spacing w:before="0" w:beforeAutospacing="0"/>
        <w:rPr>
          <w:rFonts w:cstheme="majorBidi"/>
          <w:sz w:val="22"/>
        </w:rPr>
      </w:pPr>
      <w:r w:rsidRPr="00E2052F">
        <w:rPr>
          <w:rFonts w:cstheme="majorBidi"/>
          <w:b/>
          <w:bCs/>
          <w:sz w:val="22"/>
        </w:rPr>
        <w:t>H1a :</w:t>
      </w:r>
      <w:r w:rsidRPr="00E2052F">
        <w:rPr>
          <w:rFonts w:cstheme="majorBidi"/>
          <w:sz w:val="22"/>
        </w:rPr>
        <w:t xml:space="preserve"> Il existe une relation positive significative entre l’existence d’une base pour un cadre efficace de gouvernance et la responsabilité sociale des entreprises au sein de Tayal SPA.</w:t>
      </w:r>
    </w:p>
    <w:p w14:paraId="4358EAB3" w14:textId="77777777" w:rsidR="00B67312" w:rsidRPr="00E2052F" w:rsidRDefault="00B67312" w:rsidP="00D61875">
      <w:pPr>
        <w:pStyle w:val="Paragraphedeliste"/>
        <w:numPr>
          <w:ilvl w:val="0"/>
          <w:numId w:val="36"/>
        </w:numPr>
        <w:spacing w:before="0" w:beforeAutospacing="0"/>
        <w:ind w:left="1208" w:hanging="357"/>
        <w:rPr>
          <w:rFonts w:cstheme="majorBidi"/>
          <w:b/>
          <w:bCs/>
          <w:sz w:val="22"/>
        </w:rPr>
      </w:pPr>
      <w:r w:rsidRPr="00E2052F">
        <w:rPr>
          <w:rFonts w:cstheme="majorBidi"/>
          <w:b/>
          <w:bCs/>
          <w:sz w:val="22"/>
        </w:rPr>
        <w:t>Coefficient de corrélation (R carré) (R-square) :</w:t>
      </w:r>
    </w:p>
    <w:p w14:paraId="4530B589" w14:textId="77777777" w:rsidR="00D455E1" w:rsidRPr="00E2052F" w:rsidRDefault="00193ABF" w:rsidP="00D23BF3">
      <w:pPr>
        <w:spacing w:before="0" w:beforeAutospacing="0"/>
        <w:rPr>
          <w:rFonts w:cstheme="majorBidi"/>
          <w:sz w:val="22"/>
        </w:rPr>
      </w:pPr>
      <w:r w:rsidRPr="00E2052F">
        <w:rPr>
          <w:rFonts w:cstheme="majorBidi"/>
          <w:b/>
          <w:bCs/>
          <w:sz w:val="22"/>
          <w:u w:val="single"/>
        </w:rPr>
        <w:t>Tableau 33</w:t>
      </w:r>
      <w:r w:rsidR="00273C7C" w:rsidRPr="00E2052F">
        <w:rPr>
          <w:rFonts w:cstheme="majorBidi"/>
          <w:b/>
          <w:bCs/>
          <w:sz w:val="22"/>
          <w:u w:val="single"/>
        </w:rPr>
        <w:t xml:space="preserve"> </w:t>
      </w:r>
      <w:r w:rsidR="00273C7C" w:rsidRPr="00E2052F">
        <w:rPr>
          <w:rFonts w:cstheme="majorBidi"/>
          <w:b/>
          <w:bCs/>
          <w:sz w:val="22"/>
        </w:rPr>
        <w:t>:</w:t>
      </w:r>
      <w:r w:rsidR="00273C7C" w:rsidRPr="00E2052F">
        <w:rPr>
          <w:rFonts w:cstheme="majorBidi"/>
          <w:sz w:val="22"/>
        </w:rPr>
        <w:t xml:space="preserve"> </w:t>
      </w:r>
      <w:r w:rsidR="00273C7C" w:rsidRPr="00E2052F">
        <w:rPr>
          <w:rFonts w:cstheme="majorBidi"/>
          <w:b/>
          <w:bCs/>
          <w:sz w:val="22"/>
        </w:rPr>
        <w:t>Coefficients de corrélation.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3"/>
        <w:gridCol w:w="1583"/>
        <w:gridCol w:w="1130"/>
        <w:gridCol w:w="1843"/>
        <w:gridCol w:w="3123"/>
      </w:tblGrid>
      <w:tr w:rsidR="00273C7C" w:rsidRPr="00E2052F" w14:paraId="0DCDEA15" w14:textId="77777777" w:rsidTr="007530A6">
        <w:trPr>
          <w:cantSplit/>
          <w:trHeight w:val="307"/>
          <w:jc w:val="center"/>
        </w:trPr>
        <w:tc>
          <w:tcPr>
            <w:tcW w:w="1393" w:type="dxa"/>
            <w:shd w:val="clear" w:color="auto" w:fill="D9E2F3" w:themeFill="accent1" w:themeFillTint="33"/>
            <w:vAlign w:val="bottom"/>
          </w:tcPr>
          <w:p w14:paraId="78B120CF"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83" w:type="dxa"/>
            <w:shd w:val="clear" w:color="auto" w:fill="D9E2F3" w:themeFill="accent1" w:themeFillTint="33"/>
            <w:vAlign w:val="bottom"/>
          </w:tcPr>
          <w:p w14:paraId="3E448F73"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130" w:type="dxa"/>
            <w:shd w:val="clear" w:color="auto" w:fill="D9E2F3" w:themeFill="accent1" w:themeFillTint="33"/>
            <w:vAlign w:val="bottom"/>
          </w:tcPr>
          <w:p w14:paraId="673FF821"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843" w:type="dxa"/>
            <w:shd w:val="clear" w:color="auto" w:fill="D9E2F3" w:themeFill="accent1" w:themeFillTint="33"/>
            <w:vAlign w:val="bottom"/>
          </w:tcPr>
          <w:p w14:paraId="1C1F0386"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123" w:type="dxa"/>
            <w:shd w:val="clear" w:color="auto" w:fill="D9E2F3" w:themeFill="accent1" w:themeFillTint="33"/>
            <w:vAlign w:val="bottom"/>
          </w:tcPr>
          <w:p w14:paraId="6CD6F6FB"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273C7C" w:rsidRPr="00E2052F" w14:paraId="4FE6A13C" w14:textId="77777777" w:rsidTr="007530A6">
        <w:trPr>
          <w:cantSplit/>
          <w:trHeight w:val="317"/>
          <w:jc w:val="center"/>
        </w:trPr>
        <w:tc>
          <w:tcPr>
            <w:tcW w:w="1393" w:type="dxa"/>
            <w:shd w:val="clear" w:color="auto" w:fill="D9E2F3" w:themeFill="accent1" w:themeFillTint="33"/>
          </w:tcPr>
          <w:p w14:paraId="2F99D483" w14:textId="77777777" w:rsidR="00273C7C" w:rsidRPr="00E2052F" w:rsidRDefault="00273C7C" w:rsidP="00283ED2">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83" w:type="dxa"/>
          </w:tcPr>
          <w:p w14:paraId="3B7A77DD" w14:textId="77777777" w:rsidR="00273C7C" w:rsidRPr="00E2052F" w:rsidRDefault="00273C7C" w:rsidP="00283ED2">
            <w:pPr>
              <w:spacing w:before="0" w:beforeAutospacing="0" w:line="240" w:lineRule="auto"/>
              <w:ind w:firstLine="0"/>
              <w:jc w:val="center"/>
              <w:rPr>
                <w:rFonts w:cstheme="majorBidi"/>
                <w:kern w:val="2"/>
                <w:sz w:val="22"/>
              </w:rPr>
            </w:pPr>
            <w:r w:rsidRPr="00E2052F">
              <w:rPr>
                <w:rFonts w:cstheme="majorBidi"/>
                <w:kern w:val="2"/>
                <w:sz w:val="22"/>
              </w:rPr>
              <w:t>0.343</w:t>
            </w:r>
            <w:r w:rsidRPr="00E2052F">
              <w:rPr>
                <w:rFonts w:cstheme="majorBidi"/>
                <w:kern w:val="2"/>
                <w:sz w:val="22"/>
                <w:vertAlign w:val="superscript"/>
              </w:rPr>
              <w:t>a</w:t>
            </w:r>
          </w:p>
        </w:tc>
        <w:tc>
          <w:tcPr>
            <w:tcW w:w="1130" w:type="dxa"/>
          </w:tcPr>
          <w:p w14:paraId="64551DB1" w14:textId="77777777" w:rsidR="00273C7C" w:rsidRPr="00E2052F" w:rsidRDefault="00273C7C" w:rsidP="00283ED2">
            <w:pPr>
              <w:spacing w:before="0" w:beforeAutospacing="0" w:line="240" w:lineRule="auto"/>
              <w:ind w:firstLine="0"/>
              <w:jc w:val="center"/>
              <w:rPr>
                <w:rFonts w:cstheme="majorBidi"/>
                <w:kern w:val="2"/>
                <w:sz w:val="22"/>
              </w:rPr>
            </w:pPr>
            <w:r w:rsidRPr="00E2052F">
              <w:rPr>
                <w:rFonts w:cstheme="majorBidi"/>
                <w:kern w:val="2"/>
                <w:sz w:val="22"/>
              </w:rPr>
              <w:t>0.118</w:t>
            </w:r>
          </w:p>
        </w:tc>
        <w:tc>
          <w:tcPr>
            <w:tcW w:w="1843" w:type="dxa"/>
          </w:tcPr>
          <w:p w14:paraId="30610949" w14:textId="77777777" w:rsidR="00273C7C" w:rsidRPr="00E2052F" w:rsidRDefault="00273C7C" w:rsidP="00283ED2">
            <w:pPr>
              <w:spacing w:before="0" w:beforeAutospacing="0" w:line="240" w:lineRule="auto"/>
              <w:ind w:firstLine="0"/>
              <w:jc w:val="center"/>
              <w:rPr>
                <w:rFonts w:cstheme="majorBidi"/>
                <w:kern w:val="2"/>
                <w:sz w:val="22"/>
              </w:rPr>
            </w:pPr>
            <w:r w:rsidRPr="00E2052F">
              <w:rPr>
                <w:rFonts w:cstheme="majorBidi"/>
                <w:kern w:val="2"/>
                <w:sz w:val="22"/>
              </w:rPr>
              <w:t>0.115</w:t>
            </w:r>
          </w:p>
        </w:tc>
        <w:tc>
          <w:tcPr>
            <w:tcW w:w="3123" w:type="dxa"/>
          </w:tcPr>
          <w:p w14:paraId="15AE0446" w14:textId="77777777" w:rsidR="00273C7C" w:rsidRPr="00E2052F" w:rsidRDefault="00273C7C" w:rsidP="00283ED2">
            <w:pPr>
              <w:spacing w:before="0" w:beforeAutospacing="0" w:line="240" w:lineRule="auto"/>
              <w:ind w:firstLine="0"/>
              <w:jc w:val="center"/>
              <w:rPr>
                <w:rFonts w:cstheme="majorBidi"/>
                <w:kern w:val="2"/>
                <w:sz w:val="22"/>
              </w:rPr>
            </w:pPr>
            <w:r w:rsidRPr="00E2052F">
              <w:rPr>
                <w:rFonts w:cstheme="majorBidi"/>
                <w:kern w:val="2"/>
                <w:sz w:val="22"/>
              </w:rPr>
              <w:t>0.585</w:t>
            </w:r>
          </w:p>
        </w:tc>
      </w:tr>
      <w:tr w:rsidR="00273C7C" w:rsidRPr="00E2052F" w14:paraId="4F490A63" w14:textId="77777777" w:rsidTr="00283ED2">
        <w:trPr>
          <w:cantSplit/>
          <w:trHeight w:val="339"/>
          <w:jc w:val="center"/>
        </w:trPr>
        <w:tc>
          <w:tcPr>
            <w:tcW w:w="9072" w:type="dxa"/>
            <w:gridSpan w:val="5"/>
            <w:shd w:val="clear" w:color="auto" w:fill="FFFFFF"/>
          </w:tcPr>
          <w:p w14:paraId="5DC4504A" w14:textId="77777777" w:rsidR="00273C7C" w:rsidRPr="00E2052F" w:rsidRDefault="00273C7C" w:rsidP="00283ED2">
            <w:pPr>
              <w:spacing w:before="0" w:beforeAutospacing="0" w:line="240" w:lineRule="auto"/>
              <w:rPr>
                <w:rFonts w:cstheme="majorBidi"/>
                <w:b/>
                <w:bCs/>
                <w:kern w:val="2"/>
                <w:sz w:val="22"/>
              </w:rPr>
            </w:pPr>
            <w:r w:rsidRPr="00E2052F">
              <w:rPr>
                <w:rFonts w:cstheme="majorBidi"/>
                <w:b/>
                <w:bCs/>
                <w:kern w:val="2"/>
                <w:sz w:val="22"/>
              </w:rPr>
              <w:t>a. Prédicteurs : (Constante), L'existence d'une base pour un cadre efficace de la gouvernance</w:t>
            </w:r>
          </w:p>
        </w:tc>
      </w:tr>
    </w:tbl>
    <w:p w14:paraId="40205A32" w14:textId="77777777" w:rsidR="00B76EB9" w:rsidRPr="00E2052F" w:rsidRDefault="00B76EB9" w:rsidP="00283ED2">
      <w:pPr>
        <w:spacing w:before="0" w:beforeAutospacing="0" w:line="240" w:lineRule="auto"/>
        <w:ind w:firstLine="0"/>
        <w:jc w:val="center"/>
        <w:rPr>
          <w:rFonts w:cstheme="majorBidi"/>
          <w:sz w:val="22"/>
        </w:rPr>
      </w:pPr>
      <w:r w:rsidRPr="00E2052F">
        <w:rPr>
          <w:rFonts w:cstheme="majorBidi"/>
          <w:b/>
          <w:bCs/>
          <w:sz w:val="22"/>
        </w:rPr>
        <w:t>Source :</w:t>
      </w:r>
      <w:r w:rsidRPr="00E2052F">
        <w:rPr>
          <w:rFonts w:cstheme="majorBidi"/>
          <w:sz w:val="22"/>
        </w:rPr>
        <w:t xml:space="preserve"> Réalisé par l'étudiante à partir du SPSS.</w:t>
      </w:r>
    </w:p>
    <w:p w14:paraId="34310F06" w14:textId="77777777" w:rsidR="00B76EB9" w:rsidRPr="00E2052F" w:rsidRDefault="00B76EB9" w:rsidP="00D23BF3">
      <w:pPr>
        <w:spacing w:before="0" w:beforeAutospacing="0"/>
        <w:rPr>
          <w:rFonts w:cstheme="majorBidi"/>
          <w:sz w:val="22"/>
        </w:rPr>
      </w:pPr>
      <w:r w:rsidRPr="00E2052F">
        <w:rPr>
          <w:rFonts w:cstheme="majorBidi"/>
          <w:sz w:val="22"/>
        </w:rPr>
        <w:lastRenderedPageBreak/>
        <w:t>Le tableau ci-dessus montre le coefficient de corrélation entre les variables, qui a été estimé à 0,343. Cela signifie que la corrélation est positive mais faible, ce qui indique une relation significative mais modeste entre l'existence d'une base pour un cadre efficace de la gouvernance et la RSE.</w:t>
      </w:r>
    </w:p>
    <w:p w14:paraId="591A315E" w14:textId="77777777" w:rsidR="00B76EB9" w:rsidRPr="00E2052F" w:rsidRDefault="00B76EB9" w:rsidP="00D23BF3">
      <w:pPr>
        <w:spacing w:before="0" w:beforeAutospacing="0"/>
        <w:rPr>
          <w:rFonts w:cstheme="majorBidi"/>
          <w:sz w:val="22"/>
        </w:rPr>
      </w:pPr>
      <w:r w:rsidRPr="00E2052F">
        <w:rPr>
          <w:rFonts w:cstheme="majorBidi"/>
          <w:sz w:val="22"/>
        </w:rPr>
        <w:t>Le coefficient de détermination (R² = 0,118) montre que 11,8 % seulement de la variance de la variable dépendante (la RSE) est expliquée par la variable indépendante (l'existence d'une base pour un cadre efficace de la gouvernance). En d'autres termes, l'amélioration du cadre de gouvernance contribue à expliquer à hauteur de 11,8 % la variation observée dans la responsabilité sociale des entreprises.</w:t>
      </w:r>
    </w:p>
    <w:p w14:paraId="5CE4DB55" w14:textId="77777777" w:rsidR="00B76EB9" w:rsidRPr="00E2052F" w:rsidRDefault="00B76EB9" w:rsidP="00D61875">
      <w:pPr>
        <w:pStyle w:val="Paragraphedeliste"/>
        <w:numPr>
          <w:ilvl w:val="0"/>
          <w:numId w:val="36"/>
        </w:numPr>
        <w:spacing w:before="0" w:beforeAutospacing="0"/>
        <w:ind w:left="1208" w:hanging="357"/>
        <w:rPr>
          <w:rFonts w:cstheme="majorBidi"/>
          <w:b/>
          <w:bCs/>
          <w:sz w:val="22"/>
        </w:rPr>
      </w:pPr>
      <w:r w:rsidRPr="00E2052F">
        <w:rPr>
          <w:rFonts w:cstheme="majorBidi"/>
          <w:b/>
          <w:bCs/>
          <w:sz w:val="22"/>
        </w:rPr>
        <w:t>Analyse de variance ANOVA :</w:t>
      </w:r>
    </w:p>
    <w:p w14:paraId="52BF3334" w14:textId="77777777" w:rsidR="00A60A9C" w:rsidRPr="00E2052F" w:rsidRDefault="00193ABF" w:rsidP="00283ED2">
      <w:pPr>
        <w:spacing w:before="0" w:beforeAutospacing="0"/>
        <w:rPr>
          <w:rFonts w:cstheme="majorBidi"/>
          <w:sz w:val="22"/>
        </w:rPr>
      </w:pPr>
      <w:r w:rsidRPr="00E2052F">
        <w:rPr>
          <w:rFonts w:cstheme="majorBidi"/>
          <w:b/>
          <w:bCs/>
          <w:sz w:val="22"/>
          <w:u w:val="single"/>
        </w:rPr>
        <w:t xml:space="preserve">Tableau 34 </w:t>
      </w:r>
      <w:r w:rsidR="00A60A9C" w:rsidRPr="00E2052F">
        <w:rPr>
          <w:rFonts w:cstheme="majorBidi"/>
          <w:b/>
          <w:bCs/>
          <w:sz w:val="22"/>
          <w:u w:val="single"/>
        </w:rPr>
        <w:t>:</w:t>
      </w:r>
      <w:r w:rsidR="00A60A9C" w:rsidRPr="00E2052F">
        <w:rPr>
          <w:rFonts w:cstheme="majorBidi"/>
          <w:b/>
          <w:bCs/>
          <w:sz w:val="22"/>
        </w:rPr>
        <w:t xml:space="preserve"> La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1"/>
        <w:gridCol w:w="1449"/>
        <w:gridCol w:w="2004"/>
        <w:gridCol w:w="803"/>
        <w:gridCol w:w="1549"/>
        <w:gridCol w:w="1154"/>
        <w:gridCol w:w="1162"/>
      </w:tblGrid>
      <w:tr w:rsidR="00A60A9C" w:rsidRPr="00E2052F" w14:paraId="328C76AA" w14:textId="77777777" w:rsidTr="007530A6">
        <w:trPr>
          <w:cantSplit/>
          <w:trHeight w:val="559"/>
          <w:jc w:val="center"/>
        </w:trPr>
        <w:tc>
          <w:tcPr>
            <w:tcW w:w="9042" w:type="dxa"/>
            <w:gridSpan w:val="7"/>
            <w:shd w:val="clear" w:color="auto" w:fill="B4C6E7" w:themeFill="accent1" w:themeFillTint="66"/>
            <w:vAlign w:val="center"/>
          </w:tcPr>
          <w:p w14:paraId="0C1C3E3E"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A60A9C" w:rsidRPr="00E2052F" w14:paraId="2B4CC518" w14:textId="77777777" w:rsidTr="007530A6">
        <w:trPr>
          <w:cantSplit/>
          <w:trHeight w:val="257"/>
          <w:jc w:val="center"/>
        </w:trPr>
        <w:tc>
          <w:tcPr>
            <w:tcW w:w="2393" w:type="dxa"/>
            <w:gridSpan w:val="2"/>
            <w:shd w:val="clear" w:color="auto" w:fill="D9E2F3" w:themeFill="accent1" w:themeFillTint="33"/>
            <w:vAlign w:val="bottom"/>
          </w:tcPr>
          <w:p w14:paraId="51B11CB1"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97" w:type="dxa"/>
            <w:shd w:val="clear" w:color="auto" w:fill="D9E2F3" w:themeFill="accent1" w:themeFillTint="33"/>
            <w:vAlign w:val="bottom"/>
          </w:tcPr>
          <w:p w14:paraId="12A69057"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800" w:type="dxa"/>
            <w:shd w:val="clear" w:color="auto" w:fill="D9E2F3" w:themeFill="accent1" w:themeFillTint="33"/>
            <w:vAlign w:val="bottom"/>
          </w:tcPr>
          <w:p w14:paraId="1AFC0B83"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44" w:type="dxa"/>
            <w:shd w:val="clear" w:color="auto" w:fill="D9E2F3" w:themeFill="accent1" w:themeFillTint="33"/>
            <w:vAlign w:val="bottom"/>
          </w:tcPr>
          <w:p w14:paraId="52525304"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50" w:type="dxa"/>
            <w:shd w:val="clear" w:color="auto" w:fill="D9E2F3" w:themeFill="accent1" w:themeFillTint="33"/>
            <w:vAlign w:val="bottom"/>
          </w:tcPr>
          <w:p w14:paraId="3B47A3A9"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58" w:type="dxa"/>
            <w:shd w:val="clear" w:color="auto" w:fill="D9E2F3" w:themeFill="accent1" w:themeFillTint="33"/>
            <w:vAlign w:val="bottom"/>
          </w:tcPr>
          <w:p w14:paraId="465E50C1"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A60A9C" w:rsidRPr="00E2052F" w14:paraId="69F8F5D9" w14:textId="77777777" w:rsidTr="007530A6">
        <w:trPr>
          <w:cantSplit/>
          <w:trHeight w:val="393"/>
          <w:jc w:val="center"/>
        </w:trPr>
        <w:tc>
          <w:tcPr>
            <w:tcW w:w="949" w:type="dxa"/>
            <w:vMerge w:val="restart"/>
            <w:shd w:val="clear" w:color="auto" w:fill="D9E2F3" w:themeFill="accent1" w:themeFillTint="33"/>
          </w:tcPr>
          <w:p w14:paraId="3B320069" w14:textId="77777777" w:rsidR="00283ED2" w:rsidRPr="00E2052F" w:rsidRDefault="00283ED2" w:rsidP="00283ED2">
            <w:pPr>
              <w:spacing w:before="0" w:beforeAutospacing="0" w:line="240" w:lineRule="auto"/>
              <w:ind w:firstLine="0"/>
              <w:jc w:val="center"/>
              <w:rPr>
                <w:rFonts w:cstheme="majorBidi"/>
                <w:b/>
                <w:bCs/>
                <w:kern w:val="2"/>
                <w:sz w:val="22"/>
              </w:rPr>
            </w:pPr>
          </w:p>
          <w:p w14:paraId="08469C0E" w14:textId="77777777" w:rsidR="00A60A9C" w:rsidRPr="00E2052F" w:rsidRDefault="00A60A9C" w:rsidP="00283ED2">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44" w:type="dxa"/>
            <w:shd w:val="clear" w:color="auto" w:fill="D9E2F3" w:themeFill="accent1" w:themeFillTint="33"/>
          </w:tcPr>
          <w:p w14:paraId="17DD8BBF" w14:textId="77777777" w:rsidR="00A60A9C" w:rsidRPr="00E2052F" w:rsidRDefault="00A60A9C" w:rsidP="00283ED2">
            <w:pPr>
              <w:spacing w:before="0" w:beforeAutospacing="0" w:line="240" w:lineRule="auto"/>
              <w:ind w:firstLine="0"/>
              <w:rPr>
                <w:rFonts w:cstheme="majorBidi"/>
                <w:b/>
                <w:bCs/>
                <w:kern w:val="2"/>
                <w:sz w:val="22"/>
              </w:rPr>
            </w:pPr>
            <w:r w:rsidRPr="00E2052F">
              <w:rPr>
                <w:rFonts w:cstheme="majorBidi"/>
                <w:b/>
                <w:bCs/>
                <w:kern w:val="2"/>
                <w:sz w:val="22"/>
              </w:rPr>
              <w:t>Régression</w:t>
            </w:r>
          </w:p>
        </w:tc>
        <w:tc>
          <w:tcPr>
            <w:tcW w:w="1997" w:type="dxa"/>
          </w:tcPr>
          <w:p w14:paraId="2946DCE1"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13.636</w:t>
            </w:r>
          </w:p>
        </w:tc>
        <w:tc>
          <w:tcPr>
            <w:tcW w:w="800" w:type="dxa"/>
          </w:tcPr>
          <w:p w14:paraId="1E9469F3"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1</w:t>
            </w:r>
          </w:p>
        </w:tc>
        <w:tc>
          <w:tcPr>
            <w:tcW w:w="1544" w:type="dxa"/>
          </w:tcPr>
          <w:p w14:paraId="3EB14A52"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13.636</w:t>
            </w:r>
          </w:p>
        </w:tc>
        <w:tc>
          <w:tcPr>
            <w:tcW w:w="1150" w:type="dxa"/>
          </w:tcPr>
          <w:p w14:paraId="327D0AB9"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39.804</w:t>
            </w:r>
          </w:p>
        </w:tc>
        <w:tc>
          <w:tcPr>
            <w:tcW w:w="1158" w:type="dxa"/>
          </w:tcPr>
          <w:p w14:paraId="02113A5F" w14:textId="77777777" w:rsidR="00A60A9C" w:rsidRPr="00E2052F" w:rsidRDefault="00904E48" w:rsidP="00283ED2">
            <w:pPr>
              <w:spacing w:before="0" w:beforeAutospacing="0" w:line="240" w:lineRule="auto"/>
              <w:ind w:firstLine="0"/>
              <w:jc w:val="center"/>
              <w:rPr>
                <w:rFonts w:cstheme="majorBidi"/>
                <w:kern w:val="2"/>
                <w:sz w:val="22"/>
              </w:rPr>
            </w:pPr>
            <w:r w:rsidRPr="00E2052F">
              <w:rPr>
                <w:rFonts w:cstheme="majorBidi"/>
                <w:kern w:val="2"/>
                <w:sz w:val="22"/>
              </w:rPr>
              <w:t>0</w:t>
            </w:r>
            <w:r w:rsidR="00A60A9C" w:rsidRPr="00E2052F">
              <w:rPr>
                <w:rFonts w:cstheme="majorBidi"/>
                <w:kern w:val="2"/>
                <w:sz w:val="22"/>
              </w:rPr>
              <w:t>.000</w:t>
            </w:r>
            <w:r w:rsidR="00A60A9C" w:rsidRPr="00E2052F">
              <w:rPr>
                <w:rFonts w:cstheme="majorBidi"/>
                <w:kern w:val="2"/>
                <w:sz w:val="22"/>
                <w:vertAlign w:val="superscript"/>
              </w:rPr>
              <w:t>b</w:t>
            </w:r>
          </w:p>
        </w:tc>
      </w:tr>
      <w:tr w:rsidR="00A60A9C" w:rsidRPr="00E2052F" w14:paraId="306080B5" w14:textId="77777777" w:rsidTr="007530A6">
        <w:trPr>
          <w:cantSplit/>
          <w:trHeight w:val="251"/>
          <w:jc w:val="center"/>
        </w:trPr>
        <w:tc>
          <w:tcPr>
            <w:tcW w:w="949" w:type="dxa"/>
            <w:vMerge/>
            <w:shd w:val="clear" w:color="auto" w:fill="D9E2F3" w:themeFill="accent1" w:themeFillTint="33"/>
          </w:tcPr>
          <w:p w14:paraId="0EFC6D8A" w14:textId="77777777" w:rsidR="00A60A9C" w:rsidRPr="00E2052F" w:rsidRDefault="00A60A9C" w:rsidP="00283ED2">
            <w:pPr>
              <w:spacing w:before="0" w:beforeAutospacing="0" w:line="240" w:lineRule="auto"/>
              <w:jc w:val="center"/>
              <w:rPr>
                <w:rFonts w:cstheme="majorBidi"/>
                <w:b/>
                <w:bCs/>
                <w:kern w:val="2"/>
                <w:sz w:val="22"/>
              </w:rPr>
            </w:pPr>
          </w:p>
        </w:tc>
        <w:tc>
          <w:tcPr>
            <w:tcW w:w="1444" w:type="dxa"/>
            <w:shd w:val="clear" w:color="auto" w:fill="D9E2F3" w:themeFill="accent1" w:themeFillTint="33"/>
          </w:tcPr>
          <w:p w14:paraId="0502FA3D" w14:textId="77777777" w:rsidR="00A60A9C" w:rsidRPr="00E2052F" w:rsidRDefault="00A60A9C" w:rsidP="00283ED2">
            <w:pPr>
              <w:spacing w:before="0" w:beforeAutospacing="0" w:line="240" w:lineRule="auto"/>
              <w:ind w:firstLine="0"/>
              <w:rPr>
                <w:rFonts w:cstheme="majorBidi"/>
                <w:b/>
                <w:bCs/>
                <w:kern w:val="2"/>
                <w:sz w:val="22"/>
              </w:rPr>
            </w:pPr>
            <w:r w:rsidRPr="00E2052F">
              <w:rPr>
                <w:rFonts w:cstheme="majorBidi"/>
                <w:b/>
                <w:bCs/>
                <w:kern w:val="2"/>
                <w:sz w:val="22"/>
              </w:rPr>
              <w:t>de Student</w:t>
            </w:r>
          </w:p>
        </w:tc>
        <w:tc>
          <w:tcPr>
            <w:tcW w:w="1997" w:type="dxa"/>
          </w:tcPr>
          <w:p w14:paraId="5E46A4FD"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102.085</w:t>
            </w:r>
          </w:p>
        </w:tc>
        <w:tc>
          <w:tcPr>
            <w:tcW w:w="800" w:type="dxa"/>
          </w:tcPr>
          <w:p w14:paraId="57346BE7"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298</w:t>
            </w:r>
          </w:p>
        </w:tc>
        <w:tc>
          <w:tcPr>
            <w:tcW w:w="1544" w:type="dxa"/>
          </w:tcPr>
          <w:p w14:paraId="111C6FA3"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.343</w:t>
            </w:r>
          </w:p>
        </w:tc>
        <w:tc>
          <w:tcPr>
            <w:tcW w:w="1150" w:type="dxa"/>
            <w:vAlign w:val="center"/>
          </w:tcPr>
          <w:p w14:paraId="0AF37737" w14:textId="77777777" w:rsidR="00A60A9C" w:rsidRPr="00E2052F" w:rsidRDefault="00A60A9C" w:rsidP="00283ED2">
            <w:pPr>
              <w:spacing w:before="0" w:beforeAutospacing="0" w:line="240" w:lineRule="auto"/>
              <w:jc w:val="center"/>
              <w:rPr>
                <w:rFonts w:cstheme="majorBidi"/>
                <w:kern w:val="2"/>
                <w:sz w:val="22"/>
              </w:rPr>
            </w:pPr>
          </w:p>
        </w:tc>
        <w:tc>
          <w:tcPr>
            <w:tcW w:w="1158" w:type="dxa"/>
            <w:vAlign w:val="center"/>
          </w:tcPr>
          <w:p w14:paraId="393138E5" w14:textId="77777777" w:rsidR="00A60A9C" w:rsidRPr="00E2052F" w:rsidRDefault="00A60A9C" w:rsidP="00283ED2">
            <w:pPr>
              <w:spacing w:before="0" w:beforeAutospacing="0" w:line="240" w:lineRule="auto"/>
              <w:jc w:val="center"/>
              <w:rPr>
                <w:rFonts w:cstheme="majorBidi"/>
                <w:kern w:val="2"/>
                <w:sz w:val="22"/>
              </w:rPr>
            </w:pPr>
          </w:p>
        </w:tc>
      </w:tr>
      <w:tr w:rsidR="00A60A9C" w:rsidRPr="00E2052F" w14:paraId="0C6870E3" w14:textId="77777777" w:rsidTr="007530A6">
        <w:trPr>
          <w:cantSplit/>
          <w:trHeight w:val="251"/>
          <w:jc w:val="center"/>
        </w:trPr>
        <w:tc>
          <w:tcPr>
            <w:tcW w:w="949" w:type="dxa"/>
            <w:vMerge/>
            <w:shd w:val="clear" w:color="auto" w:fill="D9E2F3" w:themeFill="accent1" w:themeFillTint="33"/>
          </w:tcPr>
          <w:p w14:paraId="01367F97" w14:textId="77777777" w:rsidR="00A60A9C" w:rsidRPr="00E2052F" w:rsidRDefault="00A60A9C" w:rsidP="00283ED2">
            <w:pPr>
              <w:spacing w:before="0" w:beforeAutospacing="0" w:line="240" w:lineRule="auto"/>
              <w:jc w:val="center"/>
              <w:rPr>
                <w:rFonts w:cstheme="majorBidi"/>
                <w:b/>
                <w:bCs/>
                <w:kern w:val="2"/>
                <w:sz w:val="22"/>
              </w:rPr>
            </w:pPr>
          </w:p>
        </w:tc>
        <w:tc>
          <w:tcPr>
            <w:tcW w:w="1444" w:type="dxa"/>
            <w:shd w:val="clear" w:color="auto" w:fill="D9E2F3" w:themeFill="accent1" w:themeFillTint="33"/>
          </w:tcPr>
          <w:p w14:paraId="22C9838C" w14:textId="77777777" w:rsidR="00A60A9C" w:rsidRPr="00E2052F" w:rsidRDefault="00A60A9C" w:rsidP="00283ED2">
            <w:pPr>
              <w:spacing w:before="0" w:beforeAutospacing="0" w:line="240" w:lineRule="auto"/>
              <w:rPr>
                <w:rFonts w:cstheme="majorBidi"/>
                <w:b/>
                <w:bCs/>
                <w:kern w:val="2"/>
                <w:sz w:val="22"/>
              </w:rPr>
            </w:pPr>
            <w:r w:rsidRPr="00E2052F">
              <w:rPr>
                <w:rFonts w:cstheme="majorBidi"/>
                <w:b/>
                <w:bCs/>
                <w:kern w:val="2"/>
                <w:sz w:val="22"/>
              </w:rPr>
              <w:t>Total</w:t>
            </w:r>
          </w:p>
        </w:tc>
        <w:tc>
          <w:tcPr>
            <w:tcW w:w="1997" w:type="dxa"/>
          </w:tcPr>
          <w:p w14:paraId="27C85479"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800" w:type="dxa"/>
          </w:tcPr>
          <w:p w14:paraId="4B5D774B" w14:textId="77777777" w:rsidR="00A60A9C" w:rsidRPr="00E2052F" w:rsidRDefault="00A60A9C" w:rsidP="00283ED2">
            <w:pPr>
              <w:spacing w:before="0" w:beforeAutospacing="0" w:line="240" w:lineRule="auto"/>
              <w:ind w:firstLine="0"/>
              <w:jc w:val="center"/>
              <w:rPr>
                <w:rFonts w:cstheme="majorBidi"/>
                <w:kern w:val="2"/>
                <w:sz w:val="22"/>
              </w:rPr>
            </w:pPr>
            <w:r w:rsidRPr="00E2052F">
              <w:rPr>
                <w:rFonts w:cstheme="majorBidi"/>
                <w:kern w:val="2"/>
                <w:sz w:val="22"/>
              </w:rPr>
              <w:t>299</w:t>
            </w:r>
          </w:p>
        </w:tc>
        <w:tc>
          <w:tcPr>
            <w:tcW w:w="1544" w:type="dxa"/>
            <w:vAlign w:val="center"/>
          </w:tcPr>
          <w:p w14:paraId="5BB64575" w14:textId="77777777" w:rsidR="00A60A9C" w:rsidRPr="00E2052F" w:rsidRDefault="00A60A9C" w:rsidP="00283ED2">
            <w:pPr>
              <w:spacing w:before="0" w:beforeAutospacing="0" w:line="240" w:lineRule="auto"/>
              <w:jc w:val="center"/>
              <w:rPr>
                <w:rFonts w:cstheme="majorBidi"/>
                <w:kern w:val="2"/>
                <w:sz w:val="22"/>
              </w:rPr>
            </w:pPr>
          </w:p>
        </w:tc>
        <w:tc>
          <w:tcPr>
            <w:tcW w:w="1150" w:type="dxa"/>
            <w:vAlign w:val="center"/>
          </w:tcPr>
          <w:p w14:paraId="7A938D7D" w14:textId="77777777" w:rsidR="00A60A9C" w:rsidRPr="00E2052F" w:rsidRDefault="00A60A9C" w:rsidP="00283ED2">
            <w:pPr>
              <w:spacing w:before="0" w:beforeAutospacing="0" w:line="240" w:lineRule="auto"/>
              <w:jc w:val="center"/>
              <w:rPr>
                <w:rFonts w:cstheme="majorBidi"/>
                <w:kern w:val="2"/>
                <w:sz w:val="22"/>
              </w:rPr>
            </w:pPr>
          </w:p>
        </w:tc>
        <w:tc>
          <w:tcPr>
            <w:tcW w:w="1158" w:type="dxa"/>
            <w:vAlign w:val="center"/>
          </w:tcPr>
          <w:p w14:paraId="09A7FB82" w14:textId="77777777" w:rsidR="00A60A9C" w:rsidRPr="00E2052F" w:rsidRDefault="00A60A9C" w:rsidP="00283ED2">
            <w:pPr>
              <w:spacing w:before="0" w:beforeAutospacing="0" w:line="240" w:lineRule="auto"/>
              <w:jc w:val="center"/>
              <w:rPr>
                <w:rFonts w:cstheme="majorBidi"/>
                <w:kern w:val="2"/>
                <w:sz w:val="22"/>
              </w:rPr>
            </w:pPr>
          </w:p>
        </w:tc>
      </w:tr>
      <w:tr w:rsidR="00A60A9C" w:rsidRPr="00E2052F" w14:paraId="54A9E736" w14:textId="77777777" w:rsidTr="00283ED2">
        <w:trPr>
          <w:cantSplit/>
          <w:trHeight w:val="331"/>
          <w:jc w:val="center"/>
        </w:trPr>
        <w:tc>
          <w:tcPr>
            <w:tcW w:w="9042" w:type="dxa"/>
            <w:gridSpan w:val="7"/>
            <w:shd w:val="clear" w:color="auto" w:fill="FFFFFF"/>
          </w:tcPr>
          <w:p w14:paraId="1DBF72F5" w14:textId="77777777" w:rsidR="00A60A9C" w:rsidRPr="00E2052F" w:rsidRDefault="00A60A9C" w:rsidP="00283ED2">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A60A9C" w:rsidRPr="00E2052F" w14:paraId="5093991D" w14:textId="77777777" w:rsidTr="00283ED2">
        <w:trPr>
          <w:cantSplit/>
          <w:trHeight w:val="339"/>
          <w:jc w:val="center"/>
        </w:trPr>
        <w:tc>
          <w:tcPr>
            <w:tcW w:w="9042" w:type="dxa"/>
            <w:gridSpan w:val="7"/>
            <w:shd w:val="clear" w:color="auto" w:fill="FFFFFF"/>
          </w:tcPr>
          <w:p w14:paraId="1517E407" w14:textId="77777777" w:rsidR="00A60A9C" w:rsidRPr="00E2052F" w:rsidRDefault="00A60A9C" w:rsidP="00283ED2">
            <w:pPr>
              <w:spacing w:before="0" w:beforeAutospacing="0" w:line="240" w:lineRule="auto"/>
              <w:rPr>
                <w:rFonts w:cstheme="majorBidi"/>
                <w:b/>
                <w:bCs/>
                <w:kern w:val="2"/>
                <w:sz w:val="22"/>
              </w:rPr>
            </w:pPr>
            <w:r w:rsidRPr="00E2052F">
              <w:rPr>
                <w:rFonts w:cstheme="majorBidi"/>
                <w:b/>
                <w:bCs/>
                <w:kern w:val="2"/>
                <w:sz w:val="22"/>
              </w:rPr>
              <w:t>b. Prédicteurs : (Constante), L'existence d'une base pour un cadre efficace de la gouvernance</w:t>
            </w:r>
          </w:p>
        </w:tc>
      </w:tr>
    </w:tbl>
    <w:p w14:paraId="4965CCB2" w14:textId="77777777" w:rsidR="00A60A9C" w:rsidRPr="00E2052F" w:rsidRDefault="00A60A9C" w:rsidP="00283ED2">
      <w:pPr>
        <w:spacing w:before="0" w:beforeAutospacing="0" w:line="240" w:lineRule="auto"/>
        <w:ind w:firstLine="0"/>
        <w:jc w:val="center"/>
        <w:rPr>
          <w:rFonts w:cstheme="majorBidi"/>
          <w:sz w:val="22"/>
        </w:rPr>
      </w:pPr>
      <w:r w:rsidRPr="00E2052F">
        <w:rPr>
          <w:rFonts w:cstheme="majorBidi"/>
          <w:b/>
          <w:bCs/>
          <w:sz w:val="22"/>
        </w:rPr>
        <w:t>Source :</w:t>
      </w:r>
      <w:r w:rsidR="000036D1">
        <w:rPr>
          <w:rFonts w:cstheme="majorBidi"/>
          <w:sz w:val="22"/>
        </w:rPr>
        <w:t xml:space="preserve"> établi</w:t>
      </w:r>
      <w:r w:rsidRPr="00E2052F">
        <w:rPr>
          <w:rFonts w:cstheme="majorBidi"/>
          <w:sz w:val="22"/>
        </w:rPr>
        <w:t xml:space="preserve"> par nous même à partir des résultats du SPSS 27.</w:t>
      </w:r>
    </w:p>
    <w:p w14:paraId="616A965D" w14:textId="77777777" w:rsidR="000C1493" w:rsidRPr="00E2052F" w:rsidRDefault="000C1493" w:rsidP="00D23BF3">
      <w:pPr>
        <w:spacing w:before="0" w:beforeAutospacing="0"/>
        <w:rPr>
          <w:rFonts w:cstheme="majorBidi"/>
          <w:sz w:val="22"/>
        </w:rPr>
      </w:pPr>
      <w:r w:rsidRPr="00E2052F">
        <w:rPr>
          <w:rFonts w:cstheme="majorBidi"/>
          <w:sz w:val="22"/>
        </w:rPr>
        <w:t xml:space="preserve">Le test ANOVA montre une valeur de F = 39,804 avec un niveau de signification (Sig.) égal à 0,000, c'est-à-dire inférieur au seuil critique de 0,05.Cela signifie qu'il existe une corrélation statistiquement significative entre l'existence d'une base pour un cadre efficace de la gouvernance et la responsabilité sociale des entreprises (RSE) </w:t>
      </w:r>
      <w:r w:rsidR="004400DF" w:rsidRPr="00E2052F">
        <w:rPr>
          <w:rFonts w:cstheme="majorBidi"/>
          <w:sz w:val="22"/>
        </w:rPr>
        <w:t xml:space="preserve">au sein de Tayal SPA </w:t>
      </w:r>
      <w:r w:rsidRPr="00E2052F">
        <w:rPr>
          <w:rFonts w:cstheme="majorBidi"/>
          <w:sz w:val="22"/>
        </w:rPr>
        <w:t>à un niveau de signification de 5 %.</w:t>
      </w:r>
    </w:p>
    <w:p w14:paraId="5117557C" w14:textId="77777777" w:rsidR="000C1493" w:rsidRPr="00E2052F" w:rsidRDefault="000C1493" w:rsidP="00D61875">
      <w:pPr>
        <w:pStyle w:val="Paragraphedeliste"/>
        <w:numPr>
          <w:ilvl w:val="0"/>
          <w:numId w:val="36"/>
        </w:numPr>
        <w:spacing w:before="0" w:beforeAutospacing="0"/>
        <w:ind w:left="1208" w:hanging="357"/>
        <w:rPr>
          <w:rFonts w:cstheme="majorBidi"/>
          <w:sz w:val="22"/>
        </w:rPr>
      </w:pPr>
      <w:r w:rsidRPr="00E2052F">
        <w:rPr>
          <w:rFonts w:cstheme="majorBidi"/>
          <w:b/>
          <w:bCs/>
          <w:sz w:val="22"/>
        </w:rPr>
        <w:t xml:space="preserve">Coefficients de régression : </w:t>
      </w:r>
    </w:p>
    <w:p w14:paraId="07375EE0" w14:textId="77777777" w:rsidR="000C1493" w:rsidRPr="00E2052F" w:rsidRDefault="008B71C4" w:rsidP="008B71C4">
      <w:pPr>
        <w:spacing w:before="0" w:beforeAutospacing="0"/>
        <w:rPr>
          <w:rFonts w:cstheme="majorBidi"/>
          <w:sz w:val="22"/>
        </w:rPr>
      </w:pPr>
      <w:r w:rsidRPr="00E2052F">
        <w:rPr>
          <w:rFonts w:cstheme="majorBidi"/>
          <w:b/>
          <w:bCs/>
          <w:sz w:val="22"/>
          <w:u w:val="single"/>
        </w:rPr>
        <w:t>Tableau</w:t>
      </w:r>
      <w:r w:rsidR="00193ABF" w:rsidRPr="00E2052F">
        <w:rPr>
          <w:rFonts w:cstheme="majorBidi"/>
          <w:b/>
          <w:bCs/>
          <w:sz w:val="22"/>
          <w:u w:val="single"/>
        </w:rPr>
        <w:t xml:space="preserve"> 35</w:t>
      </w:r>
      <w:r w:rsidR="00695A21" w:rsidRPr="00E2052F">
        <w:rPr>
          <w:rFonts w:cstheme="majorBidi"/>
          <w:b/>
          <w:bCs/>
          <w:sz w:val="22"/>
          <w:u w:val="single"/>
        </w:rPr>
        <w:t> :</w:t>
      </w:r>
      <w:r w:rsidR="00695A21" w:rsidRPr="00E2052F">
        <w:rPr>
          <w:rFonts w:cstheme="majorBidi"/>
          <w:sz w:val="22"/>
        </w:rPr>
        <w:t xml:space="preserve"> </w:t>
      </w:r>
      <w:r w:rsidR="00695A21" w:rsidRPr="00E2052F">
        <w:rPr>
          <w:rFonts w:cstheme="majorBidi"/>
          <w:b/>
          <w:bCs/>
          <w:sz w:val="22"/>
        </w:rPr>
        <w:t>coefficients</w:t>
      </w:r>
      <w:r w:rsidR="000C1493" w:rsidRPr="00E2052F">
        <w:rPr>
          <w:rFonts w:cstheme="majorBidi"/>
          <w:b/>
          <w:bCs/>
          <w:sz w:val="22"/>
        </w:rPr>
        <w:t xml:space="preserve"> de régression.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6"/>
        <w:gridCol w:w="2087"/>
        <w:gridCol w:w="1062"/>
        <w:gridCol w:w="1593"/>
        <w:gridCol w:w="2389"/>
        <w:gridCol w:w="664"/>
        <w:gridCol w:w="581"/>
      </w:tblGrid>
      <w:tr w:rsidR="000C1493" w:rsidRPr="00E2052F" w14:paraId="069C973E" w14:textId="77777777" w:rsidTr="007530A6">
        <w:trPr>
          <w:cantSplit/>
          <w:jc w:val="center"/>
        </w:trPr>
        <w:tc>
          <w:tcPr>
            <w:tcW w:w="9686" w:type="dxa"/>
            <w:gridSpan w:val="7"/>
            <w:shd w:val="clear" w:color="auto" w:fill="B4C6E7" w:themeFill="accent1" w:themeFillTint="66"/>
            <w:vAlign w:val="center"/>
          </w:tcPr>
          <w:p w14:paraId="723F6F45"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0C1493" w:rsidRPr="00E2052F" w14:paraId="372054A9" w14:textId="77777777" w:rsidTr="007530A6">
        <w:trPr>
          <w:cantSplit/>
          <w:jc w:val="center"/>
        </w:trPr>
        <w:tc>
          <w:tcPr>
            <w:tcW w:w="2972" w:type="dxa"/>
            <w:gridSpan w:val="2"/>
            <w:vMerge w:val="restart"/>
            <w:shd w:val="clear" w:color="auto" w:fill="D9E2F3" w:themeFill="accent1" w:themeFillTint="33"/>
            <w:vAlign w:val="bottom"/>
          </w:tcPr>
          <w:p w14:paraId="4062CBAA"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shd w:val="clear" w:color="auto" w:fill="D9E2F3" w:themeFill="accent1" w:themeFillTint="33"/>
            <w:vAlign w:val="bottom"/>
          </w:tcPr>
          <w:p w14:paraId="292BFDB2"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52" w:type="dxa"/>
            <w:shd w:val="clear" w:color="auto" w:fill="D9E2F3" w:themeFill="accent1" w:themeFillTint="33"/>
            <w:vAlign w:val="bottom"/>
          </w:tcPr>
          <w:p w14:paraId="17B04D57" w14:textId="77777777" w:rsidR="000C1493" w:rsidRPr="00E2052F" w:rsidRDefault="000C1493" w:rsidP="008B71C4">
            <w:pPr>
              <w:spacing w:before="0" w:beforeAutospacing="0" w:line="240" w:lineRule="auto"/>
              <w:ind w:firstLine="0"/>
              <w:rPr>
                <w:rFonts w:cstheme="majorBidi"/>
                <w:b/>
                <w:bCs/>
                <w:kern w:val="2"/>
                <w:sz w:val="22"/>
              </w:rPr>
            </w:pPr>
            <w:r w:rsidRPr="00E2052F">
              <w:rPr>
                <w:rFonts w:cstheme="majorBidi"/>
                <w:b/>
                <w:bCs/>
                <w:kern w:val="2"/>
                <w:sz w:val="22"/>
              </w:rPr>
              <w:t>Coefficients standardisés</w:t>
            </w:r>
          </w:p>
        </w:tc>
        <w:tc>
          <w:tcPr>
            <w:tcW w:w="708" w:type="dxa"/>
            <w:vMerge w:val="restart"/>
            <w:shd w:val="clear" w:color="auto" w:fill="D9E2F3" w:themeFill="accent1" w:themeFillTint="33"/>
            <w:vAlign w:val="bottom"/>
          </w:tcPr>
          <w:p w14:paraId="6193B482"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619" w:type="dxa"/>
            <w:vMerge w:val="restart"/>
            <w:shd w:val="clear" w:color="auto" w:fill="D9E2F3" w:themeFill="accent1" w:themeFillTint="33"/>
            <w:vAlign w:val="bottom"/>
          </w:tcPr>
          <w:p w14:paraId="7A80B803"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0C1493" w:rsidRPr="00E2052F" w14:paraId="368DADA1" w14:textId="77777777" w:rsidTr="007530A6">
        <w:trPr>
          <w:cantSplit/>
          <w:jc w:val="center"/>
        </w:trPr>
        <w:tc>
          <w:tcPr>
            <w:tcW w:w="2972" w:type="dxa"/>
            <w:gridSpan w:val="2"/>
            <w:vMerge/>
            <w:shd w:val="clear" w:color="auto" w:fill="FFFFFF"/>
            <w:vAlign w:val="bottom"/>
          </w:tcPr>
          <w:p w14:paraId="6E5C9DC0" w14:textId="77777777" w:rsidR="000C1493" w:rsidRPr="00E2052F" w:rsidRDefault="000C1493" w:rsidP="008B71C4">
            <w:pPr>
              <w:spacing w:before="0" w:beforeAutospacing="0" w:line="240" w:lineRule="auto"/>
              <w:jc w:val="center"/>
              <w:rPr>
                <w:rFonts w:cstheme="majorBidi"/>
                <w:b/>
                <w:bCs/>
                <w:kern w:val="2"/>
                <w:sz w:val="22"/>
              </w:rPr>
            </w:pPr>
          </w:p>
        </w:tc>
        <w:tc>
          <w:tcPr>
            <w:tcW w:w="1134" w:type="dxa"/>
            <w:shd w:val="clear" w:color="auto" w:fill="D9E2F3" w:themeFill="accent1" w:themeFillTint="33"/>
            <w:vAlign w:val="bottom"/>
          </w:tcPr>
          <w:p w14:paraId="721CBE17"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701" w:type="dxa"/>
            <w:shd w:val="clear" w:color="auto" w:fill="D9E2F3" w:themeFill="accent1" w:themeFillTint="33"/>
            <w:vAlign w:val="bottom"/>
          </w:tcPr>
          <w:p w14:paraId="53B5758F"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52" w:type="dxa"/>
            <w:shd w:val="clear" w:color="auto" w:fill="D9E2F3" w:themeFill="accent1" w:themeFillTint="33"/>
            <w:vAlign w:val="bottom"/>
          </w:tcPr>
          <w:p w14:paraId="736BDCDE"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8" w:type="dxa"/>
            <w:vMerge/>
            <w:shd w:val="clear" w:color="auto" w:fill="FFFFFF"/>
            <w:vAlign w:val="bottom"/>
          </w:tcPr>
          <w:p w14:paraId="0C051C66" w14:textId="77777777" w:rsidR="000C1493" w:rsidRPr="00E2052F" w:rsidRDefault="000C1493" w:rsidP="008B71C4">
            <w:pPr>
              <w:spacing w:before="0" w:beforeAutospacing="0" w:line="240" w:lineRule="auto"/>
              <w:jc w:val="center"/>
              <w:rPr>
                <w:rFonts w:cstheme="majorBidi"/>
                <w:b/>
                <w:bCs/>
                <w:kern w:val="2"/>
                <w:sz w:val="22"/>
              </w:rPr>
            </w:pPr>
          </w:p>
        </w:tc>
        <w:tc>
          <w:tcPr>
            <w:tcW w:w="619" w:type="dxa"/>
            <w:vMerge/>
            <w:shd w:val="clear" w:color="auto" w:fill="FFFFFF"/>
            <w:vAlign w:val="bottom"/>
          </w:tcPr>
          <w:p w14:paraId="3B1F3053" w14:textId="77777777" w:rsidR="000C1493" w:rsidRPr="00E2052F" w:rsidRDefault="000C1493" w:rsidP="008B71C4">
            <w:pPr>
              <w:spacing w:before="0" w:beforeAutospacing="0" w:line="240" w:lineRule="auto"/>
              <w:jc w:val="center"/>
              <w:rPr>
                <w:rFonts w:cstheme="majorBidi"/>
                <w:b/>
                <w:bCs/>
                <w:kern w:val="2"/>
                <w:sz w:val="22"/>
              </w:rPr>
            </w:pPr>
          </w:p>
        </w:tc>
      </w:tr>
      <w:tr w:rsidR="000C1493" w:rsidRPr="00E2052F" w14:paraId="347F0E92" w14:textId="77777777" w:rsidTr="007530A6">
        <w:trPr>
          <w:cantSplit/>
          <w:jc w:val="center"/>
        </w:trPr>
        <w:tc>
          <w:tcPr>
            <w:tcW w:w="742" w:type="dxa"/>
            <w:vMerge w:val="restart"/>
            <w:shd w:val="clear" w:color="auto" w:fill="D9E2F3" w:themeFill="accent1" w:themeFillTint="33"/>
          </w:tcPr>
          <w:p w14:paraId="744ACC48" w14:textId="77777777" w:rsidR="008B71C4" w:rsidRPr="00E2052F" w:rsidRDefault="008B71C4" w:rsidP="008B71C4">
            <w:pPr>
              <w:spacing w:before="0" w:beforeAutospacing="0" w:line="240" w:lineRule="auto"/>
              <w:rPr>
                <w:rFonts w:cstheme="majorBidi"/>
                <w:b/>
                <w:bCs/>
                <w:kern w:val="2"/>
                <w:sz w:val="22"/>
              </w:rPr>
            </w:pPr>
          </w:p>
          <w:p w14:paraId="748BDB57" w14:textId="77777777" w:rsidR="000C1493" w:rsidRPr="00E2052F" w:rsidRDefault="000C1493" w:rsidP="008B71C4">
            <w:pPr>
              <w:spacing w:before="0" w:beforeAutospacing="0" w:line="240" w:lineRule="auto"/>
              <w:rPr>
                <w:rFonts w:cstheme="majorBidi"/>
                <w:b/>
                <w:bCs/>
                <w:kern w:val="2"/>
                <w:sz w:val="22"/>
              </w:rPr>
            </w:pPr>
            <w:r w:rsidRPr="00E2052F">
              <w:rPr>
                <w:rFonts w:cstheme="majorBidi"/>
                <w:b/>
                <w:bCs/>
                <w:kern w:val="2"/>
                <w:sz w:val="22"/>
              </w:rPr>
              <w:t>1</w:t>
            </w:r>
          </w:p>
        </w:tc>
        <w:tc>
          <w:tcPr>
            <w:tcW w:w="2230" w:type="dxa"/>
            <w:shd w:val="clear" w:color="auto" w:fill="D9E2F3" w:themeFill="accent1" w:themeFillTint="33"/>
          </w:tcPr>
          <w:p w14:paraId="346A9C1B"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134" w:type="dxa"/>
          </w:tcPr>
          <w:p w14:paraId="78F38941"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2.867</w:t>
            </w:r>
          </w:p>
        </w:tc>
        <w:tc>
          <w:tcPr>
            <w:tcW w:w="1701" w:type="dxa"/>
          </w:tcPr>
          <w:p w14:paraId="31E56D76"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0.182</w:t>
            </w:r>
          </w:p>
        </w:tc>
        <w:tc>
          <w:tcPr>
            <w:tcW w:w="2552" w:type="dxa"/>
            <w:vAlign w:val="center"/>
          </w:tcPr>
          <w:p w14:paraId="49A5229B" w14:textId="77777777" w:rsidR="000C1493" w:rsidRPr="00E2052F" w:rsidRDefault="000C1493" w:rsidP="008B71C4">
            <w:pPr>
              <w:spacing w:before="0" w:beforeAutospacing="0" w:line="240" w:lineRule="auto"/>
              <w:jc w:val="center"/>
              <w:rPr>
                <w:rFonts w:cstheme="majorBidi"/>
                <w:kern w:val="2"/>
                <w:sz w:val="22"/>
              </w:rPr>
            </w:pPr>
          </w:p>
        </w:tc>
        <w:tc>
          <w:tcPr>
            <w:tcW w:w="708" w:type="dxa"/>
          </w:tcPr>
          <w:p w14:paraId="5F2D6CDF"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15.794</w:t>
            </w:r>
          </w:p>
        </w:tc>
        <w:tc>
          <w:tcPr>
            <w:tcW w:w="619" w:type="dxa"/>
          </w:tcPr>
          <w:p w14:paraId="6CB69BAC"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0.000</w:t>
            </w:r>
          </w:p>
        </w:tc>
      </w:tr>
      <w:tr w:rsidR="000C1493" w:rsidRPr="00E2052F" w14:paraId="7BFAA151" w14:textId="77777777" w:rsidTr="007530A6">
        <w:trPr>
          <w:cantSplit/>
          <w:jc w:val="center"/>
        </w:trPr>
        <w:tc>
          <w:tcPr>
            <w:tcW w:w="742" w:type="dxa"/>
            <w:vMerge/>
            <w:shd w:val="clear" w:color="auto" w:fill="D9E2F3" w:themeFill="accent1" w:themeFillTint="33"/>
          </w:tcPr>
          <w:p w14:paraId="095EBEE6" w14:textId="77777777" w:rsidR="000C1493" w:rsidRPr="00E2052F" w:rsidRDefault="000C1493" w:rsidP="008B71C4">
            <w:pPr>
              <w:spacing w:before="0" w:beforeAutospacing="0" w:line="240" w:lineRule="auto"/>
              <w:jc w:val="center"/>
              <w:rPr>
                <w:rFonts w:cstheme="majorBidi"/>
                <w:b/>
                <w:bCs/>
                <w:kern w:val="2"/>
                <w:sz w:val="22"/>
              </w:rPr>
            </w:pPr>
          </w:p>
        </w:tc>
        <w:tc>
          <w:tcPr>
            <w:tcW w:w="2230" w:type="dxa"/>
            <w:shd w:val="clear" w:color="auto" w:fill="D9E2F3" w:themeFill="accent1" w:themeFillTint="33"/>
          </w:tcPr>
          <w:p w14:paraId="12CE3874" w14:textId="77777777" w:rsidR="000C1493" w:rsidRPr="00E2052F" w:rsidRDefault="000C1493" w:rsidP="008B71C4">
            <w:pPr>
              <w:spacing w:before="0" w:beforeAutospacing="0" w:line="240" w:lineRule="auto"/>
              <w:ind w:firstLine="0"/>
              <w:jc w:val="center"/>
              <w:rPr>
                <w:rFonts w:cstheme="majorBidi"/>
                <w:b/>
                <w:bCs/>
                <w:kern w:val="2"/>
                <w:sz w:val="22"/>
              </w:rPr>
            </w:pPr>
            <w:r w:rsidRPr="00E2052F">
              <w:rPr>
                <w:rFonts w:cstheme="majorBidi"/>
                <w:b/>
                <w:bCs/>
                <w:kern w:val="2"/>
                <w:sz w:val="22"/>
              </w:rPr>
              <w:t>L'existence d'une base pour un cadre efficace de la gouvernance</w:t>
            </w:r>
          </w:p>
        </w:tc>
        <w:tc>
          <w:tcPr>
            <w:tcW w:w="1134" w:type="dxa"/>
          </w:tcPr>
          <w:p w14:paraId="0C5864C7"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0.272</w:t>
            </w:r>
          </w:p>
        </w:tc>
        <w:tc>
          <w:tcPr>
            <w:tcW w:w="1701" w:type="dxa"/>
          </w:tcPr>
          <w:p w14:paraId="361EE755"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0.043</w:t>
            </w:r>
          </w:p>
        </w:tc>
        <w:tc>
          <w:tcPr>
            <w:tcW w:w="2552" w:type="dxa"/>
          </w:tcPr>
          <w:p w14:paraId="5A9D74D4"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0.343</w:t>
            </w:r>
          </w:p>
        </w:tc>
        <w:tc>
          <w:tcPr>
            <w:tcW w:w="708" w:type="dxa"/>
          </w:tcPr>
          <w:p w14:paraId="6597D7C2"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6.309</w:t>
            </w:r>
          </w:p>
        </w:tc>
        <w:tc>
          <w:tcPr>
            <w:tcW w:w="619" w:type="dxa"/>
          </w:tcPr>
          <w:p w14:paraId="0D3D1927" w14:textId="77777777" w:rsidR="000C1493" w:rsidRPr="00E2052F" w:rsidRDefault="000C1493" w:rsidP="008B71C4">
            <w:pPr>
              <w:spacing w:before="0" w:beforeAutospacing="0" w:line="240" w:lineRule="auto"/>
              <w:ind w:firstLine="0"/>
              <w:jc w:val="center"/>
              <w:rPr>
                <w:rFonts w:cstheme="majorBidi"/>
                <w:kern w:val="2"/>
                <w:sz w:val="22"/>
              </w:rPr>
            </w:pPr>
            <w:r w:rsidRPr="00E2052F">
              <w:rPr>
                <w:rFonts w:cstheme="majorBidi"/>
                <w:kern w:val="2"/>
                <w:sz w:val="22"/>
              </w:rPr>
              <w:t>0.000</w:t>
            </w:r>
          </w:p>
        </w:tc>
      </w:tr>
      <w:tr w:rsidR="000C1493" w:rsidRPr="00E2052F" w14:paraId="2ACB3884" w14:textId="77777777" w:rsidTr="0057408B">
        <w:trPr>
          <w:cantSplit/>
          <w:jc w:val="center"/>
        </w:trPr>
        <w:tc>
          <w:tcPr>
            <w:tcW w:w="9686" w:type="dxa"/>
            <w:gridSpan w:val="7"/>
            <w:shd w:val="clear" w:color="auto" w:fill="FFFFFF"/>
          </w:tcPr>
          <w:p w14:paraId="590B8A73" w14:textId="77777777" w:rsidR="000C1493" w:rsidRPr="00E2052F" w:rsidRDefault="000C1493" w:rsidP="008B71C4">
            <w:pPr>
              <w:spacing w:before="0" w:beforeAutospacing="0" w:line="240" w:lineRule="auto"/>
              <w:jc w:val="center"/>
              <w:rPr>
                <w:rFonts w:cstheme="majorBidi"/>
                <w:b/>
                <w:bCs/>
                <w:kern w:val="2"/>
                <w:sz w:val="22"/>
              </w:rPr>
            </w:pPr>
            <w:r w:rsidRPr="00E2052F">
              <w:rPr>
                <w:rFonts w:cstheme="majorBidi"/>
                <w:b/>
                <w:bCs/>
                <w:kern w:val="2"/>
                <w:sz w:val="22"/>
              </w:rPr>
              <w:t>a. Variable dépendante : La responsabilité sociale des entreprises</w:t>
            </w:r>
          </w:p>
        </w:tc>
      </w:tr>
    </w:tbl>
    <w:p w14:paraId="5143F885" w14:textId="77777777" w:rsidR="00FB6589" w:rsidRPr="00E2052F" w:rsidRDefault="000C1493" w:rsidP="008B71C4">
      <w:pPr>
        <w:spacing w:before="0" w:beforeAutospacing="0" w:line="240" w:lineRule="auto"/>
        <w:ind w:firstLine="0"/>
        <w:jc w:val="center"/>
        <w:rPr>
          <w:rFonts w:cstheme="majorBidi"/>
          <w:sz w:val="22"/>
        </w:rPr>
      </w:pPr>
      <w:r w:rsidRPr="00E2052F">
        <w:rPr>
          <w:rFonts w:cstheme="majorBidi"/>
          <w:b/>
          <w:bCs/>
          <w:sz w:val="22"/>
        </w:rPr>
        <w:t>Source :</w:t>
      </w:r>
      <w:r w:rsidR="000036D1">
        <w:rPr>
          <w:rFonts w:cstheme="majorBidi"/>
          <w:sz w:val="22"/>
        </w:rPr>
        <w:t xml:space="preserve"> établi</w:t>
      </w:r>
      <w:r w:rsidRPr="00E2052F">
        <w:rPr>
          <w:rFonts w:cstheme="majorBidi"/>
          <w:sz w:val="22"/>
        </w:rPr>
        <w:t xml:space="preserve"> par nous même à partir des résultats du SPSS 27.</w:t>
      </w:r>
    </w:p>
    <w:p w14:paraId="37A1D49E" w14:textId="77777777" w:rsidR="00B05307" w:rsidRPr="00E2052F" w:rsidRDefault="00802195" w:rsidP="00D23BF3">
      <w:pPr>
        <w:spacing w:before="0" w:beforeAutospacing="0"/>
        <w:rPr>
          <w:rFonts w:cstheme="majorBidi"/>
          <w:sz w:val="22"/>
        </w:rPr>
      </w:pPr>
      <w:r w:rsidRPr="00E2052F">
        <w:rPr>
          <w:rFonts w:cstheme="majorBidi"/>
          <w:noProof/>
          <w:sz w:val="22"/>
          <w:lang w:eastAsia="fr-FR"/>
        </w:rPr>
        <w:lastRenderedPageBreak/>
        <mc:AlternateContent>
          <mc:Choice Requires="wps">
            <w:drawing>
              <wp:anchor distT="0" distB="0" distL="114300" distR="114300" simplePos="0" relativeHeight="252086272" behindDoc="0" locked="0" layoutInCell="1" allowOverlap="1" wp14:anchorId="74E40561" wp14:editId="6AAF3E6A">
                <wp:simplePos x="0" y="0"/>
                <wp:positionH relativeFrom="margin">
                  <wp:posOffset>2051050</wp:posOffset>
                </wp:positionH>
                <wp:positionV relativeFrom="paragraph">
                  <wp:posOffset>707631</wp:posOffset>
                </wp:positionV>
                <wp:extent cx="1630017" cy="302149"/>
                <wp:effectExtent l="0" t="0" r="27940" b="22225"/>
                <wp:wrapNone/>
                <wp:docPr id="228" name="Rectangle à coins arrondis 228"/>
                <wp:cNvGraphicFramePr/>
                <a:graphic xmlns:a="http://schemas.openxmlformats.org/drawingml/2006/main">
                  <a:graphicData uri="http://schemas.microsoft.com/office/word/2010/wordprocessingShape">
                    <wps:wsp>
                      <wps:cNvSpPr/>
                      <wps:spPr>
                        <a:xfrm>
                          <a:off x="0" y="0"/>
                          <a:ext cx="1630017" cy="302149"/>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7CF4CA2" id="Rectangle à coins arrondis 228" o:spid="_x0000_s1026" style="position:absolute;margin-left:161.5pt;margin-top:55.7pt;width:128.35pt;height:23.8pt;z-index:2520862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" filled="f" strokecolor="#8eaadb [1940]" strokeweight="1pt">
                <v:stroke joinstyle="miter"/>
                <w10:wrap anchorx="margin"/>
              </v:roundrect>
            </w:pict>
          </mc:Fallback>
        </mc:AlternateContent>
      </w:r>
      <w:r w:rsidR="00B05307" w:rsidRPr="00E2052F">
        <w:rPr>
          <w:rFonts w:cstheme="majorBidi"/>
          <w:sz w:val="22"/>
        </w:rPr>
        <w:t>D'après les résultats du tableau précédent, nous constatons que le modèle qui exprime la relation entre l'existence d'une base pour un cadre efficace de la gouvernance et la RSE</w:t>
      </w:r>
      <w:r w:rsidR="00A54331" w:rsidRPr="00E2052F">
        <w:rPr>
          <w:rFonts w:cstheme="majorBidi"/>
          <w:sz w:val="22"/>
        </w:rPr>
        <w:t xml:space="preserve"> au sein de Tayal SPA</w:t>
      </w:r>
      <w:r w:rsidR="00B05307" w:rsidRPr="00E2052F">
        <w:rPr>
          <w:rFonts w:cstheme="majorBidi"/>
          <w:sz w:val="22"/>
        </w:rPr>
        <w:t xml:space="preserve"> </w:t>
      </w:r>
      <w:r w:rsidR="00290AE9" w:rsidRPr="00E2052F">
        <w:rPr>
          <w:rFonts w:cstheme="majorBidi"/>
          <w:sz w:val="22"/>
        </w:rPr>
        <w:t>est un modèle linéaire :</w:t>
      </w:r>
    </w:p>
    <w:p w14:paraId="5666841E" w14:textId="77777777" w:rsidR="00290AE9" w:rsidRPr="00E2052F" w:rsidRDefault="00290AE9" w:rsidP="00D23BF3">
      <w:pPr>
        <w:spacing w:before="0" w:beforeAutospacing="0"/>
        <w:ind w:firstLine="0"/>
        <w:jc w:val="center"/>
        <w:rPr>
          <w:rFonts w:cstheme="majorBidi"/>
          <w:b/>
          <w:bCs/>
          <w:sz w:val="22"/>
        </w:rPr>
      </w:pPr>
      <w:r w:rsidRPr="00E2052F">
        <w:rPr>
          <w:rFonts w:cstheme="majorBidi"/>
          <w:b/>
          <w:bCs/>
          <w:sz w:val="22"/>
        </w:rPr>
        <w:t>Y = 0,272 X1 + 2,867</w:t>
      </w:r>
    </w:p>
    <w:p w14:paraId="35E7611E" w14:textId="77777777" w:rsidR="00290AE9" w:rsidRPr="00E2052F" w:rsidRDefault="00290AE9" w:rsidP="00D23BF3">
      <w:pPr>
        <w:spacing w:before="0" w:beforeAutospacing="0"/>
        <w:rPr>
          <w:rFonts w:cstheme="majorBidi"/>
          <w:sz w:val="22"/>
        </w:rPr>
      </w:pPr>
      <w:r w:rsidRPr="00E2052F">
        <w:rPr>
          <w:rFonts w:cstheme="majorBidi"/>
          <w:sz w:val="22"/>
        </w:rPr>
        <w:t>Y représente la variable dépendante (la responsabilité sociale des entreprises).X1 représente la variable indépendante (L'existence d'une base pour un cadre efficace de la gouvernance).</w:t>
      </w:r>
    </w:p>
    <w:p w14:paraId="08859D29" w14:textId="77777777" w:rsidR="00290AE9" w:rsidRPr="00E2052F" w:rsidRDefault="00290AE9" w:rsidP="00D23BF3">
      <w:pPr>
        <w:spacing w:before="0" w:beforeAutospacing="0"/>
        <w:rPr>
          <w:rFonts w:cstheme="majorBidi"/>
          <w:sz w:val="22"/>
        </w:rPr>
      </w:pPr>
      <w:r w:rsidRPr="00E2052F">
        <w:rPr>
          <w:rFonts w:cstheme="majorBidi"/>
          <w:sz w:val="22"/>
        </w:rPr>
        <w:t>Le nombre 0,272 est la valeur de β (bêta) non standardisé, égal à la pente de l'équation de régression. Cela signifie que chaque augmentation d'un point du cadre de gouvernance entraîne une augmentation de 0,272 point de la RSE.</w:t>
      </w:r>
    </w:p>
    <w:p w14:paraId="08EAD888" w14:textId="77777777" w:rsidR="00290AE9" w:rsidRPr="00E2052F" w:rsidRDefault="00290AE9" w:rsidP="00D23BF3">
      <w:pPr>
        <w:spacing w:before="0" w:beforeAutospacing="0"/>
        <w:rPr>
          <w:rFonts w:cstheme="majorBidi"/>
          <w:sz w:val="22"/>
        </w:rPr>
      </w:pPr>
      <w:r w:rsidRPr="00E2052F">
        <w:rPr>
          <w:rFonts w:cstheme="majorBidi"/>
          <w:sz w:val="22"/>
        </w:rPr>
        <w:t>La constante (2,867) représente la valeur estimée de la RSE en l'absence de cadre de gouvernance.</w:t>
      </w:r>
    </w:p>
    <w:p w14:paraId="34819A72" w14:textId="77777777" w:rsidR="00290AE9" w:rsidRPr="00E2052F" w:rsidRDefault="00290AE9" w:rsidP="00D23BF3">
      <w:pPr>
        <w:spacing w:before="0" w:beforeAutospacing="0"/>
        <w:rPr>
          <w:rFonts w:cstheme="majorBidi"/>
          <w:sz w:val="22"/>
        </w:rPr>
      </w:pPr>
      <w:r w:rsidRPr="00E2052F">
        <w:rPr>
          <w:rFonts w:cstheme="majorBidi"/>
          <w:sz w:val="22"/>
        </w:rPr>
        <w:t>Le coefficient de régression standardisé (Bêta = 0,343) confirme que le cadre de gouvernance a un impact positif mais modeste sur la RSE.</w:t>
      </w:r>
    </w:p>
    <w:p w14:paraId="6B0ED45D" w14:textId="77777777" w:rsidR="00290AE9" w:rsidRPr="00E2052F" w:rsidRDefault="00290AE9" w:rsidP="00D23BF3">
      <w:pPr>
        <w:spacing w:before="0" w:beforeAutospacing="0"/>
        <w:rPr>
          <w:rFonts w:cstheme="majorBidi"/>
          <w:sz w:val="22"/>
        </w:rPr>
      </w:pPr>
      <w:r w:rsidRPr="00E2052F">
        <w:rPr>
          <w:rFonts w:cstheme="majorBidi"/>
          <w:sz w:val="22"/>
        </w:rPr>
        <w:t>La valeur t = 6,309 avec une significativité de 0,000 indique que ce coefficient est statistiquement significatif.</w:t>
      </w:r>
    </w:p>
    <w:p w14:paraId="32F5E288" w14:textId="77777777" w:rsidR="00290AE9" w:rsidRPr="00E2052F" w:rsidRDefault="00D12D48" w:rsidP="00D61875">
      <w:pPr>
        <w:pStyle w:val="Titre4"/>
        <w:numPr>
          <w:ilvl w:val="0"/>
          <w:numId w:val="35"/>
        </w:numPr>
        <w:spacing w:before="0" w:beforeAutospacing="0" w:after="160"/>
        <w:ind w:left="1208" w:hanging="357"/>
        <w:rPr>
          <w:rFonts w:asciiTheme="majorBidi" w:hAnsiTheme="majorBidi"/>
          <w:i w:val="0"/>
          <w:iCs w:val="0"/>
          <w:color w:val="auto"/>
          <w:sz w:val="22"/>
        </w:rPr>
      </w:pPr>
      <w:bookmarkStart w:id="1786" w:name="_Toc229156023"/>
      <w:bookmarkStart w:id="1787" w:name="_Toc231747021"/>
      <w:bookmarkStart w:id="1788" w:name="_Toc231752427"/>
      <w:bookmarkStart w:id="1789" w:name="_Toc231810730"/>
      <w:bookmarkStart w:id="1790" w:name="_Toc231812073"/>
      <w:bookmarkStart w:id="1791" w:name="_Toc231812351"/>
      <w:bookmarkStart w:id="1792" w:name="_Toc231815235"/>
      <w:r w:rsidRPr="00E2052F">
        <w:rPr>
          <w:rFonts w:asciiTheme="majorBidi" w:hAnsiTheme="majorBidi"/>
          <w:i w:val="0"/>
          <w:iCs w:val="0"/>
          <w:color w:val="auto"/>
          <w:sz w:val="22"/>
        </w:rPr>
        <w:t>La deuxième sous hypothèse :</w:t>
      </w:r>
      <w:bookmarkEnd w:id="1786"/>
      <w:bookmarkEnd w:id="1787"/>
      <w:bookmarkEnd w:id="1788"/>
      <w:bookmarkEnd w:id="1789"/>
      <w:bookmarkEnd w:id="1790"/>
      <w:bookmarkEnd w:id="1791"/>
      <w:bookmarkEnd w:id="1792"/>
    </w:p>
    <w:p w14:paraId="1E0040DE" w14:textId="77777777" w:rsidR="00D12D48" w:rsidRPr="00E2052F" w:rsidRDefault="00D12D48" w:rsidP="00D23BF3">
      <w:pPr>
        <w:spacing w:before="0" w:beforeAutospacing="0"/>
        <w:rPr>
          <w:rFonts w:cstheme="majorBidi"/>
          <w:sz w:val="22"/>
        </w:rPr>
      </w:pPr>
      <w:r w:rsidRPr="00E2052F">
        <w:rPr>
          <w:rFonts w:cstheme="majorBidi"/>
          <w:b/>
          <w:bCs/>
          <w:sz w:val="22"/>
        </w:rPr>
        <w:t>H1b :</w:t>
      </w:r>
      <w:r w:rsidRPr="00E2052F">
        <w:rPr>
          <w:rFonts w:cstheme="majorBidi"/>
          <w:sz w:val="22"/>
        </w:rPr>
        <w:t xml:space="preserve"> Il existe une relation positive significative entre la préservation des droits des actionnaires et la responsabilité sociale des entreprises au sein de Tayal SPA.</w:t>
      </w:r>
    </w:p>
    <w:p w14:paraId="0AC546BD" w14:textId="77777777" w:rsidR="00D12D48" w:rsidRPr="00E2052F" w:rsidRDefault="00D12D48" w:rsidP="00D61875">
      <w:pPr>
        <w:pStyle w:val="Paragraphedeliste"/>
        <w:numPr>
          <w:ilvl w:val="0"/>
          <w:numId w:val="21"/>
        </w:numPr>
        <w:spacing w:before="0" w:beforeAutospacing="0"/>
        <w:rPr>
          <w:rFonts w:cstheme="majorBidi"/>
          <w:b/>
          <w:bCs/>
          <w:sz w:val="22"/>
        </w:rPr>
      </w:pPr>
      <w:r w:rsidRPr="00E2052F">
        <w:rPr>
          <w:rFonts w:cstheme="majorBidi"/>
          <w:b/>
          <w:bCs/>
          <w:sz w:val="22"/>
        </w:rPr>
        <w:t>Coefficient de corrélation (R carré) (R-square) :</w:t>
      </w:r>
    </w:p>
    <w:p w14:paraId="4D377C14" w14:textId="77777777" w:rsidR="00D12D48" w:rsidRPr="00E2052F" w:rsidRDefault="00193ABF" w:rsidP="00D23BF3">
      <w:pPr>
        <w:spacing w:before="0" w:beforeAutospacing="0"/>
        <w:rPr>
          <w:rFonts w:cstheme="majorBidi"/>
          <w:sz w:val="22"/>
        </w:rPr>
      </w:pPr>
      <w:r w:rsidRPr="00E2052F">
        <w:rPr>
          <w:rFonts w:cstheme="majorBidi"/>
          <w:b/>
          <w:bCs/>
          <w:sz w:val="22"/>
          <w:u w:val="single"/>
        </w:rPr>
        <w:t>Tableau 36</w:t>
      </w:r>
      <w:r w:rsidR="00D12D48" w:rsidRPr="00E2052F">
        <w:rPr>
          <w:rFonts w:cstheme="majorBidi"/>
          <w:sz w:val="22"/>
        </w:rPr>
        <w:t xml:space="preserve"> : </w:t>
      </w:r>
      <w:r w:rsidR="00D12D48" w:rsidRPr="00E2052F">
        <w:rPr>
          <w:rFonts w:cstheme="majorBidi"/>
          <w:b/>
          <w:bCs/>
          <w:sz w:val="22"/>
        </w:rPr>
        <w:t>Coefficients de corrélation.</w:t>
      </w:r>
    </w:p>
    <w:tbl>
      <w:tblPr>
        <w:tblW w:w="8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9"/>
        <w:gridCol w:w="924"/>
        <w:gridCol w:w="1276"/>
        <w:gridCol w:w="1701"/>
        <w:gridCol w:w="3502"/>
      </w:tblGrid>
      <w:tr w:rsidR="00C72FD0" w:rsidRPr="00E2052F" w14:paraId="75606008" w14:textId="77777777" w:rsidTr="007530A6">
        <w:trPr>
          <w:cantSplit/>
          <w:trHeight w:val="489"/>
          <w:jc w:val="center"/>
        </w:trPr>
        <w:tc>
          <w:tcPr>
            <w:tcW w:w="1339" w:type="dxa"/>
            <w:shd w:val="clear" w:color="auto" w:fill="D9E2F3" w:themeFill="accent1" w:themeFillTint="33"/>
            <w:vAlign w:val="bottom"/>
          </w:tcPr>
          <w:p w14:paraId="649FE6AD"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924" w:type="dxa"/>
            <w:shd w:val="clear" w:color="auto" w:fill="D9E2F3" w:themeFill="accent1" w:themeFillTint="33"/>
            <w:vAlign w:val="bottom"/>
          </w:tcPr>
          <w:p w14:paraId="65616BC3"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276" w:type="dxa"/>
            <w:shd w:val="clear" w:color="auto" w:fill="D9E2F3" w:themeFill="accent1" w:themeFillTint="33"/>
            <w:vAlign w:val="bottom"/>
          </w:tcPr>
          <w:p w14:paraId="65700DC6"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701" w:type="dxa"/>
            <w:shd w:val="clear" w:color="auto" w:fill="D9E2F3" w:themeFill="accent1" w:themeFillTint="33"/>
            <w:vAlign w:val="bottom"/>
          </w:tcPr>
          <w:p w14:paraId="16CD6163"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502" w:type="dxa"/>
            <w:shd w:val="clear" w:color="auto" w:fill="D9E2F3" w:themeFill="accent1" w:themeFillTint="33"/>
            <w:vAlign w:val="bottom"/>
          </w:tcPr>
          <w:p w14:paraId="601DE17D"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C72FD0" w:rsidRPr="00E2052F" w14:paraId="0107AF70" w14:textId="77777777" w:rsidTr="007530A6">
        <w:trPr>
          <w:cantSplit/>
          <w:trHeight w:val="417"/>
          <w:jc w:val="center"/>
        </w:trPr>
        <w:tc>
          <w:tcPr>
            <w:tcW w:w="1339" w:type="dxa"/>
            <w:shd w:val="clear" w:color="auto" w:fill="D9E2F3" w:themeFill="accent1" w:themeFillTint="33"/>
          </w:tcPr>
          <w:p w14:paraId="0D511B21" w14:textId="77777777" w:rsidR="00C72FD0" w:rsidRPr="00E2052F" w:rsidRDefault="00C72FD0" w:rsidP="00802195">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924" w:type="dxa"/>
          </w:tcPr>
          <w:p w14:paraId="7B8A7D27" w14:textId="77777777" w:rsidR="00C72FD0" w:rsidRPr="00E2052F" w:rsidRDefault="00C72FD0" w:rsidP="00802195">
            <w:pPr>
              <w:spacing w:before="0" w:beforeAutospacing="0" w:line="240" w:lineRule="auto"/>
              <w:ind w:firstLine="0"/>
              <w:jc w:val="center"/>
              <w:rPr>
                <w:rFonts w:cstheme="majorBidi"/>
                <w:kern w:val="2"/>
                <w:sz w:val="22"/>
              </w:rPr>
            </w:pPr>
            <w:r w:rsidRPr="00E2052F">
              <w:rPr>
                <w:rFonts w:cstheme="majorBidi"/>
                <w:kern w:val="2"/>
                <w:sz w:val="22"/>
              </w:rPr>
              <w:t>0.333</w:t>
            </w:r>
            <w:r w:rsidRPr="00E2052F">
              <w:rPr>
                <w:rFonts w:cstheme="majorBidi"/>
                <w:kern w:val="2"/>
                <w:sz w:val="22"/>
                <w:vertAlign w:val="superscript"/>
              </w:rPr>
              <w:t>a</w:t>
            </w:r>
          </w:p>
        </w:tc>
        <w:tc>
          <w:tcPr>
            <w:tcW w:w="1276" w:type="dxa"/>
          </w:tcPr>
          <w:p w14:paraId="0AF03BE7" w14:textId="77777777" w:rsidR="00C72FD0" w:rsidRPr="00E2052F" w:rsidRDefault="00C72FD0" w:rsidP="00802195">
            <w:pPr>
              <w:spacing w:before="0" w:beforeAutospacing="0" w:line="240" w:lineRule="auto"/>
              <w:ind w:firstLine="0"/>
              <w:jc w:val="center"/>
              <w:rPr>
                <w:rFonts w:cstheme="majorBidi"/>
                <w:kern w:val="2"/>
                <w:sz w:val="22"/>
              </w:rPr>
            </w:pPr>
            <w:r w:rsidRPr="00E2052F">
              <w:rPr>
                <w:rFonts w:cstheme="majorBidi"/>
                <w:kern w:val="2"/>
                <w:sz w:val="22"/>
              </w:rPr>
              <w:t>0.111</w:t>
            </w:r>
          </w:p>
        </w:tc>
        <w:tc>
          <w:tcPr>
            <w:tcW w:w="1701" w:type="dxa"/>
          </w:tcPr>
          <w:p w14:paraId="3D36D4C6" w14:textId="77777777" w:rsidR="00C72FD0" w:rsidRPr="00E2052F" w:rsidRDefault="00C72FD0" w:rsidP="00802195">
            <w:pPr>
              <w:spacing w:before="0" w:beforeAutospacing="0" w:line="240" w:lineRule="auto"/>
              <w:ind w:firstLine="0"/>
              <w:jc w:val="center"/>
              <w:rPr>
                <w:rFonts w:cstheme="majorBidi"/>
                <w:kern w:val="2"/>
                <w:sz w:val="22"/>
              </w:rPr>
            </w:pPr>
            <w:r w:rsidRPr="00E2052F">
              <w:rPr>
                <w:rFonts w:cstheme="majorBidi"/>
                <w:kern w:val="2"/>
                <w:sz w:val="22"/>
              </w:rPr>
              <w:t>0.108</w:t>
            </w:r>
          </w:p>
        </w:tc>
        <w:tc>
          <w:tcPr>
            <w:tcW w:w="3502" w:type="dxa"/>
          </w:tcPr>
          <w:p w14:paraId="7B8D912F" w14:textId="77777777" w:rsidR="00C72FD0" w:rsidRPr="00E2052F" w:rsidRDefault="00C72FD0" w:rsidP="00802195">
            <w:pPr>
              <w:spacing w:before="0" w:beforeAutospacing="0" w:line="240" w:lineRule="auto"/>
              <w:ind w:firstLine="0"/>
              <w:jc w:val="center"/>
              <w:rPr>
                <w:rFonts w:cstheme="majorBidi"/>
                <w:kern w:val="2"/>
                <w:sz w:val="22"/>
              </w:rPr>
            </w:pPr>
            <w:r w:rsidRPr="00E2052F">
              <w:rPr>
                <w:rFonts w:cstheme="majorBidi"/>
                <w:kern w:val="2"/>
                <w:sz w:val="22"/>
              </w:rPr>
              <w:t>0.588</w:t>
            </w:r>
          </w:p>
        </w:tc>
      </w:tr>
      <w:tr w:rsidR="00C72FD0" w:rsidRPr="00E2052F" w14:paraId="6377B864" w14:textId="77777777" w:rsidTr="00C72FD0">
        <w:trPr>
          <w:cantSplit/>
          <w:trHeight w:val="405"/>
          <w:jc w:val="center"/>
        </w:trPr>
        <w:tc>
          <w:tcPr>
            <w:tcW w:w="8742" w:type="dxa"/>
            <w:gridSpan w:val="5"/>
            <w:shd w:val="clear" w:color="auto" w:fill="FFFFFF"/>
          </w:tcPr>
          <w:p w14:paraId="1EE21CCD" w14:textId="77777777" w:rsidR="00C72FD0" w:rsidRPr="00E2052F" w:rsidRDefault="00C72FD0" w:rsidP="00802195">
            <w:pPr>
              <w:spacing w:before="0" w:beforeAutospacing="0" w:line="240" w:lineRule="auto"/>
              <w:rPr>
                <w:rFonts w:cstheme="majorBidi"/>
                <w:b/>
                <w:bCs/>
                <w:kern w:val="2"/>
                <w:sz w:val="22"/>
              </w:rPr>
            </w:pPr>
            <w:r w:rsidRPr="00E2052F">
              <w:rPr>
                <w:rFonts w:cstheme="majorBidi"/>
                <w:b/>
                <w:bCs/>
                <w:kern w:val="2"/>
                <w:sz w:val="22"/>
              </w:rPr>
              <w:t>a. Prédicteurs : (Constante), La préservation des droits des actionnaires</w:t>
            </w:r>
          </w:p>
        </w:tc>
      </w:tr>
    </w:tbl>
    <w:p w14:paraId="02E9CA75" w14:textId="77777777" w:rsidR="00D12D48" w:rsidRPr="00E2052F" w:rsidRDefault="00C72FD0" w:rsidP="00802195">
      <w:pPr>
        <w:spacing w:before="0" w:beforeAutospacing="0" w:line="240" w:lineRule="auto"/>
        <w:jc w:val="center"/>
        <w:rPr>
          <w:rFonts w:cstheme="majorBidi"/>
          <w:sz w:val="22"/>
        </w:rPr>
      </w:pPr>
      <w:r w:rsidRPr="00E2052F">
        <w:rPr>
          <w:rFonts w:cstheme="majorBidi"/>
          <w:b/>
          <w:bCs/>
          <w:sz w:val="22"/>
        </w:rPr>
        <w:t>Source :</w:t>
      </w:r>
      <w:r w:rsidR="000036D1">
        <w:rPr>
          <w:rFonts w:cstheme="majorBidi"/>
          <w:sz w:val="22"/>
        </w:rPr>
        <w:t xml:space="preserve"> établi</w:t>
      </w:r>
      <w:r w:rsidRPr="00E2052F">
        <w:rPr>
          <w:rFonts w:cstheme="majorBidi"/>
          <w:sz w:val="22"/>
        </w:rPr>
        <w:t xml:space="preserve"> par nous même à partir des résultats du SPSS 27.</w:t>
      </w:r>
    </w:p>
    <w:p w14:paraId="5E089882" w14:textId="77777777" w:rsidR="00C72FD0" w:rsidRPr="00E2052F" w:rsidRDefault="00C72FD0" w:rsidP="00D23BF3">
      <w:pPr>
        <w:spacing w:before="0" w:beforeAutospacing="0"/>
        <w:rPr>
          <w:rFonts w:cstheme="majorBidi"/>
          <w:sz w:val="22"/>
        </w:rPr>
      </w:pPr>
      <w:r w:rsidRPr="00E2052F">
        <w:rPr>
          <w:rFonts w:cstheme="majorBidi"/>
          <w:sz w:val="22"/>
        </w:rPr>
        <w:t>Le tableau montre le coefficient de corrélation entre les variables, qui a été estimé à 0,333. Cela signifie que la corrélation est positive mais faible, ce qui indique une relation significative entre la préservation les droits des actionnaires et la RSE</w:t>
      </w:r>
      <w:r w:rsidR="004400DF" w:rsidRPr="00E2052F">
        <w:rPr>
          <w:rFonts w:cstheme="majorBidi"/>
          <w:sz w:val="22"/>
        </w:rPr>
        <w:t xml:space="preserve"> au sein de Tayal SPA</w:t>
      </w:r>
      <w:r w:rsidRPr="00E2052F">
        <w:rPr>
          <w:rFonts w:cstheme="majorBidi"/>
          <w:sz w:val="22"/>
        </w:rPr>
        <w:t>.</w:t>
      </w:r>
    </w:p>
    <w:p w14:paraId="0ACFA14D" w14:textId="77777777" w:rsidR="00C72FD0" w:rsidRPr="00E2052F" w:rsidRDefault="00C72FD0" w:rsidP="00D23BF3">
      <w:pPr>
        <w:spacing w:before="0" w:beforeAutospacing="0"/>
        <w:rPr>
          <w:rFonts w:cstheme="majorBidi"/>
          <w:sz w:val="22"/>
        </w:rPr>
      </w:pPr>
      <w:r w:rsidRPr="00E2052F">
        <w:rPr>
          <w:rFonts w:cstheme="majorBidi"/>
          <w:sz w:val="22"/>
        </w:rPr>
        <w:t>Le coefficient de détermination (R² = 0,111) montre que 11,1 % de la variance de la RSE est expliquée par la préservation les droits des actionnaires.</w:t>
      </w:r>
    </w:p>
    <w:p w14:paraId="5A6BCAEE" w14:textId="77777777" w:rsidR="00D12D48" w:rsidRPr="00E2052F" w:rsidRDefault="00F7065A" w:rsidP="00D61875">
      <w:pPr>
        <w:pStyle w:val="Paragraphedeliste"/>
        <w:numPr>
          <w:ilvl w:val="0"/>
          <w:numId w:val="21"/>
        </w:numPr>
        <w:spacing w:before="0" w:beforeAutospacing="0"/>
        <w:ind w:left="1208" w:hanging="357"/>
        <w:rPr>
          <w:rFonts w:cstheme="majorBidi"/>
          <w:b/>
          <w:bCs/>
          <w:sz w:val="22"/>
        </w:rPr>
      </w:pPr>
      <w:r w:rsidRPr="00E2052F">
        <w:rPr>
          <w:rFonts w:cstheme="majorBidi"/>
          <w:b/>
          <w:bCs/>
          <w:sz w:val="22"/>
        </w:rPr>
        <w:t>Analyse de variance ANOVA :</w:t>
      </w:r>
    </w:p>
    <w:p w14:paraId="745502FF" w14:textId="77777777" w:rsidR="00F7065A" w:rsidRPr="00E2052F" w:rsidRDefault="00B72921" w:rsidP="00D23BF3">
      <w:pPr>
        <w:spacing w:before="0" w:beforeAutospacing="0"/>
        <w:rPr>
          <w:rFonts w:cstheme="majorBidi"/>
          <w:sz w:val="22"/>
        </w:rPr>
      </w:pPr>
      <w:r w:rsidRPr="00E2052F">
        <w:rPr>
          <w:rFonts w:cstheme="majorBidi"/>
          <w:b/>
          <w:bCs/>
          <w:sz w:val="22"/>
          <w:u w:val="single"/>
        </w:rPr>
        <w:t>Table</w:t>
      </w:r>
      <w:r w:rsidR="00193ABF" w:rsidRPr="00E2052F">
        <w:rPr>
          <w:rFonts w:cstheme="majorBidi"/>
          <w:b/>
          <w:bCs/>
          <w:sz w:val="22"/>
          <w:u w:val="single"/>
        </w:rPr>
        <w:t>au 37</w:t>
      </w:r>
      <w:r w:rsidR="00F7065A" w:rsidRPr="00E2052F">
        <w:rPr>
          <w:rFonts w:cstheme="majorBidi"/>
          <w:b/>
          <w:bCs/>
          <w:sz w:val="22"/>
        </w:rPr>
        <w:t xml:space="preserve"> :</w:t>
      </w:r>
      <w:r w:rsidR="00F7065A" w:rsidRPr="00E2052F">
        <w:rPr>
          <w:rFonts w:cstheme="majorBidi"/>
          <w:sz w:val="22"/>
        </w:rPr>
        <w:t xml:space="preserve"> </w:t>
      </w:r>
      <w:r w:rsidR="00F7065A" w:rsidRPr="00E2052F">
        <w:rPr>
          <w:rFonts w:cstheme="majorBidi"/>
          <w:b/>
          <w:bCs/>
          <w:sz w:val="22"/>
        </w:rPr>
        <w:t>La variance Anova</w:t>
      </w:r>
      <w:r w:rsidR="00F7065A" w:rsidRPr="00E2052F">
        <w:rPr>
          <w:rFonts w:cstheme="majorBidi"/>
          <w:sz w:val="22"/>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8"/>
        <w:gridCol w:w="1942"/>
        <w:gridCol w:w="907"/>
        <w:gridCol w:w="1573"/>
        <w:gridCol w:w="1171"/>
        <w:gridCol w:w="1173"/>
      </w:tblGrid>
      <w:tr w:rsidR="00F7065A" w:rsidRPr="00E2052F" w14:paraId="2A4FA488" w14:textId="77777777" w:rsidTr="007530A6">
        <w:trPr>
          <w:cantSplit/>
          <w:trHeight w:val="283"/>
          <w:jc w:val="center"/>
        </w:trPr>
        <w:tc>
          <w:tcPr>
            <w:tcW w:w="9072" w:type="dxa"/>
            <w:gridSpan w:val="7"/>
            <w:shd w:val="clear" w:color="auto" w:fill="B4C6E7" w:themeFill="accent1" w:themeFillTint="66"/>
            <w:vAlign w:val="center"/>
          </w:tcPr>
          <w:p w14:paraId="7C60D81C"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lastRenderedPageBreak/>
              <w:t>ANOVA</w:t>
            </w:r>
            <w:r w:rsidRPr="00E2052F">
              <w:rPr>
                <w:rFonts w:cstheme="majorBidi"/>
                <w:b/>
                <w:bCs/>
                <w:kern w:val="2"/>
                <w:sz w:val="22"/>
                <w:vertAlign w:val="superscript"/>
              </w:rPr>
              <w:t>a</w:t>
            </w:r>
          </w:p>
        </w:tc>
      </w:tr>
      <w:tr w:rsidR="00F7065A" w:rsidRPr="00E2052F" w14:paraId="145AD770" w14:textId="77777777" w:rsidTr="007530A6">
        <w:trPr>
          <w:cantSplit/>
          <w:trHeight w:val="621"/>
          <w:jc w:val="center"/>
        </w:trPr>
        <w:tc>
          <w:tcPr>
            <w:tcW w:w="2306" w:type="dxa"/>
            <w:gridSpan w:val="2"/>
            <w:shd w:val="clear" w:color="auto" w:fill="D9E2F3" w:themeFill="accent1" w:themeFillTint="33"/>
            <w:vAlign w:val="bottom"/>
          </w:tcPr>
          <w:p w14:paraId="4C67C0B5"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42" w:type="dxa"/>
            <w:shd w:val="clear" w:color="auto" w:fill="D9E2F3" w:themeFill="accent1" w:themeFillTint="33"/>
            <w:vAlign w:val="bottom"/>
          </w:tcPr>
          <w:p w14:paraId="4358CEA6"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7" w:type="dxa"/>
            <w:shd w:val="clear" w:color="auto" w:fill="D9E2F3" w:themeFill="accent1" w:themeFillTint="33"/>
            <w:vAlign w:val="bottom"/>
          </w:tcPr>
          <w:p w14:paraId="40FC898D"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73" w:type="dxa"/>
            <w:shd w:val="clear" w:color="auto" w:fill="D9E2F3" w:themeFill="accent1" w:themeFillTint="33"/>
            <w:vAlign w:val="bottom"/>
          </w:tcPr>
          <w:p w14:paraId="3335B87F"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1" w:type="dxa"/>
            <w:shd w:val="clear" w:color="auto" w:fill="D9E2F3" w:themeFill="accent1" w:themeFillTint="33"/>
            <w:vAlign w:val="bottom"/>
          </w:tcPr>
          <w:p w14:paraId="2EF3A48C"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73" w:type="dxa"/>
            <w:shd w:val="clear" w:color="auto" w:fill="D9E2F3" w:themeFill="accent1" w:themeFillTint="33"/>
            <w:vAlign w:val="bottom"/>
          </w:tcPr>
          <w:p w14:paraId="53FC627A"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22139A" w:rsidRPr="00E2052F" w14:paraId="4B4309E6" w14:textId="77777777" w:rsidTr="007530A6">
        <w:trPr>
          <w:cantSplit/>
          <w:trHeight w:val="316"/>
          <w:jc w:val="center"/>
        </w:trPr>
        <w:tc>
          <w:tcPr>
            <w:tcW w:w="838" w:type="dxa"/>
            <w:vMerge w:val="restart"/>
            <w:shd w:val="clear" w:color="auto" w:fill="D9E2F3" w:themeFill="accent1" w:themeFillTint="33"/>
          </w:tcPr>
          <w:p w14:paraId="7C07937D" w14:textId="77777777" w:rsidR="00802195" w:rsidRPr="00E2052F" w:rsidRDefault="00802195" w:rsidP="00802195">
            <w:pPr>
              <w:spacing w:before="0" w:beforeAutospacing="0" w:line="240" w:lineRule="auto"/>
              <w:ind w:firstLine="0"/>
              <w:jc w:val="center"/>
              <w:rPr>
                <w:rFonts w:cstheme="majorBidi"/>
                <w:b/>
                <w:bCs/>
                <w:kern w:val="2"/>
                <w:sz w:val="22"/>
              </w:rPr>
            </w:pPr>
          </w:p>
          <w:p w14:paraId="49B21E44"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8" w:type="dxa"/>
            <w:shd w:val="clear" w:color="auto" w:fill="D9E2F3" w:themeFill="accent1" w:themeFillTint="33"/>
          </w:tcPr>
          <w:p w14:paraId="513FFA48"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2" w:type="dxa"/>
          </w:tcPr>
          <w:p w14:paraId="1E71855C"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12.845</w:t>
            </w:r>
          </w:p>
        </w:tc>
        <w:tc>
          <w:tcPr>
            <w:tcW w:w="907" w:type="dxa"/>
          </w:tcPr>
          <w:p w14:paraId="0415CECD"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1</w:t>
            </w:r>
          </w:p>
        </w:tc>
        <w:tc>
          <w:tcPr>
            <w:tcW w:w="1573" w:type="dxa"/>
          </w:tcPr>
          <w:p w14:paraId="53AB40AC"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12.845</w:t>
            </w:r>
          </w:p>
        </w:tc>
        <w:tc>
          <w:tcPr>
            <w:tcW w:w="1171" w:type="dxa"/>
          </w:tcPr>
          <w:p w14:paraId="6BDCFB25"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37.209</w:t>
            </w:r>
          </w:p>
        </w:tc>
        <w:tc>
          <w:tcPr>
            <w:tcW w:w="1173" w:type="dxa"/>
          </w:tcPr>
          <w:p w14:paraId="179BB387"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22139A" w:rsidRPr="00E2052F" w14:paraId="77CD61DB" w14:textId="77777777" w:rsidTr="007530A6">
        <w:trPr>
          <w:cantSplit/>
          <w:trHeight w:val="316"/>
          <w:jc w:val="center"/>
        </w:trPr>
        <w:tc>
          <w:tcPr>
            <w:tcW w:w="838" w:type="dxa"/>
            <w:vMerge/>
            <w:shd w:val="clear" w:color="auto" w:fill="D9E2F3" w:themeFill="accent1" w:themeFillTint="33"/>
          </w:tcPr>
          <w:p w14:paraId="65DF9DCF" w14:textId="77777777" w:rsidR="00F7065A" w:rsidRPr="00E2052F" w:rsidRDefault="00F7065A" w:rsidP="00802195">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4EB6058F"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2" w:type="dxa"/>
          </w:tcPr>
          <w:p w14:paraId="3800265A"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102.876</w:t>
            </w:r>
          </w:p>
        </w:tc>
        <w:tc>
          <w:tcPr>
            <w:tcW w:w="907" w:type="dxa"/>
          </w:tcPr>
          <w:p w14:paraId="78CC17A5"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3" w:type="dxa"/>
          </w:tcPr>
          <w:p w14:paraId="48B403AF"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0.345</w:t>
            </w:r>
          </w:p>
        </w:tc>
        <w:tc>
          <w:tcPr>
            <w:tcW w:w="1171" w:type="dxa"/>
            <w:vAlign w:val="center"/>
          </w:tcPr>
          <w:p w14:paraId="3CFE3C66" w14:textId="77777777" w:rsidR="00F7065A" w:rsidRPr="00E2052F" w:rsidRDefault="00F7065A" w:rsidP="00802195">
            <w:pPr>
              <w:spacing w:before="0" w:beforeAutospacing="0" w:line="240" w:lineRule="auto"/>
              <w:jc w:val="center"/>
              <w:rPr>
                <w:rFonts w:cstheme="majorBidi"/>
                <w:kern w:val="2"/>
                <w:sz w:val="22"/>
              </w:rPr>
            </w:pPr>
          </w:p>
        </w:tc>
        <w:tc>
          <w:tcPr>
            <w:tcW w:w="1173" w:type="dxa"/>
            <w:vAlign w:val="center"/>
          </w:tcPr>
          <w:p w14:paraId="005FD725" w14:textId="77777777" w:rsidR="00F7065A" w:rsidRPr="00E2052F" w:rsidRDefault="00F7065A" w:rsidP="00802195">
            <w:pPr>
              <w:spacing w:before="0" w:beforeAutospacing="0" w:line="240" w:lineRule="auto"/>
              <w:jc w:val="center"/>
              <w:rPr>
                <w:rFonts w:cstheme="majorBidi"/>
                <w:kern w:val="2"/>
                <w:sz w:val="22"/>
              </w:rPr>
            </w:pPr>
          </w:p>
        </w:tc>
      </w:tr>
      <w:tr w:rsidR="0022139A" w:rsidRPr="00E2052F" w14:paraId="27C8DD72" w14:textId="77777777" w:rsidTr="007530A6">
        <w:trPr>
          <w:cantSplit/>
          <w:trHeight w:val="316"/>
          <w:jc w:val="center"/>
        </w:trPr>
        <w:tc>
          <w:tcPr>
            <w:tcW w:w="838" w:type="dxa"/>
            <w:vMerge/>
            <w:shd w:val="clear" w:color="auto" w:fill="D9E2F3" w:themeFill="accent1" w:themeFillTint="33"/>
          </w:tcPr>
          <w:p w14:paraId="1D301057" w14:textId="77777777" w:rsidR="00F7065A" w:rsidRPr="00E2052F" w:rsidRDefault="00F7065A" w:rsidP="00802195">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57EF8C2E" w14:textId="77777777" w:rsidR="00F7065A" w:rsidRPr="00E2052F" w:rsidRDefault="00F7065A" w:rsidP="00802195">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2" w:type="dxa"/>
          </w:tcPr>
          <w:p w14:paraId="1BE1B1DB"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7" w:type="dxa"/>
          </w:tcPr>
          <w:p w14:paraId="3C70DCAD" w14:textId="77777777" w:rsidR="00F7065A" w:rsidRPr="00E2052F" w:rsidRDefault="00F7065A" w:rsidP="00802195">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3" w:type="dxa"/>
            <w:vAlign w:val="center"/>
          </w:tcPr>
          <w:p w14:paraId="50CEA294" w14:textId="77777777" w:rsidR="00F7065A" w:rsidRPr="00E2052F" w:rsidRDefault="00F7065A" w:rsidP="00802195">
            <w:pPr>
              <w:spacing w:before="0" w:beforeAutospacing="0" w:line="240" w:lineRule="auto"/>
              <w:jc w:val="center"/>
              <w:rPr>
                <w:rFonts w:cstheme="majorBidi"/>
                <w:kern w:val="2"/>
                <w:sz w:val="22"/>
              </w:rPr>
            </w:pPr>
          </w:p>
        </w:tc>
        <w:tc>
          <w:tcPr>
            <w:tcW w:w="1171" w:type="dxa"/>
            <w:vAlign w:val="center"/>
          </w:tcPr>
          <w:p w14:paraId="223FD76B" w14:textId="77777777" w:rsidR="00F7065A" w:rsidRPr="00E2052F" w:rsidRDefault="00F7065A" w:rsidP="00802195">
            <w:pPr>
              <w:spacing w:before="0" w:beforeAutospacing="0" w:line="240" w:lineRule="auto"/>
              <w:jc w:val="center"/>
              <w:rPr>
                <w:rFonts w:cstheme="majorBidi"/>
                <w:kern w:val="2"/>
                <w:sz w:val="22"/>
              </w:rPr>
            </w:pPr>
          </w:p>
        </w:tc>
        <w:tc>
          <w:tcPr>
            <w:tcW w:w="1173" w:type="dxa"/>
            <w:vAlign w:val="center"/>
          </w:tcPr>
          <w:p w14:paraId="0637DA93" w14:textId="77777777" w:rsidR="00F7065A" w:rsidRPr="00E2052F" w:rsidRDefault="00F7065A" w:rsidP="00802195">
            <w:pPr>
              <w:spacing w:before="0" w:beforeAutospacing="0" w:line="240" w:lineRule="auto"/>
              <w:jc w:val="center"/>
              <w:rPr>
                <w:rFonts w:cstheme="majorBidi"/>
                <w:kern w:val="2"/>
                <w:sz w:val="22"/>
              </w:rPr>
            </w:pPr>
          </w:p>
        </w:tc>
      </w:tr>
      <w:tr w:rsidR="00F7065A" w:rsidRPr="00E2052F" w14:paraId="4DAE710F" w14:textId="77777777" w:rsidTr="00802195">
        <w:trPr>
          <w:cantSplit/>
          <w:trHeight w:val="303"/>
          <w:jc w:val="center"/>
        </w:trPr>
        <w:tc>
          <w:tcPr>
            <w:tcW w:w="9072" w:type="dxa"/>
            <w:gridSpan w:val="7"/>
            <w:shd w:val="clear" w:color="auto" w:fill="FFFFFF"/>
          </w:tcPr>
          <w:p w14:paraId="5FE4200D" w14:textId="77777777" w:rsidR="00F7065A" w:rsidRPr="00E2052F" w:rsidRDefault="00F7065A" w:rsidP="00802195">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F7065A" w:rsidRPr="00E2052F" w14:paraId="41DEEB60" w14:textId="77777777" w:rsidTr="00802195">
        <w:trPr>
          <w:cantSplit/>
          <w:trHeight w:val="53"/>
          <w:jc w:val="center"/>
        </w:trPr>
        <w:tc>
          <w:tcPr>
            <w:tcW w:w="9072" w:type="dxa"/>
            <w:gridSpan w:val="7"/>
            <w:shd w:val="clear" w:color="auto" w:fill="FFFFFF"/>
          </w:tcPr>
          <w:p w14:paraId="38341A3A" w14:textId="77777777" w:rsidR="00F7065A" w:rsidRPr="00E2052F" w:rsidRDefault="00F7065A" w:rsidP="00802195">
            <w:pPr>
              <w:spacing w:before="0" w:beforeAutospacing="0" w:line="240" w:lineRule="auto"/>
              <w:rPr>
                <w:rFonts w:cstheme="majorBidi"/>
                <w:b/>
                <w:bCs/>
                <w:kern w:val="2"/>
                <w:sz w:val="22"/>
              </w:rPr>
            </w:pPr>
            <w:r w:rsidRPr="00E2052F">
              <w:rPr>
                <w:rFonts w:cstheme="majorBidi"/>
                <w:b/>
                <w:bCs/>
                <w:kern w:val="2"/>
                <w:sz w:val="22"/>
              </w:rPr>
              <w:t>b. Prédicteurs : (Constante), La préservation des droits des actionnaires</w:t>
            </w:r>
          </w:p>
        </w:tc>
      </w:tr>
    </w:tbl>
    <w:p w14:paraId="1FF8A695" w14:textId="77777777" w:rsidR="00F7065A" w:rsidRPr="00E2052F" w:rsidRDefault="00F7065A" w:rsidP="00802195">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211B5A67" w14:textId="77777777" w:rsidR="00F7065A" w:rsidRPr="00E2052F" w:rsidRDefault="00F7065A" w:rsidP="00D23BF3">
      <w:pPr>
        <w:spacing w:before="0" w:beforeAutospacing="0"/>
        <w:rPr>
          <w:rFonts w:cstheme="majorBidi"/>
          <w:sz w:val="22"/>
        </w:rPr>
      </w:pPr>
      <w:r w:rsidRPr="00E2052F">
        <w:rPr>
          <w:rFonts w:cstheme="majorBidi"/>
          <w:sz w:val="22"/>
        </w:rPr>
        <w:t xml:space="preserve">Le test ANOVA montre une valeur de F = 37,209 avec un niveau de signification (Sig.) égal à 0,000, c'est-à-dire inférieur au seuil critique de 0,05.Cela signifie qu'il existe une corrélation statistiquement significative entre la préservation des droits des actionnaires et la RSE </w:t>
      </w:r>
      <w:r w:rsidR="004400DF" w:rsidRPr="00E2052F">
        <w:rPr>
          <w:rFonts w:cstheme="majorBidi"/>
          <w:sz w:val="22"/>
        </w:rPr>
        <w:t xml:space="preserve">au sein de Tayal SPA </w:t>
      </w:r>
      <w:r w:rsidRPr="00E2052F">
        <w:rPr>
          <w:rFonts w:cstheme="majorBidi"/>
          <w:sz w:val="22"/>
        </w:rPr>
        <w:t>à un niveau de signification de 5 %.</w:t>
      </w:r>
    </w:p>
    <w:p w14:paraId="3167E4B4" w14:textId="77777777" w:rsidR="0022139A" w:rsidRPr="00E2052F" w:rsidRDefault="0022139A" w:rsidP="00D61875">
      <w:pPr>
        <w:pStyle w:val="Paragraphedeliste"/>
        <w:numPr>
          <w:ilvl w:val="0"/>
          <w:numId w:val="21"/>
        </w:numPr>
        <w:spacing w:before="0" w:beforeAutospacing="0"/>
        <w:ind w:left="1208" w:hanging="357"/>
        <w:rPr>
          <w:rFonts w:cstheme="majorBidi"/>
          <w:b/>
          <w:bCs/>
          <w:sz w:val="22"/>
        </w:rPr>
      </w:pPr>
      <w:r w:rsidRPr="00E2052F">
        <w:rPr>
          <w:rFonts w:cstheme="majorBidi"/>
          <w:b/>
          <w:bCs/>
          <w:sz w:val="22"/>
        </w:rPr>
        <w:t>Coefficients de régression :</w:t>
      </w:r>
    </w:p>
    <w:p w14:paraId="79BDAB93" w14:textId="77777777" w:rsidR="0022139A" w:rsidRPr="00E2052F" w:rsidRDefault="00B72921" w:rsidP="00D23BF3">
      <w:pPr>
        <w:spacing w:before="0" w:beforeAutospacing="0"/>
        <w:rPr>
          <w:rFonts w:cstheme="majorBidi"/>
          <w:sz w:val="22"/>
        </w:rPr>
      </w:pPr>
      <w:bookmarkStart w:id="1793" w:name="_Hlk228708735"/>
      <w:r w:rsidRPr="00E2052F">
        <w:rPr>
          <w:rFonts w:cstheme="majorBidi"/>
          <w:b/>
          <w:bCs/>
          <w:sz w:val="22"/>
          <w:u w:val="single"/>
        </w:rPr>
        <w:t xml:space="preserve">Tableau </w:t>
      </w:r>
      <w:r w:rsidR="00193ABF" w:rsidRPr="00E2052F">
        <w:rPr>
          <w:rFonts w:cstheme="majorBidi"/>
          <w:b/>
          <w:bCs/>
          <w:sz w:val="22"/>
          <w:u w:val="single"/>
        </w:rPr>
        <w:t>38</w:t>
      </w:r>
      <w:r w:rsidR="00695A21" w:rsidRPr="00E2052F">
        <w:rPr>
          <w:rFonts w:cstheme="majorBidi"/>
          <w:b/>
          <w:bCs/>
          <w:sz w:val="22"/>
          <w:u w:val="single"/>
        </w:rPr>
        <w:t> :</w:t>
      </w:r>
      <w:r w:rsidR="0022139A" w:rsidRPr="00E2052F">
        <w:rPr>
          <w:rFonts w:cstheme="majorBidi"/>
          <w:b/>
          <w:bCs/>
          <w:sz w:val="22"/>
        </w:rPr>
        <w:t xml:space="preserve"> coefficients de régression.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6"/>
        <w:gridCol w:w="1567"/>
        <w:gridCol w:w="851"/>
        <w:gridCol w:w="1984"/>
        <w:gridCol w:w="2410"/>
        <w:gridCol w:w="851"/>
        <w:gridCol w:w="713"/>
      </w:tblGrid>
      <w:tr w:rsidR="0022139A" w:rsidRPr="00E2052F" w14:paraId="582C66DB" w14:textId="77777777" w:rsidTr="007530A6">
        <w:trPr>
          <w:cantSplit/>
          <w:jc w:val="center"/>
        </w:trPr>
        <w:tc>
          <w:tcPr>
            <w:tcW w:w="9072" w:type="dxa"/>
            <w:gridSpan w:val="7"/>
            <w:shd w:val="clear" w:color="auto" w:fill="B4C6E7" w:themeFill="accent1" w:themeFillTint="66"/>
            <w:vAlign w:val="center"/>
          </w:tcPr>
          <w:p w14:paraId="7C6C0C9A" w14:textId="77777777" w:rsidR="0022139A" w:rsidRPr="00E2052F" w:rsidRDefault="0022139A" w:rsidP="00802195">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22139A" w:rsidRPr="00E2052F" w14:paraId="19600BCA" w14:textId="77777777" w:rsidTr="007530A6">
        <w:trPr>
          <w:cantSplit/>
          <w:jc w:val="center"/>
        </w:trPr>
        <w:tc>
          <w:tcPr>
            <w:tcW w:w="2263" w:type="dxa"/>
            <w:gridSpan w:val="2"/>
            <w:vMerge w:val="restart"/>
            <w:shd w:val="clear" w:color="auto" w:fill="D9E2F3" w:themeFill="accent1" w:themeFillTint="33"/>
            <w:vAlign w:val="bottom"/>
          </w:tcPr>
          <w:p w14:paraId="3A72C397" w14:textId="77777777" w:rsidR="0022139A" w:rsidRPr="00E2052F" w:rsidRDefault="0022139A" w:rsidP="00802195">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shd w:val="clear" w:color="auto" w:fill="D9E2F3" w:themeFill="accent1" w:themeFillTint="33"/>
            <w:vAlign w:val="bottom"/>
          </w:tcPr>
          <w:p w14:paraId="5FC63E23" w14:textId="77777777" w:rsidR="0022139A" w:rsidRPr="00E2052F" w:rsidRDefault="00802195" w:rsidP="00802195">
            <w:pPr>
              <w:spacing w:before="0" w:beforeAutospacing="0" w:line="240" w:lineRule="auto"/>
              <w:ind w:firstLine="0"/>
              <w:rPr>
                <w:rFonts w:cstheme="majorBidi"/>
                <w:b/>
                <w:bCs/>
                <w:kern w:val="2"/>
                <w:sz w:val="22"/>
              </w:rPr>
            </w:pPr>
            <w:r w:rsidRPr="00E2052F">
              <w:rPr>
                <w:rFonts w:cstheme="majorBidi"/>
                <w:b/>
                <w:bCs/>
                <w:kern w:val="2"/>
                <w:sz w:val="22"/>
              </w:rPr>
              <w:t xml:space="preserve">Coefficients </w:t>
            </w:r>
            <w:r w:rsidR="0022139A" w:rsidRPr="00E2052F">
              <w:rPr>
                <w:rFonts w:cstheme="majorBidi"/>
                <w:b/>
                <w:bCs/>
                <w:kern w:val="2"/>
                <w:sz w:val="22"/>
              </w:rPr>
              <w:t>non standardisés</w:t>
            </w:r>
          </w:p>
        </w:tc>
        <w:tc>
          <w:tcPr>
            <w:tcW w:w="2410" w:type="dxa"/>
            <w:shd w:val="clear" w:color="auto" w:fill="D9E2F3" w:themeFill="accent1" w:themeFillTint="33"/>
            <w:vAlign w:val="bottom"/>
          </w:tcPr>
          <w:p w14:paraId="534AAD17" w14:textId="77777777" w:rsidR="0022139A" w:rsidRPr="00E2052F" w:rsidRDefault="0022139A" w:rsidP="00802195">
            <w:pPr>
              <w:spacing w:before="0" w:beforeAutospacing="0" w:line="240" w:lineRule="auto"/>
              <w:ind w:firstLine="0"/>
              <w:rPr>
                <w:rFonts w:cstheme="majorBidi"/>
                <w:b/>
                <w:bCs/>
                <w:kern w:val="2"/>
                <w:sz w:val="22"/>
              </w:rPr>
            </w:pPr>
            <w:r w:rsidRPr="00E2052F">
              <w:rPr>
                <w:rFonts w:cstheme="majorBidi"/>
                <w:b/>
                <w:bCs/>
                <w:kern w:val="2"/>
                <w:sz w:val="22"/>
              </w:rPr>
              <w:t>Coefficients standardisés</w:t>
            </w:r>
          </w:p>
        </w:tc>
        <w:tc>
          <w:tcPr>
            <w:tcW w:w="851" w:type="dxa"/>
            <w:vMerge w:val="restart"/>
            <w:shd w:val="clear" w:color="auto" w:fill="D9E2F3" w:themeFill="accent1" w:themeFillTint="33"/>
            <w:vAlign w:val="bottom"/>
          </w:tcPr>
          <w:p w14:paraId="72DF262A" w14:textId="77777777" w:rsidR="0022139A" w:rsidRPr="00E2052F" w:rsidRDefault="0022139A" w:rsidP="00802195">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713" w:type="dxa"/>
            <w:vMerge w:val="restart"/>
            <w:shd w:val="clear" w:color="auto" w:fill="D9E2F3" w:themeFill="accent1" w:themeFillTint="33"/>
            <w:vAlign w:val="bottom"/>
          </w:tcPr>
          <w:p w14:paraId="75C81F27" w14:textId="77777777" w:rsidR="0022139A" w:rsidRPr="00E2052F" w:rsidRDefault="0022139A" w:rsidP="00802195">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22139A" w:rsidRPr="00E2052F" w14:paraId="7C1CFD58" w14:textId="77777777" w:rsidTr="007530A6">
        <w:trPr>
          <w:cantSplit/>
          <w:jc w:val="center"/>
        </w:trPr>
        <w:tc>
          <w:tcPr>
            <w:tcW w:w="2263" w:type="dxa"/>
            <w:gridSpan w:val="2"/>
            <w:vMerge/>
            <w:shd w:val="clear" w:color="auto" w:fill="D9E2F3" w:themeFill="accent1" w:themeFillTint="33"/>
            <w:vAlign w:val="bottom"/>
          </w:tcPr>
          <w:p w14:paraId="14B0F829" w14:textId="77777777" w:rsidR="0022139A" w:rsidRPr="00E2052F" w:rsidRDefault="0022139A" w:rsidP="00802195">
            <w:pPr>
              <w:spacing w:before="0" w:beforeAutospacing="0" w:line="240" w:lineRule="auto"/>
              <w:jc w:val="center"/>
              <w:rPr>
                <w:rFonts w:cstheme="majorBidi"/>
                <w:b/>
                <w:bCs/>
                <w:kern w:val="2"/>
                <w:sz w:val="22"/>
              </w:rPr>
            </w:pPr>
          </w:p>
        </w:tc>
        <w:tc>
          <w:tcPr>
            <w:tcW w:w="851" w:type="dxa"/>
            <w:shd w:val="clear" w:color="auto" w:fill="D9E2F3" w:themeFill="accent1" w:themeFillTint="33"/>
            <w:vAlign w:val="bottom"/>
          </w:tcPr>
          <w:p w14:paraId="642D0413" w14:textId="77777777" w:rsidR="0022139A" w:rsidRPr="00E2052F" w:rsidRDefault="0022139A" w:rsidP="00802195">
            <w:pPr>
              <w:spacing w:before="0" w:beforeAutospacing="0" w:line="240" w:lineRule="auto"/>
              <w:jc w:val="center"/>
              <w:rPr>
                <w:rFonts w:cstheme="majorBidi"/>
                <w:b/>
                <w:bCs/>
                <w:kern w:val="2"/>
                <w:sz w:val="22"/>
              </w:rPr>
            </w:pPr>
            <w:r w:rsidRPr="00E2052F">
              <w:rPr>
                <w:rFonts w:cstheme="majorBidi"/>
                <w:b/>
                <w:bCs/>
                <w:kern w:val="2"/>
                <w:sz w:val="22"/>
              </w:rPr>
              <w:t>B</w:t>
            </w:r>
          </w:p>
        </w:tc>
        <w:tc>
          <w:tcPr>
            <w:tcW w:w="1984" w:type="dxa"/>
            <w:shd w:val="clear" w:color="auto" w:fill="D9E2F3" w:themeFill="accent1" w:themeFillTint="33"/>
            <w:vAlign w:val="bottom"/>
          </w:tcPr>
          <w:p w14:paraId="2E023C2C" w14:textId="77777777" w:rsidR="0022139A" w:rsidRPr="00E2052F" w:rsidRDefault="0022139A" w:rsidP="00802195">
            <w:pPr>
              <w:spacing w:before="0" w:beforeAutospacing="0" w:line="240" w:lineRule="auto"/>
              <w:jc w:val="center"/>
              <w:rPr>
                <w:rFonts w:cstheme="majorBidi"/>
                <w:b/>
                <w:bCs/>
                <w:kern w:val="2"/>
                <w:sz w:val="22"/>
              </w:rPr>
            </w:pPr>
            <w:r w:rsidRPr="00E2052F">
              <w:rPr>
                <w:rFonts w:cstheme="majorBidi"/>
                <w:b/>
                <w:bCs/>
                <w:kern w:val="2"/>
                <w:sz w:val="22"/>
              </w:rPr>
              <w:t>Erreur standard</w:t>
            </w:r>
          </w:p>
        </w:tc>
        <w:tc>
          <w:tcPr>
            <w:tcW w:w="2410" w:type="dxa"/>
            <w:shd w:val="clear" w:color="auto" w:fill="D9E2F3" w:themeFill="accent1" w:themeFillTint="33"/>
            <w:vAlign w:val="bottom"/>
          </w:tcPr>
          <w:p w14:paraId="26CB33B6" w14:textId="77777777" w:rsidR="0022139A" w:rsidRPr="00E2052F" w:rsidRDefault="0022139A" w:rsidP="00802195">
            <w:pPr>
              <w:spacing w:before="0" w:beforeAutospacing="0" w:line="240" w:lineRule="auto"/>
              <w:jc w:val="center"/>
              <w:rPr>
                <w:rFonts w:cstheme="majorBidi"/>
                <w:b/>
                <w:bCs/>
                <w:kern w:val="2"/>
                <w:sz w:val="22"/>
              </w:rPr>
            </w:pPr>
            <w:r w:rsidRPr="00E2052F">
              <w:rPr>
                <w:rFonts w:cstheme="majorBidi"/>
                <w:b/>
                <w:bCs/>
                <w:kern w:val="2"/>
                <w:sz w:val="22"/>
              </w:rPr>
              <w:t>Bêta</w:t>
            </w:r>
          </w:p>
        </w:tc>
        <w:tc>
          <w:tcPr>
            <w:tcW w:w="851" w:type="dxa"/>
            <w:vMerge/>
            <w:shd w:val="clear" w:color="auto" w:fill="D9E2F3" w:themeFill="accent1" w:themeFillTint="33"/>
            <w:vAlign w:val="bottom"/>
          </w:tcPr>
          <w:p w14:paraId="5C8B8AC8" w14:textId="77777777" w:rsidR="0022139A" w:rsidRPr="00E2052F" w:rsidRDefault="0022139A" w:rsidP="00802195">
            <w:pPr>
              <w:spacing w:before="0" w:beforeAutospacing="0" w:line="240" w:lineRule="auto"/>
              <w:jc w:val="center"/>
              <w:rPr>
                <w:rFonts w:cstheme="majorBidi"/>
                <w:b/>
                <w:bCs/>
                <w:kern w:val="2"/>
                <w:sz w:val="22"/>
              </w:rPr>
            </w:pPr>
          </w:p>
        </w:tc>
        <w:tc>
          <w:tcPr>
            <w:tcW w:w="713" w:type="dxa"/>
            <w:vMerge/>
            <w:shd w:val="clear" w:color="auto" w:fill="D9E2F3" w:themeFill="accent1" w:themeFillTint="33"/>
            <w:vAlign w:val="bottom"/>
          </w:tcPr>
          <w:p w14:paraId="7058074D" w14:textId="77777777" w:rsidR="0022139A" w:rsidRPr="00E2052F" w:rsidRDefault="0022139A" w:rsidP="00802195">
            <w:pPr>
              <w:spacing w:before="0" w:beforeAutospacing="0" w:line="240" w:lineRule="auto"/>
              <w:jc w:val="center"/>
              <w:rPr>
                <w:rFonts w:cstheme="majorBidi"/>
                <w:b/>
                <w:bCs/>
                <w:kern w:val="2"/>
                <w:sz w:val="22"/>
              </w:rPr>
            </w:pPr>
          </w:p>
        </w:tc>
      </w:tr>
      <w:tr w:rsidR="0022139A" w:rsidRPr="00E2052F" w14:paraId="66B96423" w14:textId="77777777" w:rsidTr="007530A6">
        <w:trPr>
          <w:cantSplit/>
          <w:jc w:val="center"/>
        </w:trPr>
        <w:tc>
          <w:tcPr>
            <w:tcW w:w="696" w:type="dxa"/>
            <w:vMerge w:val="restart"/>
            <w:shd w:val="clear" w:color="auto" w:fill="D9E2F3" w:themeFill="accent1" w:themeFillTint="33"/>
          </w:tcPr>
          <w:p w14:paraId="7F301A37" w14:textId="77777777" w:rsidR="00802195" w:rsidRPr="00E2052F" w:rsidRDefault="00802195" w:rsidP="00802195">
            <w:pPr>
              <w:spacing w:before="0" w:beforeAutospacing="0" w:line="240" w:lineRule="auto"/>
              <w:rPr>
                <w:rFonts w:cstheme="majorBidi"/>
                <w:b/>
                <w:bCs/>
                <w:kern w:val="2"/>
                <w:sz w:val="22"/>
              </w:rPr>
            </w:pPr>
          </w:p>
          <w:p w14:paraId="736ABCEB" w14:textId="77777777" w:rsidR="0022139A" w:rsidRPr="00E2052F" w:rsidRDefault="0022139A" w:rsidP="00802195">
            <w:pPr>
              <w:spacing w:before="0" w:beforeAutospacing="0" w:line="240" w:lineRule="auto"/>
              <w:rPr>
                <w:rFonts w:cstheme="majorBidi"/>
                <w:b/>
                <w:bCs/>
                <w:kern w:val="2"/>
                <w:sz w:val="22"/>
              </w:rPr>
            </w:pPr>
            <w:r w:rsidRPr="00E2052F">
              <w:rPr>
                <w:rFonts w:cstheme="majorBidi"/>
                <w:b/>
                <w:bCs/>
                <w:kern w:val="2"/>
                <w:sz w:val="22"/>
              </w:rPr>
              <w:t>1</w:t>
            </w:r>
          </w:p>
        </w:tc>
        <w:tc>
          <w:tcPr>
            <w:tcW w:w="1567" w:type="dxa"/>
            <w:shd w:val="clear" w:color="auto" w:fill="D9E2F3" w:themeFill="accent1" w:themeFillTint="33"/>
          </w:tcPr>
          <w:p w14:paraId="60DE76D5" w14:textId="77777777" w:rsidR="0022139A" w:rsidRPr="00E2052F" w:rsidRDefault="0022139A" w:rsidP="00802195">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851" w:type="dxa"/>
          </w:tcPr>
          <w:p w14:paraId="5181C622"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2.700</w:t>
            </w:r>
          </w:p>
        </w:tc>
        <w:tc>
          <w:tcPr>
            <w:tcW w:w="1984" w:type="dxa"/>
          </w:tcPr>
          <w:p w14:paraId="7A9AF0BF"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0.215</w:t>
            </w:r>
          </w:p>
        </w:tc>
        <w:tc>
          <w:tcPr>
            <w:tcW w:w="2410" w:type="dxa"/>
            <w:vAlign w:val="center"/>
          </w:tcPr>
          <w:p w14:paraId="2512CCE5" w14:textId="77777777" w:rsidR="0022139A" w:rsidRPr="00E2052F" w:rsidRDefault="0022139A" w:rsidP="00802195">
            <w:pPr>
              <w:spacing w:before="0" w:beforeAutospacing="0" w:line="240" w:lineRule="auto"/>
              <w:jc w:val="center"/>
              <w:rPr>
                <w:rFonts w:cstheme="majorBidi"/>
                <w:kern w:val="2"/>
                <w:sz w:val="22"/>
              </w:rPr>
            </w:pPr>
          </w:p>
        </w:tc>
        <w:tc>
          <w:tcPr>
            <w:tcW w:w="851" w:type="dxa"/>
          </w:tcPr>
          <w:p w14:paraId="5D4B2A42"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12.576</w:t>
            </w:r>
          </w:p>
        </w:tc>
        <w:tc>
          <w:tcPr>
            <w:tcW w:w="713" w:type="dxa"/>
          </w:tcPr>
          <w:p w14:paraId="27A1013E"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0.000</w:t>
            </w:r>
          </w:p>
        </w:tc>
      </w:tr>
      <w:tr w:rsidR="0022139A" w:rsidRPr="00E2052F" w14:paraId="7510C5AA" w14:textId="77777777" w:rsidTr="007530A6">
        <w:trPr>
          <w:cantSplit/>
          <w:jc w:val="center"/>
        </w:trPr>
        <w:tc>
          <w:tcPr>
            <w:tcW w:w="696" w:type="dxa"/>
            <w:vMerge/>
            <w:shd w:val="clear" w:color="auto" w:fill="D9E2F3" w:themeFill="accent1" w:themeFillTint="33"/>
          </w:tcPr>
          <w:p w14:paraId="714390E4" w14:textId="77777777" w:rsidR="0022139A" w:rsidRPr="00E2052F" w:rsidRDefault="0022139A" w:rsidP="00802195">
            <w:pPr>
              <w:spacing w:before="0" w:beforeAutospacing="0" w:line="240" w:lineRule="auto"/>
              <w:jc w:val="center"/>
              <w:rPr>
                <w:rFonts w:cstheme="majorBidi"/>
                <w:b/>
                <w:bCs/>
                <w:kern w:val="2"/>
                <w:sz w:val="22"/>
              </w:rPr>
            </w:pPr>
          </w:p>
        </w:tc>
        <w:tc>
          <w:tcPr>
            <w:tcW w:w="1567" w:type="dxa"/>
            <w:shd w:val="clear" w:color="auto" w:fill="D9E2F3" w:themeFill="accent1" w:themeFillTint="33"/>
          </w:tcPr>
          <w:p w14:paraId="481A7689" w14:textId="77777777" w:rsidR="0022139A" w:rsidRPr="00E2052F" w:rsidRDefault="0022139A" w:rsidP="00802195">
            <w:pPr>
              <w:spacing w:before="0" w:beforeAutospacing="0" w:line="240" w:lineRule="auto"/>
              <w:ind w:firstLine="0"/>
              <w:jc w:val="center"/>
              <w:rPr>
                <w:rFonts w:cstheme="majorBidi"/>
                <w:b/>
                <w:bCs/>
                <w:kern w:val="2"/>
                <w:sz w:val="22"/>
              </w:rPr>
            </w:pPr>
            <w:bookmarkStart w:id="1794" w:name="_Hlk228708701"/>
            <w:r w:rsidRPr="00E2052F">
              <w:rPr>
                <w:rFonts w:cstheme="majorBidi"/>
                <w:b/>
                <w:bCs/>
                <w:kern w:val="2"/>
                <w:sz w:val="22"/>
              </w:rPr>
              <w:t>La préservation des droits des actionnaires</w:t>
            </w:r>
            <w:bookmarkEnd w:id="1794"/>
          </w:p>
        </w:tc>
        <w:tc>
          <w:tcPr>
            <w:tcW w:w="851" w:type="dxa"/>
          </w:tcPr>
          <w:p w14:paraId="3A423B6A"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0.312</w:t>
            </w:r>
          </w:p>
        </w:tc>
        <w:tc>
          <w:tcPr>
            <w:tcW w:w="1984" w:type="dxa"/>
          </w:tcPr>
          <w:p w14:paraId="19EE1C97"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0.051</w:t>
            </w:r>
          </w:p>
        </w:tc>
        <w:tc>
          <w:tcPr>
            <w:tcW w:w="2410" w:type="dxa"/>
          </w:tcPr>
          <w:p w14:paraId="5ECB807B"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0.333</w:t>
            </w:r>
          </w:p>
        </w:tc>
        <w:tc>
          <w:tcPr>
            <w:tcW w:w="851" w:type="dxa"/>
          </w:tcPr>
          <w:p w14:paraId="400CCE4B"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6.100</w:t>
            </w:r>
          </w:p>
        </w:tc>
        <w:tc>
          <w:tcPr>
            <w:tcW w:w="713" w:type="dxa"/>
          </w:tcPr>
          <w:p w14:paraId="4652E465" w14:textId="77777777" w:rsidR="0022139A" w:rsidRPr="00E2052F" w:rsidRDefault="0022139A" w:rsidP="00802195">
            <w:pPr>
              <w:spacing w:before="0" w:beforeAutospacing="0" w:line="240" w:lineRule="auto"/>
              <w:ind w:firstLine="0"/>
              <w:jc w:val="center"/>
              <w:rPr>
                <w:rFonts w:cstheme="majorBidi"/>
                <w:kern w:val="2"/>
                <w:sz w:val="22"/>
              </w:rPr>
            </w:pPr>
            <w:r w:rsidRPr="00E2052F">
              <w:rPr>
                <w:rFonts w:cstheme="majorBidi"/>
                <w:kern w:val="2"/>
                <w:sz w:val="22"/>
              </w:rPr>
              <w:t>0.000</w:t>
            </w:r>
          </w:p>
        </w:tc>
      </w:tr>
      <w:tr w:rsidR="0022139A" w:rsidRPr="00E2052F" w14:paraId="7192B595" w14:textId="77777777" w:rsidTr="00802195">
        <w:trPr>
          <w:cantSplit/>
          <w:jc w:val="center"/>
        </w:trPr>
        <w:tc>
          <w:tcPr>
            <w:tcW w:w="9072" w:type="dxa"/>
            <w:gridSpan w:val="7"/>
            <w:shd w:val="clear" w:color="auto" w:fill="FFFFFF"/>
          </w:tcPr>
          <w:p w14:paraId="1F7BF5D5" w14:textId="77777777" w:rsidR="0022139A" w:rsidRPr="00E2052F" w:rsidRDefault="0022139A" w:rsidP="007530A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244D00BA" w14:textId="77777777" w:rsidR="0022139A" w:rsidRPr="00E2052F" w:rsidRDefault="0022139A" w:rsidP="00802195">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3921B31E" w14:textId="77777777" w:rsidR="0022139A" w:rsidRPr="00E2052F" w:rsidRDefault="007530A6" w:rsidP="00D23BF3">
      <w:pPr>
        <w:spacing w:before="0" w:beforeAutospacing="0"/>
        <w:rPr>
          <w:rFonts w:cstheme="majorBidi"/>
          <w:sz w:val="22"/>
        </w:rPr>
      </w:pPr>
      <w:r w:rsidRPr="00E2052F">
        <w:rPr>
          <w:rFonts w:cstheme="majorBidi"/>
          <w:noProof/>
          <w:sz w:val="22"/>
          <w:lang w:eastAsia="fr-FR"/>
        </w:rPr>
        <mc:AlternateContent>
          <mc:Choice Requires="wps">
            <w:drawing>
              <wp:anchor distT="0" distB="0" distL="114300" distR="114300" simplePos="0" relativeHeight="252088320" behindDoc="0" locked="0" layoutInCell="1" allowOverlap="1" wp14:anchorId="5FFA632A" wp14:editId="23BB295C">
                <wp:simplePos x="0" y="0"/>
                <wp:positionH relativeFrom="margin">
                  <wp:posOffset>2082581</wp:posOffset>
                </wp:positionH>
                <wp:positionV relativeFrom="paragraph">
                  <wp:posOffset>467338</wp:posOffset>
                </wp:positionV>
                <wp:extent cx="1629410" cy="301625"/>
                <wp:effectExtent l="0" t="0" r="27940" b="22225"/>
                <wp:wrapNone/>
                <wp:docPr id="229" name="Rectangle à coins arrondis 229"/>
                <wp:cNvGraphicFramePr/>
                <a:graphic xmlns:a="http://schemas.openxmlformats.org/drawingml/2006/main">
                  <a:graphicData uri="http://schemas.microsoft.com/office/word/2010/wordprocessingShape">
                    <wps:wsp>
                      <wps:cNvSpPr/>
                      <wps:spPr>
                        <a:xfrm>
                          <a:off x="0" y="0"/>
                          <a:ext cx="1629410" cy="301625"/>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152BAE" id="Rectangle à coins arrondis 229" o:spid="_x0000_s1026" style="position:absolute;margin-left:164pt;margin-top:36.8pt;width:128.3pt;height:23.75pt;z-index:25208832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" filled="f" strokecolor="#8eaadb [1940]" strokeweight="1pt">
                <v:stroke joinstyle="miter"/>
                <w10:wrap anchorx="margin"/>
              </v:roundrect>
            </w:pict>
          </mc:Fallback>
        </mc:AlternateContent>
      </w:r>
      <w:r w:rsidR="0022139A" w:rsidRPr="00E2052F">
        <w:rPr>
          <w:rFonts w:cstheme="majorBidi"/>
          <w:sz w:val="22"/>
        </w:rPr>
        <w:t xml:space="preserve">D’après les résultats du tableau précédent, nous constatons que le modèle qui exprime la relation la préservation des droits des actionnaires et la RSE </w:t>
      </w:r>
      <w:r w:rsidR="00A54331" w:rsidRPr="00E2052F">
        <w:rPr>
          <w:rFonts w:cstheme="majorBidi"/>
          <w:sz w:val="22"/>
        </w:rPr>
        <w:t>au sein de Tayal SPA est un modèle linéaire.</w:t>
      </w:r>
    </w:p>
    <w:bookmarkEnd w:id="1793"/>
    <w:p w14:paraId="5CE14DAE" w14:textId="77777777" w:rsidR="00657716" w:rsidRPr="00E2052F" w:rsidRDefault="00657716" w:rsidP="00D23BF3">
      <w:pPr>
        <w:spacing w:before="0" w:beforeAutospacing="0"/>
        <w:ind w:firstLine="0"/>
        <w:jc w:val="center"/>
        <w:rPr>
          <w:rFonts w:cstheme="majorBidi"/>
          <w:b/>
          <w:bCs/>
          <w:sz w:val="22"/>
        </w:rPr>
      </w:pPr>
      <w:r w:rsidRPr="00E2052F">
        <w:rPr>
          <w:rFonts w:cstheme="majorBidi"/>
          <w:b/>
          <w:bCs/>
          <w:sz w:val="22"/>
        </w:rPr>
        <w:t>Y = 0,312 X2+ 2,700</w:t>
      </w:r>
    </w:p>
    <w:p w14:paraId="4A6DE680" w14:textId="77777777" w:rsidR="00657716" w:rsidRPr="00E2052F" w:rsidRDefault="00657716" w:rsidP="00D23BF3">
      <w:pPr>
        <w:spacing w:before="0" w:beforeAutospacing="0"/>
        <w:rPr>
          <w:rFonts w:cstheme="majorBidi"/>
          <w:sz w:val="22"/>
        </w:rPr>
      </w:pPr>
      <w:r w:rsidRPr="00E2052F">
        <w:rPr>
          <w:rFonts w:cstheme="majorBidi"/>
          <w:sz w:val="22"/>
        </w:rPr>
        <w:t>Le nombre 0,312 signifie que chaque augmentation d'un point de la préservation des droits des actionnaires entraîne une augmentation de 0,312 point de la RSE.</w:t>
      </w:r>
    </w:p>
    <w:p w14:paraId="7530919E" w14:textId="77777777" w:rsidR="00657716" w:rsidRPr="00E2052F" w:rsidRDefault="00657716" w:rsidP="00D23BF3">
      <w:pPr>
        <w:spacing w:before="0" w:beforeAutospacing="0"/>
        <w:rPr>
          <w:rFonts w:cstheme="majorBidi"/>
          <w:sz w:val="22"/>
        </w:rPr>
      </w:pPr>
      <w:r w:rsidRPr="00E2052F">
        <w:rPr>
          <w:rFonts w:cstheme="majorBidi"/>
          <w:sz w:val="22"/>
        </w:rPr>
        <w:t>La constante (2,700) représente la valeur estimée de la RSE en l'absence de la préservation des droits des actionnaires.</w:t>
      </w:r>
    </w:p>
    <w:p w14:paraId="634F416C" w14:textId="77777777" w:rsidR="00657716" w:rsidRPr="00E2052F" w:rsidRDefault="00657716" w:rsidP="00D23BF3">
      <w:pPr>
        <w:spacing w:before="0" w:beforeAutospacing="0"/>
        <w:rPr>
          <w:rFonts w:cstheme="majorBidi"/>
          <w:sz w:val="22"/>
        </w:rPr>
      </w:pPr>
      <w:r w:rsidRPr="00E2052F">
        <w:rPr>
          <w:rFonts w:cstheme="majorBidi"/>
          <w:sz w:val="22"/>
        </w:rPr>
        <w:t>Le coefficient standardisé (Bêta = 0,333) confirme un impact positif mais faible.</w:t>
      </w:r>
    </w:p>
    <w:p w14:paraId="728DC325" w14:textId="77777777" w:rsidR="00657716" w:rsidRPr="00E2052F" w:rsidRDefault="00657716" w:rsidP="00D23BF3">
      <w:pPr>
        <w:spacing w:before="0" w:beforeAutospacing="0"/>
        <w:rPr>
          <w:rFonts w:cstheme="majorBidi"/>
          <w:sz w:val="22"/>
        </w:rPr>
      </w:pPr>
      <w:r w:rsidRPr="00E2052F">
        <w:rPr>
          <w:rFonts w:cstheme="majorBidi"/>
          <w:sz w:val="22"/>
        </w:rPr>
        <w:t>La valeur t = 6,100 avec Sig. = 0,000 indique que ce coefficient est statistiquement significatif.</w:t>
      </w:r>
    </w:p>
    <w:p w14:paraId="43844665" w14:textId="77777777" w:rsidR="0022139A" w:rsidRPr="00E2052F" w:rsidRDefault="00657716" w:rsidP="00D61875">
      <w:pPr>
        <w:pStyle w:val="Titre4"/>
        <w:numPr>
          <w:ilvl w:val="0"/>
          <w:numId w:val="37"/>
        </w:numPr>
        <w:spacing w:before="0" w:beforeAutospacing="0" w:after="160"/>
        <w:ind w:left="1287" w:hanging="720"/>
        <w:rPr>
          <w:rFonts w:asciiTheme="majorBidi" w:hAnsiTheme="majorBidi"/>
          <w:i w:val="0"/>
          <w:iCs w:val="0"/>
          <w:color w:val="auto"/>
          <w:sz w:val="22"/>
        </w:rPr>
      </w:pPr>
      <w:bookmarkStart w:id="1795" w:name="_Toc229156024"/>
      <w:bookmarkStart w:id="1796" w:name="_Toc231747022"/>
      <w:bookmarkStart w:id="1797" w:name="_Toc231752428"/>
      <w:bookmarkStart w:id="1798" w:name="_Toc231810731"/>
      <w:bookmarkStart w:id="1799" w:name="_Toc231812074"/>
      <w:bookmarkStart w:id="1800" w:name="_Toc231812352"/>
      <w:bookmarkStart w:id="1801" w:name="_Toc231815236"/>
      <w:r w:rsidRPr="00E2052F">
        <w:rPr>
          <w:rFonts w:asciiTheme="majorBidi" w:hAnsiTheme="majorBidi"/>
          <w:i w:val="0"/>
          <w:iCs w:val="0"/>
          <w:color w:val="auto"/>
          <w:sz w:val="22"/>
        </w:rPr>
        <w:lastRenderedPageBreak/>
        <w:t>La Troisième sous hypothèse :</w:t>
      </w:r>
      <w:bookmarkEnd w:id="1795"/>
      <w:bookmarkEnd w:id="1796"/>
      <w:bookmarkEnd w:id="1797"/>
      <w:bookmarkEnd w:id="1798"/>
      <w:bookmarkEnd w:id="1799"/>
      <w:bookmarkEnd w:id="1800"/>
      <w:bookmarkEnd w:id="1801"/>
    </w:p>
    <w:p w14:paraId="448D7685" w14:textId="77777777" w:rsidR="001A4874" w:rsidRPr="00E2052F" w:rsidRDefault="001A4874" w:rsidP="00D23BF3">
      <w:pPr>
        <w:spacing w:before="0" w:beforeAutospacing="0"/>
        <w:rPr>
          <w:rFonts w:cstheme="majorBidi"/>
          <w:sz w:val="22"/>
        </w:rPr>
      </w:pPr>
      <w:r w:rsidRPr="00E2052F">
        <w:rPr>
          <w:rFonts w:cstheme="majorBidi"/>
          <w:b/>
          <w:bCs/>
          <w:sz w:val="22"/>
        </w:rPr>
        <w:t>H1c :</w:t>
      </w:r>
      <w:r w:rsidRPr="00E2052F">
        <w:rPr>
          <w:rFonts w:cstheme="majorBidi"/>
          <w:sz w:val="22"/>
        </w:rPr>
        <w:t xml:space="preserve"> Il existe une relation positive significative entre le traitement équitable des actionnaires et la responsabilité sociale des entreprises au sein de Tayal SPA.</w:t>
      </w:r>
    </w:p>
    <w:p w14:paraId="0208A064" w14:textId="77777777" w:rsidR="001A4874" w:rsidRPr="00E2052F" w:rsidRDefault="001A4874" w:rsidP="00D61875">
      <w:pPr>
        <w:pStyle w:val="Paragraphedeliste"/>
        <w:numPr>
          <w:ilvl w:val="0"/>
          <w:numId w:val="22"/>
        </w:numPr>
        <w:spacing w:before="0" w:beforeAutospacing="0"/>
        <w:ind w:left="1208" w:hanging="357"/>
        <w:rPr>
          <w:rFonts w:cstheme="majorBidi"/>
          <w:b/>
          <w:bCs/>
          <w:sz w:val="22"/>
        </w:rPr>
      </w:pPr>
      <w:r w:rsidRPr="00E2052F">
        <w:rPr>
          <w:rFonts w:cstheme="majorBidi"/>
          <w:b/>
          <w:bCs/>
          <w:sz w:val="22"/>
        </w:rPr>
        <w:t>Coefficient de corrélation (R carré) (R-square) :</w:t>
      </w:r>
    </w:p>
    <w:p w14:paraId="1FFDC82A" w14:textId="77777777" w:rsidR="001A4874" w:rsidRPr="00E2052F" w:rsidRDefault="00193ABF" w:rsidP="00D23BF3">
      <w:pPr>
        <w:spacing w:before="0" w:beforeAutospacing="0"/>
        <w:rPr>
          <w:rFonts w:cstheme="majorBidi"/>
          <w:sz w:val="22"/>
        </w:rPr>
      </w:pPr>
      <w:r w:rsidRPr="00E2052F">
        <w:rPr>
          <w:rFonts w:cstheme="majorBidi"/>
          <w:b/>
          <w:bCs/>
          <w:sz w:val="22"/>
          <w:u w:val="single"/>
        </w:rPr>
        <w:t>Tableau 39</w:t>
      </w:r>
      <w:r w:rsidR="00695A21" w:rsidRPr="00E2052F">
        <w:rPr>
          <w:rFonts w:cstheme="majorBidi"/>
          <w:b/>
          <w:bCs/>
          <w:sz w:val="22"/>
          <w:u w:val="single"/>
        </w:rPr>
        <w:t> :</w:t>
      </w:r>
      <w:r w:rsidR="00695A21" w:rsidRPr="00E2052F">
        <w:rPr>
          <w:rFonts w:cstheme="majorBidi"/>
          <w:sz w:val="22"/>
        </w:rPr>
        <w:t xml:space="preserve"> </w:t>
      </w:r>
      <w:r w:rsidR="001A4874" w:rsidRPr="00E2052F">
        <w:rPr>
          <w:rFonts w:cstheme="majorBidi"/>
          <w:b/>
          <w:bCs/>
          <w:sz w:val="22"/>
        </w:rPr>
        <w:t>Coefficients de corrélation.</w:t>
      </w:r>
    </w:p>
    <w:tbl>
      <w:tblPr>
        <w:tblW w:w="8891" w:type="dxa"/>
        <w:jc w:val="center"/>
        <w:tblLayout w:type="fixed"/>
        <w:tblCellMar>
          <w:left w:w="0" w:type="dxa"/>
          <w:right w:w="0" w:type="dxa"/>
        </w:tblCellMar>
        <w:tblLook w:val="0000" w:firstRow="0" w:lastRow="0" w:firstColumn="0" w:lastColumn="0" w:noHBand="0" w:noVBand="0"/>
      </w:tblPr>
      <w:tblGrid>
        <w:gridCol w:w="1363"/>
        <w:gridCol w:w="1551"/>
        <w:gridCol w:w="1192"/>
        <w:gridCol w:w="1701"/>
        <w:gridCol w:w="3084"/>
      </w:tblGrid>
      <w:tr w:rsidR="001A4874" w:rsidRPr="00E2052F" w14:paraId="795DD3C7" w14:textId="77777777" w:rsidTr="007530A6">
        <w:trPr>
          <w:cantSplit/>
          <w:trHeight w:val="696"/>
          <w:jc w:val="center"/>
        </w:trPr>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5F4B0B3"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5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72BB1C5"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1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24FBE3D"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284204C0"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7BD0462"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1A4874" w:rsidRPr="00E2052F" w14:paraId="57D1F124" w14:textId="77777777" w:rsidTr="007530A6">
        <w:trPr>
          <w:cantSplit/>
          <w:trHeight w:val="441"/>
          <w:jc w:val="center"/>
        </w:trPr>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9271A1"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51" w:type="dxa"/>
            <w:tcBorders>
              <w:top w:val="single" w:sz="4" w:space="0" w:color="auto"/>
              <w:left w:val="single" w:sz="4" w:space="0" w:color="auto"/>
              <w:bottom w:val="single" w:sz="4" w:space="0" w:color="auto"/>
              <w:right w:val="single" w:sz="4" w:space="0" w:color="auto"/>
            </w:tcBorders>
          </w:tcPr>
          <w:p w14:paraId="501DFC89"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0.407</w:t>
            </w:r>
            <w:r w:rsidRPr="00E2052F">
              <w:rPr>
                <w:rFonts w:cstheme="majorBidi"/>
                <w:kern w:val="2"/>
                <w:sz w:val="22"/>
                <w:vertAlign w:val="superscript"/>
              </w:rPr>
              <w:t>a</w:t>
            </w:r>
          </w:p>
        </w:tc>
        <w:tc>
          <w:tcPr>
            <w:tcW w:w="1192" w:type="dxa"/>
            <w:tcBorders>
              <w:top w:val="single" w:sz="4" w:space="0" w:color="auto"/>
              <w:left w:val="single" w:sz="4" w:space="0" w:color="auto"/>
              <w:bottom w:val="single" w:sz="4" w:space="0" w:color="auto"/>
              <w:right w:val="single" w:sz="4" w:space="0" w:color="auto"/>
            </w:tcBorders>
          </w:tcPr>
          <w:p w14:paraId="296E05D0"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0.166</w:t>
            </w:r>
          </w:p>
        </w:tc>
        <w:tc>
          <w:tcPr>
            <w:tcW w:w="1701" w:type="dxa"/>
            <w:tcBorders>
              <w:top w:val="single" w:sz="4" w:space="0" w:color="auto"/>
              <w:left w:val="single" w:sz="4" w:space="0" w:color="auto"/>
              <w:bottom w:val="single" w:sz="4" w:space="0" w:color="auto"/>
              <w:right w:val="single" w:sz="4" w:space="0" w:color="auto"/>
            </w:tcBorders>
          </w:tcPr>
          <w:p w14:paraId="7CE1C191"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0.163</w:t>
            </w:r>
          </w:p>
        </w:tc>
        <w:tc>
          <w:tcPr>
            <w:tcW w:w="3084" w:type="dxa"/>
            <w:tcBorders>
              <w:top w:val="single" w:sz="4" w:space="0" w:color="auto"/>
              <w:left w:val="single" w:sz="4" w:space="0" w:color="auto"/>
              <w:bottom w:val="single" w:sz="4" w:space="0" w:color="auto"/>
              <w:right w:val="single" w:sz="4" w:space="0" w:color="auto"/>
            </w:tcBorders>
          </w:tcPr>
          <w:p w14:paraId="7BCBE30A"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0.569</w:t>
            </w:r>
          </w:p>
        </w:tc>
      </w:tr>
      <w:tr w:rsidR="001A4874" w:rsidRPr="00E2052F" w14:paraId="67B0C913" w14:textId="77777777" w:rsidTr="001A4874">
        <w:trPr>
          <w:cantSplit/>
          <w:trHeight w:val="405"/>
          <w:jc w:val="center"/>
        </w:trPr>
        <w:tc>
          <w:tcPr>
            <w:tcW w:w="8891" w:type="dxa"/>
            <w:gridSpan w:val="5"/>
            <w:tcBorders>
              <w:top w:val="single" w:sz="4" w:space="0" w:color="auto"/>
              <w:left w:val="single" w:sz="4" w:space="0" w:color="auto"/>
              <w:bottom w:val="single" w:sz="4" w:space="0" w:color="auto"/>
              <w:right w:val="single" w:sz="4" w:space="0" w:color="auto"/>
            </w:tcBorders>
            <w:shd w:val="clear" w:color="auto" w:fill="FFFFFF"/>
          </w:tcPr>
          <w:p w14:paraId="2C1CCB52" w14:textId="77777777" w:rsidR="001A4874" w:rsidRPr="00E2052F" w:rsidRDefault="001A4874" w:rsidP="00582E7B">
            <w:pPr>
              <w:spacing w:before="0" w:beforeAutospacing="0" w:line="240" w:lineRule="auto"/>
              <w:rPr>
                <w:rFonts w:cstheme="majorBidi"/>
                <w:b/>
                <w:bCs/>
                <w:kern w:val="2"/>
                <w:sz w:val="22"/>
              </w:rPr>
            </w:pPr>
            <w:r w:rsidRPr="00E2052F">
              <w:rPr>
                <w:rFonts w:cstheme="majorBidi"/>
                <w:b/>
                <w:bCs/>
                <w:kern w:val="2"/>
                <w:sz w:val="22"/>
              </w:rPr>
              <w:t>a. Prédicteurs : (Constante), Le traitement équitable des actionnaires</w:t>
            </w:r>
          </w:p>
        </w:tc>
      </w:tr>
    </w:tbl>
    <w:p w14:paraId="041ED844" w14:textId="77777777" w:rsidR="001A4874" w:rsidRPr="00E2052F" w:rsidRDefault="001A4874" w:rsidP="00582E7B">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2E5B4D92" w14:textId="77777777" w:rsidR="001A4874" w:rsidRPr="00E2052F" w:rsidRDefault="001A4874" w:rsidP="00D23BF3">
      <w:pPr>
        <w:spacing w:before="0" w:beforeAutospacing="0"/>
        <w:rPr>
          <w:rFonts w:cstheme="majorBidi"/>
          <w:sz w:val="22"/>
        </w:rPr>
      </w:pPr>
      <w:r w:rsidRPr="00E2052F">
        <w:rPr>
          <w:rFonts w:cstheme="majorBidi"/>
          <w:sz w:val="22"/>
        </w:rPr>
        <w:t>Le tableau ci-dessus montre le coefficient de corrélation entre les variables, qui a été estimé à 0,407. Cela signifie que la corrélation est positive et modérée, ce qui indique une relation significative entre le traitement équitable des actionnaires et la RSE</w:t>
      </w:r>
      <w:r w:rsidR="004400DF" w:rsidRPr="00E2052F">
        <w:rPr>
          <w:rFonts w:cstheme="majorBidi"/>
          <w:sz w:val="22"/>
        </w:rPr>
        <w:t xml:space="preserve"> au sein de Tayal SPA.</w:t>
      </w:r>
    </w:p>
    <w:p w14:paraId="7FBB9B99" w14:textId="77777777" w:rsidR="001A4874" w:rsidRPr="00E2052F" w:rsidRDefault="001A4874" w:rsidP="00D23BF3">
      <w:pPr>
        <w:spacing w:before="0" w:beforeAutospacing="0"/>
        <w:rPr>
          <w:rFonts w:cstheme="majorBidi"/>
          <w:sz w:val="22"/>
        </w:rPr>
      </w:pPr>
      <w:r w:rsidRPr="00E2052F">
        <w:rPr>
          <w:rFonts w:cstheme="majorBidi"/>
          <w:sz w:val="22"/>
        </w:rPr>
        <w:t>Le coefficient de détermination (R² = 0,166) montre que 16,6 % de la variance de la RSE est expliquée par le traitement équitable des actionnaires.</w:t>
      </w:r>
    </w:p>
    <w:p w14:paraId="5B4D3A4F" w14:textId="77777777" w:rsidR="001A4874" w:rsidRPr="00E2052F" w:rsidRDefault="001A4874" w:rsidP="00D61875">
      <w:pPr>
        <w:pStyle w:val="Paragraphedeliste"/>
        <w:numPr>
          <w:ilvl w:val="0"/>
          <w:numId w:val="22"/>
        </w:numPr>
        <w:spacing w:before="0" w:beforeAutospacing="0"/>
        <w:ind w:left="1208" w:hanging="357"/>
        <w:rPr>
          <w:rFonts w:cstheme="majorBidi"/>
          <w:b/>
          <w:bCs/>
          <w:sz w:val="22"/>
        </w:rPr>
      </w:pPr>
      <w:r w:rsidRPr="00E2052F">
        <w:rPr>
          <w:rFonts w:cstheme="majorBidi"/>
          <w:b/>
          <w:bCs/>
          <w:sz w:val="22"/>
        </w:rPr>
        <w:t>Analyse de la variance ANOVA :</w:t>
      </w:r>
    </w:p>
    <w:p w14:paraId="3CC2E11C" w14:textId="77777777" w:rsidR="001A4874" w:rsidRPr="00E2052F" w:rsidRDefault="00193ABF" w:rsidP="00D23BF3">
      <w:pPr>
        <w:spacing w:before="0" w:beforeAutospacing="0"/>
        <w:rPr>
          <w:rFonts w:cstheme="majorBidi"/>
          <w:sz w:val="22"/>
        </w:rPr>
      </w:pPr>
      <w:r w:rsidRPr="00E2052F">
        <w:rPr>
          <w:rFonts w:cstheme="majorBidi"/>
          <w:b/>
          <w:bCs/>
          <w:sz w:val="22"/>
          <w:u w:val="single"/>
        </w:rPr>
        <w:t>Tableau 40</w:t>
      </w:r>
      <w:r w:rsidR="00695A21" w:rsidRPr="00E2052F">
        <w:rPr>
          <w:rFonts w:cstheme="majorBidi"/>
          <w:b/>
          <w:bCs/>
          <w:sz w:val="22"/>
          <w:u w:val="single"/>
        </w:rPr>
        <w:t> :</w:t>
      </w:r>
      <w:r w:rsidR="001A4874" w:rsidRPr="00E2052F">
        <w:rPr>
          <w:rFonts w:cstheme="majorBidi"/>
          <w:sz w:val="22"/>
        </w:rPr>
        <w:t xml:space="preserve"> </w:t>
      </w:r>
      <w:r w:rsidR="001A4874" w:rsidRPr="00E2052F">
        <w:rPr>
          <w:rFonts w:cstheme="majorBidi"/>
          <w:b/>
          <w:bCs/>
          <w:sz w:val="22"/>
        </w:rPr>
        <w:t>La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
        <w:gridCol w:w="1468"/>
        <w:gridCol w:w="1770"/>
        <w:gridCol w:w="1079"/>
        <w:gridCol w:w="1573"/>
        <w:gridCol w:w="1171"/>
        <w:gridCol w:w="1174"/>
      </w:tblGrid>
      <w:tr w:rsidR="001A4874" w:rsidRPr="00E2052F" w14:paraId="6B8DF09D" w14:textId="77777777" w:rsidTr="007530A6">
        <w:trPr>
          <w:cantSplit/>
          <w:trHeight w:val="301"/>
          <w:jc w:val="center"/>
        </w:trPr>
        <w:tc>
          <w:tcPr>
            <w:tcW w:w="9141" w:type="dxa"/>
            <w:gridSpan w:val="7"/>
            <w:shd w:val="clear" w:color="auto" w:fill="B4C6E7" w:themeFill="accent1" w:themeFillTint="66"/>
            <w:vAlign w:val="center"/>
          </w:tcPr>
          <w:p w14:paraId="1B42C50B"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1A4874" w:rsidRPr="00E2052F" w14:paraId="2075241A" w14:textId="77777777" w:rsidTr="007530A6">
        <w:trPr>
          <w:cantSplit/>
          <w:trHeight w:val="614"/>
          <w:jc w:val="center"/>
        </w:trPr>
        <w:tc>
          <w:tcPr>
            <w:tcW w:w="2322" w:type="dxa"/>
            <w:gridSpan w:val="2"/>
            <w:shd w:val="clear" w:color="auto" w:fill="D9E2F3" w:themeFill="accent1" w:themeFillTint="33"/>
            <w:vAlign w:val="bottom"/>
          </w:tcPr>
          <w:p w14:paraId="3F54AB06"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784" w:type="dxa"/>
            <w:shd w:val="clear" w:color="auto" w:fill="D9E2F3" w:themeFill="accent1" w:themeFillTint="33"/>
            <w:vAlign w:val="bottom"/>
          </w:tcPr>
          <w:p w14:paraId="2E31E5EA"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1087" w:type="dxa"/>
            <w:shd w:val="clear" w:color="auto" w:fill="D9E2F3" w:themeFill="accent1" w:themeFillTint="33"/>
            <w:vAlign w:val="bottom"/>
          </w:tcPr>
          <w:p w14:paraId="4B4E0897" w14:textId="77777777" w:rsidR="001A4874" w:rsidRPr="00E2052F" w:rsidRDefault="00172C7A" w:rsidP="00582E7B">
            <w:pPr>
              <w:spacing w:before="0" w:beforeAutospacing="0" w:line="240" w:lineRule="auto"/>
              <w:ind w:firstLine="0"/>
              <w:jc w:val="center"/>
              <w:rPr>
                <w:rFonts w:cstheme="majorBidi"/>
                <w:b/>
                <w:bCs/>
                <w:kern w:val="2"/>
                <w:sz w:val="22"/>
              </w:rPr>
            </w:pPr>
            <w:r w:rsidRPr="00E2052F">
              <w:rPr>
                <w:rFonts w:cstheme="majorBidi"/>
                <w:b/>
                <w:bCs/>
                <w:kern w:val="2"/>
                <w:sz w:val="22"/>
              </w:rPr>
              <w:t>D</w:t>
            </w:r>
            <w:r w:rsidR="001A4874" w:rsidRPr="00E2052F">
              <w:rPr>
                <w:rFonts w:cstheme="majorBidi"/>
                <w:b/>
                <w:bCs/>
                <w:kern w:val="2"/>
                <w:sz w:val="22"/>
              </w:rPr>
              <w:t>dl</w:t>
            </w:r>
          </w:p>
        </w:tc>
        <w:tc>
          <w:tcPr>
            <w:tcW w:w="1585" w:type="dxa"/>
            <w:shd w:val="clear" w:color="auto" w:fill="D9E2F3" w:themeFill="accent1" w:themeFillTint="33"/>
            <w:vAlign w:val="bottom"/>
          </w:tcPr>
          <w:p w14:paraId="0BAC66BE"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80" w:type="dxa"/>
            <w:shd w:val="clear" w:color="auto" w:fill="D9E2F3" w:themeFill="accent1" w:themeFillTint="33"/>
            <w:vAlign w:val="bottom"/>
          </w:tcPr>
          <w:p w14:paraId="6FEE515A"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83" w:type="dxa"/>
            <w:shd w:val="clear" w:color="auto" w:fill="D9E2F3" w:themeFill="accent1" w:themeFillTint="33"/>
            <w:vAlign w:val="bottom"/>
          </w:tcPr>
          <w:p w14:paraId="24B3CABB"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132ABE" w:rsidRPr="00E2052F" w14:paraId="768205C2" w14:textId="77777777" w:rsidTr="007530A6">
        <w:trPr>
          <w:cantSplit/>
          <w:trHeight w:val="313"/>
          <w:jc w:val="center"/>
        </w:trPr>
        <w:tc>
          <w:tcPr>
            <w:tcW w:w="843" w:type="dxa"/>
            <w:vMerge w:val="restart"/>
            <w:shd w:val="clear" w:color="auto" w:fill="D9E2F3" w:themeFill="accent1" w:themeFillTint="33"/>
          </w:tcPr>
          <w:p w14:paraId="48F6CDD0" w14:textId="77777777" w:rsidR="00582E7B" w:rsidRPr="00E2052F" w:rsidRDefault="00582E7B" w:rsidP="00582E7B">
            <w:pPr>
              <w:spacing w:before="0" w:beforeAutospacing="0" w:line="240" w:lineRule="auto"/>
              <w:ind w:firstLine="0"/>
              <w:jc w:val="center"/>
              <w:rPr>
                <w:rFonts w:cstheme="majorBidi"/>
                <w:b/>
                <w:bCs/>
                <w:kern w:val="2"/>
                <w:sz w:val="22"/>
              </w:rPr>
            </w:pPr>
          </w:p>
          <w:p w14:paraId="3F4292A2"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79" w:type="dxa"/>
            <w:shd w:val="clear" w:color="auto" w:fill="D9E2F3" w:themeFill="accent1" w:themeFillTint="33"/>
          </w:tcPr>
          <w:p w14:paraId="7800242B"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784" w:type="dxa"/>
          </w:tcPr>
          <w:p w14:paraId="3878853A"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19.169</w:t>
            </w:r>
          </w:p>
        </w:tc>
        <w:tc>
          <w:tcPr>
            <w:tcW w:w="1087" w:type="dxa"/>
          </w:tcPr>
          <w:p w14:paraId="029BC270"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1</w:t>
            </w:r>
          </w:p>
        </w:tc>
        <w:tc>
          <w:tcPr>
            <w:tcW w:w="1585" w:type="dxa"/>
          </w:tcPr>
          <w:p w14:paraId="2C7EF74A"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19.169</w:t>
            </w:r>
          </w:p>
        </w:tc>
        <w:tc>
          <w:tcPr>
            <w:tcW w:w="1180" w:type="dxa"/>
          </w:tcPr>
          <w:p w14:paraId="1DE198FF"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59.165</w:t>
            </w:r>
          </w:p>
        </w:tc>
        <w:tc>
          <w:tcPr>
            <w:tcW w:w="1183" w:type="dxa"/>
          </w:tcPr>
          <w:p w14:paraId="72B72136"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132ABE" w:rsidRPr="00E2052F" w14:paraId="21B7D369" w14:textId="77777777" w:rsidTr="007530A6">
        <w:trPr>
          <w:cantSplit/>
          <w:trHeight w:val="313"/>
          <w:jc w:val="center"/>
        </w:trPr>
        <w:tc>
          <w:tcPr>
            <w:tcW w:w="843" w:type="dxa"/>
            <w:vMerge/>
            <w:shd w:val="clear" w:color="auto" w:fill="D9E2F3" w:themeFill="accent1" w:themeFillTint="33"/>
          </w:tcPr>
          <w:p w14:paraId="7523C81A" w14:textId="77777777" w:rsidR="001A4874" w:rsidRPr="00E2052F" w:rsidRDefault="001A4874" w:rsidP="00582E7B">
            <w:pPr>
              <w:spacing w:before="0" w:beforeAutospacing="0" w:line="240" w:lineRule="auto"/>
              <w:jc w:val="center"/>
              <w:rPr>
                <w:rFonts w:cstheme="majorBidi"/>
                <w:b/>
                <w:bCs/>
                <w:kern w:val="2"/>
                <w:sz w:val="22"/>
              </w:rPr>
            </w:pPr>
          </w:p>
        </w:tc>
        <w:tc>
          <w:tcPr>
            <w:tcW w:w="1479" w:type="dxa"/>
            <w:shd w:val="clear" w:color="auto" w:fill="D9E2F3" w:themeFill="accent1" w:themeFillTint="33"/>
          </w:tcPr>
          <w:p w14:paraId="78C08B8C"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784" w:type="dxa"/>
          </w:tcPr>
          <w:p w14:paraId="0DB66EAD"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96.552</w:t>
            </w:r>
          </w:p>
        </w:tc>
        <w:tc>
          <w:tcPr>
            <w:tcW w:w="1087" w:type="dxa"/>
          </w:tcPr>
          <w:p w14:paraId="2AC09D38"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298</w:t>
            </w:r>
          </w:p>
        </w:tc>
        <w:tc>
          <w:tcPr>
            <w:tcW w:w="1585" w:type="dxa"/>
          </w:tcPr>
          <w:p w14:paraId="3A5C33ED" w14:textId="77777777" w:rsidR="001A4874"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0</w:t>
            </w:r>
            <w:r w:rsidR="001A4874" w:rsidRPr="00E2052F">
              <w:rPr>
                <w:rFonts w:cstheme="majorBidi"/>
                <w:kern w:val="2"/>
                <w:sz w:val="22"/>
              </w:rPr>
              <w:t>.324</w:t>
            </w:r>
          </w:p>
        </w:tc>
        <w:tc>
          <w:tcPr>
            <w:tcW w:w="1180" w:type="dxa"/>
            <w:vAlign w:val="center"/>
          </w:tcPr>
          <w:p w14:paraId="7E40E8FB" w14:textId="77777777" w:rsidR="001A4874" w:rsidRPr="00E2052F" w:rsidRDefault="001A4874" w:rsidP="00582E7B">
            <w:pPr>
              <w:spacing w:before="0" w:beforeAutospacing="0" w:line="240" w:lineRule="auto"/>
              <w:jc w:val="center"/>
              <w:rPr>
                <w:rFonts w:cstheme="majorBidi"/>
                <w:kern w:val="2"/>
                <w:sz w:val="22"/>
              </w:rPr>
            </w:pPr>
          </w:p>
        </w:tc>
        <w:tc>
          <w:tcPr>
            <w:tcW w:w="1183" w:type="dxa"/>
            <w:vAlign w:val="center"/>
          </w:tcPr>
          <w:p w14:paraId="1B36D5E1" w14:textId="77777777" w:rsidR="001A4874" w:rsidRPr="00E2052F" w:rsidRDefault="001A4874" w:rsidP="00582E7B">
            <w:pPr>
              <w:spacing w:before="0" w:beforeAutospacing="0" w:line="240" w:lineRule="auto"/>
              <w:jc w:val="center"/>
              <w:rPr>
                <w:rFonts w:cstheme="majorBidi"/>
                <w:kern w:val="2"/>
                <w:sz w:val="22"/>
              </w:rPr>
            </w:pPr>
          </w:p>
        </w:tc>
      </w:tr>
      <w:tr w:rsidR="00132ABE" w:rsidRPr="00E2052F" w14:paraId="01E8A77B" w14:textId="77777777" w:rsidTr="007530A6">
        <w:trPr>
          <w:cantSplit/>
          <w:trHeight w:val="313"/>
          <w:jc w:val="center"/>
        </w:trPr>
        <w:tc>
          <w:tcPr>
            <w:tcW w:w="843" w:type="dxa"/>
            <w:vMerge/>
            <w:shd w:val="clear" w:color="auto" w:fill="D9E2F3" w:themeFill="accent1" w:themeFillTint="33"/>
          </w:tcPr>
          <w:p w14:paraId="24361F3D" w14:textId="77777777" w:rsidR="001A4874" w:rsidRPr="00E2052F" w:rsidRDefault="001A4874" w:rsidP="00582E7B">
            <w:pPr>
              <w:spacing w:before="0" w:beforeAutospacing="0" w:line="240" w:lineRule="auto"/>
              <w:jc w:val="center"/>
              <w:rPr>
                <w:rFonts w:cstheme="majorBidi"/>
                <w:b/>
                <w:bCs/>
                <w:kern w:val="2"/>
                <w:sz w:val="22"/>
              </w:rPr>
            </w:pPr>
          </w:p>
        </w:tc>
        <w:tc>
          <w:tcPr>
            <w:tcW w:w="1479" w:type="dxa"/>
            <w:shd w:val="clear" w:color="auto" w:fill="D9E2F3" w:themeFill="accent1" w:themeFillTint="33"/>
          </w:tcPr>
          <w:p w14:paraId="4B593490" w14:textId="77777777" w:rsidR="001A4874" w:rsidRPr="00E2052F" w:rsidRDefault="001A4874" w:rsidP="00582E7B">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784" w:type="dxa"/>
          </w:tcPr>
          <w:p w14:paraId="38424424"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1087" w:type="dxa"/>
          </w:tcPr>
          <w:p w14:paraId="613CEC06" w14:textId="77777777" w:rsidR="001A4874" w:rsidRPr="00E2052F" w:rsidRDefault="001A4874" w:rsidP="00582E7B">
            <w:pPr>
              <w:spacing w:before="0" w:beforeAutospacing="0" w:line="240" w:lineRule="auto"/>
              <w:ind w:firstLine="0"/>
              <w:jc w:val="center"/>
              <w:rPr>
                <w:rFonts w:cstheme="majorBidi"/>
                <w:kern w:val="2"/>
                <w:sz w:val="22"/>
              </w:rPr>
            </w:pPr>
            <w:r w:rsidRPr="00E2052F">
              <w:rPr>
                <w:rFonts w:cstheme="majorBidi"/>
                <w:kern w:val="2"/>
                <w:sz w:val="22"/>
              </w:rPr>
              <w:t>299</w:t>
            </w:r>
          </w:p>
        </w:tc>
        <w:tc>
          <w:tcPr>
            <w:tcW w:w="1585" w:type="dxa"/>
            <w:vAlign w:val="center"/>
          </w:tcPr>
          <w:p w14:paraId="79377EF0" w14:textId="77777777" w:rsidR="001A4874" w:rsidRPr="00E2052F" w:rsidRDefault="001A4874" w:rsidP="00582E7B">
            <w:pPr>
              <w:spacing w:before="0" w:beforeAutospacing="0" w:line="240" w:lineRule="auto"/>
              <w:jc w:val="center"/>
              <w:rPr>
                <w:rFonts w:cstheme="majorBidi"/>
                <w:kern w:val="2"/>
                <w:sz w:val="22"/>
              </w:rPr>
            </w:pPr>
          </w:p>
        </w:tc>
        <w:tc>
          <w:tcPr>
            <w:tcW w:w="1180" w:type="dxa"/>
            <w:vAlign w:val="center"/>
          </w:tcPr>
          <w:p w14:paraId="610DB871" w14:textId="77777777" w:rsidR="001A4874" w:rsidRPr="00E2052F" w:rsidRDefault="001A4874" w:rsidP="00582E7B">
            <w:pPr>
              <w:spacing w:before="0" w:beforeAutospacing="0" w:line="240" w:lineRule="auto"/>
              <w:jc w:val="center"/>
              <w:rPr>
                <w:rFonts w:cstheme="majorBidi"/>
                <w:kern w:val="2"/>
                <w:sz w:val="22"/>
              </w:rPr>
            </w:pPr>
          </w:p>
        </w:tc>
        <w:tc>
          <w:tcPr>
            <w:tcW w:w="1183" w:type="dxa"/>
            <w:vAlign w:val="center"/>
          </w:tcPr>
          <w:p w14:paraId="6669BF9C" w14:textId="77777777" w:rsidR="001A4874" w:rsidRPr="00E2052F" w:rsidRDefault="001A4874" w:rsidP="00582E7B">
            <w:pPr>
              <w:spacing w:before="0" w:beforeAutospacing="0" w:line="240" w:lineRule="auto"/>
              <w:jc w:val="center"/>
              <w:rPr>
                <w:rFonts w:cstheme="majorBidi"/>
                <w:kern w:val="2"/>
                <w:sz w:val="22"/>
              </w:rPr>
            </w:pPr>
          </w:p>
        </w:tc>
      </w:tr>
      <w:tr w:rsidR="001A4874" w:rsidRPr="00E2052F" w14:paraId="7013F330" w14:textId="77777777" w:rsidTr="00582E7B">
        <w:trPr>
          <w:cantSplit/>
          <w:trHeight w:val="301"/>
          <w:jc w:val="center"/>
        </w:trPr>
        <w:tc>
          <w:tcPr>
            <w:tcW w:w="9141" w:type="dxa"/>
            <w:gridSpan w:val="7"/>
            <w:shd w:val="clear" w:color="auto" w:fill="FFFFFF"/>
          </w:tcPr>
          <w:p w14:paraId="556DCB0F" w14:textId="77777777" w:rsidR="001A4874" w:rsidRPr="00E2052F" w:rsidRDefault="001A4874" w:rsidP="00582E7B">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1A4874" w:rsidRPr="00E2052F" w14:paraId="757EF804" w14:textId="77777777" w:rsidTr="00582E7B">
        <w:trPr>
          <w:cantSplit/>
          <w:trHeight w:val="313"/>
          <w:jc w:val="center"/>
        </w:trPr>
        <w:tc>
          <w:tcPr>
            <w:tcW w:w="9141" w:type="dxa"/>
            <w:gridSpan w:val="7"/>
            <w:shd w:val="clear" w:color="auto" w:fill="FFFFFF"/>
          </w:tcPr>
          <w:p w14:paraId="48656921" w14:textId="77777777" w:rsidR="001A4874" w:rsidRPr="00E2052F" w:rsidRDefault="001A4874" w:rsidP="00582E7B">
            <w:pPr>
              <w:spacing w:before="0" w:beforeAutospacing="0" w:line="240" w:lineRule="auto"/>
              <w:rPr>
                <w:rFonts w:cstheme="majorBidi"/>
                <w:b/>
                <w:bCs/>
                <w:kern w:val="2"/>
                <w:sz w:val="22"/>
              </w:rPr>
            </w:pPr>
            <w:r w:rsidRPr="00E2052F">
              <w:rPr>
                <w:rFonts w:cstheme="majorBidi"/>
                <w:b/>
                <w:bCs/>
                <w:kern w:val="2"/>
                <w:sz w:val="22"/>
              </w:rPr>
              <w:t>b. Prédicteurs : (Constante), Le traitement équitable des actionnaires</w:t>
            </w:r>
          </w:p>
        </w:tc>
      </w:tr>
    </w:tbl>
    <w:p w14:paraId="22FDBA46" w14:textId="77777777" w:rsidR="00132ABE" w:rsidRPr="00E2052F" w:rsidRDefault="00132ABE" w:rsidP="00582E7B">
      <w:pPr>
        <w:spacing w:before="0" w:beforeAutospacing="0" w:line="240" w:lineRule="auto"/>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7ADFDCFA" w14:textId="77777777" w:rsidR="00132ABE" w:rsidRPr="00E2052F" w:rsidRDefault="00132ABE" w:rsidP="00D23BF3">
      <w:pPr>
        <w:spacing w:before="0" w:beforeAutospacing="0"/>
        <w:rPr>
          <w:rFonts w:cstheme="majorBidi"/>
          <w:sz w:val="22"/>
        </w:rPr>
      </w:pPr>
      <w:r w:rsidRPr="00E2052F">
        <w:rPr>
          <w:rFonts w:cstheme="majorBidi"/>
          <w:sz w:val="22"/>
        </w:rPr>
        <w:t xml:space="preserve">Le test ANOVA montre une valeur de F = 59,165 avec un niveau de signification (Sig.) égal à 0,000, c'est-à-dire inférieur au seuil critique de 0,05.Cela signifie qu'il existe une corrélation statistiquement significative entre le traitement équitable des actionnaires et la RSE </w:t>
      </w:r>
      <w:r w:rsidR="004400DF" w:rsidRPr="00E2052F">
        <w:rPr>
          <w:rFonts w:cstheme="majorBidi"/>
          <w:sz w:val="22"/>
        </w:rPr>
        <w:t xml:space="preserve">au sein de Tayal SPA </w:t>
      </w:r>
      <w:r w:rsidRPr="00E2052F">
        <w:rPr>
          <w:rFonts w:cstheme="majorBidi"/>
          <w:sz w:val="22"/>
        </w:rPr>
        <w:t>à un niveau de signification de 5 %.</w:t>
      </w:r>
    </w:p>
    <w:p w14:paraId="792D62F2" w14:textId="77777777" w:rsidR="00132ABE" w:rsidRPr="00E2052F" w:rsidRDefault="00132ABE" w:rsidP="00D61875">
      <w:pPr>
        <w:pStyle w:val="Paragraphedeliste"/>
        <w:numPr>
          <w:ilvl w:val="0"/>
          <w:numId w:val="22"/>
        </w:numPr>
        <w:spacing w:before="0" w:beforeAutospacing="0"/>
        <w:ind w:left="1208" w:hanging="357"/>
        <w:rPr>
          <w:rFonts w:cstheme="majorBidi"/>
          <w:b/>
          <w:bCs/>
          <w:sz w:val="22"/>
        </w:rPr>
      </w:pPr>
      <w:r w:rsidRPr="00E2052F">
        <w:rPr>
          <w:rFonts w:cstheme="majorBidi"/>
          <w:b/>
          <w:bCs/>
          <w:sz w:val="22"/>
        </w:rPr>
        <w:t>Coefficients de régression :</w:t>
      </w:r>
    </w:p>
    <w:p w14:paraId="5D39CF21" w14:textId="77777777" w:rsidR="00132ABE" w:rsidRPr="00E2052F" w:rsidRDefault="00B72921" w:rsidP="00D23BF3">
      <w:pPr>
        <w:spacing w:before="0" w:beforeAutospacing="0"/>
        <w:rPr>
          <w:rFonts w:cstheme="majorBidi"/>
          <w:sz w:val="22"/>
        </w:rPr>
      </w:pPr>
      <w:r w:rsidRPr="00E2052F">
        <w:rPr>
          <w:rFonts w:cstheme="majorBidi"/>
          <w:b/>
          <w:bCs/>
          <w:sz w:val="22"/>
          <w:u w:val="single"/>
        </w:rPr>
        <w:t>T</w:t>
      </w:r>
      <w:r w:rsidR="00193ABF" w:rsidRPr="00E2052F">
        <w:rPr>
          <w:rFonts w:cstheme="majorBidi"/>
          <w:b/>
          <w:bCs/>
          <w:sz w:val="22"/>
          <w:u w:val="single"/>
        </w:rPr>
        <w:t>ableau 41</w:t>
      </w:r>
      <w:r w:rsidR="00695A21" w:rsidRPr="00E2052F">
        <w:rPr>
          <w:rFonts w:cstheme="majorBidi"/>
          <w:b/>
          <w:bCs/>
          <w:sz w:val="22"/>
          <w:u w:val="single"/>
        </w:rPr>
        <w:t> :</w:t>
      </w:r>
      <w:r w:rsidR="00132ABE" w:rsidRPr="00E2052F">
        <w:rPr>
          <w:rFonts w:cstheme="majorBidi"/>
          <w:sz w:val="22"/>
        </w:rPr>
        <w:t xml:space="preserve"> </w:t>
      </w:r>
      <w:r w:rsidR="00132ABE" w:rsidRPr="00E2052F">
        <w:rPr>
          <w:rFonts w:cstheme="majorBidi"/>
          <w:b/>
          <w:bCs/>
          <w:sz w:val="22"/>
        </w:rPr>
        <w:t>coefficients de régression.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5"/>
        <w:gridCol w:w="1955"/>
        <w:gridCol w:w="1062"/>
        <w:gridCol w:w="1726"/>
        <w:gridCol w:w="2389"/>
        <w:gridCol w:w="664"/>
        <w:gridCol w:w="581"/>
      </w:tblGrid>
      <w:tr w:rsidR="00132ABE" w:rsidRPr="00E2052F" w14:paraId="68A23E2A" w14:textId="77777777" w:rsidTr="007530A6">
        <w:trPr>
          <w:cantSplit/>
          <w:jc w:val="center"/>
        </w:trPr>
        <w:tc>
          <w:tcPr>
            <w:tcW w:w="9686" w:type="dxa"/>
            <w:gridSpan w:val="7"/>
            <w:shd w:val="clear" w:color="auto" w:fill="B4C6E7" w:themeFill="accent1" w:themeFillTint="66"/>
            <w:vAlign w:val="center"/>
          </w:tcPr>
          <w:p w14:paraId="0DCC1084"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lastRenderedPageBreak/>
              <w:t>Coefficients</w:t>
            </w:r>
            <w:r w:rsidRPr="00E2052F">
              <w:rPr>
                <w:rFonts w:cstheme="majorBidi"/>
                <w:b/>
                <w:bCs/>
                <w:kern w:val="2"/>
                <w:sz w:val="22"/>
                <w:vertAlign w:val="superscript"/>
              </w:rPr>
              <w:t>a</w:t>
            </w:r>
          </w:p>
        </w:tc>
      </w:tr>
      <w:tr w:rsidR="00132ABE" w:rsidRPr="00E2052F" w14:paraId="6E095489" w14:textId="77777777" w:rsidTr="007530A6">
        <w:trPr>
          <w:cantSplit/>
          <w:jc w:val="center"/>
        </w:trPr>
        <w:tc>
          <w:tcPr>
            <w:tcW w:w="2830" w:type="dxa"/>
            <w:gridSpan w:val="2"/>
            <w:vMerge w:val="restart"/>
            <w:shd w:val="clear" w:color="auto" w:fill="D9E2F3" w:themeFill="accent1" w:themeFillTint="33"/>
            <w:vAlign w:val="bottom"/>
          </w:tcPr>
          <w:p w14:paraId="3337C386"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977" w:type="dxa"/>
            <w:gridSpan w:val="2"/>
            <w:shd w:val="clear" w:color="auto" w:fill="D9E2F3" w:themeFill="accent1" w:themeFillTint="33"/>
            <w:vAlign w:val="bottom"/>
          </w:tcPr>
          <w:p w14:paraId="7D54C597"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52" w:type="dxa"/>
            <w:shd w:val="clear" w:color="auto" w:fill="D9E2F3" w:themeFill="accent1" w:themeFillTint="33"/>
            <w:vAlign w:val="bottom"/>
          </w:tcPr>
          <w:p w14:paraId="382D30DC"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708" w:type="dxa"/>
            <w:vMerge w:val="restart"/>
            <w:shd w:val="clear" w:color="auto" w:fill="D9E2F3" w:themeFill="accent1" w:themeFillTint="33"/>
            <w:vAlign w:val="bottom"/>
          </w:tcPr>
          <w:p w14:paraId="38B83D44"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619" w:type="dxa"/>
            <w:vMerge w:val="restart"/>
            <w:shd w:val="clear" w:color="auto" w:fill="D9E2F3" w:themeFill="accent1" w:themeFillTint="33"/>
            <w:vAlign w:val="bottom"/>
          </w:tcPr>
          <w:p w14:paraId="0F132F46"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132ABE" w:rsidRPr="00E2052F" w14:paraId="536CF784" w14:textId="77777777" w:rsidTr="007530A6">
        <w:trPr>
          <w:cantSplit/>
          <w:trHeight w:val="493"/>
          <w:jc w:val="center"/>
        </w:trPr>
        <w:tc>
          <w:tcPr>
            <w:tcW w:w="2830" w:type="dxa"/>
            <w:gridSpan w:val="2"/>
            <w:vMerge/>
            <w:shd w:val="clear" w:color="auto" w:fill="D9E2F3" w:themeFill="accent1" w:themeFillTint="33"/>
            <w:vAlign w:val="bottom"/>
          </w:tcPr>
          <w:p w14:paraId="76FD103D" w14:textId="77777777" w:rsidR="00132ABE" w:rsidRPr="00E2052F" w:rsidRDefault="00132ABE" w:rsidP="00582E7B">
            <w:pPr>
              <w:spacing w:before="0" w:beforeAutospacing="0" w:line="240" w:lineRule="auto"/>
              <w:jc w:val="center"/>
              <w:rPr>
                <w:rFonts w:cstheme="majorBidi"/>
                <w:b/>
                <w:bCs/>
                <w:kern w:val="2"/>
                <w:sz w:val="22"/>
              </w:rPr>
            </w:pPr>
          </w:p>
        </w:tc>
        <w:tc>
          <w:tcPr>
            <w:tcW w:w="1134" w:type="dxa"/>
            <w:shd w:val="clear" w:color="auto" w:fill="D9E2F3" w:themeFill="accent1" w:themeFillTint="33"/>
            <w:vAlign w:val="bottom"/>
          </w:tcPr>
          <w:p w14:paraId="6564F9C1"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843" w:type="dxa"/>
            <w:shd w:val="clear" w:color="auto" w:fill="D9E2F3" w:themeFill="accent1" w:themeFillTint="33"/>
            <w:vAlign w:val="bottom"/>
          </w:tcPr>
          <w:p w14:paraId="6DCE5C38"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52" w:type="dxa"/>
            <w:shd w:val="clear" w:color="auto" w:fill="D9E2F3" w:themeFill="accent1" w:themeFillTint="33"/>
            <w:vAlign w:val="bottom"/>
          </w:tcPr>
          <w:p w14:paraId="20B4BAE5"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8" w:type="dxa"/>
            <w:vMerge/>
            <w:shd w:val="clear" w:color="auto" w:fill="D9E2F3" w:themeFill="accent1" w:themeFillTint="33"/>
            <w:vAlign w:val="bottom"/>
          </w:tcPr>
          <w:p w14:paraId="5072A20E" w14:textId="77777777" w:rsidR="00132ABE" w:rsidRPr="00E2052F" w:rsidRDefault="00132ABE" w:rsidP="00582E7B">
            <w:pPr>
              <w:spacing w:before="0" w:beforeAutospacing="0" w:line="240" w:lineRule="auto"/>
              <w:jc w:val="center"/>
              <w:rPr>
                <w:rFonts w:cstheme="majorBidi"/>
                <w:b/>
                <w:bCs/>
                <w:kern w:val="2"/>
                <w:sz w:val="22"/>
              </w:rPr>
            </w:pPr>
          </w:p>
        </w:tc>
        <w:tc>
          <w:tcPr>
            <w:tcW w:w="619" w:type="dxa"/>
            <w:vMerge/>
            <w:shd w:val="clear" w:color="auto" w:fill="D9E2F3" w:themeFill="accent1" w:themeFillTint="33"/>
            <w:vAlign w:val="bottom"/>
          </w:tcPr>
          <w:p w14:paraId="58BFDC22" w14:textId="77777777" w:rsidR="00132ABE" w:rsidRPr="00E2052F" w:rsidRDefault="00132ABE" w:rsidP="00582E7B">
            <w:pPr>
              <w:spacing w:before="0" w:beforeAutospacing="0" w:line="240" w:lineRule="auto"/>
              <w:jc w:val="center"/>
              <w:rPr>
                <w:rFonts w:cstheme="majorBidi"/>
                <w:b/>
                <w:bCs/>
                <w:kern w:val="2"/>
                <w:sz w:val="22"/>
              </w:rPr>
            </w:pPr>
          </w:p>
        </w:tc>
      </w:tr>
      <w:tr w:rsidR="00132ABE" w:rsidRPr="00E2052F" w14:paraId="19AC40E9" w14:textId="77777777" w:rsidTr="007530A6">
        <w:trPr>
          <w:cantSplit/>
          <w:jc w:val="center"/>
        </w:trPr>
        <w:tc>
          <w:tcPr>
            <w:tcW w:w="742" w:type="dxa"/>
            <w:vMerge w:val="restart"/>
            <w:shd w:val="clear" w:color="auto" w:fill="D9E2F3" w:themeFill="accent1" w:themeFillTint="33"/>
          </w:tcPr>
          <w:p w14:paraId="166063C3"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2088" w:type="dxa"/>
            <w:shd w:val="clear" w:color="auto" w:fill="D9E2F3" w:themeFill="accent1" w:themeFillTint="33"/>
          </w:tcPr>
          <w:p w14:paraId="0ADFFD65"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134" w:type="dxa"/>
          </w:tcPr>
          <w:p w14:paraId="4E08BF17"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2.496</w:t>
            </w:r>
          </w:p>
        </w:tc>
        <w:tc>
          <w:tcPr>
            <w:tcW w:w="1843" w:type="dxa"/>
          </w:tcPr>
          <w:p w14:paraId="4097C66C"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0.197</w:t>
            </w:r>
          </w:p>
        </w:tc>
        <w:tc>
          <w:tcPr>
            <w:tcW w:w="2552" w:type="dxa"/>
            <w:vAlign w:val="center"/>
          </w:tcPr>
          <w:p w14:paraId="19A3FABF" w14:textId="77777777" w:rsidR="00132ABE" w:rsidRPr="00E2052F" w:rsidRDefault="00132ABE" w:rsidP="00582E7B">
            <w:pPr>
              <w:spacing w:before="0" w:beforeAutospacing="0" w:line="240" w:lineRule="auto"/>
              <w:jc w:val="center"/>
              <w:rPr>
                <w:rFonts w:cstheme="majorBidi"/>
                <w:kern w:val="2"/>
                <w:sz w:val="22"/>
              </w:rPr>
            </w:pPr>
          </w:p>
        </w:tc>
        <w:tc>
          <w:tcPr>
            <w:tcW w:w="708" w:type="dxa"/>
          </w:tcPr>
          <w:p w14:paraId="42D73F3D"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12.643</w:t>
            </w:r>
          </w:p>
        </w:tc>
        <w:tc>
          <w:tcPr>
            <w:tcW w:w="619" w:type="dxa"/>
          </w:tcPr>
          <w:p w14:paraId="56A1D66F" w14:textId="77777777" w:rsidR="00132ABE" w:rsidRPr="00E2052F" w:rsidRDefault="00E00801" w:rsidP="00582E7B">
            <w:pPr>
              <w:spacing w:before="0" w:beforeAutospacing="0" w:line="240" w:lineRule="auto"/>
              <w:ind w:firstLine="0"/>
              <w:jc w:val="center"/>
              <w:rPr>
                <w:rFonts w:cstheme="majorBidi"/>
                <w:kern w:val="2"/>
                <w:sz w:val="22"/>
              </w:rPr>
            </w:pPr>
            <w:r w:rsidRPr="00E2052F">
              <w:rPr>
                <w:rFonts w:cstheme="majorBidi"/>
                <w:kern w:val="2"/>
                <w:sz w:val="22"/>
              </w:rPr>
              <w:t>0</w:t>
            </w:r>
            <w:r w:rsidR="00132ABE" w:rsidRPr="00E2052F">
              <w:rPr>
                <w:rFonts w:cstheme="majorBidi"/>
                <w:kern w:val="2"/>
                <w:sz w:val="22"/>
              </w:rPr>
              <w:t>.000</w:t>
            </w:r>
          </w:p>
        </w:tc>
      </w:tr>
      <w:tr w:rsidR="00132ABE" w:rsidRPr="00E2052F" w14:paraId="41C750DD" w14:textId="77777777" w:rsidTr="007530A6">
        <w:trPr>
          <w:cantSplit/>
          <w:jc w:val="center"/>
        </w:trPr>
        <w:tc>
          <w:tcPr>
            <w:tcW w:w="742" w:type="dxa"/>
            <w:vMerge/>
            <w:shd w:val="clear" w:color="auto" w:fill="D9E2F3" w:themeFill="accent1" w:themeFillTint="33"/>
          </w:tcPr>
          <w:p w14:paraId="0042E34B" w14:textId="77777777" w:rsidR="00132ABE" w:rsidRPr="00E2052F" w:rsidRDefault="00132ABE" w:rsidP="00582E7B">
            <w:pPr>
              <w:spacing w:before="0" w:beforeAutospacing="0" w:line="240" w:lineRule="auto"/>
              <w:jc w:val="center"/>
              <w:rPr>
                <w:rFonts w:cstheme="majorBidi"/>
                <w:b/>
                <w:bCs/>
                <w:kern w:val="2"/>
                <w:sz w:val="22"/>
              </w:rPr>
            </w:pPr>
          </w:p>
        </w:tc>
        <w:tc>
          <w:tcPr>
            <w:tcW w:w="2088" w:type="dxa"/>
            <w:shd w:val="clear" w:color="auto" w:fill="D9E2F3" w:themeFill="accent1" w:themeFillTint="33"/>
          </w:tcPr>
          <w:p w14:paraId="21167403" w14:textId="77777777" w:rsidR="00132ABE" w:rsidRPr="00E2052F" w:rsidRDefault="00132ABE" w:rsidP="00582E7B">
            <w:pPr>
              <w:spacing w:before="0" w:beforeAutospacing="0" w:line="240" w:lineRule="auto"/>
              <w:ind w:firstLine="0"/>
              <w:jc w:val="center"/>
              <w:rPr>
                <w:rFonts w:cstheme="majorBidi"/>
                <w:b/>
                <w:bCs/>
                <w:kern w:val="2"/>
                <w:sz w:val="22"/>
              </w:rPr>
            </w:pPr>
            <w:r w:rsidRPr="00E2052F">
              <w:rPr>
                <w:rFonts w:cstheme="majorBidi"/>
                <w:b/>
                <w:bCs/>
                <w:kern w:val="2"/>
                <w:sz w:val="22"/>
              </w:rPr>
              <w:t>Le traitement équitable des actionnaires</w:t>
            </w:r>
          </w:p>
        </w:tc>
        <w:tc>
          <w:tcPr>
            <w:tcW w:w="1134" w:type="dxa"/>
          </w:tcPr>
          <w:p w14:paraId="756D60AB"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0.367</w:t>
            </w:r>
          </w:p>
        </w:tc>
        <w:tc>
          <w:tcPr>
            <w:tcW w:w="1843" w:type="dxa"/>
          </w:tcPr>
          <w:p w14:paraId="00227696"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0.048</w:t>
            </w:r>
          </w:p>
        </w:tc>
        <w:tc>
          <w:tcPr>
            <w:tcW w:w="2552" w:type="dxa"/>
          </w:tcPr>
          <w:p w14:paraId="452C12B6"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0.407</w:t>
            </w:r>
          </w:p>
        </w:tc>
        <w:tc>
          <w:tcPr>
            <w:tcW w:w="708" w:type="dxa"/>
          </w:tcPr>
          <w:p w14:paraId="46D6AF21" w14:textId="77777777" w:rsidR="00132ABE" w:rsidRPr="00E2052F" w:rsidRDefault="00132ABE" w:rsidP="00582E7B">
            <w:pPr>
              <w:spacing w:before="0" w:beforeAutospacing="0" w:line="240" w:lineRule="auto"/>
              <w:ind w:firstLine="0"/>
              <w:jc w:val="center"/>
              <w:rPr>
                <w:rFonts w:cstheme="majorBidi"/>
                <w:kern w:val="2"/>
                <w:sz w:val="22"/>
              </w:rPr>
            </w:pPr>
            <w:r w:rsidRPr="00E2052F">
              <w:rPr>
                <w:rFonts w:cstheme="majorBidi"/>
                <w:kern w:val="2"/>
                <w:sz w:val="22"/>
              </w:rPr>
              <w:t>7.692</w:t>
            </w:r>
          </w:p>
        </w:tc>
        <w:tc>
          <w:tcPr>
            <w:tcW w:w="619" w:type="dxa"/>
          </w:tcPr>
          <w:p w14:paraId="35095324" w14:textId="77777777" w:rsidR="00132ABE" w:rsidRPr="00E2052F" w:rsidRDefault="00E00801" w:rsidP="00582E7B">
            <w:pPr>
              <w:spacing w:before="0" w:beforeAutospacing="0" w:line="240" w:lineRule="auto"/>
              <w:ind w:firstLine="0"/>
              <w:jc w:val="center"/>
              <w:rPr>
                <w:rFonts w:cstheme="majorBidi"/>
                <w:kern w:val="2"/>
                <w:sz w:val="22"/>
              </w:rPr>
            </w:pPr>
            <w:r w:rsidRPr="00E2052F">
              <w:rPr>
                <w:rFonts w:cstheme="majorBidi"/>
                <w:kern w:val="2"/>
                <w:sz w:val="22"/>
              </w:rPr>
              <w:t>0</w:t>
            </w:r>
            <w:r w:rsidR="00132ABE" w:rsidRPr="00E2052F">
              <w:rPr>
                <w:rFonts w:cstheme="majorBidi"/>
                <w:kern w:val="2"/>
                <w:sz w:val="22"/>
              </w:rPr>
              <w:t>.000</w:t>
            </w:r>
          </w:p>
        </w:tc>
      </w:tr>
      <w:tr w:rsidR="00132ABE" w:rsidRPr="00E2052F" w14:paraId="47ACD61C" w14:textId="77777777" w:rsidTr="0057408B">
        <w:trPr>
          <w:cantSplit/>
          <w:jc w:val="center"/>
        </w:trPr>
        <w:tc>
          <w:tcPr>
            <w:tcW w:w="9686" w:type="dxa"/>
            <w:gridSpan w:val="7"/>
            <w:shd w:val="clear" w:color="auto" w:fill="FFFFFF"/>
          </w:tcPr>
          <w:p w14:paraId="1675FE63" w14:textId="77777777" w:rsidR="00132ABE" w:rsidRPr="00E2052F" w:rsidRDefault="00132ABE" w:rsidP="007530A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4C9EC836" w14:textId="77777777" w:rsidR="00132ABE" w:rsidRPr="00E2052F" w:rsidRDefault="00132ABE" w:rsidP="00582E7B">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0273A9DF" w14:textId="77777777" w:rsidR="001A4874" w:rsidRPr="00E2052F" w:rsidRDefault="00D70531" w:rsidP="00D23BF3">
      <w:pPr>
        <w:spacing w:before="0" w:beforeAutospacing="0"/>
        <w:rPr>
          <w:rFonts w:cstheme="majorBidi"/>
          <w:sz w:val="22"/>
        </w:rPr>
      </w:pPr>
      <w:r w:rsidRPr="00E2052F">
        <w:rPr>
          <w:rFonts w:cstheme="majorBidi"/>
          <w:sz w:val="22"/>
        </w:rPr>
        <w:t xml:space="preserve">D’après les résultats du tableau précédent, nous constatons que le modèle qui exprime la relation </w:t>
      </w:r>
      <w:r w:rsidR="00A7158D" w:rsidRPr="00E2052F">
        <w:rPr>
          <w:rFonts w:cstheme="majorBidi"/>
          <w:sz w:val="22"/>
        </w:rPr>
        <w:t xml:space="preserve">entre </w:t>
      </w:r>
      <w:r w:rsidRPr="00E2052F">
        <w:rPr>
          <w:rFonts w:cstheme="majorBidi"/>
          <w:sz w:val="22"/>
        </w:rPr>
        <w:t>le traitement équitable des actionnaires et la RSE au sein de Tayal SPA est un modèle linéaire.</w:t>
      </w:r>
    </w:p>
    <w:p w14:paraId="2A4872DB" w14:textId="77777777" w:rsidR="004400DF" w:rsidRPr="00E2052F" w:rsidRDefault="00F562CA" w:rsidP="00D23BF3">
      <w:pPr>
        <w:spacing w:before="0" w:beforeAutospacing="0"/>
        <w:ind w:firstLine="0"/>
        <w:jc w:val="center"/>
        <w:rPr>
          <w:rFonts w:cstheme="majorBidi"/>
          <w:b/>
          <w:bCs/>
          <w:sz w:val="22"/>
        </w:rPr>
      </w:pPr>
      <w:r w:rsidRPr="00E2052F">
        <w:rPr>
          <w:rFonts w:cstheme="majorBidi"/>
          <w:noProof/>
          <w:sz w:val="22"/>
          <w:lang w:eastAsia="fr-FR"/>
        </w:rPr>
        <mc:AlternateContent>
          <mc:Choice Requires="wps">
            <w:drawing>
              <wp:anchor distT="0" distB="0" distL="114300" distR="114300" simplePos="0" relativeHeight="252090368" behindDoc="0" locked="0" layoutInCell="1" allowOverlap="1" wp14:anchorId="5E2E85DD" wp14:editId="39D24827">
                <wp:simplePos x="0" y="0"/>
                <wp:positionH relativeFrom="margin">
                  <wp:posOffset>2192940</wp:posOffset>
                </wp:positionH>
                <wp:positionV relativeFrom="paragraph">
                  <wp:posOffset>-96586</wp:posOffset>
                </wp:positionV>
                <wp:extent cx="1630017" cy="302149"/>
                <wp:effectExtent l="0" t="0" r="27940" b="22225"/>
                <wp:wrapNone/>
                <wp:docPr id="230" name="Rectangle à coins arrondis 230"/>
                <wp:cNvGraphicFramePr/>
                <a:graphic xmlns:a="http://schemas.openxmlformats.org/drawingml/2006/main">
                  <a:graphicData uri="http://schemas.microsoft.com/office/word/2010/wordprocessingShape">
                    <wps:wsp>
                      <wps:cNvSpPr/>
                      <wps:spPr>
                        <a:xfrm>
                          <a:off x="0" y="0"/>
                          <a:ext cx="1630017" cy="302149"/>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4BEE980" id="Rectangle à coins arrondis 230" o:spid="_x0000_s1026" style="position:absolute;margin-left:172.65pt;margin-top:-7.6pt;width:128.35pt;height:23.8pt;z-index:2520903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" filled="f" strokecolor="#8eaadb [1940]" strokeweight="1pt">
                <v:stroke joinstyle="miter"/>
                <w10:wrap anchorx="margin"/>
              </v:roundrect>
            </w:pict>
          </mc:Fallback>
        </mc:AlternateContent>
      </w:r>
      <w:r w:rsidR="004400DF" w:rsidRPr="00E2052F">
        <w:rPr>
          <w:rFonts w:cstheme="majorBidi"/>
          <w:b/>
          <w:bCs/>
          <w:sz w:val="22"/>
        </w:rPr>
        <w:t>Y= 0,367 X3+ 2,496</w:t>
      </w:r>
    </w:p>
    <w:p w14:paraId="386B00CC" w14:textId="77777777" w:rsidR="004400DF" w:rsidRPr="00E2052F" w:rsidRDefault="004400DF" w:rsidP="00D23BF3">
      <w:pPr>
        <w:spacing w:before="0" w:beforeAutospacing="0"/>
        <w:rPr>
          <w:rFonts w:cstheme="majorBidi"/>
          <w:sz w:val="22"/>
        </w:rPr>
      </w:pPr>
      <w:r w:rsidRPr="00E2052F">
        <w:rPr>
          <w:rFonts w:cstheme="majorBidi"/>
          <w:sz w:val="22"/>
        </w:rPr>
        <w:t>Le nombre 0,367 signifie que chaque augmentation d'un point du traitement équitable entraîne une augmentation de 0,367 point de la RSE au sein de Tayal SPA.</w:t>
      </w:r>
    </w:p>
    <w:p w14:paraId="7C0A564A" w14:textId="77777777" w:rsidR="004400DF" w:rsidRPr="00E2052F" w:rsidRDefault="004400DF" w:rsidP="00D23BF3">
      <w:pPr>
        <w:spacing w:before="0" w:beforeAutospacing="0"/>
        <w:rPr>
          <w:rFonts w:cstheme="majorBidi"/>
          <w:sz w:val="22"/>
        </w:rPr>
      </w:pPr>
      <w:r w:rsidRPr="00E2052F">
        <w:rPr>
          <w:rFonts w:cstheme="majorBidi"/>
          <w:sz w:val="22"/>
        </w:rPr>
        <w:t>La constante (2,496) représente la valeur estimée de la RSE en l'absence de traitement équitable.</w:t>
      </w:r>
    </w:p>
    <w:p w14:paraId="339D6053" w14:textId="77777777" w:rsidR="004400DF" w:rsidRPr="00E2052F" w:rsidRDefault="004400DF" w:rsidP="00D23BF3">
      <w:pPr>
        <w:spacing w:before="0" w:beforeAutospacing="0"/>
        <w:rPr>
          <w:rFonts w:cstheme="majorBidi"/>
          <w:sz w:val="22"/>
        </w:rPr>
      </w:pPr>
      <w:r w:rsidRPr="00E2052F">
        <w:rPr>
          <w:rFonts w:cstheme="majorBidi"/>
          <w:sz w:val="22"/>
        </w:rPr>
        <w:t>Le coefficient standardisé (Bêta = 0,407) confirme un impact positif modéré.</w:t>
      </w:r>
    </w:p>
    <w:p w14:paraId="37852B57" w14:textId="77777777" w:rsidR="004400DF" w:rsidRPr="00E2052F" w:rsidRDefault="004400DF" w:rsidP="00D23BF3">
      <w:pPr>
        <w:spacing w:before="0" w:beforeAutospacing="0"/>
        <w:rPr>
          <w:rFonts w:cstheme="majorBidi"/>
          <w:sz w:val="22"/>
        </w:rPr>
      </w:pPr>
      <w:r w:rsidRPr="00E2052F">
        <w:rPr>
          <w:rFonts w:cstheme="majorBidi"/>
          <w:sz w:val="22"/>
        </w:rPr>
        <w:t>La valeur t = 7,692 avec Sig. = 0,000 indique que ce coefficient est statistiquement significatif.</w:t>
      </w:r>
    </w:p>
    <w:p w14:paraId="0ADC849F" w14:textId="77777777" w:rsidR="00D528F0" w:rsidRPr="00E2052F" w:rsidRDefault="00D528F0" w:rsidP="00D61875">
      <w:pPr>
        <w:pStyle w:val="Titre4"/>
        <w:numPr>
          <w:ilvl w:val="0"/>
          <w:numId w:val="38"/>
        </w:numPr>
        <w:spacing w:before="0" w:beforeAutospacing="0" w:after="160"/>
        <w:ind w:left="1287" w:hanging="720"/>
        <w:rPr>
          <w:rFonts w:asciiTheme="majorBidi" w:hAnsiTheme="majorBidi"/>
          <w:i w:val="0"/>
          <w:iCs w:val="0"/>
          <w:color w:val="auto"/>
          <w:sz w:val="22"/>
        </w:rPr>
      </w:pPr>
      <w:bookmarkStart w:id="1802" w:name="_Toc229156025"/>
      <w:bookmarkStart w:id="1803" w:name="_Toc231747023"/>
      <w:bookmarkStart w:id="1804" w:name="_Toc231752429"/>
      <w:bookmarkStart w:id="1805" w:name="_Toc231810732"/>
      <w:bookmarkStart w:id="1806" w:name="_Toc231812075"/>
      <w:bookmarkStart w:id="1807" w:name="_Toc231812353"/>
      <w:bookmarkStart w:id="1808" w:name="_Toc231815237"/>
      <w:r w:rsidRPr="00E2052F">
        <w:rPr>
          <w:rFonts w:asciiTheme="majorBidi" w:hAnsiTheme="majorBidi"/>
          <w:i w:val="0"/>
          <w:iCs w:val="0"/>
          <w:color w:val="auto"/>
          <w:sz w:val="22"/>
        </w:rPr>
        <w:t>La Quatrième sous hypothèse :</w:t>
      </w:r>
      <w:bookmarkEnd w:id="1802"/>
      <w:bookmarkEnd w:id="1803"/>
      <w:bookmarkEnd w:id="1804"/>
      <w:bookmarkEnd w:id="1805"/>
      <w:bookmarkEnd w:id="1806"/>
      <w:bookmarkEnd w:id="1807"/>
      <w:bookmarkEnd w:id="1808"/>
    </w:p>
    <w:p w14:paraId="48D87D56" w14:textId="77777777" w:rsidR="000A5484" w:rsidRPr="00E2052F" w:rsidRDefault="000A5484" w:rsidP="00D23BF3">
      <w:pPr>
        <w:spacing w:before="0" w:beforeAutospacing="0"/>
        <w:rPr>
          <w:rFonts w:cstheme="majorBidi"/>
          <w:sz w:val="22"/>
        </w:rPr>
      </w:pPr>
      <w:r w:rsidRPr="00E2052F">
        <w:rPr>
          <w:rFonts w:cstheme="majorBidi"/>
          <w:b/>
          <w:bCs/>
          <w:sz w:val="22"/>
        </w:rPr>
        <w:t>H1d :</w:t>
      </w:r>
      <w:r w:rsidRPr="00E2052F">
        <w:rPr>
          <w:rFonts w:cstheme="majorBidi"/>
          <w:sz w:val="22"/>
        </w:rPr>
        <w:t xml:space="preserve"> Il existe une relation positive significative entre le rôle des parties prenantes dans la gouvernance et la responsabilité sociale des entreprises au sein de Tayal SPA.</w:t>
      </w:r>
    </w:p>
    <w:p w14:paraId="344D2136" w14:textId="77777777" w:rsidR="001A4874" w:rsidRPr="00E2052F" w:rsidRDefault="000A5484" w:rsidP="00D61875">
      <w:pPr>
        <w:pStyle w:val="Paragraphedeliste"/>
        <w:numPr>
          <w:ilvl w:val="0"/>
          <w:numId w:val="23"/>
        </w:numPr>
        <w:spacing w:before="0" w:beforeAutospacing="0"/>
        <w:ind w:left="1208" w:hanging="357"/>
        <w:rPr>
          <w:rFonts w:cstheme="majorBidi"/>
          <w:b/>
          <w:bCs/>
          <w:sz w:val="22"/>
        </w:rPr>
      </w:pPr>
      <w:r w:rsidRPr="00E2052F">
        <w:rPr>
          <w:rFonts w:cstheme="majorBidi"/>
          <w:b/>
          <w:bCs/>
          <w:sz w:val="22"/>
        </w:rPr>
        <w:t>Coefficient de corrélation (R carré) (R-square) :</w:t>
      </w:r>
    </w:p>
    <w:p w14:paraId="0DFFEDB6" w14:textId="77777777" w:rsidR="000A5484" w:rsidRPr="00E2052F" w:rsidRDefault="00193ABF" w:rsidP="00D23BF3">
      <w:pPr>
        <w:spacing w:before="0" w:beforeAutospacing="0"/>
        <w:rPr>
          <w:rFonts w:cstheme="majorBidi"/>
          <w:sz w:val="22"/>
        </w:rPr>
      </w:pPr>
      <w:r w:rsidRPr="00E2052F">
        <w:rPr>
          <w:rFonts w:cstheme="majorBidi"/>
          <w:b/>
          <w:bCs/>
          <w:sz w:val="22"/>
          <w:u w:val="single"/>
        </w:rPr>
        <w:t>Tableau 42</w:t>
      </w:r>
      <w:r w:rsidR="00695A21" w:rsidRPr="00E2052F">
        <w:rPr>
          <w:rFonts w:cstheme="majorBidi"/>
          <w:b/>
          <w:bCs/>
          <w:sz w:val="22"/>
          <w:u w:val="single"/>
        </w:rPr>
        <w:t> :</w:t>
      </w:r>
      <w:r w:rsidR="000A5484" w:rsidRPr="00E2052F">
        <w:rPr>
          <w:rFonts w:cstheme="majorBidi"/>
          <w:sz w:val="22"/>
        </w:rPr>
        <w:t xml:space="preserve"> </w:t>
      </w:r>
      <w:r w:rsidR="000A5484" w:rsidRPr="00E2052F">
        <w:rPr>
          <w:rFonts w:cstheme="majorBidi"/>
          <w:b/>
          <w:bCs/>
          <w:sz w:val="22"/>
        </w:rPr>
        <w:t>Coefficients de corrélation.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0"/>
        <w:gridCol w:w="1582"/>
        <w:gridCol w:w="1582"/>
        <w:gridCol w:w="1423"/>
        <w:gridCol w:w="3095"/>
      </w:tblGrid>
      <w:tr w:rsidR="000A5484" w:rsidRPr="00E2052F" w14:paraId="4B8CBFFF" w14:textId="77777777" w:rsidTr="00BD4F12">
        <w:trPr>
          <w:cantSplit/>
          <w:trHeight w:val="287"/>
          <w:jc w:val="center"/>
        </w:trPr>
        <w:tc>
          <w:tcPr>
            <w:tcW w:w="1383" w:type="dxa"/>
            <w:shd w:val="clear" w:color="auto" w:fill="D9E2F3" w:themeFill="accent1" w:themeFillTint="33"/>
            <w:vAlign w:val="bottom"/>
          </w:tcPr>
          <w:p w14:paraId="2E4F1178"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75" w:type="dxa"/>
            <w:shd w:val="clear" w:color="auto" w:fill="D9E2F3" w:themeFill="accent1" w:themeFillTint="33"/>
            <w:vAlign w:val="bottom"/>
          </w:tcPr>
          <w:p w14:paraId="2A5E04D5"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575" w:type="dxa"/>
            <w:shd w:val="clear" w:color="auto" w:fill="D9E2F3" w:themeFill="accent1" w:themeFillTint="33"/>
            <w:vAlign w:val="bottom"/>
          </w:tcPr>
          <w:p w14:paraId="73EC29DB"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416" w:type="dxa"/>
            <w:shd w:val="clear" w:color="auto" w:fill="D9E2F3" w:themeFill="accent1" w:themeFillTint="33"/>
            <w:vAlign w:val="bottom"/>
          </w:tcPr>
          <w:p w14:paraId="460EA587"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081" w:type="dxa"/>
            <w:shd w:val="clear" w:color="auto" w:fill="D9E2F3" w:themeFill="accent1" w:themeFillTint="33"/>
            <w:vAlign w:val="bottom"/>
          </w:tcPr>
          <w:p w14:paraId="3AF10655"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3B06D6" w:rsidRPr="00E2052F" w14:paraId="7C7D14E3" w14:textId="77777777" w:rsidTr="00BD4F12">
        <w:trPr>
          <w:cantSplit/>
          <w:trHeight w:val="430"/>
          <w:jc w:val="center"/>
        </w:trPr>
        <w:tc>
          <w:tcPr>
            <w:tcW w:w="1383" w:type="dxa"/>
            <w:shd w:val="clear" w:color="auto" w:fill="D9E2F3" w:themeFill="accent1" w:themeFillTint="33"/>
          </w:tcPr>
          <w:p w14:paraId="71AE80A9"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75" w:type="dxa"/>
          </w:tcPr>
          <w:p w14:paraId="4E8ACA3B"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0.492</w:t>
            </w:r>
            <w:r w:rsidRPr="00E2052F">
              <w:rPr>
                <w:rFonts w:cstheme="majorBidi"/>
                <w:kern w:val="2"/>
                <w:sz w:val="22"/>
                <w:vertAlign w:val="superscript"/>
              </w:rPr>
              <w:t>a</w:t>
            </w:r>
          </w:p>
        </w:tc>
        <w:tc>
          <w:tcPr>
            <w:tcW w:w="1575" w:type="dxa"/>
          </w:tcPr>
          <w:p w14:paraId="3D7D1692"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0.242</w:t>
            </w:r>
          </w:p>
        </w:tc>
        <w:tc>
          <w:tcPr>
            <w:tcW w:w="1416" w:type="dxa"/>
          </w:tcPr>
          <w:p w14:paraId="02D7B06A"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0.240</w:t>
            </w:r>
          </w:p>
        </w:tc>
        <w:tc>
          <w:tcPr>
            <w:tcW w:w="3081" w:type="dxa"/>
          </w:tcPr>
          <w:p w14:paraId="27979007"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0.542</w:t>
            </w:r>
          </w:p>
        </w:tc>
      </w:tr>
      <w:tr w:rsidR="000A5484" w:rsidRPr="00E2052F" w14:paraId="78E82D23" w14:textId="77777777" w:rsidTr="00582E7B">
        <w:trPr>
          <w:cantSplit/>
          <w:trHeight w:val="390"/>
          <w:jc w:val="center"/>
        </w:trPr>
        <w:tc>
          <w:tcPr>
            <w:tcW w:w="9030" w:type="dxa"/>
            <w:gridSpan w:val="5"/>
            <w:shd w:val="clear" w:color="auto" w:fill="FFFFFF"/>
          </w:tcPr>
          <w:p w14:paraId="65975015" w14:textId="77777777" w:rsidR="000A5484" w:rsidRPr="00E2052F" w:rsidRDefault="000A5484" w:rsidP="00582E7B">
            <w:pPr>
              <w:spacing w:before="0" w:beforeAutospacing="0" w:line="240" w:lineRule="auto"/>
              <w:rPr>
                <w:rFonts w:cstheme="majorBidi"/>
                <w:b/>
                <w:bCs/>
                <w:kern w:val="2"/>
                <w:sz w:val="22"/>
              </w:rPr>
            </w:pPr>
            <w:r w:rsidRPr="00E2052F">
              <w:rPr>
                <w:rFonts w:cstheme="majorBidi"/>
                <w:b/>
                <w:bCs/>
                <w:kern w:val="2"/>
                <w:sz w:val="22"/>
              </w:rPr>
              <w:t>a. Prédicteurs : (Constante), Le rôle des parties prenantes</w:t>
            </w:r>
          </w:p>
        </w:tc>
      </w:tr>
    </w:tbl>
    <w:p w14:paraId="7E188D0D" w14:textId="77777777" w:rsidR="000A5484" w:rsidRPr="00E2052F" w:rsidRDefault="000A5484" w:rsidP="00582E7B">
      <w:pPr>
        <w:spacing w:before="0" w:beforeAutospacing="0" w:line="240" w:lineRule="auto"/>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0EE816F3" w14:textId="77777777" w:rsidR="000A5484" w:rsidRPr="00E2052F" w:rsidRDefault="000A5484" w:rsidP="00D23BF3">
      <w:pPr>
        <w:spacing w:before="0" w:beforeAutospacing="0"/>
        <w:rPr>
          <w:rFonts w:cstheme="majorBidi"/>
          <w:sz w:val="22"/>
        </w:rPr>
      </w:pPr>
      <w:r w:rsidRPr="00E2052F">
        <w:rPr>
          <w:rFonts w:cstheme="majorBidi"/>
          <w:sz w:val="22"/>
        </w:rPr>
        <w:t>Le tableau ci-dessus montre le coefficient de corrélation entre les variables, qui a été estimé à 0,492. Cela signifie que la corrélation est positive et modérément forte, ce qui indique une relation significative entre le rôle des parties prenantes et la RSE.</w:t>
      </w:r>
    </w:p>
    <w:p w14:paraId="78C5190D" w14:textId="77777777" w:rsidR="000A5484" w:rsidRPr="00E2052F" w:rsidRDefault="000A5484" w:rsidP="00D23BF3">
      <w:pPr>
        <w:spacing w:before="0" w:beforeAutospacing="0"/>
        <w:rPr>
          <w:rFonts w:cstheme="majorBidi"/>
          <w:sz w:val="22"/>
        </w:rPr>
      </w:pPr>
      <w:r w:rsidRPr="00E2052F">
        <w:rPr>
          <w:rFonts w:cstheme="majorBidi"/>
          <w:sz w:val="22"/>
        </w:rPr>
        <w:t>Le coefficient de détermination (R² = 0,242) montre que 24,2 % de la variance de la RSE est expliquée par le rôle des parties prenantes.</w:t>
      </w:r>
    </w:p>
    <w:p w14:paraId="3C5F1171" w14:textId="77777777" w:rsidR="000A5484" w:rsidRPr="00E2052F" w:rsidRDefault="000A5484" w:rsidP="00D61875">
      <w:pPr>
        <w:pStyle w:val="Paragraphedeliste"/>
        <w:numPr>
          <w:ilvl w:val="0"/>
          <w:numId w:val="23"/>
        </w:numPr>
        <w:spacing w:before="0" w:beforeAutospacing="0"/>
        <w:ind w:left="1208" w:hanging="357"/>
        <w:rPr>
          <w:rFonts w:cstheme="majorBidi"/>
          <w:b/>
          <w:bCs/>
          <w:sz w:val="22"/>
        </w:rPr>
      </w:pPr>
      <w:r w:rsidRPr="00E2052F">
        <w:rPr>
          <w:rFonts w:cstheme="majorBidi"/>
          <w:b/>
          <w:bCs/>
          <w:sz w:val="22"/>
        </w:rPr>
        <w:lastRenderedPageBreak/>
        <w:t>Analyse de la variance ANOVA :</w:t>
      </w:r>
    </w:p>
    <w:p w14:paraId="262CF07F" w14:textId="77777777" w:rsidR="000A5484" w:rsidRPr="00E2052F" w:rsidRDefault="000A5484" w:rsidP="00D23BF3">
      <w:pPr>
        <w:spacing w:before="0" w:beforeAutospacing="0"/>
        <w:rPr>
          <w:rFonts w:cstheme="majorBidi"/>
          <w:sz w:val="22"/>
        </w:rPr>
      </w:pPr>
      <w:r w:rsidRPr="00E2052F">
        <w:rPr>
          <w:rFonts w:cstheme="majorBidi"/>
          <w:b/>
          <w:bCs/>
          <w:sz w:val="22"/>
          <w:u w:val="single"/>
        </w:rPr>
        <w:t>T</w:t>
      </w:r>
      <w:r w:rsidR="00695A21" w:rsidRPr="00E2052F">
        <w:rPr>
          <w:rFonts w:cstheme="majorBidi"/>
          <w:b/>
          <w:bCs/>
          <w:sz w:val="22"/>
          <w:u w:val="single"/>
        </w:rPr>
        <w:t>ableau 4</w:t>
      </w:r>
      <w:r w:rsidR="00193ABF" w:rsidRPr="00E2052F">
        <w:rPr>
          <w:rFonts w:cstheme="majorBidi"/>
          <w:b/>
          <w:bCs/>
          <w:sz w:val="22"/>
          <w:u w:val="single"/>
        </w:rPr>
        <w:t>3</w:t>
      </w:r>
      <w:r w:rsidR="001729ED" w:rsidRPr="00E2052F">
        <w:rPr>
          <w:rFonts w:cstheme="majorBidi"/>
          <w:b/>
          <w:bCs/>
          <w:sz w:val="22"/>
          <w:u w:val="single"/>
        </w:rPr>
        <w:t> :</w:t>
      </w:r>
      <w:r w:rsidR="001729ED" w:rsidRPr="00E2052F">
        <w:rPr>
          <w:rFonts w:cstheme="majorBidi"/>
          <w:sz w:val="22"/>
        </w:rPr>
        <w:t xml:space="preserve"> </w:t>
      </w:r>
      <w:r w:rsidR="001729ED" w:rsidRPr="00E2052F">
        <w:rPr>
          <w:rFonts w:cstheme="majorBidi"/>
          <w:b/>
          <w:bCs/>
          <w:sz w:val="22"/>
        </w:rPr>
        <w:t>La</w:t>
      </w:r>
      <w:r w:rsidRPr="00E2052F">
        <w:rPr>
          <w:rFonts w:cstheme="majorBidi"/>
          <w:b/>
          <w:bCs/>
          <w:sz w:val="22"/>
        </w:rPr>
        <w:t xml:space="preserve">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7"/>
        <w:gridCol w:w="1678"/>
        <w:gridCol w:w="1171"/>
        <w:gridCol w:w="1573"/>
        <w:gridCol w:w="1171"/>
        <w:gridCol w:w="1174"/>
      </w:tblGrid>
      <w:tr w:rsidR="000A5484" w:rsidRPr="00E2052F" w14:paraId="65F928C2" w14:textId="77777777" w:rsidTr="00BD4F12">
        <w:trPr>
          <w:cantSplit/>
          <w:trHeight w:val="304"/>
          <w:jc w:val="center"/>
        </w:trPr>
        <w:tc>
          <w:tcPr>
            <w:tcW w:w="9280" w:type="dxa"/>
            <w:gridSpan w:val="7"/>
            <w:shd w:val="clear" w:color="auto" w:fill="B4C6E7" w:themeFill="accent1" w:themeFillTint="66"/>
            <w:vAlign w:val="center"/>
          </w:tcPr>
          <w:p w14:paraId="251306D0"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0A5484" w:rsidRPr="00E2052F" w14:paraId="2E0C42C7" w14:textId="77777777" w:rsidTr="007530A6">
        <w:trPr>
          <w:cantSplit/>
          <w:trHeight w:val="163"/>
          <w:jc w:val="center"/>
        </w:trPr>
        <w:tc>
          <w:tcPr>
            <w:tcW w:w="2357" w:type="dxa"/>
            <w:gridSpan w:val="2"/>
            <w:shd w:val="clear" w:color="auto" w:fill="D9E2F3" w:themeFill="accent1" w:themeFillTint="33"/>
            <w:vAlign w:val="bottom"/>
          </w:tcPr>
          <w:p w14:paraId="229D9A75"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717" w:type="dxa"/>
            <w:shd w:val="clear" w:color="auto" w:fill="D9E2F3" w:themeFill="accent1" w:themeFillTint="33"/>
            <w:vAlign w:val="bottom"/>
          </w:tcPr>
          <w:p w14:paraId="133B3746"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1198" w:type="dxa"/>
            <w:shd w:val="clear" w:color="auto" w:fill="D9E2F3" w:themeFill="accent1" w:themeFillTint="33"/>
            <w:vAlign w:val="bottom"/>
          </w:tcPr>
          <w:p w14:paraId="61C437D1" w14:textId="77777777" w:rsidR="000A5484" w:rsidRPr="00E2052F" w:rsidRDefault="00172C7A" w:rsidP="00582E7B">
            <w:pPr>
              <w:spacing w:before="0" w:beforeAutospacing="0" w:line="240" w:lineRule="auto"/>
              <w:ind w:firstLine="0"/>
              <w:jc w:val="center"/>
              <w:rPr>
                <w:rFonts w:cstheme="majorBidi"/>
                <w:b/>
                <w:bCs/>
                <w:kern w:val="2"/>
                <w:sz w:val="22"/>
              </w:rPr>
            </w:pPr>
            <w:r w:rsidRPr="00E2052F">
              <w:rPr>
                <w:rFonts w:cstheme="majorBidi"/>
                <w:b/>
                <w:bCs/>
                <w:kern w:val="2"/>
                <w:sz w:val="22"/>
              </w:rPr>
              <w:t>D</w:t>
            </w:r>
            <w:r w:rsidR="000A5484" w:rsidRPr="00E2052F">
              <w:rPr>
                <w:rFonts w:cstheme="majorBidi"/>
                <w:b/>
                <w:bCs/>
                <w:kern w:val="2"/>
                <w:sz w:val="22"/>
              </w:rPr>
              <w:t>dl</w:t>
            </w:r>
          </w:p>
        </w:tc>
        <w:tc>
          <w:tcPr>
            <w:tcW w:w="1609" w:type="dxa"/>
            <w:shd w:val="clear" w:color="auto" w:fill="D9E2F3" w:themeFill="accent1" w:themeFillTint="33"/>
            <w:vAlign w:val="bottom"/>
          </w:tcPr>
          <w:p w14:paraId="3F9E4064"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98" w:type="dxa"/>
            <w:shd w:val="clear" w:color="auto" w:fill="D9E2F3" w:themeFill="accent1" w:themeFillTint="33"/>
            <w:vAlign w:val="bottom"/>
          </w:tcPr>
          <w:p w14:paraId="351912A6"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201" w:type="dxa"/>
            <w:shd w:val="clear" w:color="auto" w:fill="D9E2F3" w:themeFill="accent1" w:themeFillTint="33"/>
            <w:vAlign w:val="bottom"/>
          </w:tcPr>
          <w:p w14:paraId="1DED2760"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0A5484" w:rsidRPr="00E2052F" w14:paraId="79E22ADA" w14:textId="77777777" w:rsidTr="007530A6">
        <w:trPr>
          <w:cantSplit/>
          <w:trHeight w:val="316"/>
          <w:jc w:val="center"/>
        </w:trPr>
        <w:tc>
          <w:tcPr>
            <w:tcW w:w="856" w:type="dxa"/>
            <w:vMerge w:val="restart"/>
            <w:shd w:val="clear" w:color="auto" w:fill="D9E2F3" w:themeFill="accent1" w:themeFillTint="33"/>
          </w:tcPr>
          <w:p w14:paraId="276A88E9" w14:textId="77777777" w:rsidR="00582E7B" w:rsidRPr="00E2052F" w:rsidRDefault="00582E7B" w:rsidP="00582E7B">
            <w:pPr>
              <w:spacing w:before="0" w:beforeAutospacing="0" w:line="240" w:lineRule="auto"/>
              <w:ind w:firstLine="0"/>
              <w:jc w:val="center"/>
              <w:rPr>
                <w:rFonts w:cstheme="majorBidi"/>
                <w:b/>
                <w:bCs/>
                <w:kern w:val="2"/>
                <w:sz w:val="22"/>
              </w:rPr>
            </w:pPr>
          </w:p>
          <w:p w14:paraId="3D132A76" w14:textId="77777777" w:rsidR="000A5484"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01" w:type="dxa"/>
            <w:shd w:val="clear" w:color="auto" w:fill="D9E2F3" w:themeFill="accent1" w:themeFillTint="33"/>
          </w:tcPr>
          <w:p w14:paraId="2350C636"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717" w:type="dxa"/>
          </w:tcPr>
          <w:p w14:paraId="6CD0DB2F"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28.025</w:t>
            </w:r>
          </w:p>
        </w:tc>
        <w:tc>
          <w:tcPr>
            <w:tcW w:w="1198" w:type="dxa"/>
          </w:tcPr>
          <w:p w14:paraId="2375848D"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1</w:t>
            </w:r>
          </w:p>
        </w:tc>
        <w:tc>
          <w:tcPr>
            <w:tcW w:w="1609" w:type="dxa"/>
          </w:tcPr>
          <w:p w14:paraId="6E6ACD0B"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28.025</w:t>
            </w:r>
          </w:p>
        </w:tc>
        <w:tc>
          <w:tcPr>
            <w:tcW w:w="1198" w:type="dxa"/>
          </w:tcPr>
          <w:p w14:paraId="12490534"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95.232</w:t>
            </w:r>
          </w:p>
        </w:tc>
        <w:tc>
          <w:tcPr>
            <w:tcW w:w="1201" w:type="dxa"/>
          </w:tcPr>
          <w:p w14:paraId="16594614"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0A5484" w:rsidRPr="00E2052F" w14:paraId="1FD8DA1F" w14:textId="77777777" w:rsidTr="007530A6">
        <w:trPr>
          <w:cantSplit/>
          <w:trHeight w:val="316"/>
          <w:jc w:val="center"/>
        </w:trPr>
        <w:tc>
          <w:tcPr>
            <w:tcW w:w="856" w:type="dxa"/>
            <w:vMerge/>
            <w:shd w:val="clear" w:color="auto" w:fill="D9E2F3" w:themeFill="accent1" w:themeFillTint="33"/>
          </w:tcPr>
          <w:p w14:paraId="7492F93C" w14:textId="77777777" w:rsidR="000A5484" w:rsidRPr="00E2052F" w:rsidRDefault="000A5484" w:rsidP="00582E7B">
            <w:pPr>
              <w:spacing w:before="0" w:beforeAutospacing="0" w:line="240" w:lineRule="auto"/>
              <w:jc w:val="center"/>
              <w:rPr>
                <w:rFonts w:cstheme="majorBidi"/>
                <w:b/>
                <w:bCs/>
                <w:kern w:val="2"/>
                <w:sz w:val="22"/>
              </w:rPr>
            </w:pPr>
          </w:p>
        </w:tc>
        <w:tc>
          <w:tcPr>
            <w:tcW w:w="1501" w:type="dxa"/>
            <w:shd w:val="clear" w:color="auto" w:fill="D9E2F3" w:themeFill="accent1" w:themeFillTint="33"/>
          </w:tcPr>
          <w:p w14:paraId="45705F5E"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717" w:type="dxa"/>
          </w:tcPr>
          <w:p w14:paraId="03077AA2"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87.696</w:t>
            </w:r>
          </w:p>
        </w:tc>
        <w:tc>
          <w:tcPr>
            <w:tcW w:w="1198" w:type="dxa"/>
          </w:tcPr>
          <w:p w14:paraId="50F85864"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298</w:t>
            </w:r>
          </w:p>
        </w:tc>
        <w:tc>
          <w:tcPr>
            <w:tcW w:w="1609" w:type="dxa"/>
          </w:tcPr>
          <w:p w14:paraId="6263CF5E"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0.294</w:t>
            </w:r>
          </w:p>
        </w:tc>
        <w:tc>
          <w:tcPr>
            <w:tcW w:w="1198" w:type="dxa"/>
            <w:vAlign w:val="center"/>
          </w:tcPr>
          <w:p w14:paraId="2A172E3A" w14:textId="77777777" w:rsidR="000A5484" w:rsidRPr="00E2052F" w:rsidRDefault="000A5484" w:rsidP="00582E7B">
            <w:pPr>
              <w:spacing w:before="0" w:beforeAutospacing="0" w:line="240" w:lineRule="auto"/>
              <w:jc w:val="center"/>
              <w:rPr>
                <w:rFonts w:cstheme="majorBidi"/>
                <w:kern w:val="2"/>
                <w:sz w:val="22"/>
              </w:rPr>
            </w:pPr>
          </w:p>
        </w:tc>
        <w:tc>
          <w:tcPr>
            <w:tcW w:w="1201" w:type="dxa"/>
            <w:vAlign w:val="center"/>
          </w:tcPr>
          <w:p w14:paraId="5655422F" w14:textId="77777777" w:rsidR="000A5484" w:rsidRPr="00E2052F" w:rsidRDefault="000A5484" w:rsidP="00582E7B">
            <w:pPr>
              <w:spacing w:before="0" w:beforeAutospacing="0" w:line="240" w:lineRule="auto"/>
              <w:jc w:val="center"/>
              <w:rPr>
                <w:rFonts w:cstheme="majorBidi"/>
                <w:kern w:val="2"/>
                <w:sz w:val="22"/>
              </w:rPr>
            </w:pPr>
          </w:p>
        </w:tc>
      </w:tr>
      <w:tr w:rsidR="000A5484" w:rsidRPr="00E2052F" w14:paraId="0C34A642" w14:textId="77777777" w:rsidTr="007530A6">
        <w:trPr>
          <w:cantSplit/>
          <w:trHeight w:val="316"/>
          <w:jc w:val="center"/>
        </w:trPr>
        <w:tc>
          <w:tcPr>
            <w:tcW w:w="856" w:type="dxa"/>
            <w:vMerge/>
            <w:shd w:val="clear" w:color="auto" w:fill="D9E2F3" w:themeFill="accent1" w:themeFillTint="33"/>
          </w:tcPr>
          <w:p w14:paraId="5D3490F4" w14:textId="77777777" w:rsidR="000A5484" w:rsidRPr="00E2052F" w:rsidRDefault="000A5484" w:rsidP="00582E7B">
            <w:pPr>
              <w:spacing w:before="0" w:beforeAutospacing="0" w:line="240" w:lineRule="auto"/>
              <w:jc w:val="center"/>
              <w:rPr>
                <w:rFonts w:cstheme="majorBidi"/>
                <w:b/>
                <w:bCs/>
                <w:kern w:val="2"/>
                <w:sz w:val="22"/>
              </w:rPr>
            </w:pPr>
          </w:p>
        </w:tc>
        <w:tc>
          <w:tcPr>
            <w:tcW w:w="1501" w:type="dxa"/>
            <w:shd w:val="clear" w:color="auto" w:fill="D9E2F3" w:themeFill="accent1" w:themeFillTint="33"/>
          </w:tcPr>
          <w:p w14:paraId="44A9DB99" w14:textId="77777777" w:rsidR="000A5484" w:rsidRPr="00E2052F" w:rsidRDefault="000A5484" w:rsidP="00582E7B">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717" w:type="dxa"/>
          </w:tcPr>
          <w:p w14:paraId="435A5932"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1198" w:type="dxa"/>
          </w:tcPr>
          <w:p w14:paraId="7C1C9A1E" w14:textId="77777777" w:rsidR="000A5484" w:rsidRPr="00E2052F" w:rsidRDefault="000A5484" w:rsidP="00582E7B">
            <w:pPr>
              <w:spacing w:before="0" w:beforeAutospacing="0" w:line="240" w:lineRule="auto"/>
              <w:ind w:firstLine="0"/>
              <w:jc w:val="center"/>
              <w:rPr>
                <w:rFonts w:cstheme="majorBidi"/>
                <w:kern w:val="2"/>
                <w:sz w:val="22"/>
              </w:rPr>
            </w:pPr>
            <w:r w:rsidRPr="00E2052F">
              <w:rPr>
                <w:rFonts w:cstheme="majorBidi"/>
                <w:kern w:val="2"/>
                <w:sz w:val="22"/>
              </w:rPr>
              <w:t>299</w:t>
            </w:r>
          </w:p>
        </w:tc>
        <w:tc>
          <w:tcPr>
            <w:tcW w:w="1609" w:type="dxa"/>
            <w:vAlign w:val="center"/>
          </w:tcPr>
          <w:p w14:paraId="7051719F" w14:textId="77777777" w:rsidR="000A5484" w:rsidRPr="00E2052F" w:rsidRDefault="000A5484" w:rsidP="00582E7B">
            <w:pPr>
              <w:spacing w:before="0" w:beforeAutospacing="0" w:line="240" w:lineRule="auto"/>
              <w:jc w:val="center"/>
              <w:rPr>
                <w:rFonts w:cstheme="majorBidi"/>
                <w:kern w:val="2"/>
                <w:sz w:val="22"/>
              </w:rPr>
            </w:pPr>
          </w:p>
        </w:tc>
        <w:tc>
          <w:tcPr>
            <w:tcW w:w="1198" w:type="dxa"/>
            <w:vAlign w:val="center"/>
          </w:tcPr>
          <w:p w14:paraId="7F80E35C" w14:textId="77777777" w:rsidR="000A5484" w:rsidRPr="00E2052F" w:rsidRDefault="000A5484" w:rsidP="00582E7B">
            <w:pPr>
              <w:spacing w:before="0" w:beforeAutospacing="0" w:line="240" w:lineRule="auto"/>
              <w:jc w:val="center"/>
              <w:rPr>
                <w:rFonts w:cstheme="majorBidi"/>
                <w:kern w:val="2"/>
                <w:sz w:val="22"/>
              </w:rPr>
            </w:pPr>
          </w:p>
        </w:tc>
        <w:tc>
          <w:tcPr>
            <w:tcW w:w="1201" w:type="dxa"/>
            <w:vAlign w:val="center"/>
          </w:tcPr>
          <w:p w14:paraId="0E9F3158" w14:textId="77777777" w:rsidR="000A5484" w:rsidRPr="00E2052F" w:rsidRDefault="000A5484" w:rsidP="00582E7B">
            <w:pPr>
              <w:spacing w:before="0" w:beforeAutospacing="0" w:line="240" w:lineRule="auto"/>
              <w:jc w:val="center"/>
              <w:rPr>
                <w:rFonts w:cstheme="majorBidi"/>
                <w:kern w:val="2"/>
                <w:sz w:val="22"/>
              </w:rPr>
            </w:pPr>
          </w:p>
        </w:tc>
      </w:tr>
      <w:tr w:rsidR="000A5484" w:rsidRPr="00E2052F" w14:paraId="1B1CFF41" w14:textId="77777777" w:rsidTr="00582E7B">
        <w:trPr>
          <w:cantSplit/>
          <w:trHeight w:val="365"/>
          <w:jc w:val="center"/>
        </w:trPr>
        <w:tc>
          <w:tcPr>
            <w:tcW w:w="9280" w:type="dxa"/>
            <w:gridSpan w:val="7"/>
            <w:shd w:val="clear" w:color="auto" w:fill="FFFFFF"/>
          </w:tcPr>
          <w:p w14:paraId="5ADAE8AC" w14:textId="77777777" w:rsidR="000A5484" w:rsidRPr="00E2052F" w:rsidRDefault="000A5484" w:rsidP="00582E7B">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0A5484" w:rsidRPr="00E2052F" w14:paraId="3C23CF96" w14:textId="77777777" w:rsidTr="00582E7B">
        <w:trPr>
          <w:cantSplit/>
          <w:trHeight w:val="316"/>
          <w:jc w:val="center"/>
        </w:trPr>
        <w:tc>
          <w:tcPr>
            <w:tcW w:w="9280" w:type="dxa"/>
            <w:gridSpan w:val="7"/>
            <w:shd w:val="clear" w:color="auto" w:fill="FFFFFF"/>
          </w:tcPr>
          <w:p w14:paraId="42792240" w14:textId="77777777" w:rsidR="000A5484" w:rsidRPr="00E2052F" w:rsidRDefault="000A5484" w:rsidP="00582E7B">
            <w:pPr>
              <w:spacing w:before="0" w:beforeAutospacing="0" w:line="240" w:lineRule="auto"/>
              <w:rPr>
                <w:rFonts w:cstheme="majorBidi"/>
                <w:b/>
                <w:bCs/>
                <w:kern w:val="2"/>
                <w:sz w:val="22"/>
              </w:rPr>
            </w:pPr>
            <w:r w:rsidRPr="00E2052F">
              <w:rPr>
                <w:rFonts w:cstheme="majorBidi"/>
                <w:b/>
                <w:bCs/>
                <w:kern w:val="2"/>
                <w:sz w:val="22"/>
              </w:rPr>
              <w:t>b. Prédicteurs : (Constante), Le rôle des parties prenantes</w:t>
            </w:r>
          </w:p>
        </w:tc>
      </w:tr>
    </w:tbl>
    <w:p w14:paraId="44DF7B45" w14:textId="77777777" w:rsidR="00130D09" w:rsidRPr="00E2052F" w:rsidRDefault="00130D09" w:rsidP="00582E7B">
      <w:pPr>
        <w:spacing w:before="0" w:beforeAutospacing="0" w:line="240" w:lineRule="auto"/>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4C88CE5F" w14:textId="77777777" w:rsidR="003B06D6" w:rsidRPr="00E2052F" w:rsidRDefault="003B06D6" w:rsidP="00D23BF3">
      <w:pPr>
        <w:spacing w:before="0" w:beforeAutospacing="0"/>
        <w:rPr>
          <w:rFonts w:cstheme="majorBidi"/>
          <w:sz w:val="22"/>
        </w:rPr>
      </w:pPr>
      <w:r w:rsidRPr="00E2052F">
        <w:rPr>
          <w:rFonts w:cstheme="majorBidi"/>
          <w:sz w:val="22"/>
        </w:rPr>
        <w:t>Le test ANOVA montre une valeur de F = 95,232 avec un niveau de signification (Sig.) égal à 0,000, c'est-à-dire inférieur au seuil critique de 0,05.Cela signifie qu'il existe une corrélation statistiquement significative entre le rôle des parties prenantes (Axe 4) et la RSE au sein de Tayal SPA à un niveau de signification de 5 %.</w:t>
      </w:r>
    </w:p>
    <w:p w14:paraId="3761F737" w14:textId="77777777" w:rsidR="00130D09" w:rsidRPr="00E2052F" w:rsidRDefault="00130D09" w:rsidP="00D61875">
      <w:pPr>
        <w:pStyle w:val="Paragraphedeliste"/>
        <w:numPr>
          <w:ilvl w:val="0"/>
          <w:numId w:val="23"/>
        </w:numPr>
        <w:spacing w:before="0" w:beforeAutospacing="0"/>
        <w:ind w:left="1208" w:hanging="357"/>
        <w:rPr>
          <w:rFonts w:cstheme="majorBidi"/>
          <w:b/>
          <w:bCs/>
          <w:sz w:val="22"/>
        </w:rPr>
      </w:pPr>
      <w:r w:rsidRPr="00E2052F">
        <w:rPr>
          <w:rFonts w:cstheme="majorBidi"/>
          <w:b/>
          <w:bCs/>
          <w:sz w:val="22"/>
        </w:rPr>
        <w:t>Coefficients de régression :</w:t>
      </w:r>
    </w:p>
    <w:p w14:paraId="4455D79D" w14:textId="77777777" w:rsidR="00130D09" w:rsidRPr="00E2052F" w:rsidRDefault="00695A21" w:rsidP="00C91CDC">
      <w:pPr>
        <w:spacing w:before="0" w:beforeAutospacing="0" w:line="240" w:lineRule="auto"/>
        <w:rPr>
          <w:rFonts w:cstheme="majorBidi"/>
          <w:sz w:val="22"/>
        </w:rPr>
      </w:pPr>
      <w:bookmarkStart w:id="1809" w:name="_Hlk228709154"/>
      <w:r w:rsidRPr="00E2052F">
        <w:rPr>
          <w:rFonts w:cstheme="majorBidi"/>
          <w:b/>
          <w:bCs/>
          <w:sz w:val="22"/>
          <w:u w:val="single"/>
        </w:rPr>
        <w:t>Tableau 4</w:t>
      </w:r>
      <w:r w:rsidR="00193ABF" w:rsidRPr="00E2052F">
        <w:rPr>
          <w:rFonts w:cstheme="majorBidi"/>
          <w:b/>
          <w:bCs/>
          <w:sz w:val="22"/>
          <w:u w:val="single"/>
        </w:rPr>
        <w:t>4</w:t>
      </w:r>
      <w:r w:rsidRPr="00E2052F">
        <w:rPr>
          <w:rFonts w:cstheme="majorBidi"/>
          <w:b/>
          <w:bCs/>
          <w:sz w:val="22"/>
          <w:u w:val="single"/>
        </w:rPr>
        <w:t> :</w:t>
      </w:r>
      <w:r w:rsidRPr="00E2052F">
        <w:rPr>
          <w:rFonts w:cstheme="majorBidi"/>
          <w:sz w:val="22"/>
        </w:rPr>
        <w:t xml:space="preserve"> </w:t>
      </w:r>
      <w:r w:rsidRPr="00E2052F">
        <w:rPr>
          <w:rFonts w:cstheme="majorBidi"/>
          <w:b/>
          <w:bCs/>
          <w:sz w:val="22"/>
        </w:rPr>
        <w:t>coefficients</w:t>
      </w:r>
      <w:r w:rsidR="00130D09" w:rsidRPr="00E2052F">
        <w:rPr>
          <w:rFonts w:cstheme="majorBidi"/>
          <w:b/>
          <w:bCs/>
          <w:sz w:val="22"/>
        </w:rPr>
        <w:t xml:space="preserve"> de régression.</w:t>
      </w:r>
      <w:bookmarkEnd w:id="1809"/>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4"/>
        <w:gridCol w:w="1698"/>
        <w:gridCol w:w="1331"/>
        <w:gridCol w:w="1597"/>
        <w:gridCol w:w="2414"/>
        <w:gridCol w:w="667"/>
        <w:gridCol w:w="671"/>
      </w:tblGrid>
      <w:tr w:rsidR="00130D09" w:rsidRPr="00E2052F" w14:paraId="502496C2" w14:textId="77777777" w:rsidTr="00BD4F12">
        <w:trPr>
          <w:cantSplit/>
          <w:jc w:val="center"/>
        </w:trPr>
        <w:tc>
          <w:tcPr>
            <w:tcW w:w="9659" w:type="dxa"/>
            <w:gridSpan w:val="7"/>
            <w:shd w:val="clear" w:color="auto" w:fill="B4C6E7" w:themeFill="accent1" w:themeFillTint="66"/>
            <w:vAlign w:val="center"/>
          </w:tcPr>
          <w:p w14:paraId="2C3D8BB0"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130D09" w:rsidRPr="00E2052F" w14:paraId="2220FD8F" w14:textId="77777777" w:rsidTr="00BD4F12">
        <w:trPr>
          <w:cantSplit/>
          <w:jc w:val="center"/>
        </w:trPr>
        <w:tc>
          <w:tcPr>
            <w:tcW w:w="2547" w:type="dxa"/>
            <w:gridSpan w:val="2"/>
            <w:vMerge w:val="restart"/>
            <w:shd w:val="clear" w:color="auto" w:fill="D9E2F3" w:themeFill="accent1" w:themeFillTint="33"/>
            <w:vAlign w:val="center"/>
          </w:tcPr>
          <w:p w14:paraId="26B876AE"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3118" w:type="dxa"/>
            <w:gridSpan w:val="2"/>
            <w:shd w:val="clear" w:color="auto" w:fill="D9E2F3" w:themeFill="accent1" w:themeFillTint="33"/>
            <w:vAlign w:val="center"/>
          </w:tcPr>
          <w:p w14:paraId="0DADC1C3"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72" w:type="dxa"/>
            <w:shd w:val="clear" w:color="auto" w:fill="D9E2F3" w:themeFill="accent1" w:themeFillTint="33"/>
            <w:vAlign w:val="center"/>
          </w:tcPr>
          <w:p w14:paraId="5DEF136E"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709" w:type="dxa"/>
            <w:vMerge w:val="restart"/>
            <w:shd w:val="clear" w:color="auto" w:fill="D9E2F3" w:themeFill="accent1" w:themeFillTint="33"/>
            <w:vAlign w:val="center"/>
          </w:tcPr>
          <w:p w14:paraId="37C948A4"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713" w:type="dxa"/>
            <w:vMerge w:val="restart"/>
            <w:shd w:val="clear" w:color="auto" w:fill="D9E2F3" w:themeFill="accent1" w:themeFillTint="33"/>
            <w:vAlign w:val="center"/>
          </w:tcPr>
          <w:p w14:paraId="3FF481B6"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130D09" w:rsidRPr="00E2052F" w14:paraId="64B1EFE3" w14:textId="77777777" w:rsidTr="00BD4F12">
        <w:trPr>
          <w:cantSplit/>
          <w:jc w:val="center"/>
        </w:trPr>
        <w:tc>
          <w:tcPr>
            <w:tcW w:w="2547" w:type="dxa"/>
            <w:gridSpan w:val="2"/>
            <w:vMerge/>
            <w:shd w:val="clear" w:color="auto" w:fill="D9E2F3" w:themeFill="accent1" w:themeFillTint="33"/>
            <w:vAlign w:val="center"/>
          </w:tcPr>
          <w:p w14:paraId="66AC13A4" w14:textId="77777777" w:rsidR="00130D09" w:rsidRPr="00E2052F" w:rsidRDefault="00130D09" w:rsidP="00582E7B">
            <w:pPr>
              <w:spacing w:before="0" w:beforeAutospacing="0" w:line="240" w:lineRule="auto"/>
              <w:jc w:val="center"/>
              <w:rPr>
                <w:rFonts w:cstheme="majorBidi"/>
                <w:b/>
                <w:bCs/>
                <w:kern w:val="2"/>
                <w:sz w:val="22"/>
              </w:rPr>
            </w:pPr>
          </w:p>
        </w:tc>
        <w:tc>
          <w:tcPr>
            <w:tcW w:w="1417" w:type="dxa"/>
            <w:shd w:val="clear" w:color="auto" w:fill="D9E2F3" w:themeFill="accent1" w:themeFillTint="33"/>
            <w:vAlign w:val="center"/>
          </w:tcPr>
          <w:p w14:paraId="727A595C"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701" w:type="dxa"/>
            <w:shd w:val="clear" w:color="auto" w:fill="D9E2F3" w:themeFill="accent1" w:themeFillTint="33"/>
            <w:vAlign w:val="center"/>
          </w:tcPr>
          <w:p w14:paraId="5AC31602"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72" w:type="dxa"/>
            <w:shd w:val="clear" w:color="auto" w:fill="D9E2F3" w:themeFill="accent1" w:themeFillTint="33"/>
            <w:vAlign w:val="center"/>
          </w:tcPr>
          <w:p w14:paraId="093020AC"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9" w:type="dxa"/>
            <w:vMerge/>
            <w:shd w:val="clear" w:color="auto" w:fill="D9E2F3" w:themeFill="accent1" w:themeFillTint="33"/>
            <w:vAlign w:val="center"/>
          </w:tcPr>
          <w:p w14:paraId="16622713" w14:textId="77777777" w:rsidR="00130D09" w:rsidRPr="00E2052F" w:rsidRDefault="00130D09" w:rsidP="00582E7B">
            <w:pPr>
              <w:spacing w:before="0" w:beforeAutospacing="0" w:line="240" w:lineRule="auto"/>
              <w:jc w:val="center"/>
              <w:rPr>
                <w:rFonts w:cstheme="majorBidi"/>
                <w:b/>
                <w:bCs/>
                <w:kern w:val="2"/>
                <w:sz w:val="22"/>
              </w:rPr>
            </w:pPr>
          </w:p>
        </w:tc>
        <w:tc>
          <w:tcPr>
            <w:tcW w:w="713" w:type="dxa"/>
            <w:vMerge/>
            <w:shd w:val="clear" w:color="auto" w:fill="D9E2F3" w:themeFill="accent1" w:themeFillTint="33"/>
            <w:vAlign w:val="center"/>
          </w:tcPr>
          <w:p w14:paraId="4E81CD68" w14:textId="77777777" w:rsidR="00130D09" w:rsidRPr="00E2052F" w:rsidRDefault="00130D09" w:rsidP="00582E7B">
            <w:pPr>
              <w:spacing w:before="0" w:beforeAutospacing="0" w:line="240" w:lineRule="auto"/>
              <w:jc w:val="center"/>
              <w:rPr>
                <w:rFonts w:cstheme="majorBidi"/>
                <w:b/>
                <w:bCs/>
                <w:kern w:val="2"/>
                <w:sz w:val="22"/>
              </w:rPr>
            </w:pPr>
          </w:p>
        </w:tc>
      </w:tr>
      <w:tr w:rsidR="00130D09" w:rsidRPr="00E2052F" w14:paraId="39AE4ACF" w14:textId="77777777" w:rsidTr="00BD4F12">
        <w:trPr>
          <w:cantSplit/>
          <w:jc w:val="center"/>
        </w:trPr>
        <w:tc>
          <w:tcPr>
            <w:tcW w:w="738" w:type="dxa"/>
            <w:vMerge w:val="restart"/>
            <w:shd w:val="clear" w:color="auto" w:fill="D9E2F3" w:themeFill="accent1" w:themeFillTint="33"/>
            <w:vAlign w:val="center"/>
          </w:tcPr>
          <w:p w14:paraId="194CC0E4"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809" w:type="dxa"/>
            <w:shd w:val="clear" w:color="auto" w:fill="D9E2F3" w:themeFill="accent1" w:themeFillTint="33"/>
            <w:vAlign w:val="center"/>
          </w:tcPr>
          <w:p w14:paraId="3090B41C"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417" w:type="dxa"/>
            <w:vAlign w:val="center"/>
          </w:tcPr>
          <w:p w14:paraId="3A5A6260"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2.004</w:t>
            </w:r>
          </w:p>
        </w:tc>
        <w:tc>
          <w:tcPr>
            <w:tcW w:w="1701" w:type="dxa"/>
            <w:vAlign w:val="center"/>
          </w:tcPr>
          <w:p w14:paraId="387CCC4D"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0.206</w:t>
            </w:r>
          </w:p>
        </w:tc>
        <w:tc>
          <w:tcPr>
            <w:tcW w:w="2572" w:type="dxa"/>
            <w:vAlign w:val="center"/>
          </w:tcPr>
          <w:p w14:paraId="26B66E21" w14:textId="77777777" w:rsidR="00130D09" w:rsidRPr="00E2052F" w:rsidRDefault="00130D09" w:rsidP="00582E7B">
            <w:pPr>
              <w:spacing w:before="0" w:beforeAutospacing="0" w:line="240" w:lineRule="auto"/>
              <w:jc w:val="center"/>
              <w:rPr>
                <w:rFonts w:cstheme="majorBidi"/>
                <w:kern w:val="2"/>
                <w:sz w:val="22"/>
              </w:rPr>
            </w:pPr>
          </w:p>
        </w:tc>
        <w:tc>
          <w:tcPr>
            <w:tcW w:w="709" w:type="dxa"/>
            <w:vAlign w:val="center"/>
          </w:tcPr>
          <w:p w14:paraId="3FABBEC1"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9.718</w:t>
            </w:r>
          </w:p>
        </w:tc>
        <w:tc>
          <w:tcPr>
            <w:tcW w:w="713" w:type="dxa"/>
            <w:vAlign w:val="center"/>
          </w:tcPr>
          <w:p w14:paraId="3AC1D8FE"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0.000</w:t>
            </w:r>
          </w:p>
        </w:tc>
      </w:tr>
      <w:tr w:rsidR="00130D09" w:rsidRPr="00E2052F" w14:paraId="751DEBC1" w14:textId="77777777" w:rsidTr="00BD4F12">
        <w:trPr>
          <w:cantSplit/>
          <w:jc w:val="center"/>
        </w:trPr>
        <w:tc>
          <w:tcPr>
            <w:tcW w:w="738" w:type="dxa"/>
            <w:vMerge/>
            <w:shd w:val="clear" w:color="auto" w:fill="D9E2F3" w:themeFill="accent1" w:themeFillTint="33"/>
            <w:vAlign w:val="center"/>
          </w:tcPr>
          <w:p w14:paraId="6E78CC6D" w14:textId="77777777" w:rsidR="00130D09" w:rsidRPr="00E2052F" w:rsidRDefault="00130D09" w:rsidP="00582E7B">
            <w:pPr>
              <w:spacing w:before="0" w:beforeAutospacing="0" w:line="240" w:lineRule="auto"/>
              <w:jc w:val="center"/>
              <w:rPr>
                <w:rFonts w:cstheme="majorBidi"/>
                <w:b/>
                <w:bCs/>
                <w:kern w:val="2"/>
                <w:sz w:val="22"/>
              </w:rPr>
            </w:pPr>
          </w:p>
        </w:tc>
        <w:tc>
          <w:tcPr>
            <w:tcW w:w="1809" w:type="dxa"/>
            <w:shd w:val="clear" w:color="auto" w:fill="D9E2F3" w:themeFill="accent1" w:themeFillTint="33"/>
            <w:vAlign w:val="center"/>
          </w:tcPr>
          <w:p w14:paraId="2B475AA6" w14:textId="77777777" w:rsidR="00130D09" w:rsidRPr="00E2052F" w:rsidRDefault="00130D09" w:rsidP="00582E7B">
            <w:pPr>
              <w:spacing w:before="0" w:beforeAutospacing="0" w:line="240" w:lineRule="auto"/>
              <w:ind w:firstLine="0"/>
              <w:jc w:val="center"/>
              <w:rPr>
                <w:rFonts w:cstheme="majorBidi"/>
                <w:b/>
                <w:bCs/>
                <w:kern w:val="2"/>
                <w:sz w:val="22"/>
              </w:rPr>
            </w:pPr>
            <w:r w:rsidRPr="00E2052F">
              <w:rPr>
                <w:rFonts w:cstheme="majorBidi"/>
                <w:b/>
                <w:bCs/>
                <w:kern w:val="2"/>
                <w:sz w:val="22"/>
              </w:rPr>
              <w:t>Le rôle des parties prenantes</w:t>
            </w:r>
          </w:p>
        </w:tc>
        <w:tc>
          <w:tcPr>
            <w:tcW w:w="1417" w:type="dxa"/>
            <w:vAlign w:val="center"/>
          </w:tcPr>
          <w:p w14:paraId="6B6D5F41"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0.481</w:t>
            </w:r>
          </w:p>
        </w:tc>
        <w:tc>
          <w:tcPr>
            <w:tcW w:w="1701" w:type="dxa"/>
            <w:vAlign w:val="center"/>
          </w:tcPr>
          <w:p w14:paraId="5DEC2F5B"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0.049</w:t>
            </w:r>
          </w:p>
        </w:tc>
        <w:tc>
          <w:tcPr>
            <w:tcW w:w="2572" w:type="dxa"/>
            <w:vAlign w:val="center"/>
          </w:tcPr>
          <w:p w14:paraId="48E1A1E1"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0.492</w:t>
            </w:r>
          </w:p>
        </w:tc>
        <w:tc>
          <w:tcPr>
            <w:tcW w:w="709" w:type="dxa"/>
            <w:vAlign w:val="center"/>
          </w:tcPr>
          <w:p w14:paraId="130C1D31"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9.759</w:t>
            </w:r>
          </w:p>
        </w:tc>
        <w:tc>
          <w:tcPr>
            <w:tcW w:w="713" w:type="dxa"/>
            <w:vAlign w:val="center"/>
          </w:tcPr>
          <w:p w14:paraId="52C89C38" w14:textId="77777777" w:rsidR="00130D09" w:rsidRPr="00E2052F" w:rsidRDefault="00130D09" w:rsidP="00582E7B">
            <w:pPr>
              <w:spacing w:before="0" w:beforeAutospacing="0" w:line="240" w:lineRule="auto"/>
              <w:ind w:firstLine="0"/>
              <w:jc w:val="center"/>
              <w:rPr>
                <w:rFonts w:cstheme="majorBidi"/>
                <w:kern w:val="2"/>
                <w:sz w:val="22"/>
              </w:rPr>
            </w:pPr>
            <w:r w:rsidRPr="00E2052F">
              <w:rPr>
                <w:rFonts w:cstheme="majorBidi"/>
                <w:kern w:val="2"/>
                <w:sz w:val="22"/>
              </w:rPr>
              <w:t>0.000</w:t>
            </w:r>
          </w:p>
        </w:tc>
      </w:tr>
      <w:tr w:rsidR="00130D09" w:rsidRPr="00E2052F" w14:paraId="100DCE8F" w14:textId="77777777" w:rsidTr="00582E7B">
        <w:trPr>
          <w:cantSplit/>
          <w:jc w:val="center"/>
        </w:trPr>
        <w:tc>
          <w:tcPr>
            <w:tcW w:w="9659" w:type="dxa"/>
            <w:gridSpan w:val="7"/>
            <w:shd w:val="clear" w:color="auto" w:fill="FFFFFF"/>
            <w:vAlign w:val="center"/>
          </w:tcPr>
          <w:p w14:paraId="17EA3C08" w14:textId="77777777" w:rsidR="00130D09" w:rsidRPr="00E2052F" w:rsidRDefault="00130D09" w:rsidP="00582E7B">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7CB9FAA5" w14:textId="77777777" w:rsidR="00130D09" w:rsidRPr="00E2052F" w:rsidRDefault="00130D09" w:rsidP="00582E7B">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w:t>
      </w:r>
      <w:r w:rsidR="00582E7B" w:rsidRPr="00E2052F">
        <w:rPr>
          <w:rFonts w:cstheme="majorBidi"/>
          <w:sz w:val="22"/>
        </w:rPr>
        <w:t xml:space="preserve"> partir des résultats du SPSS 27.</w:t>
      </w:r>
    </w:p>
    <w:p w14:paraId="05D17CB6" w14:textId="77777777" w:rsidR="000A5484" w:rsidRPr="00E2052F" w:rsidRDefault="00130D09" w:rsidP="00C91CDC">
      <w:pPr>
        <w:spacing w:before="0" w:beforeAutospacing="0"/>
        <w:rPr>
          <w:rFonts w:cstheme="majorBidi"/>
          <w:sz w:val="22"/>
        </w:rPr>
      </w:pPr>
      <w:r w:rsidRPr="00E2052F">
        <w:rPr>
          <w:rFonts w:cstheme="majorBidi"/>
          <w:sz w:val="22"/>
        </w:rPr>
        <w:t xml:space="preserve">D’après les résultats du tableau précédent, nous constatons que le modèle qui exprime la relation </w:t>
      </w:r>
      <w:r w:rsidR="00A7158D" w:rsidRPr="00E2052F">
        <w:rPr>
          <w:rFonts w:cstheme="majorBidi"/>
          <w:sz w:val="22"/>
        </w:rPr>
        <w:t>entre l</w:t>
      </w:r>
      <w:r w:rsidRPr="00E2052F">
        <w:rPr>
          <w:rFonts w:cstheme="majorBidi"/>
          <w:sz w:val="22"/>
        </w:rPr>
        <w:t>e rôle des parties prenantes et la RSE au sein de Tayal SPA est un modèle linéaire.</w:t>
      </w:r>
    </w:p>
    <w:p w14:paraId="50AA13D4" w14:textId="77777777" w:rsidR="00130D09" w:rsidRPr="00E2052F" w:rsidRDefault="00695A21" w:rsidP="00D23BF3">
      <w:pPr>
        <w:spacing w:before="0" w:beforeAutospacing="0"/>
        <w:ind w:firstLine="0"/>
        <w:jc w:val="center"/>
        <w:rPr>
          <w:rFonts w:cstheme="majorBidi"/>
          <w:b/>
          <w:bCs/>
          <w:sz w:val="22"/>
        </w:rPr>
      </w:pPr>
      <w:r w:rsidRPr="00E2052F">
        <w:rPr>
          <w:rFonts w:cstheme="majorBidi"/>
          <w:noProof/>
          <w:sz w:val="22"/>
          <w:lang w:eastAsia="fr-FR"/>
        </w:rPr>
        <mc:AlternateContent>
          <mc:Choice Requires="wps">
            <w:drawing>
              <wp:anchor distT="0" distB="0" distL="114300" distR="114300" simplePos="0" relativeHeight="252092416" behindDoc="0" locked="0" layoutInCell="1" allowOverlap="1" wp14:anchorId="5326C3FA" wp14:editId="1139366C">
                <wp:simplePos x="0" y="0"/>
                <wp:positionH relativeFrom="margin">
                  <wp:align>center</wp:align>
                </wp:positionH>
                <wp:positionV relativeFrom="paragraph">
                  <wp:posOffset>-37135</wp:posOffset>
                </wp:positionV>
                <wp:extent cx="1630017" cy="302149"/>
                <wp:effectExtent l="0" t="0" r="27940" b="22225"/>
                <wp:wrapNone/>
                <wp:docPr id="231" name="Rectangle à coins arrondis 231"/>
                <wp:cNvGraphicFramePr/>
                <a:graphic xmlns:a="http://schemas.openxmlformats.org/drawingml/2006/main">
                  <a:graphicData uri="http://schemas.microsoft.com/office/word/2010/wordprocessingShape">
                    <wps:wsp>
                      <wps:cNvSpPr/>
                      <wps:spPr>
                        <a:xfrm>
                          <a:off x="0" y="0"/>
                          <a:ext cx="1630017" cy="302149"/>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1F2534" id="Rectangle à coins arrondis 231" o:spid="_x0000_s1026" style="position:absolute;margin-left:0;margin-top:-2.9pt;width:128.35pt;height:23.8pt;z-index:25209241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" filled="f" strokecolor="#8eaadb [1940]" strokeweight="1pt">
                <v:stroke joinstyle="miter"/>
                <w10:wrap anchorx="margin"/>
              </v:roundrect>
            </w:pict>
          </mc:Fallback>
        </mc:AlternateContent>
      </w:r>
      <w:r w:rsidR="00130D09" w:rsidRPr="00E2052F">
        <w:rPr>
          <w:rFonts w:cstheme="majorBidi"/>
          <w:b/>
          <w:bCs/>
          <w:sz w:val="22"/>
        </w:rPr>
        <w:t>Y = 0,481 X4+ 2,004</w:t>
      </w:r>
    </w:p>
    <w:p w14:paraId="27C79152" w14:textId="77777777" w:rsidR="00130D09" w:rsidRPr="00E2052F" w:rsidRDefault="00130D09" w:rsidP="00D23BF3">
      <w:pPr>
        <w:spacing w:before="0" w:beforeAutospacing="0"/>
        <w:rPr>
          <w:rFonts w:cstheme="majorBidi"/>
          <w:sz w:val="22"/>
        </w:rPr>
      </w:pPr>
      <w:r w:rsidRPr="00E2052F">
        <w:rPr>
          <w:rFonts w:cstheme="majorBidi"/>
          <w:sz w:val="22"/>
        </w:rPr>
        <w:t>Le nombre 0,481 signifie que chaque augmentation d'un point du rôle des parties prenantes entraîne une augmentation de 0,481 point de la RSE.</w:t>
      </w:r>
    </w:p>
    <w:p w14:paraId="2E1EC072" w14:textId="77777777" w:rsidR="00130D09" w:rsidRPr="00E2052F" w:rsidRDefault="00130D09" w:rsidP="00D23BF3">
      <w:pPr>
        <w:spacing w:before="0" w:beforeAutospacing="0"/>
        <w:rPr>
          <w:rFonts w:cstheme="majorBidi"/>
          <w:sz w:val="22"/>
        </w:rPr>
      </w:pPr>
      <w:r w:rsidRPr="00E2052F">
        <w:rPr>
          <w:rFonts w:cstheme="majorBidi"/>
          <w:sz w:val="22"/>
        </w:rPr>
        <w:t>La constante (2,004) représente la valeur estimée de la RSE en l'absence d'implication du rôle des parties prenantes.</w:t>
      </w:r>
    </w:p>
    <w:p w14:paraId="6CC99E18" w14:textId="77777777" w:rsidR="00130D09" w:rsidRPr="00E2052F" w:rsidRDefault="00130D09" w:rsidP="00D23BF3">
      <w:pPr>
        <w:spacing w:before="0" w:beforeAutospacing="0"/>
        <w:rPr>
          <w:rFonts w:cstheme="majorBidi"/>
          <w:sz w:val="22"/>
        </w:rPr>
      </w:pPr>
      <w:r w:rsidRPr="00E2052F">
        <w:rPr>
          <w:rFonts w:cstheme="majorBidi"/>
          <w:sz w:val="22"/>
        </w:rPr>
        <w:t>Le coefficient standardisé (Bêta = 0,492) confirme un impact positif modéré à fort.</w:t>
      </w:r>
    </w:p>
    <w:p w14:paraId="0DC2DFE7" w14:textId="77777777" w:rsidR="00130D09" w:rsidRPr="00E2052F" w:rsidRDefault="00130D09" w:rsidP="00D23BF3">
      <w:pPr>
        <w:spacing w:before="0" w:beforeAutospacing="0"/>
        <w:rPr>
          <w:rFonts w:cstheme="majorBidi"/>
          <w:sz w:val="22"/>
        </w:rPr>
      </w:pPr>
      <w:r w:rsidRPr="00E2052F">
        <w:rPr>
          <w:rFonts w:cstheme="majorBidi"/>
          <w:sz w:val="22"/>
        </w:rPr>
        <w:lastRenderedPageBreak/>
        <w:t>La valeur t = 9,759 avec Sig. = 0,000 indique que ce coefficient est statistiquement significatif.</w:t>
      </w:r>
    </w:p>
    <w:p w14:paraId="08146B07" w14:textId="77777777" w:rsidR="00692E5A" w:rsidRPr="00E2052F" w:rsidRDefault="00692E5A" w:rsidP="00D61875">
      <w:pPr>
        <w:pStyle w:val="Titre4"/>
        <w:numPr>
          <w:ilvl w:val="0"/>
          <w:numId w:val="39"/>
        </w:numPr>
        <w:spacing w:before="0" w:beforeAutospacing="0" w:after="160"/>
        <w:ind w:left="924" w:hanging="357"/>
        <w:rPr>
          <w:rFonts w:asciiTheme="majorBidi" w:hAnsiTheme="majorBidi"/>
          <w:i w:val="0"/>
          <w:iCs w:val="0"/>
          <w:color w:val="auto"/>
          <w:sz w:val="22"/>
        </w:rPr>
      </w:pPr>
      <w:bookmarkStart w:id="1810" w:name="_Toc229156026"/>
      <w:bookmarkStart w:id="1811" w:name="_Toc231747024"/>
      <w:bookmarkStart w:id="1812" w:name="_Toc231752430"/>
      <w:bookmarkStart w:id="1813" w:name="_Toc231810733"/>
      <w:bookmarkStart w:id="1814" w:name="_Toc231812076"/>
      <w:bookmarkStart w:id="1815" w:name="_Toc231812354"/>
      <w:bookmarkStart w:id="1816" w:name="_Toc231815238"/>
      <w:r w:rsidRPr="00E2052F">
        <w:rPr>
          <w:rFonts w:asciiTheme="majorBidi" w:hAnsiTheme="majorBidi"/>
          <w:i w:val="0"/>
          <w:iCs w:val="0"/>
          <w:color w:val="auto"/>
          <w:sz w:val="22"/>
        </w:rPr>
        <w:t>La cinquième sous hypothèse :</w:t>
      </w:r>
      <w:bookmarkEnd w:id="1810"/>
      <w:bookmarkEnd w:id="1811"/>
      <w:bookmarkEnd w:id="1812"/>
      <w:bookmarkEnd w:id="1813"/>
      <w:bookmarkEnd w:id="1814"/>
      <w:bookmarkEnd w:id="1815"/>
      <w:bookmarkEnd w:id="1816"/>
    </w:p>
    <w:p w14:paraId="125A914F" w14:textId="77777777" w:rsidR="00692E5A" w:rsidRPr="00E2052F" w:rsidRDefault="00692E5A" w:rsidP="00D23BF3">
      <w:pPr>
        <w:spacing w:before="0" w:beforeAutospacing="0"/>
        <w:rPr>
          <w:rFonts w:cstheme="majorBidi"/>
          <w:sz w:val="22"/>
        </w:rPr>
      </w:pPr>
      <w:r w:rsidRPr="00E2052F">
        <w:rPr>
          <w:rFonts w:cstheme="majorBidi"/>
          <w:b/>
          <w:bCs/>
          <w:sz w:val="22"/>
        </w:rPr>
        <w:t>H1e :</w:t>
      </w:r>
      <w:r w:rsidRPr="00E2052F">
        <w:rPr>
          <w:rFonts w:cstheme="majorBidi"/>
          <w:sz w:val="22"/>
        </w:rPr>
        <w:t xml:space="preserve"> Il existe une relation positive significative entre la divulgation et la transparence et la responsabilité sociale des entreprises au sein de Tayal SPA.</w:t>
      </w:r>
    </w:p>
    <w:p w14:paraId="37854C28" w14:textId="77777777" w:rsidR="00692E5A" w:rsidRPr="00E2052F" w:rsidRDefault="00692E5A" w:rsidP="00D61875">
      <w:pPr>
        <w:pStyle w:val="Paragraphedeliste"/>
        <w:numPr>
          <w:ilvl w:val="0"/>
          <w:numId w:val="24"/>
        </w:numPr>
        <w:spacing w:before="0" w:beforeAutospacing="0"/>
        <w:ind w:left="1208" w:hanging="357"/>
        <w:rPr>
          <w:rFonts w:cstheme="majorBidi"/>
          <w:b/>
          <w:bCs/>
          <w:sz w:val="22"/>
        </w:rPr>
      </w:pPr>
      <w:r w:rsidRPr="00E2052F">
        <w:rPr>
          <w:rFonts w:cstheme="majorBidi"/>
          <w:b/>
          <w:bCs/>
          <w:sz w:val="22"/>
        </w:rPr>
        <w:t>Coefficient de corrélation (R carré) (R-square) :</w:t>
      </w:r>
    </w:p>
    <w:p w14:paraId="0FC766D0" w14:textId="77777777" w:rsidR="001729ED" w:rsidRPr="00E2052F" w:rsidRDefault="00193ABF" w:rsidP="00870E41">
      <w:pPr>
        <w:spacing w:before="0" w:beforeAutospacing="0"/>
        <w:rPr>
          <w:rFonts w:cstheme="majorBidi"/>
          <w:b/>
          <w:bCs/>
          <w:sz w:val="22"/>
        </w:rPr>
      </w:pPr>
      <w:r w:rsidRPr="00E2052F">
        <w:rPr>
          <w:rFonts w:cstheme="majorBidi"/>
          <w:b/>
          <w:bCs/>
          <w:sz w:val="22"/>
          <w:u w:val="single"/>
        </w:rPr>
        <w:t>Tableau 45</w:t>
      </w:r>
      <w:r w:rsidR="001729ED" w:rsidRPr="00E2052F">
        <w:rPr>
          <w:rFonts w:cstheme="majorBidi"/>
          <w:b/>
          <w:bCs/>
          <w:sz w:val="22"/>
          <w:u w:val="single"/>
        </w:rPr>
        <w:t xml:space="preserve"> :</w:t>
      </w:r>
      <w:r w:rsidR="001729ED" w:rsidRPr="00E2052F">
        <w:rPr>
          <w:rFonts w:cstheme="majorBidi"/>
          <w:b/>
          <w:bCs/>
          <w:sz w:val="22"/>
        </w:rPr>
        <w:t xml:space="preserve"> Coefficient de corrélation.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961"/>
        <w:gridCol w:w="1524"/>
        <w:gridCol w:w="1525"/>
        <w:gridCol w:w="3671"/>
      </w:tblGrid>
      <w:tr w:rsidR="00692E5A" w:rsidRPr="00E2052F" w14:paraId="6889C507" w14:textId="77777777" w:rsidTr="00BD4F12">
        <w:trPr>
          <w:cantSplit/>
          <w:trHeight w:val="421"/>
          <w:jc w:val="center"/>
        </w:trPr>
        <w:tc>
          <w:tcPr>
            <w:tcW w:w="1422" w:type="dxa"/>
            <w:shd w:val="clear" w:color="auto" w:fill="D9E2F3" w:themeFill="accent1" w:themeFillTint="33"/>
            <w:vAlign w:val="bottom"/>
          </w:tcPr>
          <w:p w14:paraId="6FBFE997"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983" w:type="dxa"/>
            <w:shd w:val="clear" w:color="auto" w:fill="D9E2F3" w:themeFill="accent1" w:themeFillTint="33"/>
            <w:vAlign w:val="bottom"/>
          </w:tcPr>
          <w:p w14:paraId="30713041"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559" w:type="dxa"/>
            <w:shd w:val="clear" w:color="auto" w:fill="D9E2F3" w:themeFill="accent1" w:themeFillTint="33"/>
            <w:vAlign w:val="bottom"/>
          </w:tcPr>
          <w:p w14:paraId="015504C2"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560" w:type="dxa"/>
            <w:shd w:val="clear" w:color="auto" w:fill="D9E2F3" w:themeFill="accent1" w:themeFillTint="33"/>
            <w:vAlign w:val="bottom"/>
          </w:tcPr>
          <w:p w14:paraId="35A44378"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755" w:type="dxa"/>
            <w:shd w:val="clear" w:color="auto" w:fill="D9E2F3" w:themeFill="accent1" w:themeFillTint="33"/>
            <w:vAlign w:val="bottom"/>
          </w:tcPr>
          <w:p w14:paraId="79BD26E3"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692E5A" w:rsidRPr="00E2052F" w14:paraId="5AF031D0" w14:textId="77777777" w:rsidTr="00BD4F12">
        <w:trPr>
          <w:cantSplit/>
          <w:trHeight w:val="357"/>
          <w:jc w:val="center"/>
        </w:trPr>
        <w:tc>
          <w:tcPr>
            <w:tcW w:w="1422" w:type="dxa"/>
            <w:shd w:val="clear" w:color="auto" w:fill="D9E2F3" w:themeFill="accent1" w:themeFillTint="33"/>
          </w:tcPr>
          <w:p w14:paraId="08589369" w14:textId="77777777" w:rsidR="00692E5A" w:rsidRPr="00E2052F" w:rsidRDefault="00692E5A" w:rsidP="00870E41">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983" w:type="dxa"/>
          </w:tcPr>
          <w:p w14:paraId="491BCBE8" w14:textId="77777777" w:rsidR="00692E5A" w:rsidRPr="00E2052F" w:rsidRDefault="00863C3A" w:rsidP="00870E41">
            <w:pPr>
              <w:spacing w:before="0" w:beforeAutospacing="0" w:line="240" w:lineRule="auto"/>
              <w:ind w:firstLine="0"/>
              <w:jc w:val="center"/>
              <w:rPr>
                <w:rFonts w:cstheme="majorBidi"/>
                <w:kern w:val="2"/>
                <w:sz w:val="22"/>
              </w:rPr>
            </w:pPr>
            <w:r w:rsidRPr="00E2052F">
              <w:rPr>
                <w:rFonts w:cstheme="majorBidi"/>
                <w:kern w:val="2"/>
                <w:sz w:val="22"/>
              </w:rPr>
              <w:t>0.</w:t>
            </w:r>
            <w:r w:rsidR="00954716">
              <w:rPr>
                <w:rFonts w:cstheme="majorBidi"/>
                <w:kern w:val="2"/>
                <w:sz w:val="22"/>
              </w:rPr>
              <w:t>6</w:t>
            </w:r>
            <w:r w:rsidR="00692E5A" w:rsidRPr="00E2052F">
              <w:rPr>
                <w:rFonts w:cstheme="majorBidi"/>
                <w:kern w:val="2"/>
                <w:sz w:val="22"/>
              </w:rPr>
              <w:t>09</w:t>
            </w:r>
            <w:r w:rsidR="00692E5A" w:rsidRPr="00E2052F">
              <w:rPr>
                <w:rFonts w:cstheme="majorBidi"/>
                <w:kern w:val="2"/>
                <w:sz w:val="22"/>
                <w:vertAlign w:val="superscript"/>
              </w:rPr>
              <w:t>a</w:t>
            </w:r>
          </w:p>
        </w:tc>
        <w:tc>
          <w:tcPr>
            <w:tcW w:w="1559" w:type="dxa"/>
          </w:tcPr>
          <w:p w14:paraId="4A6A55ED" w14:textId="77777777" w:rsidR="00692E5A" w:rsidRPr="00E2052F" w:rsidRDefault="00692E5A" w:rsidP="00870E41">
            <w:pPr>
              <w:spacing w:before="0" w:beforeAutospacing="0" w:line="240" w:lineRule="auto"/>
              <w:ind w:firstLine="0"/>
              <w:jc w:val="center"/>
              <w:rPr>
                <w:rFonts w:cstheme="majorBidi"/>
                <w:kern w:val="2"/>
                <w:sz w:val="22"/>
              </w:rPr>
            </w:pPr>
            <w:r w:rsidRPr="00E2052F">
              <w:rPr>
                <w:rFonts w:cstheme="majorBidi"/>
                <w:kern w:val="2"/>
                <w:sz w:val="22"/>
              </w:rPr>
              <w:t>0.370</w:t>
            </w:r>
          </w:p>
        </w:tc>
        <w:tc>
          <w:tcPr>
            <w:tcW w:w="1560" w:type="dxa"/>
          </w:tcPr>
          <w:p w14:paraId="6C6F4C59" w14:textId="77777777" w:rsidR="00692E5A" w:rsidRPr="00E2052F" w:rsidRDefault="00692E5A" w:rsidP="00870E41">
            <w:pPr>
              <w:spacing w:before="0" w:beforeAutospacing="0" w:line="240" w:lineRule="auto"/>
              <w:ind w:firstLine="0"/>
              <w:jc w:val="center"/>
              <w:rPr>
                <w:rFonts w:cstheme="majorBidi"/>
                <w:kern w:val="2"/>
                <w:sz w:val="22"/>
              </w:rPr>
            </w:pPr>
            <w:r w:rsidRPr="00E2052F">
              <w:rPr>
                <w:rFonts w:cstheme="majorBidi"/>
                <w:kern w:val="2"/>
                <w:sz w:val="22"/>
              </w:rPr>
              <w:t>0.368</w:t>
            </w:r>
          </w:p>
        </w:tc>
        <w:tc>
          <w:tcPr>
            <w:tcW w:w="3755" w:type="dxa"/>
          </w:tcPr>
          <w:p w14:paraId="04D0D7B7" w14:textId="77777777" w:rsidR="00692E5A" w:rsidRPr="00E2052F" w:rsidRDefault="00692E5A" w:rsidP="00870E41">
            <w:pPr>
              <w:spacing w:before="0" w:beforeAutospacing="0" w:line="240" w:lineRule="auto"/>
              <w:ind w:firstLine="0"/>
              <w:jc w:val="center"/>
              <w:rPr>
                <w:rFonts w:cstheme="majorBidi"/>
                <w:kern w:val="2"/>
                <w:sz w:val="22"/>
              </w:rPr>
            </w:pPr>
            <w:r w:rsidRPr="00E2052F">
              <w:rPr>
                <w:rFonts w:cstheme="majorBidi"/>
                <w:kern w:val="2"/>
                <w:sz w:val="22"/>
              </w:rPr>
              <w:t>0.495</w:t>
            </w:r>
          </w:p>
        </w:tc>
      </w:tr>
      <w:tr w:rsidR="00692E5A" w:rsidRPr="00E2052F" w14:paraId="50364193" w14:textId="77777777" w:rsidTr="00870E41">
        <w:trPr>
          <w:cantSplit/>
          <w:trHeight w:val="339"/>
          <w:jc w:val="center"/>
        </w:trPr>
        <w:tc>
          <w:tcPr>
            <w:tcW w:w="9279" w:type="dxa"/>
            <w:gridSpan w:val="5"/>
            <w:shd w:val="clear" w:color="auto" w:fill="FFFFFF"/>
          </w:tcPr>
          <w:p w14:paraId="4BB3EA74" w14:textId="77777777" w:rsidR="00692E5A" w:rsidRPr="00E2052F" w:rsidRDefault="00692E5A" w:rsidP="00870E41">
            <w:pPr>
              <w:spacing w:before="0" w:beforeAutospacing="0" w:line="240" w:lineRule="auto"/>
              <w:rPr>
                <w:rFonts w:cstheme="majorBidi"/>
                <w:b/>
                <w:bCs/>
                <w:kern w:val="2"/>
                <w:sz w:val="22"/>
              </w:rPr>
            </w:pPr>
            <w:r w:rsidRPr="00E2052F">
              <w:rPr>
                <w:rFonts w:cstheme="majorBidi"/>
                <w:b/>
                <w:bCs/>
                <w:kern w:val="2"/>
                <w:sz w:val="22"/>
              </w:rPr>
              <w:t>a. Prédicteurs : (Constante), La transparence et la divulgation</w:t>
            </w:r>
          </w:p>
        </w:tc>
      </w:tr>
    </w:tbl>
    <w:p w14:paraId="4C7E91A6" w14:textId="77777777" w:rsidR="00692E5A" w:rsidRPr="00E2052F" w:rsidRDefault="00692E5A" w:rsidP="00870E41">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2EA660B4" w14:textId="77777777" w:rsidR="00EF0358" w:rsidRPr="00E2052F" w:rsidRDefault="00EF0358" w:rsidP="00D23BF3">
      <w:pPr>
        <w:spacing w:before="0" w:beforeAutospacing="0"/>
        <w:rPr>
          <w:rFonts w:cstheme="majorBidi"/>
          <w:sz w:val="22"/>
        </w:rPr>
      </w:pPr>
      <w:r w:rsidRPr="00E2052F">
        <w:rPr>
          <w:rFonts w:cstheme="majorBidi"/>
          <w:sz w:val="22"/>
        </w:rPr>
        <w:t>Le tableau ci-dessus montre le coefficient de corrélation entre les variables, qui a été estimé à 0,609. Cela signifie que la corrélation est positive et forte, ce qui indique une relation significative entre la transparence et la RSE.</w:t>
      </w:r>
    </w:p>
    <w:p w14:paraId="3FD8933C" w14:textId="77777777" w:rsidR="00EF0358" w:rsidRPr="00E2052F" w:rsidRDefault="00EF0358" w:rsidP="00D23BF3">
      <w:pPr>
        <w:spacing w:before="0" w:beforeAutospacing="0"/>
        <w:rPr>
          <w:rFonts w:cstheme="majorBidi"/>
          <w:sz w:val="22"/>
        </w:rPr>
      </w:pPr>
      <w:r w:rsidRPr="00E2052F">
        <w:rPr>
          <w:rFonts w:cstheme="majorBidi"/>
          <w:sz w:val="22"/>
        </w:rPr>
        <w:t>Le coefficient de détermination (R² = 0,370) montre que 37,0 % de la variance de la RSE est expliquée par la transparence.</w:t>
      </w:r>
    </w:p>
    <w:p w14:paraId="72954753" w14:textId="77777777" w:rsidR="00EF0358" w:rsidRPr="00E2052F" w:rsidRDefault="00EF0358" w:rsidP="00D61875">
      <w:pPr>
        <w:pStyle w:val="Paragraphedeliste"/>
        <w:numPr>
          <w:ilvl w:val="0"/>
          <w:numId w:val="24"/>
        </w:numPr>
        <w:spacing w:before="0" w:beforeAutospacing="0"/>
        <w:ind w:left="1208" w:hanging="357"/>
        <w:rPr>
          <w:rFonts w:cstheme="majorBidi"/>
          <w:b/>
          <w:bCs/>
          <w:sz w:val="22"/>
        </w:rPr>
      </w:pPr>
      <w:r w:rsidRPr="00E2052F">
        <w:rPr>
          <w:rFonts w:cstheme="majorBidi"/>
          <w:b/>
          <w:bCs/>
          <w:sz w:val="22"/>
        </w:rPr>
        <w:t>Analyse de la variance ANOVA :</w:t>
      </w:r>
    </w:p>
    <w:p w14:paraId="63DE35E2" w14:textId="77777777" w:rsidR="001729ED" w:rsidRPr="00E2052F" w:rsidRDefault="00193ABF" w:rsidP="00870E41">
      <w:pPr>
        <w:spacing w:before="0" w:beforeAutospacing="0" w:line="240" w:lineRule="auto"/>
        <w:ind w:firstLine="0"/>
        <w:rPr>
          <w:rFonts w:cstheme="majorBidi"/>
          <w:b/>
          <w:bCs/>
          <w:sz w:val="22"/>
        </w:rPr>
      </w:pPr>
      <w:r w:rsidRPr="00E2052F">
        <w:rPr>
          <w:rFonts w:cstheme="majorBidi"/>
          <w:b/>
          <w:bCs/>
          <w:sz w:val="22"/>
          <w:u w:val="single"/>
        </w:rPr>
        <w:t>Tableau 46</w:t>
      </w:r>
      <w:r w:rsidR="001729ED" w:rsidRPr="00E2052F">
        <w:rPr>
          <w:rFonts w:cstheme="majorBidi"/>
          <w:b/>
          <w:bCs/>
          <w:sz w:val="22"/>
          <w:u w:val="single"/>
        </w:rPr>
        <w:t xml:space="preserve"> :</w:t>
      </w:r>
      <w:r w:rsidR="001729ED" w:rsidRPr="00E2052F">
        <w:rPr>
          <w:rFonts w:cstheme="majorBidi"/>
          <w:b/>
          <w:bCs/>
          <w:sz w:val="22"/>
        </w:rPr>
        <w:t xml:space="preserve">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6"/>
        <w:gridCol w:w="1467"/>
        <w:gridCol w:w="1945"/>
        <w:gridCol w:w="901"/>
        <w:gridCol w:w="1572"/>
        <w:gridCol w:w="1170"/>
        <w:gridCol w:w="1181"/>
      </w:tblGrid>
      <w:tr w:rsidR="00EF0358" w:rsidRPr="00E2052F" w14:paraId="6EF9E40B" w14:textId="77777777" w:rsidTr="00BD4F12">
        <w:trPr>
          <w:cantSplit/>
          <w:trHeight w:val="320"/>
          <w:jc w:val="center"/>
        </w:trPr>
        <w:tc>
          <w:tcPr>
            <w:tcW w:w="9072" w:type="dxa"/>
            <w:gridSpan w:val="7"/>
            <w:shd w:val="clear" w:color="auto" w:fill="B4C6E7" w:themeFill="accent1" w:themeFillTint="66"/>
            <w:vAlign w:val="center"/>
          </w:tcPr>
          <w:p w14:paraId="5EC60D52"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060E09" w:rsidRPr="00E2052F" w14:paraId="787B17FA" w14:textId="77777777" w:rsidTr="00BD4F12">
        <w:trPr>
          <w:cantSplit/>
          <w:trHeight w:val="453"/>
          <w:jc w:val="center"/>
        </w:trPr>
        <w:tc>
          <w:tcPr>
            <w:tcW w:w="2303" w:type="dxa"/>
            <w:gridSpan w:val="2"/>
            <w:shd w:val="clear" w:color="auto" w:fill="D9E2F3" w:themeFill="accent1" w:themeFillTint="33"/>
            <w:vAlign w:val="bottom"/>
          </w:tcPr>
          <w:p w14:paraId="03AE715C"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45" w:type="dxa"/>
            <w:shd w:val="clear" w:color="auto" w:fill="D9E2F3" w:themeFill="accent1" w:themeFillTint="33"/>
            <w:vAlign w:val="bottom"/>
          </w:tcPr>
          <w:p w14:paraId="563F9789"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1" w:type="dxa"/>
            <w:shd w:val="clear" w:color="auto" w:fill="D9E2F3" w:themeFill="accent1" w:themeFillTint="33"/>
            <w:vAlign w:val="bottom"/>
          </w:tcPr>
          <w:p w14:paraId="60A536B0" w14:textId="77777777" w:rsidR="00EF0358" w:rsidRPr="00E2052F" w:rsidRDefault="00870E41" w:rsidP="00870E41">
            <w:pPr>
              <w:spacing w:before="0" w:beforeAutospacing="0" w:line="240" w:lineRule="auto"/>
              <w:ind w:firstLine="0"/>
              <w:jc w:val="center"/>
              <w:rPr>
                <w:rFonts w:cstheme="majorBidi"/>
                <w:b/>
                <w:bCs/>
                <w:kern w:val="2"/>
                <w:sz w:val="22"/>
              </w:rPr>
            </w:pPr>
            <w:r w:rsidRPr="00E2052F">
              <w:rPr>
                <w:rFonts w:cstheme="majorBidi"/>
                <w:b/>
                <w:bCs/>
                <w:kern w:val="2"/>
                <w:sz w:val="22"/>
              </w:rPr>
              <w:t>D</w:t>
            </w:r>
            <w:r w:rsidR="00EF0358" w:rsidRPr="00E2052F">
              <w:rPr>
                <w:rFonts w:cstheme="majorBidi"/>
                <w:b/>
                <w:bCs/>
                <w:kern w:val="2"/>
                <w:sz w:val="22"/>
              </w:rPr>
              <w:t>dl</w:t>
            </w:r>
          </w:p>
        </w:tc>
        <w:tc>
          <w:tcPr>
            <w:tcW w:w="1572" w:type="dxa"/>
            <w:shd w:val="clear" w:color="auto" w:fill="D9E2F3" w:themeFill="accent1" w:themeFillTint="33"/>
            <w:vAlign w:val="bottom"/>
          </w:tcPr>
          <w:p w14:paraId="3D2FE890"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0" w:type="dxa"/>
            <w:shd w:val="clear" w:color="auto" w:fill="D9E2F3" w:themeFill="accent1" w:themeFillTint="33"/>
            <w:vAlign w:val="bottom"/>
          </w:tcPr>
          <w:p w14:paraId="71F9A1FE"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81" w:type="dxa"/>
            <w:shd w:val="clear" w:color="auto" w:fill="D9E2F3" w:themeFill="accent1" w:themeFillTint="33"/>
            <w:vAlign w:val="bottom"/>
          </w:tcPr>
          <w:p w14:paraId="10C88AA2"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EF0358" w:rsidRPr="00E2052F" w14:paraId="14232003" w14:textId="77777777" w:rsidTr="00BD4F12">
        <w:trPr>
          <w:cantSplit/>
          <w:trHeight w:val="221"/>
          <w:jc w:val="center"/>
        </w:trPr>
        <w:tc>
          <w:tcPr>
            <w:tcW w:w="836" w:type="dxa"/>
            <w:vMerge w:val="restart"/>
            <w:shd w:val="clear" w:color="auto" w:fill="D9E2F3" w:themeFill="accent1" w:themeFillTint="33"/>
          </w:tcPr>
          <w:p w14:paraId="2553DBB1" w14:textId="77777777" w:rsidR="00870E41" w:rsidRPr="00E2052F" w:rsidRDefault="00870E41" w:rsidP="00870E41">
            <w:pPr>
              <w:spacing w:before="0" w:beforeAutospacing="0" w:line="240" w:lineRule="auto"/>
              <w:ind w:firstLine="0"/>
              <w:jc w:val="center"/>
              <w:rPr>
                <w:rFonts w:cstheme="majorBidi"/>
                <w:b/>
                <w:bCs/>
                <w:kern w:val="2"/>
                <w:sz w:val="22"/>
              </w:rPr>
            </w:pPr>
          </w:p>
          <w:p w14:paraId="1D1FD12C"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7" w:type="dxa"/>
            <w:shd w:val="clear" w:color="auto" w:fill="D9E2F3" w:themeFill="accent1" w:themeFillTint="33"/>
          </w:tcPr>
          <w:p w14:paraId="68A83D7A"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5" w:type="dxa"/>
          </w:tcPr>
          <w:p w14:paraId="194B6FE0"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42.849</w:t>
            </w:r>
          </w:p>
        </w:tc>
        <w:tc>
          <w:tcPr>
            <w:tcW w:w="901" w:type="dxa"/>
          </w:tcPr>
          <w:p w14:paraId="7E0FB631"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1</w:t>
            </w:r>
          </w:p>
        </w:tc>
        <w:tc>
          <w:tcPr>
            <w:tcW w:w="1572" w:type="dxa"/>
          </w:tcPr>
          <w:p w14:paraId="3BCD837E"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42.849</w:t>
            </w:r>
          </w:p>
        </w:tc>
        <w:tc>
          <w:tcPr>
            <w:tcW w:w="1170" w:type="dxa"/>
          </w:tcPr>
          <w:p w14:paraId="563A3ED5"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175.222</w:t>
            </w:r>
          </w:p>
        </w:tc>
        <w:tc>
          <w:tcPr>
            <w:tcW w:w="1181" w:type="dxa"/>
          </w:tcPr>
          <w:p w14:paraId="138944DA"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EF0358" w:rsidRPr="00E2052F" w14:paraId="6ADA59B5" w14:textId="77777777" w:rsidTr="00BD4F12">
        <w:trPr>
          <w:cantSplit/>
          <w:trHeight w:val="259"/>
          <w:jc w:val="center"/>
        </w:trPr>
        <w:tc>
          <w:tcPr>
            <w:tcW w:w="836" w:type="dxa"/>
            <w:vMerge/>
            <w:shd w:val="clear" w:color="auto" w:fill="D9E2F3" w:themeFill="accent1" w:themeFillTint="33"/>
          </w:tcPr>
          <w:p w14:paraId="228FCB23" w14:textId="77777777" w:rsidR="00EF0358" w:rsidRPr="00E2052F" w:rsidRDefault="00EF0358" w:rsidP="00870E41">
            <w:pPr>
              <w:spacing w:before="0" w:beforeAutospacing="0" w:line="240" w:lineRule="auto"/>
              <w:jc w:val="center"/>
              <w:rPr>
                <w:rFonts w:cstheme="majorBidi"/>
                <w:b/>
                <w:bCs/>
                <w:kern w:val="2"/>
                <w:sz w:val="22"/>
              </w:rPr>
            </w:pPr>
          </w:p>
        </w:tc>
        <w:tc>
          <w:tcPr>
            <w:tcW w:w="1467" w:type="dxa"/>
            <w:shd w:val="clear" w:color="auto" w:fill="D9E2F3" w:themeFill="accent1" w:themeFillTint="33"/>
          </w:tcPr>
          <w:p w14:paraId="0170D276"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5" w:type="dxa"/>
          </w:tcPr>
          <w:p w14:paraId="6046BD0D"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72.872</w:t>
            </w:r>
          </w:p>
        </w:tc>
        <w:tc>
          <w:tcPr>
            <w:tcW w:w="901" w:type="dxa"/>
          </w:tcPr>
          <w:p w14:paraId="14CF80CE"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2" w:type="dxa"/>
          </w:tcPr>
          <w:p w14:paraId="778D1F0C"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0.245</w:t>
            </w:r>
          </w:p>
        </w:tc>
        <w:tc>
          <w:tcPr>
            <w:tcW w:w="1170" w:type="dxa"/>
            <w:vAlign w:val="center"/>
          </w:tcPr>
          <w:p w14:paraId="7BED02BF" w14:textId="77777777" w:rsidR="00EF0358" w:rsidRPr="00E2052F" w:rsidRDefault="00EF0358" w:rsidP="00870E41">
            <w:pPr>
              <w:spacing w:before="0" w:beforeAutospacing="0" w:line="240" w:lineRule="auto"/>
              <w:jc w:val="center"/>
              <w:rPr>
                <w:rFonts w:cstheme="majorBidi"/>
                <w:kern w:val="2"/>
                <w:sz w:val="22"/>
              </w:rPr>
            </w:pPr>
          </w:p>
        </w:tc>
        <w:tc>
          <w:tcPr>
            <w:tcW w:w="1181" w:type="dxa"/>
            <w:vAlign w:val="center"/>
          </w:tcPr>
          <w:p w14:paraId="4E8F4F19" w14:textId="77777777" w:rsidR="00EF0358" w:rsidRPr="00E2052F" w:rsidRDefault="00EF0358" w:rsidP="00870E41">
            <w:pPr>
              <w:spacing w:before="0" w:beforeAutospacing="0" w:line="240" w:lineRule="auto"/>
              <w:jc w:val="center"/>
              <w:rPr>
                <w:rFonts w:cstheme="majorBidi"/>
                <w:kern w:val="2"/>
                <w:sz w:val="22"/>
              </w:rPr>
            </w:pPr>
          </w:p>
        </w:tc>
      </w:tr>
      <w:tr w:rsidR="00EF0358" w:rsidRPr="00E2052F" w14:paraId="46AA9F3C" w14:textId="77777777" w:rsidTr="00BD4F12">
        <w:trPr>
          <w:cantSplit/>
          <w:trHeight w:val="259"/>
          <w:jc w:val="center"/>
        </w:trPr>
        <w:tc>
          <w:tcPr>
            <w:tcW w:w="836" w:type="dxa"/>
            <w:vMerge/>
            <w:shd w:val="clear" w:color="auto" w:fill="D9E2F3" w:themeFill="accent1" w:themeFillTint="33"/>
          </w:tcPr>
          <w:p w14:paraId="55B0569C" w14:textId="77777777" w:rsidR="00EF0358" w:rsidRPr="00E2052F" w:rsidRDefault="00EF0358" w:rsidP="00870E41">
            <w:pPr>
              <w:spacing w:before="0" w:beforeAutospacing="0" w:line="240" w:lineRule="auto"/>
              <w:jc w:val="center"/>
              <w:rPr>
                <w:rFonts w:cstheme="majorBidi"/>
                <w:b/>
                <w:bCs/>
                <w:kern w:val="2"/>
                <w:sz w:val="22"/>
              </w:rPr>
            </w:pPr>
          </w:p>
        </w:tc>
        <w:tc>
          <w:tcPr>
            <w:tcW w:w="1467" w:type="dxa"/>
            <w:shd w:val="clear" w:color="auto" w:fill="D9E2F3" w:themeFill="accent1" w:themeFillTint="33"/>
          </w:tcPr>
          <w:p w14:paraId="68F78133" w14:textId="77777777" w:rsidR="00EF0358" w:rsidRPr="00E2052F" w:rsidRDefault="00EF0358" w:rsidP="00870E41">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5" w:type="dxa"/>
          </w:tcPr>
          <w:p w14:paraId="7A247C42"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1" w:type="dxa"/>
          </w:tcPr>
          <w:p w14:paraId="64BFDE0B" w14:textId="77777777" w:rsidR="00EF0358" w:rsidRPr="00E2052F" w:rsidRDefault="00EF0358" w:rsidP="00870E41">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2" w:type="dxa"/>
            <w:vAlign w:val="center"/>
          </w:tcPr>
          <w:p w14:paraId="2FB645C2" w14:textId="77777777" w:rsidR="00EF0358" w:rsidRPr="00E2052F" w:rsidRDefault="00EF0358" w:rsidP="00870E41">
            <w:pPr>
              <w:spacing w:before="0" w:beforeAutospacing="0" w:line="240" w:lineRule="auto"/>
              <w:jc w:val="center"/>
              <w:rPr>
                <w:rFonts w:cstheme="majorBidi"/>
                <w:kern w:val="2"/>
                <w:sz w:val="22"/>
              </w:rPr>
            </w:pPr>
          </w:p>
        </w:tc>
        <w:tc>
          <w:tcPr>
            <w:tcW w:w="1170" w:type="dxa"/>
            <w:vAlign w:val="center"/>
          </w:tcPr>
          <w:p w14:paraId="7E9EDD51" w14:textId="77777777" w:rsidR="00EF0358" w:rsidRPr="00E2052F" w:rsidRDefault="00EF0358" w:rsidP="00870E41">
            <w:pPr>
              <w:spacing w:before="0" w:beforeAutospacing="0" w:line="240" w:lineRule="auto"/>
              <w:jc w:val="center"/>
              <w:rPr>
                <w:rFonts w:cstheme="majorBidi"/>
                <w:kern w:val="2"/>
                <w:sz w:val="22"/>
              </w:rPr>
            </w:pPr>
          </w:p>
        </w:tc>
        <w:tc>
          <w:tcPr>
            <w:tcW w:w="1181" w:type="dxa"/>
            <w:vAlign w:val="center"/>
          </w:tcPr>
          <w:p w14:paraId="2F9D7552" w14:textId="77777777" w:rsidR="00EF0358" w:rsidRPr="00E2052F" w:rsidRDefault="00EF0358" w:rsidP="00870E41">
            <w:pPr>
              <w:spacing w:before="0" w:beforeAutospacing="0" w:line="240" w:lineRule="auto"/>
              <w:jc w:val="center"/>
              <w:rPr>
                <w:rFonts w:cstheme="majorBidi"/>
                <w:kern w:val="2"/>
                <w:sz w:val="22"/>
              </w:rPr>
            </w:pPr>
          </w:p>
        </w:tc>
      </w:tr>
      <w:tr w:rsidR="00EF0358" w:rsidRPr="00E2052F" w14:paraId="42ABE428" w14:textId="77777777" w:rsidTr="00870E41">
        <w:trPr>
          <w:cantSplit/>
          <w:trHeight w:val="320"/>
          <w:jc w:val="center"/>
        </w:trPr>
        <w:tc>
          <w:tcPr>
            <w:tcW w:w="9072" w:type="dxa"/>
            <w:gridSpan w:val="7"/>
            <w:shd w:val="clear" w:color="auto" w:fill="FFFFFF"/>
          </w:tcPr>
          <w:p w14:paraId="1AAB8F79" w14:textId="77777777" w:rsidR="00EF0358" w:rsidRPr="00E2052F" w:rsidRDefault="00870E41" w:rsidP="00870E41">
            <w:pPr>
              <w:spacing w:before="0" w:beforeAutospacing="0" w:line="240" w:lineRule="auto"/>
              <w:ind w:firstLine="0"/>
              <w:rPr>
                <w:rFonts w:cstheme="majorBidi"/>
                <w:b/>
                <w:bCs/>
                <w:kern w:val="2"/>
                <w:sz w:val="22"/>
              </w:rPr>
            </w:pPr>
            <w:r w:rsidRPr="00E2052F">
              <w:rPr>
                <w:rFonts w:cstheme="majorBidi"/>
                <w:b/>
                <w:bCs/>
                <w:kern w:val="2"/>
                <w:sz w:val="22"/>
              </w:rPr>
              <w:t xml:space="preserve">     </w:t>
            </w:r>
            <w:r w:rsidR="00EF0358" w:rsidRPr="00E2052F">
              <w:rPr>
                <w:rFonts w:cstheme="majorBidi"/>
                <w:b/>
                <w:bCs/>
                <w:kern w:val="2"/>
                <w:sz w:val="22"/>
              </w:rPr>
              <w:t>a. Variable dépendante : La responsabilité sociale des entreprises</w:t>
            </w:r>
          </w:p>
        </w:tc>
      </w:tr>
      <w:tr w:rsidR="00EF0358" w:rsidRPr="00E2052F" w14:paraId="1944EA93" w14:textId="77777777" w:rsidTr="00870E41">
        <w:trPr>
          <w:cantSplit/>
          <w:trHeight w:val="320"/>
          <w:jc w:val="center"/>
        </w:trPr>
        <w:tc>
          <w:tcPr>
            <w:tcW w:w="9072" w:type="dxa"/>
            <w:gridSpan w:val="7"/>
            <w:shd w:val="clear" w:color="auto" w:fill="FFFFFF"/>
          </w:tcPr>
          <w:p w14:paraId="575CAC25" w14:textId="77777777" w:rsidR="00EF0358" w:rsidRPr="00E2052F" w:rsidRDefault="00870E41" w:rsidP="00870E41">
            <w:pPr>
              <w:spacing w:before="0" w:beforeAutospacing="0" w:line="240" w:lineRule="auto"/>
              <w:ind w:firstLine="0"/>
              <w:rPr>
                <w:rFonts w:cstheme="majorBidi"/>
                <w:b/>
                <w:bCs/>
                <w:kern w:val="2"/>
                <w:sz w:val="22"/>
              </w:rPr>
            </w:pPr>
            <w:r w:rsidRPr="00E2052F">
              <w:rPr>
                <w:rFonts w:cstheme="majorBidi"/>
                <w:b/>
                <w:bCs/>
                <w:kern w:val="2"/>
                <w:sz w:val="22"/>
              </w:rPr>
              <w:t xml:space="preserve">      </w:t>
            </w:r>
            <w:r w:rsidR="00EF0358" w:rsidRPr="00E2052F">
              <w:rPr>
                <w:rFonts w:cstheme="majorBidi"/>
                <w:b/>
                <w:bCs/>
                <w:kern w:val="2"/>
                <w:sz w:val="22"/>
              </w:rPr>
              <w:t>b. Prédicteurs : (Constante), La transparence et la divulgation</w:t>
            </w:r>
          </w:p>
        </w:tc>
      </w:tr>
    </w:tbl>
    <w:p w14:paraId="03E7C8CC" w14:textId="77777777" w:rsidR="00060E09" w:rsidRPr="00E2052F" w:rsidRDefault="00060E09" w:rsidP="00870E41">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6E0EE0D8" w14:textId="77777777" w:rsidR="005F12FB" w:rsidRPr="00E2052F" w:rsidRDefault="005F12FB" w:rsidP="00D23BF3">
      <w:pPr>
        <w:spacing w:before="0" w:beforeAutospacing="0"/>
        <w:rPr>
          <w:rFonts w:cstheme="majorBidi"/>
          <w:sz w:val="22"/>
        </w:rPr>
      </w:pPr>
      <w:r w:rsidRPr="00E2052F">
        <w:rPr>
          <w:rFonts w:cstheme="majorBidi"/>
          <w:sz w:val="22"/>
        </w:rPr>
        <w:t>Le test ANOVA montre une valeur de F = 175,222 avec un niveau de signification (Sig.) égal à 0,000, c'est-à-dire inférieur au seuil critique de 0,05.Cela signifie qu'il existe une corrélation statistiquement significative entre la transparence et la divulgation et la RSE au sein de Tayal SPA à un niveau de signification de 5 %.</w:t>
      </w:r>
    </w:p>
    <w:p w14:paraId="4BD4BB26" w14:textId="77777777" w:rsidR="00A7158D" w:rsidRPr="00E2052F" w:rsidRDefault="00A7158D" w:rsidP="00D61875">
      <w:pPr>
        <w:pStyle w:val="Paragraphedeliste"/>
        <w:numPr>
          <w:ilvl w:val="0"/>
          <w:numId w:val="24"/>
        </w:numPr>
        <w:spacing w:before="0" w:beforeAutospacing="0"/>
        <w:ind w:left="1208" w:hanging="357"/>
        <w:rPr>
          <w:rFonts w:cstheme="majorBidi"/>
          <w:b/>
          <w:bCs/>
          <w:sz w:val="22"/>
        </w:rPr>
      </w:pPr>
      <w:r w:rsidRPr="00E2052F">
        <w:rPr>
          <w:rFonts w:cstheme="majorBidi"/>
          <w:b/>
          <w:bCs/>
          <w:sz w:val="22"/>
        </w:rPr>
        <w:t>Coefficients de régression :</w:t>
      </w:r>
    </w:p>
    <w:p w14:paraId="3B1C843C" w14:textId="77777777" w:rsidR="00A7158D" w:rsidRPr="00E2052F" w:rsidRDefault="00193ABF" w:rsidP="00870E41">
      <w:pPr>
        <w:spacing w:before="0" w:beforeAutospacing="0"/>
        <w:rPr>
          <w:rFonts w:cstheme="majorBidi"/>
          <w:sz w:val="22"/>
        </w:rPr>
      </w:pPr>
      <w:r w:rsidRPr="00E2052F">
        <w:rPr>
          <w:rFonts w:cstheme="majorBidi"/>
          <w:b/>
          <w:bCs/>
          <w:sz w:val="22"/>
          <w:u w:val="single"/>
        </w:rPr>
        <w:t>Tableau 47</w:t>
      </w:r>
      <w:r w:rsidR="00695A21" w:rsidRPr="00E2052F">
        <w:rPr>
          <w:rFonts w:cstheme="majorBidi"/>
          <w:b/>
          <w:bCs/>
          <w:sz w:val="22"/>
          <w:u w:val="single"/>
        </w:rPr>
        <w:t> :</w:t>
      </w:r>
      <w:r w:rsidR="00695A21" w:rsidRPr="00E2052F">
        <w:rPr>
          <w:rFonts w:cstheme="majorBidi"/>
          <w:sz w:val="22"/>
        </w:rPr>
        <w:t xml:space="preserve"> </w:t>
      </w:r>
      <w:r w:rsidR="008B2068" w:rsidRPr="00E2052F">
        <w:rPr>
          <w:rFonts w:cstheme="majorBidi"/>
          <w:b/>
          <w:bCs/>
          <w:sz w:val="22"/>
        </w:rPr>
        <w:t>coef</w:t>
      </w:r>
      <w:r w:rsidR="00A7158D" w:rsidRPr="00E2052F">
        <w:rPr>
          <w:rFonts w:cstheme="majorBidi"/>
          <w:b/>
          <w:bCs/>
          <w:sz w:val="22"/>
        </w:rPr>
        <w:t>ficients de régression.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5"/>
        <w:gridCol w:w="1710"/>
        <w:gridCol w:w="1307"/>
        <w:gridCol w:w="1593"/>
        <w:gridCol w:w="2487"/>
        <w:gridCol w:w="699"/>
        <w:gridCol w:w="581"/>
      </w:tblGrid>
      <w:tr w:rsidR="00A7158D" w:rsidRPr="00E2052F" w14:paraId="230C9B6E" w14:textId="77777777" w:rsidTr="00BD4F12">
        <w:trPr>
          <w:cantSplit/>
          <w:jc w:val="center"/>
        </w:trPr>
        <w:tc>
          <w:tcPr>
            <w:tcW w:w="9072" w:type="dxa"/>
            <w:gridSpan w:val="7"/>
            <w:shd w:val="clear" w:color="auto" w:fill="B4C6E7" w:themeFill="accent1" w:themeFillTint="66"/>
            <w:vAlign w:val="center"/>
          </w:tcPr>
          <w:p w14:paraId="5009CD0F"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lastRenderedPageBreak/>
              <w:t>Coefficients</w:t>
            </w:r>
            <w:r w:rsidRPr="00E2052F">
              <w:rPr>
                <w:rFonts w:cstheme="majorBidi"/>
                <w:b/>
                <w:bCs/>
                <w:kern w:val="2"/>
                <w:sz w:val="22"/>
                <w:vertAlign w:val="superscript"/>
              </w:rPr>
              <w:t>a</w:t>
            </w:r>
          </w:p>
        </w:tc>
      </w:tr>
      <w:tr w:rsidR="00A7158D" w:rsidRPr="00E2052F" w14:paraId="6F41E42F" w14:textId="77777777" w:rsidTr="00BD4F12">
        <w:trPr>
          <w:cantSplit/>
          <w:jc w:val="center"/>
        </w:trPr>
        <w:tc>
          <w:tcPr>
            <w:tcW w:w="2405" w:type="dxa"/>
            <w:gridSpan w:val="2"/>
            <w:vMerge w:val="restart"/>
            <w:shd w:val="clear" w:color="auto" w:fill="D9E2F3" w:themeFill="accent1" w:themeFillTint="33"/>
            <w:vAlign w:val="bottom"/>
          </w:tcPr>
          <w:p w14:paraId="35B3A2C7"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900" w:type="dxa"/>
            <w:gridSpan w:val="2"/>
            <w:shd w:val="clear" w:color="auto" w:fill="D9E2F3" w:themeFill="accent1" w:themeFillTint="33"/>
            <w:vAlign w:val="bottom"/>
          </w:tcPr>
          <w:p w14:paraId="477881A3"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487" w:type="dxa"/>
            <w:shd w:val="clear" w:color="auto" w:fill="D9E2F3" w:themeFill="accent1" w:themeFillTint="33"/>
            <w:vAlign w:val="bottom"/>
          </w:tcPr>
          <w:p w14:paraId="75121FC8"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699" w:type="dxa"/>
            <w:vMerge w:val="restart"/>
            <w:shd w:val="clear" w:color="auto" w:fill="D9E2F3" w:themeFill="accent1" w:themeFillTint="33"/>
            <w:vAlign w:val="bottom"/>
          </w:tcPr>
          <w:p w14:paraId="535A2621"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581" w:type="dxa"/>
            <w:vMerge w:val="restart"/>
            <w:shd w:val="clear" w:color="auto" w:fill="D9E2F3" w:themeFill="accent1" w:themeFillTint="33"/>
            <w:vAlign w:val="bottom"/>
          </w:tcPr>
          <w:p w14:paraId="44759E2C"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A7158D" w:rsidRPr="00E2052F" w14:paraId="29F1B5EF" w14:textId="77777777" w:rsidTr="00BD4F12">
        <w:trPr>
          <w:cantSplit/>
          <w:jc w:val="center"/>
        </w:trPr>
        <w:tc>
          <w:tcPr>
            <w:tcW w:w="2405" w:type="dxa"/>
            <w:gridSpan w:val="2"/>
            <w:vMerge/>
            <w:shd w:val="clear" w:color="auto" w:fill="D9E2F3" w:themeFill="accent1" w:themeFillTint="33"/>
            <w:vAlign w:val="bottom"/>
          </w:tcPr>
          <w:p w14:paraId="4DDBD5FC" w14:textId="77777777" w:rsidR="00A7158D" w:rsidRPr="00E2052F" w:rsidRDefault="00A7158D" w:rsidP="00870E41">
            <w:pPr>
              <w:spacing w:before="0" w:beforeAutospacing="0" w:line="240" w:lineRule="auto"/>
              <w:jc w:val="center"/>
              <w:rPr>
                <w:rFonts w:cstheme="majorBidi"/>
                <w:b/>
                <w:bCs/>
                <w:kern w:val="2"/>
                <w:sz w:val="22"/>
              </w:rPr>
            </w:pPr>
          </w:p>
        </w:tc>
        <w:tc>
          <w:tcPr>
            <w:tcW w:w="1307" w:type="dxa"/>
            <w:shd w:val="clear" w:color="auto" w:fill="D9E2F3" w:themeFill="accent1" w:themeFillTint="33"/>
            <w:vAlign w:val="bottom"/>
          </w:tcPr>
          <w:p w14:paraId="05AD0894"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593" w:type="dxa"/>
            <w:shd w:val="clear" w:color="auto" w:fill="D9E2F3" w:themeFill="accent1" w:themeFillTint="33"/>
            <w:vAlign w:val="bottom"/>
          </w:tcPr>
          <w:p w14:paraId="5A2EDC0C"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487" w:type="dxa"/>
            <w:shd w:val="clear" w:color="auto" w:fill="D9E2F3" w:themeFill="accent1" w:themeFillTint="33"/>
            <w:vAlign w:val="bottom"/>
          </w:tcPr>
          <w:p w14:paraId="52BCA0BC"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699" w:type="dxa"/>
            <w:vMerge/>
            <w:shd w:val="clear" w:color="auto" w:fill="D9E2F3" w:themeFill="accent1" w:themeFillTint="33"/>
            <w:vAlign w:val="bottom"/>
          </w:tcPr>
          <w:p w14:paraId="296F271D" w14:textId="77777777" w:rsidR="00A7158D" w:rsidRPr="00E2052F" w:rsidRDefault="00A7158D" w:rsidP="00870E41">
            <w:pPr>
              <w:spacing w:before="0" w:beforeAutospacing="0" w:line="240" w:lineRule="auto"/>
              <w:jc w:val="center"/>
              <w:rPr>
                <w:rFonts w:cstheme="majorBidi"/>
                <w:b/>
                <w:bCs/>
                <w:kern w:val="2"/>
                <w:sz w:val="22"/>
              </w:rPr>
            </w:pPr>
          </w:p>
        </w:tc>
        <w:tc>
          <w:tcPr>
            <w:tcW w:w="581" w:type="dxa"/>
            <w:vMerge/>
            <w:shd w:val="clear" w:color="auto" w:fill="D9E2F3" w:themeFill="accent1" w:themeFillTint="33"/>
            <w:vAlign w:val="bottom"/>
          </w:tcPr>
          <w:p w14:paraId="283C3CB5" w14:textId="77777777" w:rsidR="00A7158D" w:rsidRPr="00E2052F" w:rsidRDefault="00A7158D" w:rsidP="00870E41">
            <w:pPr>
              <w:spacing w:before="0" w:beforeAutospacing="0" w:line="240" w:lineRule="auto"/>
              <w:jc w:val="center"/>
              <w:rPr>
                <w:rFonts w:cstheme="majorBidi"/>
                <w:b/>
                <w:bCs/>
                <w:kern w:val="2"/>
                <w:sz w:val="22"/>
              </w:rPr>
            </w:pPr>
          </w:p>
        </w:tc>
      </w:tr>
      <w:tr w:rsidR="00A7158D" w:rsidRPr="00E2052F" w14:paraId="7AE07C33" w14:textId="77777777" w:rsidTr="00BD4F12">
        <w:trPr>
          <w:cantSplit/>
          <w:jc w:val="center"/>
        </w:trPr>
        <w:tc>
          <w:tcPr>
            <w:tcW w:w="695" w:type="dxa"/>
            <w:vMerge w:val="restart"/>
            <w:shd w:val="clear" w:color="auto" w:fill="D9E2F3" w:themeFill="accent1" w:themeFillTint="33"/>
          </w:tcPr>
          <w:p w14:paraId="38DD64EC" w14:textId="77777777" w:rsidR="008B2068" w:rsidRPr="00E2052F" w:rsidRDefault="008B2068" w:rsidP="00870E41">
            <w:pPr>
              <w:spacing w:before="0" w:beforeAutospacing="0" w:line="240" w:lineRule="auto"/>
              <w:jc w:val="center"/>
              <w:rPr>
                <w:rFonts w:cstheme="majorBidi"/>
                <w:b/>
                <w:bCs/>
                <w:kern w:val="2"/>
                <w:sz w:val="22"/>
              </w:rPr>
            </w:pPr>
          </w:p>
          <w:p w14:paraId="20757612"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710" w:type="dxa"/>
            <w:shd w:val="clear" w:color="auto" w:fill="D9E2F3" w:themeFill="accent1" w:themeFillTint="33"/>
          </w:tcPr>
          <w:p w14:paraId="553F5D31"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307" w:type="dxa"/>
          </w:tcPr>
          <w:p w14:paraId="7AE6F3AB"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1.703</w:t>
            </w:r>
          </w:p>
        </w:tc>
        <w:tc>
          <w:tcPr>
            <w:tcW w:w="1593" w:type="dxa"/>
          </w:tcPr>
          <w:p w14:paraId="091EE348"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0.175</w:t>
            </w:r>
          </w:p>
        </w:tc>
        <w:tc>
          <w:tcPr>
            <w:tcW w:w="2487" w:type="dxa"/>
            <w:vAlign w:val="center"/>
          </w:tcPr>
          <w:p w14:paraId="0101F3E3" w14:textId="77777777" w:rsidR="00A7158D" w:rsidRPr="00E2052F" w:rsidRDefault="00A7158D" w:rsidP="00870E41">
            <w:pPr>
              <w:spacing w:before="0" w:beforeAutospacing="0" w:line="240" w:lineRule="auto"/>
              <w:jc w:val="center"/>
              <w:rPr>
                <w:rFonts w:cstheme="majorBidi"/>
                <w:kern w:val="2"/>
                <w:sz w:val="22"/>
              </w:rPr>
            </w:pPr>
          </w:p>
        </w:tc>
        <w:tc>
          <w:tcPr>
            <w:tcW w:w="699" w:type="dxa"/>
          </w:tcPr>
          <w:p w14:paraId="42F5FDD1"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9.717</w:t>
            </w:r>
          </w:p>
        </w:tc>
        <w:tc>
          <w:tcPr>
            <w:tcW w:w="581" w:type="dxa"/>
          </w:tcPr>
          <w:p w14:paraId="72171729"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0.000</w:t>
            </w:r>
          </w:p>
        </w:tc>
      </w:tr>
      <w:tr w:rsidR="00A7158D" w:rsidRPr="00E2052F" w14:paraId="04472BBE" w14:textId="77777777" w:rsidTr="00BD4F12">
        <w:trPr>
          <w:cantSplit/>
          <w:jc w:val="center"/>
        </w:trPr>
        <w:tc>
          <w:tcPr>
            <w:tcW w:w="695" w:type="dxa"/>
            <w:vMerge/>
            <w:shd w:val="clear" w:color="auto" w:fill="D9E2F3" w:themeFill="accent1" w:themeFillTint="33"/>
          </w:tcPr>
          <w:p w14:paraId="1109978F" w14:textId="77777777" w:rsidR="00A7158D" w:rsidRPr="00E2052F" w:rsidRDefault="00A7158D" w:rsidP="00870E41">
            <w:pPr>
              <w:spacing w:before="0" w:beforeAutospacing="0" w:line="240" w:lineRule="auto"/>
              <w:jc w:val="center"/>
              <w:rPr>
                <w:rFonts w:cstheme="majorBidi"/>
                <w:b/>
                <w:bCs/>
                <w:kern w:val="2"/>
                <w:sz w:val="22"/>
              </w:rPr>
            </w:pPr>
          </w:p>
        </w:tc>
        <w:tc>
          <w:tcPr>
            <w:tcW w:w="1710" w:type="dxa"/>
            <w:shd w:val="clear" w:color="auto" w:fill="D9E2F3" w:themeFill="accent1" w:themeFillTint="33"/>
          </w:tcPr>
          <w:p w14:paraId="3807F322" w14:textId="77777777" w:rsidR="00A7158D" w:rsidRPr="00E2052F" w:rsidRDefault="00A7158D" w:rsidP="00870E41">
            <w:pPr>
              <w:spacing w:before="0" w:beforeAutospacing="0" w:line="240" w:lineRule="auto"/>
              <w:ind w:firstLine="0"/>
              <w:jc w:val="center"/>
              <w:rPr>
                <w:rFonts w:cstheme="majorBidi"/>
                <w:b/>
                <w:bCs/>
                <w:kern w:val="2"/>
                <w:sz w:val="22"/>
              </w:rPr>
            </w:pPr>
            <w:r w:rsidRPr="00E2052F">
              <w:rPr>
                <w:rFonts w:cstheme="majorBidi"/>
                <w:b/>
                <w:bCs/>
                <w:kern w:val="2"/>
                <w:sz w:val="22"/>
              </w:rPr>
              <w:t>La transparence et la divulgation</w:t>
            </w:r>
          </w:p>
        </w:tc>
        <w:tc>
          <w:tcPr>
            <w:tcW w:w="1307" w:type="dxa"/>
          </w:tcPr>
          <w:p w14:paraId="2407434F"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0.556</w:t>
            </w:r>
          </w:p>
        </w:tc>
        <w:tc>
          <w:tcPr>
            <w:tcW w:w="1593" w:type="dxa"/>
          </w:tcPr>
          <w:p w14:paraId="45ADED03"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0.042</w:t>
            </w:r>
          </w:p>
        </w:tc>
        <w:tc>
          <w:tcPr>
            <w:tcW w:w="2487" w:type="dxa"/>
          </w:tcPr>
          <w:p w14:paraId="3C6A7896"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0.609</w:t>
            </w:r>
          </w:p>
        </w:tc>
        <w:tc>
          <w:tcPr>
            <w:tcW w:w="699" w:type="dxa"/>
          </w:tcPr>
          <w:p w14:paraId="5BA0ECEE"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13.237</w:t>
            </w:r>
          </w:p>
        </w:tc>
        <w:tc>
          <w:tcPr>
            <w:tcW w:w="581" w:type="dxa"/>
          </w:tcPr>
          <w:p w14:paraId="47AE4984" w14:textId="77777777" w:rsidR="00A7158D" w:rsidRPr="00E2052F" w:rsidRDefault="00A7158D" w:rsidP="00870E41">
            <w:pPr>
              <w:spacing w:before="0" w:beforeAutospacing="0" w:line="240" w:lineRule="auto"/>
              <w:ind w:firstLine="0"/>
              <w:jc w:val="center"/>
              <w:rPr>
                <w:rFonts w:cstheme="majorBidi"/>
                <w:kern w:val="2"/>
                <w:sz w:val="22"/>
              </w:rPr>
            </w:pPr>
            <w:r w:rsidRPr="00E2052F">
              <w:rPr>
                <w:rFonts w:cstheme="majorBidi"/>
                <w:kern w:val="2"/>
                <w:sz w:val="22"/>
              </w:rPr>
              <w:t>0.000</w:t>
            </w:r>
          </w:p>
        </w:tc>
      </w:tr>
      <w:tr w:rsidR="00A7158D" w:rsidRPr="00E2052F" w14:paraId="0FF22E0C" w14:textId="77777777" w:rsidTr="00172C7A">
        <w:trPr>
          <w:cantSplit/>
          <w:trHeight w:val="401"/>
          <w:jc w:val="center"/>
        </w:trPr>
        <w:tc>
          <w:tcPr>
            <w:tcW w:w="9072" w:type="dxa"/>
            <w:gridSpan w:val="7"/>
            <w:shd w:val="clear" w:color="auto" w:fill="FFFFFF"/>
          </w:tcPr>
          <w:p w14:paraId="3965C2E2" w14:textId="77777777" w:rsidR="00A7158D" w:rsidRPr="00E2052F" w:rsidRDefault="00870E41" w:rsidP="00870E41">
            <w:pPr>
              <w:spacing w:before="0" w:beforeAutospacing="0" w:line="240" w:lineRule="auto"/>
              <w:ind w:firstLine="0"/>
              <w:rPr>
                <w:rFonts w:cstheme="majorBidi"/>
                <w:b/>
                <w:bCs/>
                <w:kern w:val="2"/>
                <w:sz w:val="22"/>
              </w:rPr>
            </w:pPr>
            <w:r w:rsidRPr="00E2052F">
              <w:rPr>
                <w:rFonts w:cstheme="majorBidi"/>
                <w:b/>
                <w:bCs/>
                <w:kern w:val="2"/>
                <w:sz w:val="22"/>
              </w:rPr>
              <w:t xml:space="preserve">      </w:t>
            </w:r>
            <w:r w:rsidR="00A7158D" w:rsidRPr="00E2052F">
              <w:rPr>
                <w:rFonts w:cstheme="majorBidi"/>
                <w:b/>
                <w:bCs/>
                <w:kern w:val="2"/>
                <w:sz w:val="22"/>
              </w:rPr>
              <w:t>a. Variable dépendante : La responsabilité sociale des entreprises</w:t>
            </w:r>
          </w:p>
        </w:tc>
      </w:tr>
    </w:tbl>
    <w:p w14:paraId="58DD42F2" w14:textId="77777777" w:rsidR="00A7158D" w:rsidRPr="00E2052F" w:rsidRDefault="00A7158D" w:rsidP="00870E41">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3B5E2DC8" w14:textId="77777777" w:rsidR="00A7158D" w:rsidRPr="00E2052F" w:rsidRDefault="00842A2D" w:rsidP="00D23BF3">
      <w:pPr>
        <w:spacing w:before="0" w:beforeAutospacing="0"/>
        <w:rPr>
          <w:rFonts w:cstheme="majorBidi"/>
          <w:sz w:val="22"/>
        </w:rPr>
      </w:pPr>
      <w:r w:rsidRPr="00E2052F">
        <w:rPr>
          <w:rFonts w:cstheme="majorBidi"/>
          <w:noProof/>
          <w:sz w:val="22"/>
          <w:lang w:eastAsia="fr-FR"/>
        </w:rPr>
        <mc:AlternateContent>
          <mc:Choice Requires="wps">
            <w:drawing>
              <wp:anchor distT="0" distB="0" distL="114300" distR="114300" simplePos="0" relativeHeight="252094464" behindDoc="0" locked="0" layoutInCell="1" allowOverlap="1" wp14:anchorId="5AE99696" wp14:editId="4E42F206">
                <wp:simplePos x="0" y="0"/>
                <wp:positionH relativeFrom="margin">
                  <wp:align>center</wp:align>
                </wp:positionH>
                <wp:positionV relativeFrom="paragraph">
                  <wp:posOffset>453390</wp:posOffset>
                </wp:positionV>
                <wp:extent cx="1629410" cy="301625"/>
                <wp:effectExtent l="0" t="0" r="27940" b="22225"/>
                <wp:wrapNone/>
                <wp:docPr id="232" name="Rectangle à coins arrondis 232"/>
                <wp:cNvGraphicFramePr/>
                <a:graphic xmlns:a="http://schemas.openxmlformats.org/drawingml/2006/main">
                  <a:graphicData uri="http://schemas.microsoft.com/office/word/2010/wordprocessingShape">
                    <wps:wsp>
                      <wps:cNvSpPr/>
                      <wps:spPr>
                        <a:xfrm>
                          <a:off x="0" y="0"/>
                          <a:ext cx="1629410" cy="301625"/>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F92A179" id="Rectangle à coins arrondis 232" o:spid="_x0000_s1026" style="position:absolute;margin-left:0;margin-top:35.7pt;width:128.3pt;height:23.75pt;z-index:2520944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" filled="f" strokecolor="#8eaadb [1940]" strokeweight="1pt">
                <v:stroke joinstyle="miter"/>
                <w10:wrap anchorx="margin"/>
              </v:roundrect>
            </w:pict>
          </mc:Fallback>
        </mc:AlternateContent>
      </w:r>
      <w:r w:rsidR="00A7158D" w:rsidRPr="00E2052F">
        <w:rPr>
          <w:rFonts w:cstheme="majorBidi"/>
          <w:sz w:val="22"/>
        </w:rPr>
        <w:t xml:space="preserve">D’après les résultats du tableau précédent, nous constatons que le modèle qui exprime la relation </w:t>
      </w:r>
      <w:r w:rsidR="0072035F" w:rsidRPr="00E2052F">
        <w:rPr>
          <w:rFonts w:cstheme="majorBidi"/>
          <w:sz w:val="22"/>
        </w:rPr>
        <w:t xml:space="preserve">entre la transparence et la divulgation </w:t>
      </w:r>
      <w:r w:rsidR="00A7158D" w:rsidRPr="00E2052F">
        <w:rPr>
          <w:rFonts w:cstheme="majorBidi"/>
          <w:sz w:val="22"/>
        </w:rPr>
        <w:t>et la RSE au sein de Tayal SPA est un modèle linéaire.</w:t>
      </w:r>
    </w:p>
    <w:p w14:paraId="270F32C4" w14:textId="77777777" w:rsidR="00B37DD2" w:rsidRPr="00E2052F" w:rsidRDefault="00B37DD2" w:rsidP="00D23BF3">
      <w:pPr>
        <w:spacing w:before="0" w:beforeAutospacing="0"/>
        <w:ind w:firstLine="0"/>
        <w:jc w:val="center"/>
        <w:rPr>
          <w:rFonts w:cstheme="majorBidi"/>
          <w:b/>
          <w:bCs/>
          <w:sz w:val="22"/>
        </w:rPr>
      </w:pPr>
      <w:r w:rsidRPr="00E2052F">
        <w:rPr>
          <w:rFonts w:cstheme="majorBidi"/>
          <w:b/>
          <w:bCs/>
          <w:sz w:val="22"/>
        </w:rPr>
        <w:t>Y= 0,556 X5+ 1,703</w:t>
      </w:r>
    </w:p>
    <w:p w14:paraId="0D1B4C44" w14:textId="77777777" w:rsidR="00B37DD2" w:rsidRPr="00E2052F" w:rsidRDefault="00B37DD2" w:rsidP="00D23BF3">
      <w:pPr>
        <w:spacing w:before="0" w:beforeAutospacing="0"/>
        <w:rPr>
          <w:rFonts w:cstheme="majorBidi"/>
          <w:sz w:val="22"/>
        </w:rPr>
      </w:pPr>
      <w:r w:rsidRPr="00E2052F">
        <w:rPr>
          <w:rFonts w:cstheme="majorBidi"/>
          <w:sz w:val="22"/>
        </w:rPr>
        <w:t>Le nombre 0,556 signifie que chaque augmentation d'un point de la transparence et la divulgation entraîne une augmentation de 0,556 point de la RSE.</w:t>
      </w:r>
    </w:p>
    <w:p w14:paraId="6B4995FB" w14:textId="77777777" w:rsidR="00B37DD2" w:rsidRPr="00E2052F" w:rsidRDefault="00B37DD2" w:rsidP="00D23BF3">
      <w:pPr>
        <w:spacing w:before="0" w:beforeAutospacing="0"/>
        <w:rPr>
          <w:rFonts w:cstheme="majorBidi"/>
          <w:sz w:val="22"/>
        </w:rPr>
      </w:pPr>
      <w:r w:rsidRPr="00E2052F">
        <w:rPr>
          <w:rFonts w:cstheme="majorBidi"/>
          <w:sz w:val="22"/>
        </w:rPr>
        <w:t>La constante (1,703) représente la valeur estimée de la RSE en l'absence de transparence.</w:t>
      </w:r>
    </w:p>
    <w:p w14:paraId="010BB0C1" w14:textId="77777777" w:rsidR="00B37DD2" w:rsidRPr="00E2052F" w:rsidRDefault="00B37DD2" w:rsidP="00D23BF3">
      <w:pPr>
        <w:spacing w:before="0" w:beforeAutospacing="0"/>
        <w:rPr>
          <w:rFonts w:cstheme="majorBidi"/>
          <w:sz w:val="22"/>
        </w:rPr>
      </w:pPr>
      <w:r w:rsidRPr="00E2052F">
        <w:rPr>
          <w:rFonts w:cstheme="majorBidi"/>
          <w:sz w:val="22"/>
        </w:rPr>
        <w:t>Le coefficient standardisé (Bêta = 0,609) confirme un impact positif fort</w:t>
      </w:r>
    </w:p>
    <w:p w14:paraId="38888540" w14:textId="77777777" w:rsidR="00B37DD2" w:rsidRPr="00E2052F" w:rsidRDefault="00B37DD2" w:rsidP="00D23BF3">
      <w:pPr>
        <w:spacing w:before="0" w:beforeAutospacing="0"/>
        <w:rPr>
          <w:rFonts w:cstheme="majorBidi"/>
          <w:sz w:val="22"/>
        </w:rPr>
      </w:pPr>
      <w:r w:rsidRPr="00E2052F">
        <w:rPr>
          <w:rFonts w:cstheme="majorBidi"/>
          <w:sz w:val="22"/>
        </w:rPr>
        <w:t>La valeur t = 13,237 avec Sig. = 0,000 indique que ce coefficient est statistiquement significatif.</w:t>
      </w:r>
    </w:p>
    <w:p w14:paraId="686CB760" w14:textId="77777777" w:rsidR="00B37DD2" w:rsidRPr="00E2052F" w:rsidRDefault="00B37DD2" w:rsidP="00D61875">
      <w:pPr>
        <w:pStyle w:val="Titre4"/>
        <w:numPr>
          <w:ilvl w:val="0"/>
          <w:numId w:val="40"/>
        </w:numPr>
        <w:spacing w:before="0" w:beforeAutospacing="0" w:after="160"/>
        <w:ind w:left="568" w:hanging="284"/>
        <w:rPr>
          <w:rFonts w:asciiTheme="majorBidi" w:hAnsiTheme="majorBidi"/>
          <w:i w:val="0"/>
          <w:iCs w:val="0"/>
          <w:color w:val="auto"/>
          <w:sz w:val="22"/>
        </w:rPr>
      </w:pPr>
      <w:bookmarkStart w:id="1817" w:name="_Toc229156027"/>
      <w:bookmarkStart w:id="1818" w:name="_Toc231747025"/>
      <w:bookmarkStart w:id="1819" w:name="_Toc231752431"/>
      <w:bookmarkStart w:id="1820" w:name="_Toc231810734"/>
      <w:bookmarkStart w:id="1821" w:name="_Toc231812077"/>
      <w:bookmarkStart w:id="1822" w:name="_Toc231812355"/>
      <w:bookmarkStart w:id="1823" w:name="_Toc231815239"/>
      <w:r w:rsidRPr="00E2052F">
        <w:rPr>
          <w:rFonts w:asciiTheme="majorBidi" w:hAnsiTheme="majorBidi"/>
          <w:i w:val="0"/>
          <w:iCs w:val="0"/>
          <w:color w:val="auto"/>
          <w:sz w:val="22"/>
        </w:rPr>
        <w:t>La sixième sous hypothèse :</w:t>
      </w:r>
      <w:bookmarkEnd w:id="1817"/>
      <w:bookmarkEnd w:id="1818"/>
      <w:bookmarkEnd w:id="1819"/>
      <w:bookmarkEnd w:id="1820"/>
      <w:bookmarkEnd w:id="1821"/>
      <w:bookmarkEnd w:id="1822"/>
      <w:bookmarkEnd w:id="1823"/>
    </w:p>
    <w:p w14:paraId="2DC3BBFD" w14:textId="77777777" w:rsidR="00A7158D" w:rsidRPr="00E2052F" w:rsidRDefault="00B37DD2" w:rsidP="00D23BF3">
      <w:pPr>
        <w:spacing w:before="0" w:beforeAutospacing="0"/>
        <w:rPr>
          <w:rFonts w:cstheme="majorBidi"/>
          <w:sz w:val="22"/>
        </w:rPr>
      </w:pPr>
      <w:r w:rsidRPr="00E2052F">
        <w:rPr>
          <w:rFonts w:cstheme="majorBidi"/>
          <w:b/>
          <w:bCs/>
          <w:sz w:val="22"/>
        </w:rPr>
        <w:t>H1f :</w:t>
      </w:r>
      <w:r w:rsidRPr="00E2052F">
        <w:rPr>
          <w:rFonts w:cstheme="majorBidi"/>
          <w:sz w:val="22"/>
        </w:rPr>
        <w:t xml:space="preserve"> Il existe une relation positive significative entre la responsabilité du conseil d'administration et la responsabilité sociale des entreprises au sein de Tayal SPA.</w:t>
      </w:r>
    </w:p>
    <w:p w14:paraId="490F91C8" w14:textId="77777777" w:rsidR="00B37DD2" w:rsidRPr="00E2052F" w:rsidRDefault="00B37DD2" w:rsidP="00D61875">
      <w:pPr>
        <w:pStyle w:val="Paragraphedeliste"/>
        <w:numPr>
          <w:ilvl w:val="0"/>
          <w:numId w:val="25"/>
        </w:numPr>
        <w:spacing w:before="0" w:beforeAutospacing="0"/>
        <w:ind w:left="1208" w:hanging="357"/>
        <w:rPr>
          <w:rFonts w:cstheme="majorBidi"/>
          <w:b/>
          <w:bCs/>
          <w:sz w:val="22"/>
        </w:rPr>
      </w:pPr>
      <w:r w:rsidRPr="00E2052F">
        <w:rPr>
          <w:rFonts w:cstheme="majorBidi"/>
          <w:b/>
          <w:bCs/>
          <w:sz w:val="22"/>
        </w:rPr>
        <w:t>Coefficient de corrélation (R carré) (R-square) :</w:t>
      </w:r>
    </w:p>
    <w:p w14:paraId="75587A53" w14:textId="77777777" w:rsidR="00B37DD2" w:rsidRPr="00E2052F" w:rsidRDefault="00193ABF" w:rsidP="00870E41">
      <w:pPr>
        <w:spacing w:before="0" w:beforeAutospacing="0"/>
        <w:rPr>
          <w:rFonts w:cstheme="majorBidi"/>
          <w:b/>
          <w:bCs/>
          <w:sz w:val="22"/>
        </w:rPr>
      </w:pPr>
      <w:r w:rsidRPr="00E2052F">
        <w:rPr>
          <w:rFonts w:cstheme="majorBidi"/>
          <w:b/>
          <w:bCs/>
          <w:sz w:val="22"/>
          <w:u w:val="single"/>
        </w:rPr>
        <w:t>Tableau 48</w:t>
      </w:r>
      <w:r w:rsidR="00695A21" w:rsidRPr="00E2052F">
        <w:rPr>
          <w:rFonts w:cstheme="majorBidi"/>
          <w:b/>
          <w:bCs/>
          <w:sz w:val="22"/>
          <w:u w:val="single"/>
        </w:rPr>
        <w:t> :</w:t>
      </w:r>
      <w:r w:rsidR="00695A21" w:rsidRPr="00E2052F">
        <w:rPr>
          <w:rFonts w:cstheme="majorBidi"/>
          <w:b/>
          <w:bCs/>
          <w:sz w:val="22"/>
        </w:rPr>
        <w:t xml:space="preserve"> </w:t>
      </w:r>
      <w:r w:rsidR="00B37DD2" w:rsidRPr="00E2052F">
        <w:rPr>
          <w:rFonts w:cstheme="majorBidi"/>
          <w:b/>
          <w:bCs/>
          <w:sz w:val="22"/>
        </w:rPr>
        <w:t>Coefficients de corrélation.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1263"/>
        <w:gridCol w:w="1462"/>
        <w:gridCol w:w="1549"/>
        <w:gridCol w:w="3407"/>
      </w:tblGrid>
      <w:tr w:rsidR="00B37DD2" w:rsidRPr="00E2052F" w14:paraId="5412B85C" w14:textId="77777777" w:rsidTr="00BD4F12">
        <w:trPr>
          <w:cantSplit/>
          <w:trHeight w:val="560"/>
          <w:jc w:val="center"/>
        </w:trPr>
        <w:tc>
          <w:tcPr>
            <w:tcW w:w="1391" w:type="dxa"/>
            <w:shd w:val="clear" w:color="auto" w:fill="D9E2F3" w:themeFill="accent1" w:themeFillTint="33"/>
            <w:vAlign w:val="bottom"/>
          </w:tcPr>
          <w:p w14:paraId="5E59A5BB"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Modèle</w:t>
            </w:r>
          </w:p>
        </w:tc>
        <w:tc>
          <w:tcPr>
            <w:tcW w:w="1263" w:type="dxa"/>
            <w:shd w:val="clear" w:color="auto" w:fill="D9E2F3" w:themeFill="accent1" w:themeFillTint="33"/>
            <w:vAlign w:val="bottom"/>
          </w:tcPr>
          <w:p w14:paraId="3037E036"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R</w:t>
            </w:r>
          </w:p>
        </w:tc>
        <w:tc>
          <w:tcPr>
            <w:tcW w:w="1462" w:type="dxa"/>
            <w:shd w:val="clear" w:color="auto" w:fill="D9E2F3" w:themeFill="accent1" w:themeFillTint="33"/>
            <w:vAlign w:val="bottom"/>
          </w:tcPr>
          <w:p w14:paraId="6AA132F5"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R-deux</w:t>
            </w:r>
          </w:p>
        </w:tc>
        <w:tc>
          <w:tcPr>
            <w:tcW w:w="1549" w:type="dxa"/>
            <w:shd w:val="clear" w:color="auto" w:fill="D9E2F3" w:themeFill="accent1" w:themeFillTint="33"/>
            <w:vAlign w:val="bottom"/>
          </w:tcPr>
          <w:p w14:paraId="452CDBD0"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R-deux ajusté</w:t>
            </w:r>
          </w:p>
        </w:tc>
        <w:tc>
          <w:tcPr>
            <w:tcW w:w="3407" w:type="dxa"/>
            <w:shd w:val="clear" w:color="auto" w:fill="D9E2F3" w:themeFill="accent1" w:themeFillTint="33"/>
            <w:vAlign w:val="bottom"/>
          </w:tcPr>
          <w:p w14:paraId="64F9893C"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Erreur standard de l'estimation</w:t>
            </w:r>
          </w:p>
        </w:tc>
      </w:tr>
      <w:tr w:rsidR="00B37DD2" w:rsidRPr="00E2052F" w14:paraId="2CE1CD85" w14:textId="77777777" w:rsidTr="00BD4F12">
        <w:trPr>
          <w:cantSplit/>
          <w:trHeight w:val="395"/>
          <w:jc w:val="center"/>
        </w:trPr>
        <w:tc>
          <w:tcPr>
            <w:tcW w:w="1391" w:type="dxa"/>
            <w:shd w:val="clear" w:color="auto" w:fill="D9E2F3" w:themeFill="accent1" w:themeFillTint="33"/>
          </w:tcPr>
          <w:p w14:paraId="6D377B09"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1</w:t>
            </w:r>
          </w:p>
        </w:tc>
        <w:tc>
          <w:tcPr>
            <w:tcW w:w="1263" w:type="dxa"/>
          </w:tcPr>
          <w:p w14:paraId="0477EB67" w14:textId="77777777" w:rsidR="00B37DD2" w:rsidRPr="00E2052F" w:rsidRDefault="00B37DD2" w:rsidP="00870E41">
            <w:pPr>
              <w:spacing w:before="0" w:beforeAutospacing="0" w:line="240" w:lineRule="auto"/>
              <w:ind w:firstLine="0"/>
              <w:jc w:val="center"/>
              <w:rPr>
                <w:rFonts w:cstheme="majorBidi"/>
                <w:sz w:val="22"/>
              </w:rPr>
            </w:pPr>
            <w:r w:rsidRPr="00E2052F">
              <w:rPr>
                <w:rFonts w:cstheme="majorBidi"/>
                <w:sz w:val="22"/>
              </w:rPr>
              <w:t>0.719</w:t>
            </w:r>
            <w:r w:rsidRPr="00E2052F">
              <w:rPr>
                <w:rFonts w:cstheme="majorBidi"/>
                <w:sz w:val="22"/>
                <w:vertAlign w:val="superscript"/>
              </w:rPr>
              <w:t>a</w:t>
            </w:r>
          </w:p>
        </w:tc>
        <w:tc>
          <w:tcPr>
            <w:tcW w:w="1462" w:type="dxa"/>
          </w:tcPr>
          <w:p w14:paraId="078E8DE3" w14:textId="77777777" w:rsidR="00B37DD2" w:rsidRPr="00E2052F" w:rsidRDefault="00B37DD2" w:rsidP="00870E41">
            <w:pPr>
              <w:spacing w:before="0" w:beforeAutospacing="0" w:line="240" w:lineRule="auto"/>
              <w:ind w:firstLine="0"/>
              <w:jc w:val="center"/>
              <w:rPr>
                <w:rFonts w:cstheme="majorBidi"/>
                <w:sz w:val="22"/>
              </w:rPr>
            </w:pPr>
            <w:r w:rsidRPr="00E2052F">
              <w:rPr>
                <w:rFonts w:cstheme="majorBidi"/>
                <w:sz w:val="22"/>
              </w:rPr>
              <w:t>0.518</w:t>
            </w:r>
          </w:p>
        </w:tc>
        <w:tc>
          <w:tcPr>
            <w:tcW w:w="1549" w:type="dxa"/>
          </w:tcPr>
          <w:p w14:paraId="02E5EB2D" w14:textId="77777777" w:rsidR="00B37DD2" w:rsidRPr="00E2052F" w:rsidRDefault="00B37DD2" w:rsidP="00870E41">
            <w:pPr>
              <w:spacing w:before="0" w:beforeAutospacing="0" w:line="240" w:lineRule="auto"/>
              <w:ind w:firstLine="0"/>
              <w:jc w:val="center"/>
              <w:rPr>
                <w:rFonts w:cstheme="majorBidi"/>
                <w:sz w:val="22"/>
              </w:rPr>
            </w:pPr>
            <w:r w:rsidRPr="00E2052F">
              <w:rPr>
                <w:rFonts w:cstheme="majorBidi"/>
                <w:sz w:val="22"/>
              </w:rPr>
              <w:t>0.516</w:t>
            </w:r>
          </w:p>
        </w:tc>
        <w:tc>
          <w:tcPr>
            <w:tcW w:w="3407" w:type="dxa"/>
          </w:tcPr>
          <w:p w14:paraId="497BC92E" w14:textId="77777777" w:rsidR="00B37DD2" w:rsidRPr="00E2052F" w:rsidRDefault="00B37DD2" w:rsidP="00870E41">
            <w:pPr>
              <w:spacing w:before="0" w:beforeAutospacing="0" w:line="240" w:lineRule="auto"/>
              <w:ind w:firstLine="0"/>
              <w:jc w:val="center"/>
              <w:rPr>
                <w:rFonts w:cstheme="majorBidi"/>
                <w:sz w:val="22"/>
              </w:rPr>
            </w:pPr>
            <w:r w:rsidRPr="00E2052F">
              <w:rPr>
                <w:rFonts w:cstheme="majorBidi"/>
                <w:sz w:val="22"/>
              </w:rPr>
              <w:t>0.433</w:t>
            </w:r>
          </w:p>
        </w:tc>
      </w:tr>
      <w:tr w:rsidR="00B37DD2" w:rsidRPr="00E2052F" w14:paraId="35B0AB56" w14:textId="77777777" w:rsidTr="0057408B">
        <w:trPr>
          <w:cantSplit/>
          <w:trHeight w:val="437"/>
          <w:jc w:val="center"/>
        </w:trPr>
        <w:tc>
          <w:tcPr>
            <w:tcW w:w="9072" w:type="dxa"/>
            <w:gridSpan w:val="5"/>
            <w:shd w:val="clear" w:color="auto" w:fill="FFFFFF"/>
          </w:tcPr>
          <w:p w14:paraId="6D962FB2" w14:textId="77777777" w:rsidR="00B37DD2" w:rsidRPr="00E2052F" w:rsidRDefault="00B37DD2" w:rsidP="00870E41">
            <w:pPr>
              <w:spacing w:before="0" w:beforeAutospacing="0" w:line="240" w:lineRule="auto"/>
              <w:ind w:firstLine="0"/>
              <w:jc w:val="center"/>
              <w:rPr>
                <w:rFonts w:cstheme="majorBidi"/>
                <w:b/>
                <w:bCs/>
                <w:sz w:val="22"/>
              </w:rPr>
            </w:pPr>
            <w:r w:rsidRPr="00E2052F">
              <w:rPr>
                <w:rFonts w:cstheme="majorBidi"/>
                <w:b/>
                <w:bCs/>
                <w:sz w:val="22"/>
              </w:rPr>
              <w:t>a. Prédicteurs : (Constante), La responsabilité du conseil d'administration</w:t>
            </w:r>
          </w:p>
        </w:tc>
      </w:tr>
    </w:tbl>
    <w:p w14:paraId="55A9DCD4" w14:textId="77777777" w:rsidR="00B37DD2" w:rsidRPr="00E2052F" w:rsidRDefault="00B37DD2" w:rsidP="00870E41">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7089A201" w14:textId="77777777" w:rsidR="00B37DD2" w:rsidRPr="00E2052F" w:rsidRDefault="00B37DD2" w:rsidP="00D23BF3">
      <w:pPr>
        <w:spacing w:before="0" w:beforeAutospacing="0"/>
        <w:rPr>
          <w:rFonts w:cstheme="majorBidi"/>
          <w:sz w:val="22"/>
        </w:rPr>
      </w:pPr>
      <w:r w:rsidRPr="00E2052F">
        <w:rPr>
          <w:rFonts w:cstheme="majorBidi"/>
          <w:sz w:val="22"/>
        </w:rPr>
        <w:t>Le tableau ci-dessus montre le coefficient de corrélation entre les variables, qui a été estimé à 0,719. Cela signifie que la corrélation est positive et très forte, ce qui indique une relation très significative entre la responsabilité du conseil d'administration et la RSE.</w:t>
      </w:r>
    </w:p>
    <w:p w14:paraId="6B18FD44" w14:textId="77777777" w:rsidR="00130D09" w:rsidRPr="00E2052F" w:rsidRDefault="00B37DD2" w:rsidP="00D23BF3">
      <w:pPr>
        <w:spacing w:before="0" w:beforeAutospacing="0"/>
        <w:rPr>
          <w:rFonts w:cstheme="majorBidi"/>
          <w:sz w:val="22"/>
        </w:rPr>
      </w:pPr>
      <w:r w:rsidRPr="00E2052F">
        <w:rPr>
          <w:rFonts w:cstheme="majorBidi"/>
          <w:sz w:val="22"/>
        </w:rPr>
        <w:t>Le coefficient de détermination (R² = 0,518) montre que 51,8 % de la variance de la RSE est expliquée par la responsabilité du conseil d'administration. C'est la dimension la plus influente.</w:t>
      </w:r>
    </w:p>
    <w:p w14:paraId="38B9121D" w14:textId="77777777" w:rsidR="000A5484" w:rsidRPr="00E2052F" w:rsidRDefault="00B37DD2" w:rsidP="00D61875">
      <w:pPr>
        <w:pStyle w:val="Paragraphedeliste"/>
        <w:numPr>
          <w:ilvl w:val="0"/>
          <w:numId w:val="25"/>
        </w:numPr>
        <w:spacing w:before="0" w:beforeAutospacing="0"/>
        <w:ind w:left="1208" w:hanging="357"/>
        <w:rPr>
          <w:rFonts w:cstheme="majorBidi"/>
          <w:b/>
          <w:bCs/>
          <w:sz w:val="22"/>
        </w:rPr>
      </w:pPr>
      <w:r w:rsidRPr="00E2052F">
        <w:rPr>
          <w:rFonts w:cstheme="majorBidi"/>
          <w:b/>
          <w:bCs/>
          <w:sz w:val="22"/>
        </w:rPr>
        <w:t>Analyse de la variance ANOVA :</w:t>
      </w:r>
    </w:p>
    <w:p w14:paraId="2EF8B87B" w14:textId="77777777" w:rsidR="0082029F" w:rsidRPr="00E2052F" w:rsidRDefault="00193ABF" w:rsidP="00870E41">
      <w:pPr>
        <w:spacing w:before="0" w:beforeAutospacing="0" w:line="240" w:lineRule="auto"/>
        <w:rPr>
          <w:rFonts w:cstheme="majorBidi"/>
          <w:sz w:val="22"/>
        </w:rPr>
      </w:pPr>
      <w:r w:rsidRPr="00E2052F">
        <w:rPr>
          <w:rFonts w:cstheme="majorBidi"/>
          <w:b/>
          <w:bCs/>
          <w:sz w:val="22"/>
          <w:u w:val="single"/>
        </w:rPr>
        <w:lastRenderedPageBreak/>
        <w:t>Tableau 49</w:t>
      </w:r>
      <w:r w:rsidR="001729ED" w:rsidRPr="00E2052F">
        <w:rPr>
          <w:rFonts w:cstheme="majorBidi"/>
          <w:b/>
          <w:bCs/>
          <w:sz w:val="22"/>
          <w:u w:val="single"/>
        </w:rPr>
        <w:t> :</w:t>
      </w:r>
      <w:r w:rsidR="0082029F" w:rsidRPr="00E2052F">
        <w:rPr>
          <w:rFonts w:cstheme="majorBidi"/>
          <w:sz w:val="22"/>
        </w:rPr>
        <w:t xml:space="preserve"> </w:t>
      </w:r>
      <w:r w:rsidR="0082029F" w:rsidRPr="00E2052F">
        <w:rPr>
          <w:rFonts w:cstheme="majorBidi"/>
          <w:b/>
          <w:bCs/>
          <w:sz w:val="22"/>
        </w:rPr>
        <w:t>La variance Anova.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8"/>
        <w:gridCol w:w="1942"/>
        <w:gridCol w:w="906"/>
        <w:gridCol w:w="1573"/>
        <w:gridCol w:w="1171"/>
        <w:gridCol w:w="1174"/>
      </w:tblGrid>
      <w:tr w:rsidR="0082029F" w:rsidRPr="00E2052F" w14:paraId="5F85D1EF" w14:textId="77777777" w:rsidTr="00BD4F12">
        <w:trPr>
          <w:cantSplit/>
          <w:trHeight w:val="282"/>
          <w:jc w:val="center"/>
        </w:trPr>
        <w:tc>
          <w:tcPr>
            <w:tcW w:w="9072" w:type="dxa"/>
            <w:gridSpan w:val="7"/>
            <w:shd w:val="clear" w:color="auto" w:fill="B4C6E7" w:themeFill="accent1" w:themeFillTint="66"/>
            <w:vAlign w:val="center"/>
          </w:tcPr>
          <w:p w14:paraId="16CA0746"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82029F" w:rsidRPr="00E2052F" w14:paraId="4B7E673C" w14:textId="77777777" w:rsidTr="00BD4F12">
        <w:trPr>
          <w:cantSplit/>
          <w:trHeight w:val="577"/>
          <w:jc w:val="center"/>
        </w:trPr>
        <w:tc>
          <w:tcPr>
            <w:tcW w:w="2306" w:type="dxa"/>
            <w:gridSpan w:val="2"/>
            <w:shd w:val="clear" w:color="auto" w:fill="D9E2F3" w:themeFill="accent1" w:themeFillTint="33"/>
            <w:vAlign w:val="bottom"/>
          </w:tcPr>
          <w:p w14:paraId="2BD39EEF"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42" w:type="dxa"/>
            <w:shd w:val="clear" w:color="auto" w:fill="D9E2F3" w:themeFill="accent1" w:themeFillTint="33"/>
            <w:vAlign w:val="bottom"/>
          </w:tcPr>
          <w:p w14:paraId="7084F9E2"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6" w:type="dxa"/>
            <w:shd w:val="clear" w:color="auto" w:fill="D9E2F3" w:themeFill="accent1" w:themeFillTint="33"/>
            <w:vAlign w:val="bottom"/>
          </w:tcPr>
          <w:p w14:paraId="387342BF"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73" w:type="dxa"/>
            <w:shd w:val="clear" w:color="auto" w:fill="D9E2F3" w:themeFill="accent1" w:themeFillTint="33"/>
            <w:vAlign w:val="bottom"/>
          </w:tcPr>
          <w:p w14:paraId="38D465BD"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1" w:type="dxa"/>
            <w:shd w:val="clear" w:color="auto" w:fill="D9E2F3" w:themeFill="accent1" w:themeFillTint="33"/>
            <w:vAlign w:val="bottom"/>
          </w:tcPr>
          <w:p w14:paraId="474FE105"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74" w:type="dxa"/>
            <w:shd w:val="clear" w:color="auto" w:fill="D9E2F3" w:themeFill="accent1" w:themeFillTint="33"/>
            <w:vAlign w:val="bottom"/>
          </w:tcPr>
          <w:p w14:paraId="5E786318"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82029F" w:rsidRPr="00E2052F" w14:paraId="4D4C04C3" w14:textId="77777777" w:rsidTr="00BD4F12">
        <w:trPr>
          <w:cantSplit/>
          <w:trHeight w:val="294"/>
          <w:jc w:val="center"/>
        </w:trPr>
        <w:tc>
          <w:tcPr>
            <w:tcW w:w="838" w:type="dxa"/>
            <w:vMerge w:val="restart"/>
            <w:shd w:val="clear" w:color="auto" w:fill="D9E2F3" w:themeFill="accent1" w:themeFillTint="33"/>
          </w:tcPr>
          <w:p w14:paraId="4B4B48A1" w14:textId="77777777" w:rsidR="00870E41" w:rsidRPr="00E2052F" w:rsidRDefault="00870E41" w:rsidP="00870E41">
            <w:pPr>
              <w:spacing w:before="0" w:beforeAutospacing="0" w:line="240" w:lineRule="auto"/>
              <w:ind w:firstLine="0"/>
              <w:jc w:val="center"/>
              <w:rPr>
                <w:rFonts w:cstheme="majorBidi"/>
                <w:b/>
                <w:bCs/>
                <w:kern w:val="2"/>
                <w:sz w:val="22"/>
              </w:rPr>
            </w:pPr>
          </w:p>
          <w:p w14:paraId="222E2E8B"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8" w:type="dxa"/>
            <w:shd w:val="clear" w:color="auto" w:fill="D9E2F3" w:themeFill="accent1" w:themeFillTint="33"/>
          </w:tcPr>
          <w:p w14:paraId="60BC4D1B"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2" w:type="dxa"/>
          </w:tcPr>
          <w:p w14:paraId="32E6F102"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59.894</w:t>
            </w:r>
          </w:p>
        </w:tc>
        <w:tc>
          <w:tcPr>
            <w:tcW w:w="906" w:type="dxa"/>
          </w:tcPr>
          <w:p w14:paraId="60B8984A"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1</w:t>
            </w:r>
          </w:p>
        </w:tc>
        <w:tc>
          <w:tcPr>
            <w:tcW w:w="1573" w:type="dxa"/>
          </w:tcPr>
          <w:p w14:paraId="24B7426D"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59.894</w:t>
            </w:r>
          </w:p>
        </w:tc>
        <w:tc>
          <w:tcPr>
            <w:tcW w:w="1171" w:type="dxa"/>
          </w:tcPr>
          <w:p w14:paraId="257C0686"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319.712</w:t>
            </w:r>
          </w:p>
        </w:tc>
        <w:tc>
          <w:tcPr>
            <w:tcW w:w="1174" w:type="dxa"/>
          </w:tcPr>
          <w:p w14:paraId="2212FBA1"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82029F" w:rsidRPr="00E2052F" w14:paraId="1D9A41B6" w14:textId="77777777" w:rsidTr="00BD4F12">
        <w:trPr>
          <w:cantSplit/>
          <w:trHeight w:val="294"/>
          <w:jc w:val="center"/>
        </w:trPr>
        <w:tc>
          <w:tcPr>
            <w:tcW w:w="838" w:type="dxa"/>
            <w:vMerge/>
            <w:shd w:val="clear" w:color="auto" w:fill="D9E2F3" w:themeFill="accent1" w:themeFillTint="33"/>
          </w:tcPr>
          <w:p w14:paraId="785F8C4C" w14:textId="77777777" w:rsidR="0082029F" w:rsidRPr="00E2052F" w:rsidRDefault="0082029F" w:rsidP="00870E41">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04962930"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2" w:type="dxa"/>
          </w:tcPr>
          <w:p w14:paraId="0FB6C75E"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55.827</w:t>
            </w:r>
          </w:p>
        </w:tc>
        <w:tc>
          <w:tcPr>
            <w:tcW w:w="906" w:type="dxa"/>
          </w:tcPr>
          <w:p w14:paraId="720B2C13"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3" w:type="dxa"/>
          </w:tcPr>
          <w:p w14:paraId="31A6C752"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0.187</w:t>
            </w:r>
          </w:p>
        </w:tc>
        <w:tc>
          <w:tcPr>
            <w:tcW w:w="1171" w:type="dxa"/>
            <w:vAlign w:val="center"/>
          </w:tcPr>
          <w:p w14:paraId="66395659" w14:textId="77777777" w:rsidR="0082029F" w:rsidRPr="00E2052F" w:rsidRDefault="0082029F" w:rsidP="00870E41">
            <w:pPr>
              <w:spacing w:before="0" w:beforeAutospacing="0" w:line="240" w:lineRule="auto"/>
              <w:jc w:val="center"/>
              <w:rPr>
                <w:rFonts w:cstheme="majorBidi"/>
                <w:kern w:val="2"/>
                <w:sz w:val="22"/>
              </w:rPr>
            </w:pPr>
          </w:p>
        </w:tc>
        <w:tc>
          <w:tcPr>
            <w:tcW w:w="1174" w:type="dxa"/>
            <w:vAlign w:val="center"/>
          </w:tcPr>
          <w:p w14:paraId="40B29210" w14:textId="77777777" w:rsidR="0082029F" w:rsidRPr="00E2052F" w:rsidRDefault="0082029F" w:rsidP="00870E41">
            <w:pPr>
              <w:spacing w:before="0" w:beforeAutospacing="0" w:line="240" w:lineRule="auto"/>
              <w:jc w:val="center"/>
              <w:rPr>
                <w:rFonts w:cstheme="majorBidi"/>
                <w:kern w:val="2"/>
                <w:sz w:val="22"/>
              </w:rPr>
            </w:pPr>
          </w:p>
        </w:tc>
      </w:tr>
      <w:tr w:rsidR="0082029F" w:rsidRPr="00E2052F" w14:paraId="77CFD7E1" w14:textId="77777777" w:rsidTr="00BD4F12">
        <w:trPr>
          <w:cantSplit/>
          <w:trHeight w:val="294"/>
          <w:jc w:val="center"/>
        </w:trPr>
        <w:tc>
          <w:tcPr>
            <w:tcW w:w="838" w:type="dxa"/>
            <w:vMerge/>
            <w:shd w:val="clear" w:color="auto" w:fill="D9E2F3" w:themeFill="accent1" w:themeFillTint="33"/>
          </w:tcPr>
          <w:p w14:paraId="41D7AB0C" w14:textId="77777777" w:rsidR="0082029F" w:rsidRPr="00E2052F" w:rsidRDefault="0082029F" w:rsidP="00870E41">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09C9D397" w14:textId="77777777" w:rsidR="0082029F" w:rsidRPr="00E2052F" w:rsidRDefault="0082029F" w:rsidP="00870E41">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2" w:type="dxa"/>
          </w:tcPr>
          <w:p w14:paraId="1EC6EE5F"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6" w:type="dxa"/>
          </w:tcPr>
          <w:p w14:paraId="50B373EC" w14:textId="77777777" w:rsidR="0082029F" w:rsidRPr="00E2052F" w:rsidRDefault="0082029F" w:rsidP="00870E41">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3" w:type="dxa"/>
            <w:vAlign w:val="center"/>
          </w:tcPr>
          <w:p w14:paraId="0F731488" w14:textId="77777777" w:rsidR="0082029F" w:rsidRPr="00E2052F" w:rsidRDefault="0082029F" w:rsidP="00870E41">
            <w:pPr>
              <w:spacing w:before="0" w:beforeAutospacing="0" w:line="240" w:lineRule="auto"/>
              <w:jc w:val="center"/>
              <w:rPr>
                <w:rFonts w:cstheme="majorBidi"/>
                <w:kern w:val="2"/>
                <w:sz w:val="22"/>
              </w:rPr>
            </w:pPr>
          </w:p>
        </w:tc>
        <w:tc>
          <w:tcPr>
            <w:tcW w:w="1171" w:type="dxa"/>
            <w:vAlign w:val="center"/>
          </w:tcPr>
          <w:p w14:paraId="4CE7592E" w14:textId="77777777" w:rsidR="0082029F" w:rsidRPr="00E2052F" w:rsidRDefault="0082029F" w:rsidP="00870E41">
            <w:pPr>
              <w:spacing w:before="0" w:beforeAutospacing="0" w:line="240" w:lineRule="auto"/>
              <w:jc w:val="center"/>
              <w:rPr>
                <w:rFonts w:cstheme="majorBidi"/>
                <w:kern w:val="2"/>
                <w:sz w:val="22"/>
              </w:rPr>
            </w:pPr>
          </w:p>
        </w:tc>
        <w:tc>
          <w:tcPr>
            <w:tcW w:w="1174" w:type="dxa"/>
            <w:vAlign w:val="center"/>
          </w:tcPr>
          <w:p w14:paraId="62552741" w14:textId="77777777" w:rsidR="0082029F" w:rsidRPr="00E2052F" w:rsidRDefault="0082029F" w:rsidP="00870E41">
            <w:pPr>
              <w:spacing w:before="0" w:beforeAutospacing="0" w:line="240" w:lineRule="auto"/>
              <w:jc w:val="center"/>
              <w:rPr>
                <w:rFonts w:cstheme="majorBidi"/>
                <w:kern w:val="2"/>
                <w:sz w:val="22"/>
              </w:rPr>
            </w:pPr>
          </w:p>
        </w:tc>
      </w:tr>
      <w:tr w:rsidR="0082029F" w:rsidRPr="00E2052F" w14:paraId="55BA2AAE" w14:textId="77777777" w:rsidTr="0057408B">
        <w:trPr>
          <w:cantSplit/>
          <w:trHeight w:val="282"/>
          <w:jc w:val="center"/>
        </w:trPr>
        <w:tc>
          <w:tcPr>
            <w:tcW w:w="9072" w:type="dxa"/>
            <w:gridSpan w:val="7"/>
            <w:shd w:val="clear" w:color="auto" w:fill="FFFFFF"/>
          </w:tcPr>
          <w:p w14:paraId="7B99C8D2" w14:textId="77777777" w:rsidR="0082029F" w:rsidRPr="00E2052F" w:rsidRDefault="0057408B" w:rsidP="0057408B">
            <w:pPr>
              <w:spacing w:before="0" w:beforeAutospacing="0" w:line="240" w:lineRule="auto"/>
              <w:ind w:firstLine="0"/>
              <w:rPr>
                <w:rFonts w:cstheme="majorBidi"/>
                <w:b/>
                <w:bCs/>
                <w:kern w:val="2"/>
                <w:sz w:val="22"/>
              </w:rPr>
            </w:pPr>
            <w:r w:rsidRPr="00E2052F">
              <w:rPr>
                <w:rFonts w:cstheme="majorBidi"/>
                <w:b/>
                <w:bCs/>
                <w:kern w:val="2"/>
                <w:sz w:val="22"/>
              </w:rPr>
              <w:t xml:space="preserve">      </w:t>
            </w:r>
            <w:r w:rsidR="0082029F" w:rsidRPr="00E2052F">
              <w:rPr>
                <w:rFonts w:cstheme="majorBidi"/>
                <w:b/>
                <w:bCs/>
                <w:kern w:val="2"/>
                <w:sz w:val="22"/>
              </w:rPr>
              <w:t>a. Variable dépendante : La responsabilité sociale des entreprises</w:t>
            </w:r>
          </w:p>
        </w:tc>
      </w:tr>
      <w:tr w:rsidR="0082029F" w:rsidRPr="00E2052F" w14:paraId="586236CE" w14:textId="77777777" w:rsidTr="0057408B">
        <w:trPr>
          <w:cantSplit/>
          <w:trHeight w:val="294"/>
          <w:jc w:val="center"/>
        </w:trPr>
        <w:tc>
          <w:tcPr>
            <w:tcW w:w="9072" w:type="dxa"/>
            <w:gridSpan w:val="7"/>
            <w:shd w:val="clear" w:color="auto" w:fill="FFFFFF"/>
          </w:tcPr>
          <w:p w14:paraId="620441EE" w14:textId="77777777" w:rsidR="0082029F" w:rsidRPr="00E2052F" w:rsidRDefault="0057408B" w:rsidP="0057408B">
            <w:pPr>
              <w:spacing w:before="0" w:beforeAutospacing="0" w:line="240" w:lineRule="auto"/>
              <w:ind w:firstLine="0"/>
              <w:rPr>
                <w:rFonts w:cstheme="majorBidi"/>
                <w:b/>
                <w:bCs/>
                <w:kern w:val="2"/>
                <w:sz w:val="22"/>
              </w:rPr>
            </w:pPr>
            <w:r w:rsidRPr="00E2052F">
              <w:rPr>
                <w:rFonts w:cstheme="majorBidi"/>
                <w:b/>
                <w:bCs/>
                <w:kern w:val="2"/>
                <w:sz w:val="22"/>
              </w:rPr>
              <w:t xml:space="preserve">      </w:t>
            </w:r>
            <w:r w:rsidR="0082029F" w:rsidRPr="00E2052F">
              <w:rPr>
                <w:rFonts w:cstheme="majorBidi"/>
                <w:b/>
                <w:bCs/>
                <w:kern w:val="2"/>
                <w:sz w:val="22"/>
              </w:rPr>
              <w:t>b. Prédicteurs : (Constante), La responsabilité du conseil d'administration</w:t>
            </w:r>
          </w:p>
        </w:tc>
      </w:tr>
    </w:tbl>
    <w:p w14:paraId="4ADD5387" w14:textId="77777777" w:rsidR="0082029F" w:rsidRPr="00E2052F" w:rsidRDefault="0082029F" w:rsidP="00870E41">
      <w:pPr>
        <w:spacing w:before="0" w:beforeAutospacing="0" w:line="240" w:lineRule="auto"/>
        <w:ind w:firstLine="0"/>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27DA41F4" w14:textId="77777777" w:rsidR="0082029F" w:rsidRPr="00E2052F" w:rsidRDefault="00DC547D" w:rsidP="00D23BF3">
      <w:pPr>
        <w:spacing w:before="0" w:beforeAutospacing="0"/>
        <w:rPr>
          <w:rFonts w:cstheme="majorBidi"/>
          <w:sz w:val="22"/>
        </w:rPr>
      </w:pPr>
      <w:r w:rsidRPr="00E2052F">
        <w:rPr>
          <w:rFonts w:cstheme="majorBidi"/>
          <w:sz w:val="22"/>
        </w:rPr>
        <w:t>Le test ANOVA montre une valeur de F = 319,71 avec un niveau de signification (Sig.) égal à 0,000, c'est-à-dire inférieur au seuil critique de 0,05.Cela signifie qu'il existe une corrélation statistiquement significative entre la responsabilité du conseil d'administration et la RSE au sein de Tayal SPA à un niveau de signification de 5 %.</w:t>
      </w:r>
    </w:p>
    <w:p w14:paraId="7B20F44B" w14:textId="77777777" w:rsidR="00DC547D" w:rsidRPr="00E2052F" w:rsidRDefault="00DC547D" w:rsidP="00D61875">
      <w:pPr>
        <w:pStyle w:val="Paragraphedeliste"/>
        <w:numPr>
          <w:ilvl w:val="0"/>
          <w:numId w:val="25"/>
        </w:numPr>
        <w:spacing w:before="0" w:beforeAutospacing="0"/>
        <w:ind w:left="1208" w:hanging="357"/>
        <w:rPr>
          <w:rFonts w:cstheme="majorBidi"/>
          <w:b/>
          <w:bCs/>
          <w:sz w:val="22"/>
        </w:rPr>
      </w:pPr>
      <w:r w:rsidRPr="00E2052F">
        <w:rPr>
          <w:rFonts w:cstheme="majorBidi"/>
          <w:b/>
          <w:bCs/>
          <w:sz w:val="22"/>
        </w:rPr>
        <w:t>Coefficients de régression :</w:t>
      </w:r>
    </w:p>
    <w:p w14:paraId="3A48EC77" w14:textId="77777777" w:rsidR="00DC547D" w:rsidRPr="00E2052F" w:rsidRDefault="00193ABF" w:rsidP="00D23BF3">
      <w:pPr>
        <w:spacing w:before="0" w:beforeAutospacing="0"/>
        <w:rPr>
          <w:rFonts w:cstheme="majorBidi"/>
          <w:sz w:val="22"/>
        </w:rPr>
      </w:pPr>
      <w:r w:rsidRPr="00E2052F">
        <w:rPr>
          <w:rFonts w:cstheme="majorBidi"/>
          <w:b/>
          <w:bCs/>
          <w:sz w:val="22"/>
          <w:u w:val="single"/>
        </w:rPr>
        <w:t>Tableau 50</w:t>
      </w:r>
      <w:r w:rsidR="00695A21" w:rsidRPr="00E2052F">
        <w:rPr>
          <w:rFonts w:cstheme="majorBidi"/>
          <w:b/>
          <w:bCs/>
          <w:sz w:val="22"/>
          <w:u w:val="single"/>
        </w:rPr>
        <w:t> :</w:t>
      </w:r>
      <w:r w:rsidR="00DC547D" w:rsidRPr="00E2052F">
        <w:rPr>
          <w:rFonts w:cstheme="majorBidi"/>
          <w:sz w:val="22"/>
        </w:rPr>
        <w:t xml:space="preserve"> </w:t>
      </w:r>
      <w:r w:rsidR="00DC547D" w:rsidRPr="00E2052F">
        <w:rPr>
          <w:rFonts w:cstheme="majorBidi"/>
          <w:b/>
          <w:bCs/>
          <w:sz w:val="22"/>
        </w:rPr>
        <w:t>coefficients de régression.</w:t>
      </w:r>
    </w:p>
    <w:tbl>
      <w:tblPr>
        <w:tblW w:w="9072" w:type="dxa"/>
        <w:jc w:val="center"/>
        <w:tblLayout w:type="fixed"/>
        <w:tblCellMar>
          <w:left w:w="0" w:type="dxa"/>
          <w:right w:w="0" w:type="dxa"/>
        </w:tblCellMar>
        <w:tblLook w:val="0000" w:firstRow="0" w:lastRow="0" w:firstColumn="0" w:lastColumn="0" w:noHBand="0" w:noVBand="0"/>
      </w:tblPr>
      <w:tblGrid>
        <w:gridCol w:w="696"/>
        <w:gridCol w:w="1709"/>
        <w:gridCol w:w="851"/>
        <w:gridCol w:w="1984"/>
        <w:gridCol w:w="2587"/>
        <w:gridCol w:w="664"/>
        <w:gridCol w:w="581"/>
      </w:tblGrid>
      <w:tr w:rsidR="00DC547D" w:rsidRPr="00E2052F" w14:paraId="2DC104D6" w14:textId="77777777" w:rsidTr="00BD4F12">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AA45797"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DC547D" w:rsidRPr="00E2052F" w14:paraId="758BE3DF" w14:textId="77777777" w:rsidTr="00BD4F12">
        <w:trPr>
          <w:cantSplit/>
          <w:jc w:val="center"/>
        </w:trPr>
        <w:tc>
          <w:tcPr>
            <w:tcW w:w="2405"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0E35C6F"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D5DEE3C"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7893A74"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66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69458FF"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426F4D8"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DC547D" w:rsidRPr="00E2052F" w14:paraId="49C19DEB" w14:textId="77777777" w:rsidTr="00BD4F12">
        <w:trPr>
          <w:cantSplit/>
          <w:jc w:val="center"/>
        </w:trPr>
        <w:tc>
          <w:tcPr>
            <w:tcW w:w="2405" w:type="dxa"/>
            <w:gridSpan w:val="2"/>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2B1E750" w14:textId="77777777" w:rsidR="00DC547D" w:rsidRPr="00E2052F" w:rsidRDefault="00DC547D" w:rsidP="0057408B">
            <w:pPr>
              <w:spacing w:before="0" w:beforeAutospacing="0" w:line="240" w:lineRule="auto"/>
              <w:jc w:val="center"/>
              <w:rPr>
                <w:rFonts w:cstheme="majorBidi"/>
                <w:b/>
                <w:bCs/>
                <w:kern w:val="2"/>
                <w:sz w:val="22"/>
              </w:rPr>
            </w:pP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E03A0EF"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C41C57D" w14:textId="77777777" w:rsidR="00DC547D" w:rsidRPr="00E2052F" w:rsidRDefault="00DC547D" w:rsidP="0057408B">
            <w:pPr>
              <w:spacing w:before="0" w:beforeAutospacing="0" w:line="240" w:lineRule="auto"/>
              <w:jc w:val="center"/>
              <w:rPr>
                <w:rFonts w:cstheme="majorBidi"/>
                <w:b/>
                <w:bCs/>
                <w:kern w:val="2"/>
                <w:sz w:val="22"/>
              </w:rPr>
            </w:pPr>
            <w:r w:rsidRPr="00E2052F">
              <w:rPr>
                <w:rFonts w:cstheme="majorBidi"/>
                <w:b/>
                <w:bCs/>
                <w:kern w:val="2"/>
                <w:sz w:val="22"/>
              </w:rPr>
              <w:t>Erreur standard</w:t>
            </w:r>
          </w:p>
        </w:tc>
        <w:tc>
          <w:tcPr>
            <w:tcW w:w="25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242565B" w14:textId="77777777" w:rsidR="00DC547D" w:rsidRPr="00E2052F" w:rsidRDefault="00DC547D" w:rsidP="0057408B">
            <w:pPr>
              <w:spacing w:before="0" w:beforeAutospacing="0" w:line="240" w:lineRule="auto"/>
              <w:jc w:val="center"/>
              <w:rPr>
                <w:rFonts w:cstheme="majorBidi"/>
                <w:b/>
                <w:bCs/>
                <w:kern w:val="2"/>
                <w:sz w:val="22"/>
              </w:rPr>
            </w:pPr>
            <w:r w:rsidRPr="00E2052F">
              <w:rPr>
                <w:rFonts w:cstheme="majorBidi"/>
                <w:b/>
                <w:bCs/>
                <w:kern w:val="2"/>
                <w:sz w:val="22"/>
              </w:rPr>
              <w:t>Bêta</w:t>
            </w:r>
          </w:p>
        </w:tc>
        <w:tc>
          <w:tcPr>
            <w:tcW w:w="66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5F7A3F8" w14:textId="77777777" w:rsidR="00DC547D" w:rsidRPr="00E2052F" w:rsidRDefault="00DC547D" w:rsidP="0057408B">
            <w:pPr>
              <w:spacing w:before="0" w:beforeAutospacing="0" w:line="240" w:lineRule="auto"/>
              <w:jc w:val="center"/>
              <w:rPr>
                <w:rFonts w:cstheme="majorBidi"/>
                <w:b/>
                <w:bCs/>
                <w:kern w:val="2"/>
                <w:sz w:val="22"/>
              </w:rPr>
            </w:pPr>
          </w:p>
        </w:tc>
        <w:tc>
          <w:tcPr>
            <w:tcW w:w="58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85A42CD" w14:textId="77777777" w:rsidR="00DC547D" w:rsidRPr="00E2052F" w:rsidRDefault="00DC547D" w:rsidP="0057408B">
            <w:pPr>
              <w:spacing w:before="0" w:beforeAutospacing="0" w:line="240" w:lineRule="auto"/>
              <w:jc w:val="center"/>
              <w:rPr>
                <w:rFonts w:cstheme="majorBidi"/>
                <w:b/>
                <w:bCs/>
                <w:kern w:val="2"/>
                <w:sz w:val="22"/>
              </w:rPr>
            </w:pPr>
          </w:p>
        </w:tc>
      </w:tr>
      <w:tr w:rsidR="00DC547D" w:rsidRPr="00E2052F" w14:paraId="0CB6C58F" w14:textId="77777777" w:rsidTr="00BD4F12">
        <w:trPr>
          <w:cantSplit/>
          <w:jc w:val="center"/>
        </w:trPr>
        <w:tc>
          <w:tcPr>
            <w:tcW w:w="696"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D42C58"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1</w:t>
            </w:r>
          </w:p>
          <w:p w14:paraId="1DB5FBFF" w14:textId="77777777" w:rsidR="00DC547D" w:rsidRPr="00E2052F" w:rsidRDefault="00DC547D" w:rsidP="0057408B">
            <w:pPr>
              <w:spacing w:before="0" w:beforeAutospacing="0" w:line="240" w:lineRule="auto"/>
              <w:rPr>
                <w:rFonts w:cstheme="majorBidi"/>
                <w:sz w:val="22"/>
              </w:rPr>
            </w:pPr>
          </w:p>
        </w:tc>
        <w:tc>
          <w:tcPr>
            <w:tcW w:w="17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9118CF"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851" w:type="dxa"/>
            <w:tcBorders>
              <w:top w:val="single" w:sz="4" w:space="0" w:color="auto"/>
              <w:left w:val="single" w:sz="4" w:space="0" w:color="auto"/>
              <w:bottom w:val="single" w:sz="4" w:space="0" w:color="auto"/>
              <w:right w:val="single" w:sz="4" w:space="0" w:color="auto"/>
            </w:tcBorders>
          </w:tcPr>
          <w:p w14:paraId="7E71BFB9"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1.235</w:t>
            </w:r>
          </w:p>
        </w:tc>
        <w:tc>
          <w:tcPr>
            <w:tcW w:w="1984" w:type="dxa"/>
            <w:tcBorders>
              <w:top w:val="single" w:sz="4" w:space="0" w:color="auto"/>
              <w:left w:val="single" w:sz="4" w:space="0" w:color="auto"/>
              <w:bottom w:val="single" w:sz="4" w:space="0" w:color="auto"/>
              <w:right w:val="single" w:sz="4" w:space="0" w:color="auto"/>
            </w:tcBorders>
          </w:tcPr>
          <w:p w14:paraId="6CD50614"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0.156</w:t>
            </w:r>
          </w:p>
        </w:tc>
        <w:tc>
          <w:tcPr>
            <w:tcW w:w="2587" w:type="dxa"/>
            <w:tcBorders>
              <w:top w:val="single" w:sz="4" w:space="0" w:color="auto"/>
              <w:left w:val="single" w:sz="4" w:space="0" w:color="auto"/>
              <w:bottom w:val="single" w:sz="4" w:space="0" w:color="auto"/>
              <w:right w:val="single" w:sz="4" w:space="0" w:color="auto"/>
            </w:tcBorders>
            <w:vAlign w:val="center"/>
          </w:tcPr>
          <w:p w14:paraId="4357206E" w14:textId="77777777" w:rsidR="00DC547D" w:rsidRPr="00E2052F" w:rsidRDefault="00DC547D" w:rsidP="0057408B">
            <w:pPr>
              <w:spacing w:before="0" w:beforeAutospacing="0" w:line="240" w:lineRule="auto"/>
              <w:jc w:val="center"/>
              <w:rPr>
                <w:rFonts w:cstheme="majorBidi"/>
                <w:kern w:val="2"/>
                <w:sz w:val="22"/>
              </w:rPr>
            </w:pPr>
          </w:p>
        </w:tc>
        <w:tc>
          <w:tcPr>
            <w:tcW w:w="664" w:type="dxa"/>
            <w:tcBorders>
              <w:top w:val="single" w:sz="4" w:space="0" w:color="auto"/>
              <w:left w:val="single" w:sz="4" w:space="0" w:color="auto"/>
              <w:bottom w:val="single" w:sz="4" w:space="0" w:color="auto"/>
              <w:right w:val="single" w:sz="4" w:space="0" w:color="auto"/>
            </w:tcBorders>
          </w:tcPr>
          <w:p w14:paraId="0083FCD9"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7.908</w:t>
            </w:r>
          </w:p>
        </w:tc>
        <w:tc>
          <w:tcPr>
            <w:tcW w:w="581" w:type="dxa"/>
            <w:tcBorders>
              <w:top w:val="single" w:sz="4" w:space="0" w:color="auto"/>
              <w:left w:val="single" w:sz="4" w:space="0" w:color="auto"/>
              <w:bottom w:val="single" w:sz="4" w:space="0" w:color="auto"/>
              <w:right w:val="single" w:sz="4" w:space="0" w:color="auto"/>
            </w:tcBorders>
          </w:tcPr>
          <w:p w14:paraId="6287BEFC"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0.000</w:t>
            </w:r>
          </w:p>
        </w:tc>
      </w:tr>
      <w:tr w:rsidR="00DC547D" w:rsidRPr="00E2052F" w14:paraId="19A6921A" w14:textId="77777777" w:rsidTr="00BD4F12">
        <w:trPr>
          <w:cantSplit/>
          <w:jc w:val="center"/>
        </w:trPr>
        <w:tc>
          <w:tcPr>
            <w:tcW w:w="696"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C5AF20" w14:textId="77777777" w:rsidR="00DC547D" w:rsidRPr="00E2052F" w:rsidRDefault="00DC547D" w:rsidP="0057408B">
            <w:pPr>
              <w:spacing w:before="0" w:beforeAutospacing="0" w:line="240" w:lineRule="auto"/>
              <w:jc w:val="center"/>
              <w:rPr>
                <w:rFonts w:cstheme="majorBidi"/>
                <w:b/>
                <w:bCs/>
                <w:kern w:val="2"/>
                <w:sz w:val="22"/>
              </w:rPr>
            </w:pPr>
          </w:p>
        </w:tc>
        <w:tc>
          <w:tcPr>
            <w:tcW w:w="17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DC56F5" w14:textId="77777777" w:rsidR="00DC547D" w:rsidRPr="00E2052F" w:rsidRDefault="00DC547D" w:rsidP="0057408B">
            <w:pPr>
              <w:spacing w:before="0" w:beforeAutospacing="0" w:line="240" w:lineRule="auto"/>
              <w:ind w:firstLine="0"/>
              <w:jc w:val="center"/>
              <w:rPr>
                <w:rFonts w:cstheme="majorBidi"/>
                <w:b/>
                <w:bCs/>
                <w:kern w:val="2"/>
                <w:sz w:val="22"/>
              </w:rPr>
            </w:pPr>
            <w:r w:rsidRPr="00E2052F">
              <w:rPr>
                <w:rFonts w:cstheme="majorBidi"/>
                <w:b/>
                <w:bCs/>
                <w:kern w:val="2"/>
                <w:sz w:val="22"/>
              </w:rPr>
              <w:t>La responsabilité du conseil d'administration</w:t>
            </w:r>
          </w:p>
        </w:tc>
        <w:tc>
          <w:tcPr>
            <w:tcW w:w="851" w:type="dxa"/>
            <w:tcBorders>
              <w:top w:val="single" w:sz="4" w:space="0" w:color="auto"/>
              <w:left w:val="single" w:sz="4" w:space="0" w:color="auto"/>
              <w:bottom w:val="single" w:sz="4" w:space="0" w:color="auto"/>
              <w:right w:val="single" w:sz="4" w:space="0" w:color="auto"/>
            </w:tcBorders>
          </w:tcPr>
          <w:p w14:paraId="5C00EA44"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0.662</w:t>
            </w:r>
          </w:p>
        </w:tc>
        <w:tc>
          <w:tcPr>
            <w:tcW w:w="1984" w:type="dxa"/>
            <w:tcBorders>
              <w:top w:val="single" w:sz="4" w:space="0" w:color="auto"/>
              <w:left w:val="single" w:sz="4" w:space="0" w:color="auto"/>
              <w:bottom w:val="single" w:sz="4" w:space="0" w:color="auto"/>
              <w:right w:val="single" w:sz="4" w:space="0" w:color="auto"/>
            </w:tcBorders>
          </w:tcPr>
          <w:p w14:paraId="2A2816E2"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0.037</w:t>
            </w:r>
          </w:p>
        </w:tc>
        <w:tc>
          <w:tcPr>
            <w:tcW w:w="2587" w:type="dxa"/>
            <w:tcBorders>
              <w:top w:val="single" w:sz="4" w:space="0" w:color="auto"/>
              <w:left w:val="single" w:sz="4" w:space="0" w:color="auto"/>
              <w:bottom w:val="single" w:sz="4" w:space="0" w:color="auto"/>
              <w:right w:val="single" w:sz="4" w:space="0" w:color="auto"/>
            </w:tcBorders>
          </w:tcPr>
          <w:p w14:paraId="5F02B052"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0.719</w:t>
            </w:r>
          </w:p>
        </w:tc>
        <w:tc>
          <w:tcPr>
            <w:tcW w:w="664" w:type="dxa"/>
            <w:tcBorders>
              <w:top w:val="single" w:sz="4" w:space="0" w:color="auto"/>
              <w:left w:val="single" w:sz="4" w:space="0" w:color="auto"/>
              <w:bottom w:val="single" w:sz="4" w:space="0" w:color="auto"/>
              <w:right w:val="single" w:sz="4" w:space="0" w:color="auto"/>
            </w:tcBorders>
          </w:tcPr>
          <w:p w14:paraId="053319ED"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17.880</w:t>
            </w:r>
          </w:p>
        </w:tc>
        <w:tc>
          <w:tcPr>
            <w:tcW w:w="581" w:type="dxa"/>
            <w:tcBorders>
              <w:top w:val="single" w:sz="4" w:space="0" w:color="auto"/>
              <w:left w:val="single" w:sz="4" w:space="0" w:color="auto"/>
              <w:bottom w:val="single" w:sz="4" w:space="0" w:color="auto"/>
              <w:right w:val="single" w:sz="4" w:space="0" w:color="auto"/>
            </w:tcBorders>
          </w:tcPr>
          <w:p w14:paraId="14764E4D" w14:textId="77777777" w:rsidR="00DC547D" w:rsidRPr="00E2052F" w:rsidRDefault="00DC547D" w:rsidP="0057408B">
            <w:pPr>
              <w:spacing w:before="0" w:beforeAutospacing="0" w:line="240" w:lineRule="auto"/>
              <w:ind w:firstLine="0"/>
              <w:jc w:val="center"/>
              <w:rPr>
                <w:rFonts w:cstheme="majorBidi"/>
                <w:kern w:val="2"/>
                <w:sz w:val="22"/>
              </w:rPr>
            </w:pPr>
            <w:r w:rsidRPr="00E2052F">
              <w:rPr>
                <w:rFonts w:cstheme="majorBidi"/>
                <w:kern w:val="2"/>
                <w:sz w:val="22"/>
              </w:rPr>
              <w:t>0.000</w:t>
            </w:r>
          </w:p>
        </w:tc>
      </w:tr>
      <w:tr w:rsidR="00DC547D" w:rsidRPr="00E2052F" w14:paraId="7553C722" w14:textId="77777777" w:rsidTr="0057408B">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FFFFFF"/>
          </w:tcPr>
          <w:p w14:paraId="263FB6C7" w14:textId="77777777" w:rsidR="00DC547D" w:rsidRPr="00E2052F" w:rsidRDefault="00DC547D" w:rsidP="0057408B">
            <w:pPr>
              <w:spacing w:before="0" w:beforeAutospacing="0" w:line="240" w:lineRule="auto"/>
              <w:jc w:val="center"/>
              <w:rPr>
                <w:rFonts w:cstheme="majorBidi"/>
                <w:b/>
                <w:bCs/>
                <w:kern w:val="2"/>
                <w:sz w:val="22"/>
              </w:rPr>
            </w:pPr>
            <w:r w:rsidRPr="00E2052F">
              <w:rPr>
                <w:rFonts w:cstheme="majorBidi"/>
                <w:b/>
                <w:bCs/>
                <w:kern w:val="2"/>
                <w:sz w:val="22"/>
              </w:rPr>
              <w:t>a. Variable dépendante : La responsabilité sociale des entreprises</w:t>
            </w:r>
          </w:p>
        </w:tc>
      </w:tr>
    </w:tbl>
    <w:p w14:paraId="2A0B5133" w14:textId="77777777" w:rsidR="00DC547D" w:rsidRPr="00E2052F" w:rsidRDefault="00DC547D" w:rsidP="0057408B">
      <w:pPr>
        <w:spacing w:before="0" w:beforeAutospacing="0" w:line="240" w:lineRule="auto"/>
        <w:jc w:val="center"/>
        <w:rPr>
          <w:rFonts w:cstheme="majorBidi"/>
          <w:sz w:val="22"/>
        </w:rPr>
      </w:pPr>
      <w:r w:rsidRPr="00E2052F">
        <w:rPr>
          <w:rFonts w:cstheme="majorBidi"/>
          <w:b/>
          <w:bCs/>
          <w:sz w:val="22"/>
        </w:rPr>
        <w:t xml:space="preserve">Source : </w:t>
      </w:r>
      <w:r w:rsidR="000036D1">
        <w:rPr>
          <w:rFonts w:cstheme="majorBidi"/>
          <w:sz w:val="22"/>
        </w:rPr>
        <w:t>établi</w:t>
      </w:r>
      <w:r w:rsidRPr="00E2052F">
        <w:rPr>
          <w:rFonts w:cstheme="majorBidi"/>
          <w:sz w:val="22"/>
        </w:rPr>
        <w:t xml:space="preserve"> par nous même à partir des résultats du SPSS 27.</w:t>
      </w:r>
    </w:p>
    <w:p w14:paraId="0F36D019" w14:textId="77777777" w:rsidR="00DC547D" w:rsidRPr="00E2052F" w:rsidRDefault="0057408B" w:rsidP="00D23BF3">
      <w:pPr>
        <w:spacing w:before="0" w:beforeAutospacing="0"/>
        <w:rPr>
          <w:rFonts w:cstheme="majorBidi"/>
          <w:sz w:val="22"/>
        </w:rPr>
      </w:pPr>
      <w:r w:rsidRPr="00E2052F">
        <w:rPr>
          <w:rFonts w:cstheme="majorBidi"/>
          <w:noProof/>
          <w:sz w:val="22"/>
          <w:lang w:eastAsia="fr-FR"/>
        </w:rPr>
        <mc:AlternateContent>
          <mc:Choice Requires="wps">
            <w:drawing>
              <wp:anchor distT="0" distB="0" distL="114300" distR="114300" simplePos="0" relativeHeight="252096512" behindDoc="0" locked="0" layoutInCell="1" allowOverlap="1" wp14:anchorId="794BC1D8" wp14:editId="6A586A5C">
                <wp:simplePos x="0" y="0"/>
                <wp:positionH relativeFrom="margin">
                  <wp:align>center</wp:align>
                </wp:positionH>
                <wp:positionV relativeFrom="paragraph">
                  <wp:posOffset>758628</wp:posOffset>
                </wp:positionV>
                <wp:extent cx="1629410" cy="301625"/>
                <wp:effectExtent l="0" t="0" r="27940" b="22225"/>
                <wp:wrapNone/>
                <wp:docPr id="233" name="Rectangle à coins arrondis 233"/>
                <wp:cNvGraphicFramePr/>
                <a:graphic xmlns:a="http://schemas.openxmlformats.org/drawingml/2006/main">
                  <a:graphicData uri="http://schemas.microsoft.com/office/word/2010/wordprocessingShape">
                    <wps:wsp>
                      <wps:cNvSpPr/>
                      <wps:spPr>
                        <a:xfrm>
                          <a:off x="0" y="0"/>
                          <a:ext cx="1629410" cy="301625"/>
                        </a:xfrm>
                        <a:prstGeom prst="roundRect">
                          <a:avLst/>
                        </a:prstGeom>
                        <a:no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0747E5B" id="Rectangle à coins arrondis 233" o:spid="_x0000_s1026" style="position:absolute;margin-left:0;margin-top:59.75pt;width:128.3pt;height:23.75pt;z-index:2520965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" filled="f" strokecolor="#8eaadb [1940]" strokeweight="1pt">
                <v:stroke joinstyle="miter"/>
                <w10:wrap anchorx="margin"/>
              </v:roundrect>
            </w:pict>
          </mc:Fallback>
        </mc:AlternateContent>
      </w:r>
      <w:r w:rsidR="00DC547D" w:rsidRPr="00E2052F">
        <w:rPr>
          <w:rFonts w:cstheme="majorBidi"/>
          <w:sz w:val="22"/>
        </w:rPr>
        <w:t xml:space="preserve">D’après les résultats du tableau précédent, nous constatons que le modèle qui exprime la relation entre la responsabilité du conseil d'administration et </w:t>
      </w:r>
      <w:r w:rsidR="00C5729C" w:rsidRPr="00E2052F">
        <w:rPr>
          <w:rFonts w:cstheme="majorBidi"/>
          <w:sz w:val="22"/>
        </w:rPr>
        <w:t>la responsabilité du conseil d'administration et la RSE au sein de Tayal SPA, est un modèle linéaire :</w:t>
      </w:r>
    </w:p>
    <w:p w14:paraId="44D9F5E5" w14:textId="77777777" w:rsidR="00C5729C" w:rsidRPr="00E2052F" w:rsidRDefault="00C5729C" w:rsidP="00D23BF3">
      <w:pPr>
        <w:spacing w:before="0" w:beforeAutospacing="0"/>
        <w:ind w:firstLine="0"/>
        <w:jc w:val="center"/>
        <w:rPr>
          <w:rFonts w:cstheme="majorBidi"/>
          <w:b/>
          <w:bCs/>
          <w:sz w:val="22"/>
        </w:rPr>
      </w:pPr>
      <w:r w:rsidRPr="00E2052F">
        <w:rPr>
          <w:rFonts w:cstheme="majorBidi"/>
          <w:b/>
          <w:bCs/>
          <w:sz w:val="22"/>
        </w:rPr>
        <w:t>Y = 0,662 X6+ 1,235</w:t>
      </w:r>
    </w:p>
    <w:p w14:paraId="78BB2F79" w14:textId="77777777" w:rsidR="00C5729C" w:rsidRPr="00E2052F" w:rsidRDefault="00C5729C" w:rsidP="00D23BF3">
      <w:pPr>
        <w:spacing w:before="0" w:beforeAutospacing="0"/>
        <w:rPr>
          <w:rFonts w:cstheme="majorBidi"/>
          <w:sz w:val="22"/>
        </w:rPr>
      </w:pPr>
      <w:r w:rsidRPr="00E2052F">
        <w:rPr>
          <w:rFonts w:cstheme="majorBidi"/>
          <w:sz w:val="22"/>
        </w:rPr>
        <w:t>Le nombre 0,662 signifie que chaque augmentation d'un point de la responsabilité du conseil entraîne une augmentation de 0,662 point de la RSE. C'est l'impact le plus fort parmi tous les axes.</w:t>
      </w:r>
    </w:p>
    <w:p w14:paraId="40193AA1" w14:textId="77777777" w:rsidR="00C5729C" w:rsidRPr="00E2052F" w:rsidRDefault="00C5729C" w:rsidP="00D23BF3">
      <w:pPr>
        <w:spacing w:before="0" w:beforeAutospacing="0"/>
        <w:rPr>
          <w:rFonts w:cstheme="majorBidi"/>
          <w:sz w:val="22"/>
        </w:rPr>
      </w:pPr>
      <w:r w:rsidRPr="00E2052F">
        <w:rPr>
          <w:rFonts w:cstheme="majorBidi"/>
          <w:sz w:val="22"/>
        </w:rPr>
        <w:t>La constante (1,235) représente la valeur estimée de la RSE en l'absence de responsabilité du conseil.</w:t>
      </w:r>
    </w:p>
    <w:p w14:paraId="22EB0E21" w14:textId="77777777" w:rsidR="00C5729C" w:rsidRPr="00E2052F" w:rsidRDefault="00C5729C" w:rsidP="00D23BF3">
      <w:pPr>
        <w:spacing w:before="0" w:beforeAutospacing="0"/>
        <w:rPr>
          <w:rFonts w:cstheme="majorBidi"/>
          <w:sz w:val="22"/>
        </w:rPr>
      </w:pPr>
      <w:r w:rsidRPr="00E2052F">
        <w:rPr>
          <w:rFonts w:cstheme="majorBidi"/>
          <w:sz w:val="22"/>
        </w:rPr>
        <w:t>Le coefficient standardisé (Bêta = 0,719) confirme un impact positif très fort.</w:t>
      </w:r>
    </w:p>
    <w:p w14:paraId="2E89C116" w14:textId="77777777" w:rsidR="00C5729C" w:rsidRPr="00E2052F" w:rsidRDefault="00C5729C" w:rsidP="00D23BF3">
      <w:pPr>
        <w:spacing w:before="0" w:beforeAutospacing="0"/>
        <w:rPr>
          <w:rFonts w:cstheme="majorBidi"/>
          <w:sz w:val="22"/>
        </w:rPr>
      </w:pPr>
      <w:r w:rsidRPr="00E2052F">
        <w:rPr>
          <w:rFonts w:cstheme="majorBidi"/>
          <w:sz w:val="22"/>
        </w:rPr>
        <w:lastRenderedPageBreak/>
        <w:t>La valeur t = 17,880 avec Sig. = 0,000 indique que ce coefficient est statistiquement significatif.</w:t>
      </w:r>
    </w:p>
    <w:p w14:paraId="75C12C33" w14:textId="77777777" w:rsidR="00C5729C" w:rsidRPr="00E2052F" w:rsidRDefault="00C5729C" w:rsidP="00C8480E">
      <w:pPr>
        <w:pStyle w:val="Titre2"/>
      </w:pPr>
      <w:bookmarkStart w:id="1824" w:name="_Toc229156028"/>
      <w:bookmarkStart w:id="1825" w:name="_Toc231747026"/>
      <w:bookmarkStart w:id="1826" w:name="_Toc231752432"/>
      <w:bookmarkStart w:id="1827" w:name="_Toc231810735"/>
      <w:bookmarkStart w:id="1828" w:name="_Toc231812078"/>
      <w:bookmarkStart w:id="1829" w:name="_Toc231812356"/>
      <w:bookmarkStart w:id="1830" w:name="_Toc231815240"/>
      <w:r w:rsidRPr="00E2052F">
        <w:t>Discuter les résultats :</w:t>
      </w:r>
      <w:bookmarkEnd w:id="1824"/>
      <w:bookmarkEnd w:id="1825"/>
      <w:bookmarkEnd w:id="1826"/>
      <w:bookmarkEnd w:id="1827"/>
      <w:bookmarkEnd w:id="1828"/>
      <w:bookmarkEnd w:id="1829"/>
      <w:bookmarkEnd w:id="1830"/>
    </w:p>
    <w:p w14:paraId="0EC99E1C" w14:textId="77777777" w:rsidR="00C5729C" w:rsidRPr="00E2052F" w:rsidRDefault="00C5729C" w:rsidP="00D23BF3">
      <w:pPr>
        <w:spacing w:before="0" w:beforeAutospacing="0"/>
        <w:rPr>
          <w:rFonts w:cstheme="majorBidi"/>
          <w:sz w:val="22"/>
        </w:rPr>
      </w:pPr>
      <w:r w:rsidRPr="00E2052F">
        <w:rPr>
          <w:rFonts w:cstheme="majorBidi"/>
          <w:sz w:val="22"/>
        </w:rPr>
        <w:t>Dans cette partie, nous discutons des résultats du questionnaire et de la validité de l'hypothèse principale et les hypothèses secondaires.</w:t>
      </w:r>
    </w:p>
    <w:p w14:paraId="67C35C21" w14:textId="77777777" w:rsidR="00C5729C" w:rsidRPr="00E2052F" w:rsidRDefault="00BB744C" w:rsidP="00D61875">
      <w:pPr>
        <w:pStyle w:val="Titre3"/>
        <w:numPr>
          <w:ilvl w:val="0"/>
          <w:numId w:val="26"/>
        </w:numPr>
        <w:spacing w:before="0" w:beforeAutospacing="0" w:after="160"/>
        <w:ind w:left="641" w:hanging="357"/>
        <w:rPr>
          <w:rFonts w:asciiTheme="majorBidi" w:hAnsiTheme="majorBidi"/>
          <w:color w:val="auto"/>
          <w:sz w:val="22"/>
        </w:rPr>
      </w:pPr>
      <w:bookmarkStart w:id="1831" w:name="_Toc229156029"/>
      <w:bookmarkStart w:id="1832" w:name="_Toc231747027"/>
      <w:bookmarkStart w:id="1833" w:name="_Toc231752433"/>
      <w:bookmarkStart w:id="1834" w:name="_Toc231810736"/>
      <w:bookmarkStart w:id="1835" w:name="_Toc231812079"/>
      <w:bookmarkStart w:id="1836" w:name="_Toc231812357"/>
      <w:bookmarkStart w:id="1837" w:name="_Toc231815241"/>
      <w:r w:rsidRPr="00E2052F">
        <w:rPr>
          <w:rFonts w:asciiTheme="majorBidi" w:hAnsiTheme="majorBidi"/>
          <w:color w:val="auto"/>
          <w:sz w:val="22"/>
        </w:rPr>
        <w:t>Discutions des résultats de questionnaire :</w:t>
      </w:r>
      <w:bookmarkEnd w:id="1831"/>
      <w:bookmarkEnd w:id="1832"/>
      <w:bookmarkEnd w:id="1833"/>
      <w:bookmarkEnd w:id="1834"/>
      <w:bookmarkEnd w:id="1835"/>
      <w:bookmarkEnd w:id="1836"/>
      <w:bookmarkEnd w:id="1837"/>
    </w:p>
    <w:p w14:paraId="4CB25486" w14:textId="77777777" w:rsidR="00E21B5F" w:rsidRPr="00E2052F" w:rsidRDefault="00E21B5F" w:rsidP="00D61875">
      <w:pPr>
        <w:pStyle w:val="Titre4"/>
        <w:numPr>
          <w:ilvl w:val="0"/>
          <w:numId w:val="43"/>
        </w:numPr>
        <w:spacing w:before="0" w:beforeAutospacing="0" w:after="160"/>
        <w:ind w:left="1571" w:hanging="720"/>
        <w:rPr>
          <w:rFonts w:asciiTheme="majorBidi" w:hAnsiTheme="majorBidi"/>
          <w:i w:val="0"/>
          <w:iCs w:val="0"/>
          <w:color w:val="auto"/>
          <w:sz w:val="22"/>
        </w:rPr>
      </w:pPr>
      <w:bookmarkStart w:id="1838" w:name="_Toc229156030"/>
      <w:bookmarkStart w:id="1839" w:name="_Toc231747028"/>
      <w:bookmarkStart w:id="1840" w:name="_Toc231752434"/>
      <w:bookmarkStart w:id="1841" w:name="_Toc231810737"/>
      <w:bookmarkStart w:id="1842" w:name="_Toc231812080"/>
      <w:bookmarkStart w:id="1843" w:name="_Toc231812358"/>
      <w:bookmarkStart w:id="1844" w:name="_Toc231815242"/>
      <w:r w:rsidRPr="00E2052F">
        <w:rPr>
          <w:rFonts w:asciiTheme="majorBidi" w:hAnsiTheme="majorBidi"/>
          <w:i w:val="0"/>
          <w:iCs w:val="0"/>
          <w:color w:val="auto"/>
          <w:sz w:val="22"/>
        </w:rPr>
        <w:t>Les résultats de la première partie (donnée générale des employées) :</w:t>
      </w:r>
      <w:bookmarkEnd w:id="1838"/>
      <w:bookmarkEnd w:id="1839"/>
      <w:bookmarkEnd w:id="1840"/>
      <w:bookmarkEnd w:id="1841"/>
      <w:bookmarkEnd w:id="1842"/>
      <w:bookmarkEnd w:id="1843"/>
      <w:bookmarkEnd w:id="1844"/>
    </w:p>
    <w:p w14:paraId="70618027" w14:textId="77777777" w:rsidR="00E21B5F" w:rsidRPr="00E2052F" w:rsidRDefault="00E21B5F" w:rsidP="00D23BF3">
      <w:pPr>
        <w:spacing w:before="0" w:beforeAutospacing="0"/>
        <w:rPr>
          <w:rFonts w:cstheme="majorBidi"/>
          <w:sz w:val="22"/>
        </w:rPr>
      </w:pPr>
      <w:r w:rsidRPr="00E2052F">
        <w:rPr>
          <w:rFonts w:cstheme="majorBidi"/>
          <w:sz w:val="22"/>
        </w:rPr>
        <w:t>Cette section présente les résultats de l’analyse descriptive de l’échantillon étudié ainsi que ceux relatifs aux principaux axes de la recherche. Elle est structurée en deux parties complémentaires. La première porte sur les caractéristiques générales des employés de TAYAL SPA, notamment selon le sexe, l’âge, le niveau d’études, le domaine de formation, la spécialisation ainsi que l’expérience professionnelle. Cette analyse permet de mieux comprendre le profil sociodémographique des répondants et de situer le contexte organisationnel de l’étude.</w:t>
      </w:r>
    </w:p>
    <w:p w14:paraId="677E5273"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le sexe :</w:t>
      </w:r>
    </w:p>
    <w:p w14:paraId="742DF066" w14:textId="77777777" w:rsidR="00E21B5F" w:rsidRPr="00E2052F" w:rsidRDefault="00E21B5F" w:rsidP="00D23BF3">
      <w:pPr>
        <w:spacing w:before="0" w:beforeAutospacing="0"/>
        <w:rPr>
          <w:rFonts w:cstheme="majorBidi"/>
          <w:b/>
          <w:bCs/>
          <w:sz w:val="22"/>
        </w:rPr>
      </w:pPr>
      <w:r w:rsidRPr="00E2052F">
        <w:rPr>
          <w:rFonts w:cstheme="majorBidi"/>
          <w:sz w:val="22"/>
        </w:rPr>
        <w:t>Les résultats du tableau 01 montrent que la majorité des salariés dans TAYAL SPA sont des hommes (69 % contre 31 % de femmes). Cela peut s’expliquer par plusieurs facteurs, notamment la persistance de certaines réalités socioprofessionnelles où les hommes restent plus représentés dans le secteur privé. Toutefois, la présence non négligeable des femmes reflète également une évolution progressive vers plus d’égalité des sexes et une intégration croissante des femmes dans ce domaine. Les politiques de diversité et d’inclusion peuvent aussi contribuer à renforcer cette tendance.</w:t>
      </w:r>
    </w:p>
    <w:p w14:paraId="216C651A"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l’âge :</w:t>
      </w:r>
    </w:p>
    <w:p w14:paraId="566F6D96" w14:textId="77777777" w:rsidR="00E21B5F" w:rsidRPr="00E2052F" w:rsidRDefault="00E21B5F" w:rsidP="00D23BF3">
      <w:pPr>
        <w:spacing w:before="0" w:beforeAutospacing="0"/>
        <w:rPr>
          <w:rFonts w:cstheme="majorBidi"/>
          <w:b/>
          <w:bCs/>
          <w:sz w:val="22"/>
        </w:rPr>
      </w:pPr>
      <w:r w:rsidRPr="00E2052F">
        <w:rPr>
          <w:rFonts w:cstheme="majorBidi"/>
          <w:sz w:val="22"/>
        </w:rPr>
        <w:t>Les résultats du tableau 02 montrent que la majorité des employés appartient à la tranche d’âge de 30 à 45 ans (55,3 %), suivie de celle de 45 à 55 ans (31,3 %). Cela montre que TAYAL SPA s’appuie principalement sur une population active mature, combinant dynamisme et expérience. Ces tranches d’âge sont généralement caractérisées par une bonne capacité à atteindre les objectifs organisationnels grâce à une expérience professionnelle significative et une meilleure maîtrise des activités bancaires.</w:t>
      </w:r>
    </w:p>
    <w:p w14:paraId="0BCBF6DA"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le niveau d’études :</w:t>
      </w:r>
    </w:p>
    <w:p w14:paraId="2AC9B721" w14:textId="77777777" w:rsidR="00E21B5F" w:rsidRPr="00E2052F" w:rsidRDefault="00E21B5F" w:rsidP="00D23BF3">
      <w:pPr>
        <w:spacing w:before="0" w:beforeAutospacing="0"/>
        <w:rPr>
          <w:rFonts w:cstheme="majorBidi"/>
          <w:b/>
          <w:bCs/>
          <w:sz w:val="22"/>
        </w:rPr>
      </w:pPr>
      <w:r w:rsidRPr="00E2052F">
        <w:rPr>
          <w:rFonts w:cstheme="majorBidi"/>
          <w:sz w:val="22"/>
        </w:rPr>
        <w:t>Les résultats du tableau 03 montrent que la plupart des employés de l’échantillon possèdent un niveau d’études élevé, dominé par le Master (49,3 %), suivi du Magister (20,3 %), du Doctorat (11,3 %) et de la Licence (19 %). Cela s’explique par la nature des postes occupés dans le secteur bancaire, qui exigent des qualifications académiques élevées. Ce niveau d’instruction favorise le développement des compétences, l’innovation et l’efficacité professionnelle.</w:t>
      </w:r>
    </w:p>
    <w:p w14:paraId="17832DBB"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le domaine d’études :</w:t>
      </w:r>
    </w:p>
    <w:p w14:paraId="1E7E1004" w14:textId="77777777" w:rsidR="00E21B5F" w:rsidRPr="00E2052F" w:rsidRDefault="00E21B5F" w:rsidP="00D23BF3">
      <w:pPr>
        <w:spacing w:before="0" w:beforeAutospacing="0"/>
        <w:rPr>
          <w:rFonts w:cstheme="majorBidi"/>
          <w:b/>
          <w:bCs/>
          <w:sz w:val="22"/>
        </w:rPr>
      </w:pPr>
      <w:r w:rsidRPr="00E2052F">
        <w:rPr>
          <w:rFonts w:cstheme="majorBidi"/>
          <w:sz w:val="22"/>
        </w:rPr>
        <w:lastRenderedPageBreak/>
        <w:t>Les résultats du tableau 04 montrent que les domaines d’études les plus représentés sont la gestion (23,7 %), le commerce (22,3 %) et la finance (14 %) et la stratégie (11.7%) . Cela indique que les profils recherchés dans TAYAL SPA sont principalement orientés vers les disciplines économiques et managériales. La présence importante de ces spécialités reflète leur adéquation avec les exigences du secteur bancaire, notamment en matière de gestion financière, de prise de décision et de stratégie.</w:t>
      </w:r>
    </w:p>
    <w:p w14:paraId="65391BF4"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la spécialisé :</w:t>
      </w:r>
    </w:p>
    <w:p w14:paraId="5AF249D0" w14:textId="77777777" w:rsidR="00E21B5F" w:rsidRPr="00E2052F" w:rsidRDefault="00E21B5F" w:rsidP="00D23BF3">
      <w:pPr>
        <w:spacing w:before="0" w:beforeAutospacing="0"/>
        <w:rPr>
          <w:rFonts w:cstheme="majorBidi"/>
          <w:b/>
          <w:bCs/>
          <w:sz w:val="22"/>
        </w:rPr>
      </w:pPr>
      <w:r w:rsidRPr="00E2052F">
        <w:rPr>
          <w:rFonts w:cstheme="majorBidi"/>
          <w:sz w:val="22"/>
        </w:rPr>
        <w:t>Les résultats du tableau 06 montrent que la structure des postes occupés montre une forte concentration de profils spécialisés (spécialistes, experts, cadres intermédiaires), avec une faible proportion de postes de direction. Cela traduit une organisation hiérarchique structurée où la majorité des employés occupe des fonctions opérationnelles et techniques. Cette répartition reflète le besoin de compétences spécialisées pour assurer le bon fonctionnement des activités de TAYAL SPA, tandis que les postes de direction restent limités mais stratégiques.</w:t>
      </w:r>
    </w:p>
    <w:p w14:paraId="1C06992A" w14:textId="77777777" w:rsidR="00E21B5F" w:rsidRPr="00E2052F" w:rsidRDefault="00E21B5F" w:rsidP="00D61875">
      <w:pPr>
        <w:numPr>
          <w:ilvl w:val="0"/>
          <w:numId w:val="42"/>
        </w:numPr>
        <w:spacing w:before="0" w:beforeAutospacing="0"/>
        <w:rPr>
          <w:rFonts w:cstheme="majorBidi"/>
          <w:b/>
          <w:bCs/>
          <w:sz w:val="22"/>
        </w:rPr>
      </w:pPr>
      <w:r w:rsidRPr="00E2052F">
        <w:rPr>
          <w:rFonts w:cstheme="majorBidi"/>
          <w:b/>
          <w:bCs/>
          <w:sz w:val="22"/>
        </w:rPr>
        <w:t>Selon l’expérience professionnelle :</w:t>
      </w:r>
    </w:p>
    <w:p w14:paraId="442EA99D" w14:textId="77777777" w:rsidR="00E21B5F" w:rsidRPr="00E2052F" w:rsidRDefault="00E21B5F" w:rsidP="00D23BF3">
      <w:pPr>
        <w:spacing w:before="0" w:beforeAutospacing="0"/>
        <w:rPr>
          <w:rFonts w:cstheme="majorBidi"/>
          <w:b/>
          <w:bCs/>
          <w:sz w:val="22"/>
        </w:rPr>
      </w:pPr>
      <w:r w:rsidRPr="00E2052F">
        <w:rPr>
          <w:rFonts w:cstheme="majorBidi"/>
          <w:sz w:val="22"/>
        </w:rPr>
        <w:t xml:space="preserve">Les résultats du tableau 05 montrent que la majorité des employés possède une expérience professionnelle comprise entre 5 et 10 ans (50 %), suivie de ceux ayant entre 11 et 15 ans (35,7 %). Cela indique que la TAYAL SPA privilégie un personnel ayant une expérience intermédiaire à </w:t>
      </w:r>
      <w:r w:rsidR="00193ABF" w:rsidRPr="00E2052F">
        <w:rPr>
          <w:rFonts w:cstheme="majorBidi"/>
          <w:sz w:val="22"/>
        </w:rPr>
        <w:t>avancer</w:t>
      </w:r>
      <w:r w:rsidRPr="00E2052F">
        <w:rPr>
          <w:rFonts w:cstheme="majorBidi"/>
          <w:sz w:val="22"/>
        </w:rPr>
        <w:t>. Ce niveau d’ancienneté permet d’assurer un équilibre entre compétences acquises et capacité d’adaptation, ce qui contribue à améliorer la performance organisationnelle.</w:t>
      </w:r>
    </w:p>
    <w:p w14:paraId="4D2DBF35" w14:textId="77777777" w:rsidR="00E21B5F" w:rsidRPr="00E2052F" w:rsidRDefault="00E21B5F" w:rsidP="00D23BF3">
      <w:pPr>
        <w:spacing w:before="0" w:beforeAutospacing="0"/>
        <w:rPr>
          <w:rFonts w:cstheme="majorBidi"/>
          <w:sz w:val="22"/>
        </w:rPr>
      </w:pPr>
      <w:r w:rsidRPr="00E2052F">
        <w:rPr>
          <w:rFonts w:cstheme="majorBidi"/>
          <w:sz w:val="22"/>
        </w:rPr>
        <w:t>Les résultats montrent que TAYAL SPA dispose d’un capital humain majoritairement qualifié, expérimenté et issu de domaines adaptés aux exigences du secteur. La structure de l’échantillon reflète une organisation stable, fondée sur des profils compétents, ce qui constitue un atout important pour la performance globale de l’entreprise.</w:t>
      </w:r>
    </w:p>
    <w:p w14:paraId="6F0D1F8E" w14:textId="77777777" w:rsidR="00E21B5F" w:rsidRPr="00E2052F" w:rsidRDefault="00E21B5F" w:rsidP="00D61875">
      <w:pPr>
        <w:pStyle w:val="Titre4"/>
        <w:numPr>
          <w:ilvl w:val="0"/>
          <w:numId w:val="43"/>
        </w:numPr>
        <w:spacing w:before="0" w:beforeAutospacing="0" w:after="160"/>
        <w:ind w:hanging="720"/>
        <w:rPr>
          <w:rFonts w:asciiTheme="majorBidi" w:hAnsiTheme="majorBidi"/>
          <w:i w:val="0"/>
          <w:iCs w:val="0"/>
          <w:color w:val="auto"/>
          <w:sz w:val="22"/>
        </w:rPr>
      </w:pPr>
      <w:bookmarkStart w:id="1845" w:name="_Toc229156031"/>
      <w:bookmarkStart w:id="1846" w:name="_Toc231747029"/>
      <w:bookmarkStart w:id="1847" w:name="_Toc231752435"/>
      <w:bookmarkStart w:id="1848" w:name="_Toc231810738"/>
      <w:bookmarkStart w:id="1849" w:name="_Toc231812081"/>
      <w:bookmarkStart w:id="1850" w:name="_Toc231812359"/>
      <w:bookmarkStart w:id="1851" w:name="_Toc231815243"/>
      <w:r w:rsidRPr="00E2052F">
        <w:rPr>
          <w:rFonts w:asciiTheme="majorBidi" w:hAnsiTheme="majorBidi"/>
          <w:i w:val="0"/>
          <w:iCs w:val="0"/>
          <w:color w:val="auto"/>
          <w:sz w:val="22"/>
        </w:rPr>
        <w:t>Les résultats de la deuxième partie (les principes de la gouvernance) :</w:t>
      </w:r>
      <w:bookmarkEnd w:id="1845"/>
      <w:bookmarkEnd w:id="1846"/>
      <w:bookmarkEnd w:id="1847"/>
      <w:bookmarkEnd w:id="1848"/>
      <w:bookmarkEnd w:id="1849"/>
      <w:bookmarkEnd w:id="1850"/>
      <w:bookmarkEnd w:id="1851"/>
    </w:p>
    <w:p w14:paraId="6580797A" w14:textId="77777777" w:rsidR="00E21B5F" w:rsidRPr="00E2052F" w:rsidRDefault="00E21B5F" w:rsidP="00D23BF3">
      <w:pPr>
        <w:spacing w:before="0" w:beforeAutospacing="0"/>
        <w:rPr>
          <w:rFonts w:cstheme="majorBidi"/>
          <w:sz w:val="22"/>
        </w:rPr>
      </w:pPr>
      <w:r w:rsidRPr="00E2052F">
        <w:rPr>
          <w:rFonts w:cstheme="majorBidi"/>
          <w:sz w:val="22"/>
        </w:rPr>
        <w:t>Cette partie est consacrée à l’analyse et à la discussion des résultats obtenus concernant l’impact de</w:t>
      </w:r>
      <w:bookmarkStart w:id="1852" w:name="_Hlk228544541"/>
      <w:r w:rsidRPr="00E2052F">
        <w:rPr>
          <w:rFonts w:cstheme="majorBidi"/>
          <w:sz w:val="22"/>
        </w:rPr>
        <w:t xml:space="preserve"> la gouvernance d’entreprise</w:t>
      </w:r>
      <w:bookmarkEnd w:id="1852"/>
      <w:r w:rsidRPr="00E2052F">
        <w:rPr>
          <w:rFonts w:cstheme="majorBidi"/>
          <w:sz w:val="22"/>
        </w:rPr>
        <w:t xml:space="preserve"> sur la responsabilité sociale des entreprises (RSE) au sein du groupe TAYAL. Avant cela, il convient de noter que le niveau global des pratiques de la RSE est élevé (moyenne = 3,99/5).</w:t>
      </w:r>
    </w:p>
    <w:p w14:paraId="0CC136EF" w14:textId="77777777" w:rsidR="00E21B5F" w:rsidRPr="00E2052F" w:rsidRDefault="00E21B5F" w:rsidP="00D61875">
      <w:pPr>
        <w:numPr>
          <w:ilvl w:val="0"/>
          <w:numId w:val="41"/>
        </w:numPr>
        <w:spacing w:before="0" w:beforeAutospacing="0"/>
        <w:rPr>
          <w:rFonts w:cstheme="majorBidi"/>
          <w:sz w:val="22"/>
        </w:rPr>
      </w:pPr>
      <w:r w:rsidRPr="00E2052F">
        <w:rPr>
          <w:rFonts w:cstheme="majorBidi"/>
          <w:b/>
          <w:bCs/>
          <w:sz w:val="22"/>
        </w:rPr>
        <w:t>L'existence d'une base pour un cadre efficace de la gouvernance :</w:t>
      </w:r>
    </w:p>
    <w:p w14:paraId="6B651ABB" w14:textId="77777777" w:rsidR="00E21B5F" w:rsidRPr="00E2052F" w:rsidRDefault="00E21B5F" w:rsidP="00D23BF3">
      <w:pPr>
        <w:spacing w:before="0" w:beforeAutospacing="0"/>
        <w:rPr>
          <w:rFonts w:cstheme="majorBidi"/>
          <w:sz w:val="22"/>
        </w:rPr>
      </w:pPr>
      <w:r w:rsidRPr="00E2052F">
        <w:rPr>
          <w:rFonts w:cstheme="majorBidi"/>
          <w:sz w:val="22"/>
        </w:rPr>
        <w:t xml:space="preserve">D’après les résultats du tableau (numéro 21), on remarque que les individus de l’échantillon sont tout à fait d’accord avec l’ensemble des expressions liées aux dimensions de l’existence d’une base pour un cadre efficace de la gouvernance, avec une moyenne générale de (4.13/5), a savoir : la répartition des rôles entre les actionnaires, les dirigeants et les parties prenantes est clairement définie, tout en préservant l’intérêt général (4.32/5) ; les règles, procédures et politiques en vigueur sont respectées par TAYAL (4.04/5) ; TAYAL met en place des pratiques qui renforcent la transparence, l’efficacité et </w:t>
      </w:r>
      <w:r w:rsidRPr="00E2052F">
        <w:rPr>
          <w:rFonts w:cstheme="majorBidi"/>
          <w:sz w:val="22"/>
        </w:rPr>
        <w:lastRenderedPageBreak/>
        <w:t>l’efficience dans la prise de décision et la gestion (4.04/5) ; une bonne gouvernance au sein de TAYAL contribue à améliorer ses performances économiques et à renforcer son avantage concurrentiel (4.13/5) ; ainsi que les dirigeants sont tenus responsables de leurs décisions devant les organes de contrôle, garantissant ainsi un alignement constant avec la stratégie de l’organisation (4.14/5), où on peut conclure:</w:t>
      </w:r>
    </w:p>
    <w:p w14:paraId="20BF62B5" w14:textId="77777777" w:rsidR="00E21B5F" w:rsidRPr="00E2052F" w:rsidRDefault="00E21B5F" w:rsidP="00D23BF3">
      <w:pPr>
        <w:spacing w:before="0" w:beforeAutospacing="0"/>
        <w:rPr>
          <w:rFonts w:cstheme="majorBidi"/>
          <w:sz w:val="22"/>
        </w:rPr>
      </w:pPr>
      <w:r w:rsidRPr="00E2052F">
        <w:rPr>
          <w:rFonts w:cstheme="majorBidi"/>
          <w:sz w:val="22"/>
        </w:rPr>
        <w:t>L’accord des individus de l’échantillon concernant les éléments liés à l’existence d’un cadre efficace de gouvernance traduit que TAYAL SPA dispose de structures organisationnelles et de mécanismes de gestion clairement établis, permettant d’assurer une prise de décision efficace, un suivi adéquat des activités ainsi qu’un respect des réglementations en vigueur. Une telle situation contribue à renforcer la confiance des différentes parties prenantes envers la stabilité institutionnelle de l’entreprise. Ces résultats constituent également des indicateurs positifs quant à la qualité de la gestion des risques et à la capacité de l’entreprise à améliorer sa performance globale et sa compétitivité.</w:t>
      </w:r>
    </w:p>
    <w:p w14:paraId="693A8D72" w14:textId="77777777" w:rsidR="00E21B5F" w:rsidRPr="00E2052F" w:rsidRDefault="00E21B5F" w:rsidP="00D61875">
      <w:pPr>
        <w:numPr>
          <w:ilvl w:val="0"/>
          <w:numId w:val="41"/>
        </w:numPr>
        <w:spacing w:before="0" w:beforeAutospacing="0"/>
        <w:rPr>
          <w:rFonts w:cstheme="majorBidi"/>
          <w:sz w:val="22"/>
        </w:rPr>
      </w:pPr>
      <w:r w:rsidRPr="00E2052F">
        <w:rPr>
          <w:rFonts w:cstheme="majorBidi"/>
          <w:b/>
          <w:bCs/>
          <w:sz w:val="22"/>
        </w:rPr>
        <w:t>La préservation des droits des actionnaires :</w:t>
      </w:r>
    </w:p>
    <w:p w14:paraId="06514A80" w14:textId="77777777" w:rsidR="00E21B5F" w:rsidRPr="00E2052F" w:rsidRDefault="00E21B5F" w:rsidP="00D23BF3">
      <w:pPr>
        <w:spacing w:before="0" w:beforeAutospacing="0"/>
        <w:rPr>
          <w:rFonts w:cstheme="majorBidi"/>
          <w:sz w:val="22"/>
        </w:rPr>
      </w:pPr>
      <w:r w:rsidRPr="00E2052F">
        <w:rPr>
          <w:rFonts w:cstheme="majorBidi"/>
          <w:sz w:val="22"/>
        </w:rPr>
        <w:t>D’après les résultats du tableau (numéro 22), on remarque que les individus de l’échantillon sont d’accord avec l’ensemble des expressions liées aux dimensions de la préservation des droits des actionnaires, avec une moyenne générale de (4.14/5), à savoir : les actionnaires ont un droit effectif de participation aux assemblées générales (4.29/5) ; les actionnaires possèdent le droit d’élire et de révoquer les membres du conseil d’administration (4.15/5) ; les actionnaires possèdent le droit à un accès aisé et opportun aux informations pertinentes (4.09/5) ; les actionnaires peuvent exprimer librement leurs préoccupations concernant la gestion (4.22/5) ; ainsi que les mécanismes existants permettent de protéger les actionnaires contre toute expropriation abusive (3.94/5), où on peut conclure:</w:t>
      </w:r>
    </w:p>
    <w:p w14:paraId="77A3BC2E" w14:textId="77777777" w:rsidR="00E21B5F" w:rsidRPr="00E2052F" w:rsidRDefault="00E21B5F" w:rsidP="00D23BF3">
      <w:pPr>
        <w:spacing w:before="0" w:beforeAutospacing="0"/>
        <w:rPr>
          <w:rFonts w:cstheme="majorBidi"/>
          <w:sz w:val="22"/>
        </w:rPr>
      </w:pPr>
      <w:r w:rsidRPr="00E2052F">
        <w:rPr>
          <w:rFonts w:cstheme="majorBidi"/>
          <w:sz w:val="22"/>
        </w:rPr>
        <w:t>La préservation des droits des actionnaires au sein de l'institution est généralement assurée et perçue positivement par les répondants, notamment grâce à leur participation active aux assemblées générales, leur capacité à influencer la composition du conseil d'administration, leur accès à l'information pertinente et leur possibilité d'exprimer leurs préoccupations. Ceci favorise une prise de décision éclairée et une saine gestion de la banque, malgré une légère baisse du niveau de connaissance des mécanismes de protection contre les pratiques abusives. Ces résultats reflètent une gouvernance globalement satisfaisante, mais restent perfectibles sur certains aspects de la protection des actionnaires.</w:t>
      </w:r>
    </w:p>
    <w:p w14:paraId="5F772CF1" w14:textId="77777777" w:rsidR="00E21B5F" w:rsidRPr="00E2052F" w:rsidRDefault="00E21B5F" w:rsidP="00D61875">
      <w:pPr>
        <w:numPr>
          <w:ilvl w:val="0"/>
          <w:numId w:val="41"/>
        </w:numPr>
        <w:spacing w:before="0" w:beforeAutospacing="0"/>
        <w:rPr>
          <w:rFonts w:cstheme="majorBidi"/>
          <w:sz w:val="22"/>
        </w:rPr>
      </w:pPr>
      <w:r w:rsidRPr="00E2052F">
        <w:rPr>
          <w:rFonts w:cstheme="majorBidi"/>
          <w:b/>
          <w:bCs/>
          <w:sz w:val="22"/>
        </w:rPr>
        <w:t>Le traitement équitable des actionnaires :</w:t>
      </w:r>
    </w:p>
    <w:p w14:paraId="7A03F9AE" w14:textId="77777777" w:rsidR="00E21B5F" w:rsidRPr="00E2052F" w:rsidRDefault="00E21B5F" w:rsidP="00D23BF3">
      <w:pPr>
        <w:spacing w:before="0" w:beforeAutospacing="0"/>
        <w:rPr>
          <w:rFonts w:cstheme="majorBidi"/>
          <w:sz w:val="22"/>
        </w:rPr>
      </w:pPr>
      <w:r w:rsidRPr="00E2052F">
        <w:rPr>
          <w:rFonts w:cstheme="majorBidi"/>
          <w:sz w:val="22"/>
        </w:rPr>
        <w:t xml:space="preserve">D’après les résultats du tableau (numéro 23), on remarque que les individus de l’échantillon sont d’accord avec l’ensemble des expressions liées aux dimensions de la préservation des droits des actionnaires, avec une moyenne générale de (4.08/5), à savoir : le système de gouvernance doit assurer la protection des droits de vote des actionnaires, notamment lors des décisions stratégiques majeures (4.17/5) ; le cadre de gouvernance doit garantir une politique de distribution des dividendes transparente, équitable et proportionnelle à la participation au capital (4.06/5) ; les mécanismes de gouvernance </w:t>
      </w:r>
      <w:r w:rsidRPr="00E2052F">
        <w:rPr>
          <w:rFonts w:cstheme="majorBidi"/>
          <w:sz w:val="22"/>
        </w:rPr>
        <w:lastRenderedPageBreak/>
        <w:t>doivent empêcher l’utilisation d’informations privilégiées au détriment de certains actionnaires (4.03/5) ; les dispositifs de gouvernance doivent encadrer strictement les opérations susceptibles d’avantager certains actionnaires au détriment d’autres (4.03/5) ; ainsi que les règles de gouvernance doivent garantir une communication simultanée et équitable de toute information susceptible d’influencer les décisions d’investissement (4.11/5), où on peut conclure:</w:t>
      </w:r>
    </w:p>
    <w:p w14:paraId="058E8A24" w14:textId="77777777" w:rsidR="00E21B5F" w:rsidRPr="00E2052F" w:rsidRDefault="00E21B5F" w:rsidP="00D23BF3">
      <w:pPr>
        <w:spacing w:before="0" w:beforeAutospacing="0"/>
        <w:rPr>
          <w:rFonts w:cstheme="majorBidi"/>
          <w:sz w:val="22"/>
        </w:rPr>
      </w:pPr>
      <w:r w:rsidRPr="00E2052F">
        <w:rPr>
          <w:rFonts w:cstheme="majorBidi"/>
          <w:sz w:val="22"/>
        </w:rPr>
        <w:t>Ces résultats indiquent que le principe du traitement équitable des actionnaires est globalement respecté et bien perçu au sein de l’organisation, à travers la protection des droits de vote, la transparence et l’équité dans la distribution des dividendes, la prévention de l’utilisation abusive d’informations privilégiées, l’encadrement des opérations susceptibles de favoriser certains actionnaires au détriment d’autres, ainsi que la garantie d’une communication équitable et simultanée des informations pertinentes. Ce consensus au sein de l’échantillon renforce la confiance des investisseurs dans la banque, améliore sa crédibilité sur les marchés financiers et contribue à maintenir des relations solides et durables avec ses actionnaires, favorisant ainsi sa stabilité financière à long terme. En ce sens, ces résultats soulignent également l’importance de la mise en place de politiques de traitement équitable des actionnaires, non seulement pour renforcer la confiance et l’engagement des investisseurs, mais aussi pour soutenir la performance globale et la pérennité de l’organisation.</w:t>
      </w:r>
    </w:p>
    <w:p w14:paraId="4856395B" w14:textId="77777777" w:rsidR="00E21B5F" w:rsidRPr="00E2052F" w:rsidRDefault="00E21B5F" w:rsidP="00D61875">
      <w:pPr>
        <w:numPr>
          <w:ilvl w:val="0"/>
          <w:numId w:val="41"/>
        </w:numPr>
        <w:spacing w:before="0" w:beforeAutospacing="0"/>
        <w:rPr>
          <w:rFonts w:cstheme="majorBidi"/>
          <w:sz w:val="22"/>
        </w:rPr>
      </w:pPr>
      <w:r w:rsidRPr="00E2052F">
        <w:rPr>
          <w:rFonts w:cstheme="majorBidi"/>
          <w:b/>
          <w:bCs/>
          <w:sz w:val="22"/>
        </w:rPr>
        <w:t>Le rôle des parties prenantes :</w:t>
      </w:r>
    </w:p>
    <w:p w14:paraId="2EE32D54" w14:textId="77777777" w:rsidR="00E21B5F" w:rsidRPr="00E2052F" w:rsidRDefault="00E21B5F" w:rsidP="00D23BF3">
      <w:pPr>
        <w:spacing w:before="0" w:beforeAutospacing="0"/>
        <w:rPr>
          <w:rFonts w:cstheme="majorBidi"/>
          <w:sz w:val="22"/>
        </w:rPr>
      </w:pPr>
      <w:r w:rsidRPr="00E2052F">
        <w:rPr>
          <w:rFonts w:cstheme="majorBidi"/>
          <w:sz w:val="22"/>
        </w:rPr>
        <w:t>D’après les résultats du tableau (numéro 24), on remarque que les individus de l’échantillon sont d’accord avec l’ensemble des expressions liées aux dimensions du traitement équitable des actionnaires, avec une moyenne générale de (4.14/5), à savoir : la gouvernance de TAYAL favorise une intégration proactive des attentes des parties prenantes dans l’élaboration des politiques internes (4.35/5) ; la relation avec les parties prenantes s’inscrit dans une logique de responsabilité partagée et de reddition de comptes (3.83/5) ; les parties prenantes sont considérées comme des acteurs stratégiques contribuant à l’orientation et à la légitimation des décisions organisationnelles (4.11/5) ; les dispositifs d’accès à l’information permettent aux parties prenantes d’exercer un rôle éclairé dans l’évaluation des performances de TAYAL (4.23/5) ; ainsi que l’entreprise adopte une logique partenariale fondée sur la co-création de valeur avec ses parties prenantes dans une perspective de performance durable (4.16/5), où on peut conclure:</w:t>
      </w:r>
    </w:p>
    <w:p w14:paraId="5C4EBE1D" w14:textId="77777777" w:rsidR="00E21B5F" w:rsidRPr="00E2052F" w:rsidRDefault="00E21B5F" w:rsidP="00D23BF3">
      <w:pPr>
        <w:spacing w:before="0" w:beforeAutospacing="0"/>
        <w:rPr>
          <w:rFonts w:cstheme="majorBidi"/>
          <w:sz w:val="22"/>
        </w:rPr>
      </w:pPr>
      <w:r w:rsidRPr="00E2052F">
        <w:rPr>
          <w:rFonts w:cstheme="majorBidi"/>
          <w:sz w:val="22"/>
        </w:rPr>
        <w:t xml:space="preserve">Ces résultats montrent que le rôle des parties prenantes au sein de TAYAL est globalement reconnu et valorisé, à travers l’intégration de leurs attentes dans les politiques internes, leur considération comme acteurs stratégiques, leur accès à l’information et la logique de co-création de valeur orientée vers la performance durable, malgré une perception légèrement plus modérée concernant la responsabilité partagée et la reddition de comptes. Ce consensus renforce la confiance des parties prenantes et des investisseurs, améliore la crédibilité de l’organisation sur les marchés et contribue à maintenir des relations solides et durables, ce qui favorise sa stabilité à long terme. En ce sens, ces résultats soulignent </w:t>
      </w:r>
      <w:r w:rsidRPr="00E2052F">
        <w:rPr>
          <w:rFonts w:cstheme="majorBidi"/>
          <w:sz w:val="22"/>
        </w:rPr>
        <w:lastRenderedPageBreak/>
        <w:t>l’importance de mettre en place des pratiques de gouvernance inclusives et équilibrées afin de renforcer l’engagement, la satisfaction et la coopération des différentes parties prenantes au sein de l’entreprise.</w:t>
      </w:r>
    </w:p>
    <w:p w14:paraId="53E04D21" w14:textId="77777777" w:rsidR="00E21B5F" w:rsidRPr="00E2052F" w:rsidRDefault="00E21B5F" w:rsidP="00D61875">
      <w:pPr>
        <w:numPr>
          <w:ilvl w:val="0"/>
          <w:numId w:val="41"/>
        </w:numPr>
        <w:spacing w:before="0" w:beforeAutospacing="0"/>
        <w:rPr>
          <w:rFonts w:cstheme="majorBidi"/>
          <w:sz w:val="22"/>
        </w:rPr>
      </w:pPr>
      <w:r w:rsidRPr="00E2052F">
        <w:rPr>
          <w:rFonts w:cstheme="majorBidi"/>
          <w:b/>
          <w:bCs/>
          <w:sz w:val="22"/>
        </w:rPr>
        <w:t>Transparence et divulgation :</w:t>
      </w:r>
    </w:p>
    <w:p w14:paraId="5EFBC8B9" w14:textId="77777777" w:rsidR="00E21B5F" w:rsidRPr="00E2052F" w:rsidRDefault="00E21B5F" w:rsidP="00D23BF3">
      <w:pPr>
        <w:spacing w:before="0" w:beforeAutospacing="0"/>
        <w:rPr>
          <w:rFonts w:cstheme="majorBidi"/>
          <w:sz w:val="22"/>
        </w:rPr>
      </w:pPr>
      <w:r w:rsidRPr="00E2052F">
        <w:rPr>
          <w:rFonts w:cstheme="majorBidi"/>
          <w:sz w:val="22"/>
        </w:rPr>
        <w:t>D’après les résultats du tableau (numéro 25), on remarque que les individus de l’échantillon sont d’accord avec l’ensemble des expressions liées aux dimensions du traitement équitable des actionnaires, avec une moyenne générale de (4.12/5), à savoir : TAYAL adopte une politique de communication financière structurée garantissant la diffusion régulière et fiable des résultats financiers et opérationnels auprès des parties prenantes (4.22/5) ; TAYAL met en œuvre un dispositif proactif de divulgation des risques permettant d’anticiper les incertitudes susceptibles d’affecter sa performance (4.12/5) ; les structures organisationnelles et les politiques de gouvernance font l’objet d’une communication claire, accessible et conforme aux exigences de reddition de comptes (3.92/5) ; les actionnaires disposent d’une information complète et intelligible concernant les caractéristiques des actions détenues ainsi que les droits de vote qui y sont attachés (4.17/5) ; ainsi que TAYAL adopte une politique de communication financière structurée garantissant la diffusion régulière et fiable des résultats financiers et opérationnels auprès des parties prenantes (4.16/5), où on peut conclure:</w:t>
      </w:r>
    </w:p>
    <w:p w14:paraId="7C5043F6" w14:textId="77777777" w:rsidR="00E21B5F" w:rsidRPr="00E2052F" w:rsidRDefault="00E21B5F" w:rsidP="00D23BF3">
      <w:pPr>
        <w:spacing w:before="0" w:beforeAutospacing="0"/>
        <w:rPr>
          <w:rFonts w:cstheme="majorBidi"/>
          <w:sz w:val="22"/>
        </w:rPr>
      </w:pPr>
      <w:r w:rsidRPr="00E2052F">
        <w:rPr>
          <w:rFonts w:cstheme="majorBidi"/>
          <w:sz w:val="22"/>
        </w:rPr>
        <w:t>Ces résultats indiquent que la divulgation et la transparence au sein de TAYAL sont globalement bien perçues par les répondants, notamment à travers la communication financière structurée, la diffusion régulière et fiable des résultats, la divulgation proactive des risques, la clarté des informations organisationnelles ainsi que l’accès des actionnaires à des données complètes et intelligibles. Cette transparence renforce la compréhension des parties prenantes face aux défis et opportunités de l’entreprise, améliore la gestion des risques et permet aux dirigeants, investisseurs et régulateurs de prendre des décisions plus éclairées. Ainsi, ces résultats soulignent que la transparence de l’information constitue un levier essentiel pour assurer la conformité réglementaire, renforcer la confiance et optimiser la gestion globale des risques au sein de la banque.</w:t>
      </w:r>
    </w:p>
    <w:p w14:paraId="2E4C1DA5" w14:textId="77777777" w:rsidR="00E21B5F" w:rsidRPr="00E2052F" w:rsidRDefault="00E21B5F" w:rsidP="00D61875">
      <w:pPr>
        <w:numPr>
          <w:ilvl w:val="0"/>
          <w:numId w:val="41"/>
        </w:numPr>
        <w:spacing w:before="0" w:beforeAutospacing="0"/>
        <w:ind w:left="1208" w:hanging="357"/>
        <w:rPr>
          <w:rFonts w:cstheme="majorBidi"/>
          <w:sz w:val="22"/>
        </w:rPr>
      </w:pPr>
      <w:r w:rsidRPr="00E2052F">
        <w:rPr>
          <w:rFonts w:cstheme="majorBidi"/>
          <w:b/>
          <w:bCs/>
          <w:sz w:val="22"/>
        </w:rPr>
        <w:t>La responsabilité du conseil d'administration :</w:t>
      </w:r>
    </w:p>
    <w:p w14:paraId="3919FE5C" w14:textId="77777777" w:rsidR="00E21B5F" w:rsidRPr="00E2052F" w:rsidRDefault="00E21B5F" w:rsidP="00D23BF3">
      <w:pPr>
        <w:spacing w:before="0" w:beforeAutospacing="0"/>
        <w:rPr>
          <w:rFonts w:cstheme="majorBidi"/>
          <w:sz w:val="22"/>
        </w:rPr>
      </w:pPr>
      <w:r w:rsidRPr="00E2052F">
        <w:rPr>
          <w:rFonts w:cstheme="majorBidi"/>
          <w:sz w:val="22"/>
        </w:rPr>
        <w:t xml:space="preserve">D’après les résultats du tableau (numéro 26), on remarque que les individus de l’échantillon sont d’accord avec l’ensemble des expressions liées aux dimensions de la responsabilité du conseil d’administration, avec une moyenne générale de (4.17/5), à savoir : le conseil d’administration assure une supervision stratégique distincte de la gestion opérationnelle conformément au principe de séparation des pouvoirs (4.28/5) ; l’indépendance des membres du conseil d’administration renforce l’objectivité du processus décisionnel (4.06/5) ; le conseil d’administration veille rigoureusement à la conformité de TAYAL avec l’ensemble du cadre réglementaire applicable, notamment en matière fiscale, sociale, environnementale et concurrentielle (4.09/5) ; il met en place des mécanismes formalisés permettant d’identifier, de prévenir et de gérer efficacement les situations de conflits d’intérêts (4.24/5) </w:t>
      </w:r>
      <w:r w:rsidRPr="00E2052F">
        <w:rPr>
          <w:rFonts w:cstheme="majorBidi"/>
          <w:sz w:val="22"/>
        </w:rPr>
        <w:lastRenderedPageBreak/>
        <w:t>; ainsi que sa responsabilité s’inscrit dans une logique de gouvernance durable conciliant performance économique et responsabilité sociétale (4.15/5), où on peut conclure:</w:t>
      </w:r>
    </w:p>
    <w:p w14:paraId="353FEAD6" w14:textId="77777777" w:rsidR="00E21B5F" w:rsidRPr="00E2052F" w:rsidRDefault="00E21B5F" w:rsidP="00D23BF3">
      <w:pPr>
        <w:spacing w:before="0" w:beforeAutospacing="0"/>
        <w:rPr>
          <w:rFonts w:cstheme="majorBidi"/>
          <w:sz w:val="22"/>
        </w:rPr>
      </w:pPr>
      <w:r w:rsidRPr="00E2052F">
        <w:rPr>
          <w:rFonts w:cstheme="majorBidi"/>
          <w:sz w:val="22"/>
        </w:rPr>
        <w:t>Ces résultats indiquent que la responsabilité du conseil d’administration au sein de TAYAL est globalement bien perçue par les répondants, à travers la supervision stratégique distincte de la gestion opérationnelle, l’indépendance des membres favorisant l’objectivité décisionnelle, le respect du cadre réglementaire, la gestion des conflits d’intérêts ainsi que l’inscription de ses actions dans une logique de gouvernance durable conciliant performance économique et responsabilité sociétale. Ce consensus met en évidence le rôle central du conseil dans l’évaluation des risques et des opportunités, la fixation des objectifs à long terme, la surveillance des performances et la prise de décisions stratégiques majeures. Ainsi, ces résultats soulignent l’importance de la responsabilité du conseil d’administration dans la supervision des activités stratégiques, la gestion des risques financiers et réglementaires, ainsi que dans la garantie de la responsabilité financière et sociale de l’institution.</w:t>
      </w:r>
    </w:p>
    <w:p w14:paraId="7020DE4B" w14:textId="77777777" w:rsidR="00E21B5F" w:rsidRPr="00E2052F" w:rsidRDefault="00E21B5F" w:rsidP="00D23BF3">
      <w:pPr>
        <w:spacing w:before="0" w:beforeAutospacing="0"/>
        <w:rPr>
          <w:rFonts w:cstheme="majorBidi"/>
          <w:sz w:val="22"/>
        </w:rPr>
      </w:pPr>
      <w:r w:rsidRPr="00E2052F">
        <w:rPr>
          <w:rFonts w:cstheme="majorBidi"/>
          <w:sz w:val="22"/>
        </w:rPr>
        <w:t>Les résultats obtenus montrent que la gouvernance d’entreprise au sein de TAYAL SPA est globalement bien structurée et largement approuvée par les répondants. Les pratiques mises en place traduisent un niveau élevé de transparence, d’équité et de responsabilité, contribuant ainsi à renforcer la confiance des différentes parties prenantes et à soutenir la performance globale de l’entreprise.</w:t>
      </w:r>
    </w:p>
    <w:p w14:paraId="37FCD92F" w14:textId="77777777" w:rsidR="00E21B5F" w:rsidRPr="00E2052F" w:rsidRDefault="00E21B5F" w:rsidP="00D61875">
      <w:pPr>
        <w:pStyle w:val="Titre4"/>
        <w:numPr>
          <w:ilvl w:val="0"/>
          <w:numId w:val="43"/>
        </w:numPr>
        <w:spacing w:before="0" w:beforeAutospacing="0" w:after="160"/>
        <w:ind w:hanging="720"/>
        <w:rPr>
          <w:rFonts w:asciiTheme="majorBidi" w:hAnsiTheme="majorBidi"/>
          <w:i w:val="0"/>
          <w:iCs w:val="0"/>
          <w:sz w:val="22"/>
        </w:rPr>
      </w:pPr>
      <w:bookmarkStart w:id="1853" w:name="_Toc229156032"/>
      <w:bookmarkStart w:id="1854" w:name="_Toc231747030"/>
      <w:bookmarkStart w:id="1855" w:name="_Toc231752436"/>
      <w:bookmarkStart w:id="1856" w:name="_Toc231810739"/>
      <w:bookmarkStart w:id="1857" w:name="_Toc231812082"/>
      <w:bookmarkStart w:id="1858" w:name="_Toc231812360"/>
      <w:bookmarkStart w:id="1859" w:name="_Toc231815244"/>
      <w:r w:rsidRPr="00E2052F">
        <w:rPr>
          <w:rFonts w:asciiTheme="majorBidi" w:hAnsiTheme="majorBidi"/>
          <w:i w:val="0"/>
          <w:iCs w:val="0"/>
          <w:color w:val="auto"/>
          <w:sz w:val="22"/>
        </w:rPr>
        <w:t>Les résultats de la troisième partie (la responsabilité sociale des entreprises) :</w:t>
      </w:r>
      <w:bookmarkEnd w:id="1853"/>
      <w:bookmarkEnd w:id="1854"/>
      <w:bookmarkEnd w:id="1855"/>
      <w:bookmarkEnd w:id="1856"/>
      <w:bookmarkEnd w:id="1857"/>
      <w:bookmarkEnd w:id="1858"/>
      <w:bookmarkEnd w:id="1859"/>
    </w:p>
    <w:p w14:paraId="7A24B650" w14:textId="77777777" w:rsidR="00E21B5F" w:rsidRPr="00E2052F" w:rsidRDefault="00E21B5F" w:rsidP="00D23BF3">
      <w:pPr>
        <w:spacing w:before="0" w:beforeAutospacing="0"/>
        <w:rPr>
          <w:rFonts w:cstheme="majorBidi"/>
          <w:sz w:val="22"/>
        </w:rPr>
      </w:pPr>
      <w:r w:rsidRPr="00E2052F">
        <w:rPr>
          <w:rFonts w:cstheme="majorBidi"/>
          <w:sz w:val="22"/>
        </w:rPr>
        <w:t>Les résultats du tableau 27 montrent que la Responsabilité Sociale des Entreprises (RSE) au sein de TAYAL SPA est globalement bien perçue par les répondants, avec une moyenne élevée de (3,99/5), ce qui traduit un niveau d’accord favorable concernant l’application des principes de la RSE dans l’entreprise. Cette perception positive indique que TAYAL SPA intègre de manière satisfaisante les dimensions sociales, environnementales et économiques dans ses pratiques de gouvernance, reflétant ainsi une gestion responsable vis-à-vis de ses parties prenantes.</w:t>
      </w:r>
    </w:p>
    <w:p w14:paraId="6D731DE3" w14:textId="77777777" w:rsidR="00E21B5F" w:rsidRPr="00E2052F" w:rsidRDefault="00E21B5F" w:rsidP="00D23BF3">
      <w:pPr>
        <w:spacing w:before="0" w:beforeAutospacing="0"/>
        <w:rPr>
          <w:rFonts w:cstheme="majorBidi"/>
          <w:sz w:val="22"/>
        </w:rPr>
      </w:pPr>
      <w:r w:rsidRPr="00E2052F">
        <w:rPr>
          <w:rFonts w:cstheme="majorBidi"/>
          <w:sz w:val="22"/>
        </w:rPr>
        <w:t>Par ailleurs, l’adhésion des répondants aux différentes dimensions de la RSE suggère que cette dernière joue un rôle important dans l’amélioration de la performance globale de l’entreprise. En effet, une bonne gestion de la RSE contribue à renforcer la protection contre les pertes financières liées aux risques imprévus, tout en permettant d’identifier et d’exploiter les opportunités de développement de manière plus efficace.</w:t>
      </w:r>
    </w:p>
    <w:p w14:paraId="744E6CFF" w14:textId="77777777" w:rsidR="00E21B5F" w:rsidRPr="00E2052F" w:rsidRDefault="00E21B5F" w:rsidP="00D23BF3">
      <w:pPr>
        <w:spacing w:before="0" w:beforeAutospacing="0"/>
        <w:rPr>
          <w:rFonts w:cstheme="majorBidi"/>
          <w:sz w:val="22"/>
        </w:rPr>
      </w:pPr>
      <w:r w:rsidRPr="00E2052F">
        <w:rPr>
          <w:rFonts w:cstheme="majorBidi"/>
          <w:sz w:val="22"/>
        </w:rPr>
        <w:t>Ainsi, ces résultats soulignent l’importance de l’intégration des principes de la gouvernance et de la RSE dans la stratégie de TAYAL SPA, dans la mesure où ils favorisent un meilleur équilibre entre gouvernance et gestion des risques, tout en contribuant à assurer une stabilité financière durable et une performance organisationnelle optimisée.</w:t>
      </w:r>
    </w:p>
    <w:p w14:paraId="7FB86340" w14:textId="77777777" w:rsidR="00E21B5F" w:rsidRPr="00E2052F" w:rsidRDefault="00E21B5F" w:rsidP="00D23BF3">
      <w:pPr>
        <w:spacing w:before="0" w:beforeAutospacing="0"/>
        <w:rPr>
          <w:rFonts w:cstheme="majorBidi"/>
          <w:sz w:val="22"/>
        </w:rPr>
      </w:pPr>
      <w:r w:rsidRPr="00E2052F">
        <w:rPr>
          <w:rFonts w:cstheme="majorBidi"/>
          <w:sz w:val="22"/>
        </w:rPr>
        <w:t xml:space="preserve">En conclusion, les résultats de l’étude montrent que TAYAL SPA dispose d’un capital humain qualifié et expérimenté, et met en œuvre des pratiques de gouvernance globalement solides, caractérisées </w:t>
      </w:r>
      <w:r w:rsidRPr="00E2052F">
        <w:rPr>
          <w:rFonts w:cstheme="majorBidi"/>
          <w:sz w:val="22"/>
        </w:rPr>
        <w:lastRenderedPageBreak/>
        <w:t>par la transparence, l’équité et la responsabilité. Ces éléments contribuent à instaurer un climat de confiance auprès des différentes parties prenantes et à renforcer la stabilité de l’organisation. Par ailleurs, la perception positive de la responsabilité sociale des entreprises confirme l’engagement de l’entreprise dans une démarche équilibrée intégrant les dimensions économiques, sociales et environnementales. Ainsi, l’articulation entre gouvernance et RSE apparaît comme un levier essentiel de performance et de pérennité pour TAYAL SPA.</w:t>
      </w:r>
    </w:p>
    <w:p w14:paraId="5FC48EC0" w14:textId="77777777" w:rsidR="00C5729C" w:rsidRPr="00E2052F" w:rsidRDefault="006B0567" w:rsidP="00D61875">
      <w:pPr>
        <w:pStyle w:val="Titre3"/>
        <w:numPr>
          <w:ilvl w:val="0"/>
          <w:numId w:val="26"/>
        </w:numPr>
        <w:spacing w:before="0" w:beforeAutospacing="0" w:after="160"/>
        <w:ind w:left="641" w:hanging="357"/>
        <w:rPr>
          <w:rFonts w:asciiTheme="majorBidi" w:hAnsiTheme="majorBidi"/>
          <w:color w:val="auto"/>
          <w:sz w:val="22"/>
        </w:rPr>
      </w:pPr>
      <w:bookmarkStart w:id="1860" w:name="_Toc229156033"/>
      <w:bookmarkStart w:id="1861" w:name="_Toc231747031"/>
      <w:bookmarkStart w:id="1862" w:name="_Toc231752437"/>
      <w:bookmarkStart w:id="1863" w:name="_Toc231810740"/>
      <w:bookmarkStart w:id="1864" w:name="_Toc231812083"/>
      <w:bookmarkStart w:id="1865" w:name="_Toc231812361"/>
      <w:bookmarkStart w:id="1866" w:name="_Toc231815245"/>
      <w:r w:rsidRPr="00E2052F">
        <w:rPr>
          <w:rFonts w:asciiTheme="majorBidi" w:hAnsiTheme="majorBidi"/>
          <w:color w:val="auto"/>
          <w:sz w:val="22"/>
        </w:rPr>
        <w:t>Discuter de la validité des hypothèses :</w:t>
      </w:r>
      <w:bookmarkEnd w:id="1860"/>
      <w:bookmarkEnd w:id="1861"/>
      <w:bookmarkEnd w:id="1862"/>
      <w:bookmarkEnd w:id="1863"/>
      <w:bookmarkEnd w:id="1864"/>
      <w:bookmarkEnd w:id="1865"/>
      <w:bookmarkEnd w:id="1866"/>
    </w:p>
    <w:p w14:paraId="12A54960" w14:textId="77777777" w:rsidR="006B0567" w:rsidRPr="00E2052F" w:rsidRDefault="006B0567" w:rsidP="00D61875">
      <w:pPr>
        <w:pStyle w:val="Paragraphedeliste"/>
        <w:numPr>
          <w:ilvl w:val="0"/>
          <w:numId w:val="27"/>
        </w:numPr>
        <w:spacing w:before="0" w:beforeAutospacing="0"/>
        <w:ind w:left="1208" w:hanging="357"/>
        <w:rPr>
          <w:rFonts w:cstheme="majorBidi"/>
          <w:b/>
          <w:bCs/>
          <w:sz w:val="22"/>
        </w:rPr>
      </w:pPr>
      <w:r w:rsidRPr="00E2052F">
        <w:rPr>
          <w:rFonts w:cstheme="majorBidi"/>
          <w:b/>
          <w:bCs/>
          <w:sz w:val="22"/>
        </w:rPr>
        <w:t>Hypothèse principale :</w:t>
      </w:r>
    </w:p>
    <w:p w14:paraId="69FC9162" w14:textId="77777777" w:rsidR="006B0567" w:rsidRPr="00E2052F" w:rsidRDefault="006B0567" w:rsidP="00D23BF3">
      <w:pPr>
        <w:spacing w:before="0" w:beforeAutospacing="0"/>
        <w:rPr>
          <w:rFonts w:cstheme="majorBidi"/>
          <w:sz w:val="22"/>
        </w:rPr>
      </w:pPr>
      <w:r w:rsidRPr="00E2052F">
        <w:rPr>
          <w:rFonts w:cstheme="majorBidi"/>
          <w:b/>
          <w:bCs/>
          <w:sz w:val="22"/>
        </w:rPr>
        <w:t>Ho</w:t>
      </w:r>
      <w:r w:rsidRPr="00E2052F">
        <w:rPr>
          <w:rFonts w:cstheme="majorBidi"/>
          <w:sz w:val="22"/>
        </w:rPr>
        <w:t xml:space="preserve"> : Il n’existe pas de corrélation statistiquement significative entre la gouvernance d'entreprise et la responsabilité sociale des entreprises à un niveau de signification de 5 %.</w:t>
      </w:r>
    </w:p>
    <w:p w14:paraId="19624E92" w14:textId="77777777" w:rsidR="006B0567" w:rsidRPr="00E2052F" w:rsidRDefault="006B0567" w:rsidP="00D23BF3">
      <w:pPr>
        <w:spacing w:before="0" w:beforeAutospacing="0"/>
        <w:rPr>
          <w:rFonts w:cstheme="majorBidi"/>
          <w:sz w:val="22"/>
        </w:rPr>
      </w:pPr>
      <w:r w:rsidRPr="00E2052F">
        <w:rPr>
          <w:rFonts w:cstheme="majorBidi"/>
          <w:b/>
          <w:bCs/>
          <w:sz w:val="22"/>
        </w:rPr>
        <w:t>H1</w:t>
      </w:r>
      <w:r w:rsidRPr="00E2052F">
        <w:rPr>
          <w:rFonts w:cstheme="majorBidi"/>
          <w:sz w:val="22"/>
        </w:rPr>
        <w:t xml:space="preserve"> : Il existe une corrélation statistiquement significative entre la gouvernance d'entreprise et la responsabilité sociale des entreprises à un niveau de signification de 5 %.</w:t>
      </w:r>
    </w:p>
    <w:p w14:paraId="6B6CF514" w14:textId="77777777" w:rsidR="006B0567" w:rsidRPr="00E2052F" w:rsidRDefault="00CB5F4E" w:rsidP="00AE33E1">
      <w:pPr>
        <w:spacing w:before="0" w:beforeAutospacing="0"/>
        <w:rPr>
          <w:rFonts w:cstheme="majorBidi"/>
          <w:sz w:val="22"/>
        </w:rPr>
      </w:pPr>
      <w:r w:rsidRPr="00E2052F">
        <w:rPr>
          <w:rFonts w:cstheme="majorBidi"/>
          <w:sz w:val="22"/>
        </w:rPr>
        <w:t>Il ressort clairement des résultats du test de corrélation de Pearson visant à déterminer la relation entre les principes de gouvernance et la responsabilité sociale des entreprises que le coefficient de corrélation R = 0,748 traduit l’existence d’une relation positive forte entre les variables de recherche</w:t>
      </w:r>
      <w:r w:rsidR="006B0567" w:rsidRPr="00E2052F">
        <w:rPr>
          <w:rFonts w:cstheme="majorBidi"/>
          <w:sz w:val="22"/>
        </w:rPr>
        <w:t xml:space="preserve">. Par ailleurs, les résultats du test ANOVA indiquent que le modèle est globalement significatif, avec un niveau de signification inférieur à 5 %, ce qui confirme l’existence d’un effet significatif des principes de gouvernance sur la responsabilité </w:t>
      </w:r>
      <w:r w:rsidRPr="00E2052F">
        <w:rPr>
          <w:rFonts w:cstheme="majorBidi"/>
          <w:sz w:val="22"/>
        </w:rPr>
        <w:t>sociale. De</w:t>
      </w:r>
      <w:r w:rsidR="006B0567" w:rsidRPr="00E2052F">
        <w:rPr>
          <w:rFonts w:cstheme="majorBidi"/>
          <w:sz w:val="22"/>
        </w:rPr>
        <w:t xml:space="preserve"> plus, les résultats de la régression montrent que la valeur de p (Sig.) est inférieure à 0,05, ce qui nous conduit à accepter l’hypothèse H1 et rejeter l’hypothèse H0. Cela signifie qu’il existe effectivement une relation positive et statistiquement significative entre les principes de gouvernance (l’existence d’une base pour un cadre efficace de gouvernance, la préservation des droits des actionnaires, le traitement équitable des actionnaires, le rôle des parties prenantes, la divulgation et la transparence, ainsi que la responsabilité du conseil d’administration) et la responsabilité sociale des entreprises au sein de TAYAL SPA, au seuil de signification de 5 %.</w:t>
      </w:r>
    </w:p>
    <w:p w14:paraId="4E02E964" w14:textId="77777777" w:rsidR="00C91C09" w:rsidRPr="00E2052F" w:rsidRDefault="00C91C09" w:rsidP="00D61875">
      <w:pPr>
        <w:pStyle w:val="Paragraphedeliste"/>
        <w:numPr>
          <w:ilvl w:val="0"/>
          <w:numId w:val="27"/>
        </w:numPr>
        <w:spacing w:before="0" w:beforeAutospacing="0"/>
        <w:ind w:left="1208" w:hanging="357"/>
        <w:contextualSpacing w:val="0"/>
        <w:rPr>
          <w:rFonts w:cstheme="majorBidi"/>
          <w:b/>
          <w:bCs/>
          <w:sz w:val="22"/>
        </w:rPr>
      </w:pPr>
      <w:r w:rsidRPr="00E2052F">
        <w:rPr>
          <w:rFonts w:cstheme="majorBidi"/>
          <w:b/>
          <w:bCs/>
          <w:sz w:val="22"/>
        </w:rPr>
        <w:t>Les sous- hypothèses :</w:t>
      </w:r>
    </w:p>
    <w:p w14:paraId="60C0752C" w14:textId="77777777" w:rsidR="00C91C09" w:rsidRPr="00E2052F" w:rsidRDefault="00C91C09" w:rsidP="00D61875">
      <w:pPr>
        <w:pStyle w:val="Paragraphedeliste"/>
        <w:numPr>
          <w:ilvl w:val="0"/>
          <w:numId w:val="28"/>
        </w:numPr>
        <w:spacing w:before="0" w:beforeAutospacing="0"/>
        <w:ind w:left="1491" w:hanging="357"/>
        <w:rPr>
          <w:rFonts w:cstheme="majorBidi"/>
          <w:b/>
          <w:bCs/>
          <w:sz w:val="22"/>
        </w:rPr>
      </w:pPr>
      <w:r w:rsidRPr="00E2052F">
        <w:rPr>
          <w:rFonts w:cstheme="majorBidi"/>
          <w:b/>
          <w:bCs/>
          <w:sz w:val="22"/>
        </w:rPr>
        <w:t>La première sous-hypothèse :</w:t>
      </w:r>
    </w:p>
    <w:p w14:paraId="525BFCA3" w14:textId="77777777" w:rsidR="00650C74" w:rsidRPr="00E2052F" w:rsidRDefault="00650C74" w:rsidP="00D23BF3">
      <w:pPr>
        <w:spacing w:before="0" w:beforeAutospacing="0"/>
        <w:rPr>
          <w:rFonts w:cstheme="majorBidi"/>
          <w:sz w:val="22"/>
        </w:rPr>
      </w:pPr>
      <w:r w:rsidRPr="00E2052F">
        <w:rPr>
          <w:rFonts w:cstheme="majorBidi"/>
          <w:b/>
          <w:bCs/>
          <w:sz w:val="22"/>
        </w:rPr>
        <w:t>H1a</w:t>
      </w:r>
      <w:r w:rsidRPr="00E2052F">
        <w:rPr>
          <w:rFonts w:cstheme="majorBidi"/>
          <w:sz w:val="22"/>
        </w:rPr>
        <w:t xml:space="preserve"> : Il existe une corrélation significative entre l’existence d’une base pour un cadre efficace de gouvernance et la responsabilité sociale des entreprises </w:t>
      </w:r>
      <w:r w:rsidR="006924CB" w:rsidRPr="00E2052F">
        <w:rPr>
          <w:rFonts w:cstheme="majorBidi"/>
          <w:sz w:val="22"/>
        </w:rPr>
        <w:t>au sein de TAYAL SPA.</w:t>
      </w:r>
    </w:p>
    <w:p w14:paraId="2DF7E962" w14:textId="77777777" w:rsidR="00650C74" w:rsidRPr="00E2052F" w:rsidRDefault="00650C74" w:rsidP="00D23BF3">
      <w:pPr>
        <w:spacing w:before="0" w:beforeAutospacing="0"/>
        <w:rPr>
          <w:rFonts w:cstheme="majorBidi"/>
          <w:sz w:val="22"/>
        </w:rPr>
      </w:pPr>
      <w:r w:rsidRPr="00E2052F">
        <w:rPr>
          <w:rFonts w:cstheme="majorBidi"/>
          <w:b/>
          <w:bCs/>
          <w:sz w:val="22"/>
        </w:rPr>
        <w:t>H0a</w:t>
      </w:r>
      <w:r w:rsidRPr="00E2052F">
        <w:rPr>
          <w:rFonts w:cstheme="majorBidi"/>
          <w:sz w:val="22"/>
        </w:rPr>
        <w:t xml:space="preserve"> : Il n’existe pas de corrélation significative entre l’existence d’une base pour un cadre efficace de gouvernance et la responsabilité sociale des entreprises </w:t>
      </w:r>
      <w:r w:rsidR="006924CB" w:rsidRPr="00E2052F">
        <w:rPr>
          <w:rFonts w:cstheme="majorBidi"/>
          <w:sz w:val="22"/>
        </w:rPr>
        <w:t>au sein de TAYAL SPA</w:t>
      </w:r>
      <w:r w:rsidRPr="00E2052F">
        <w:rPr>
          <w:rFonts w:cstheme="majorBidi"/>
          <w:sz w:val="22"/>
        </w:rPr>
        <w:t>.</w:t>
      </w:r>
    </w:p>
    <w:p w14:paraId="1AC12B39" w14:textId="77777777" w:rsidR="00540741" w:rsidRPr="00E2052F" w:rsidRDefault="00540741" w:rsidP="00D23BF3">
      <w:pPr>
        <w:spacing w:before="0" w:beforeAutospacing="0"/>
        <w:rPr>
          <w:rFonts w:cstheme="majorBidi"/>
          <w:sz w:val="22"/>
        </w:rPr>
      </w:pPr>
      <w:r w:rsidRPr="00E2052F">
        <w:rPr>
          <w:rFonts w:cstheme="majorBidi"/>
          <w:sz w:val="22"/>
        </w:rPr>
        <w:t xml:space="preserve">Il ressort clairement des résultats du test de corrélation de Pearson visant à déterminer la relation entre le principe de l’existence d’une base pour un cadre efficace de gouvernance et la responsabilité sociale des entreprises que le coefficient de corrélation R = </w:t>
      </w:r>
      <w:r w:rsidR="00E37E04" w:rsidRPr="00E2052F">
        <w:rPr>
          <w:rFonts w:cstheme="majorBidi"/>
          <w:sz w:val="22"/>
        </w:rPr>
        <w:t xml:space="preserve">0,343 </w:t>
      </w:r>
      <w:r w:rsidRPr="00E2052F">
        <w:rPr>
          <w:rFonts w:cstheme="majorBidi"/>
          <w:sz w:val="22"/>
        </w:rPr>
        <w:t xml:space="preserve">traduit l’existence d’une </w:t>
      </w:r>
      <w:r w:rsidR="00C66BD9" w:rsidRPr="00E2052F">
        <w:rPr>
          <w:rFonts w:cstheme="majorBidi"/>
          <w:sz w:val="22"/>
        </w:rPr>
        <w:t xml:space="preserve">relation </w:t>
      </w:r>
      <w:r w:rsidR="00C66BD9" w:rsidRPr="00E2052F">
        <w:rPr>
          <w:rFonts w:cstheme="majorBidi"/>
          <w:sz w:val="22"/>
        </w:rPr>
        <w:lastRenderedPageBreak/>
        <w:t>positive</w:t>
      </w:r>
      <w:r w:rsidR="00E37E04" w:rsidRPr="00E2052F">
        <w:rPr>
          <w:rFonts w:cstheme="majorBidi"/>
          <w:sz w:val="22"/>
        </w:rPr>
        <w:t xml:space="preserve"> modérée</w:t>
      </w:r>
      <w:r w:rsidR="00C66BD9" w:rsidRPr="00E2052F">
        <w:rPr>
          <w:rFonts w:cstheme="majorBidi"/>
          <w:sz w:val="22"/>
        </w:rPr>
        <w:t xml:space="preserve"> </w:t>
      </w:r>
      <w:r w:rsidRPr="00E2052F">
        <w:rPr>
          <w:rFonts w:cstheme="majorBidi"/>
          <w:sz w:val="22"/>
        </w:rPr>
        <w:t xml:space="preserve">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w:t>
      </w:r>
      <w:r w:rsidR="00C66BD9" w:rsidRPr="00E2052F">
        <w:rPr>
          <w:rFonts w:cstheme="majorBidi"/>
          <w:sz w:val="22"/>
        </w:rPr>
        <w:t>H1(a)</w:t>
      </w:r>
      <w:r w:rsidRPr="00E2052F">
        <w:rPr>
          <w:rFonts w:cstheme="majorBidi"/>
          <w:sz w:val="22"/>
        </w:rPr>
        <w:t xml:space="preserve"> et rejeter l’hypothèse </w:t>
      </w:r>
      <w:r w:rsidR="00C66BD9" w:rsidRPr="00E2052F">
        <w:rPr>
          <w:rFonts w:cstheme="majorBidi"/>
          <w:sz w:val="22"/>
        </w:rPr>
        <w:t>H0(a)</w:t>
      </w:r>
      <w:r w:rsidRPr="00E2052F">
        <w:rPr>
          <w:rFonts w:cstheme="majorBidi"/>
          <w:sz w:val="22"/>
        </w:rPr>
        <w:t>. Cela signifie qu’il existe une relation positive et statistiquement significative entre ce principe et la responsabilité sociale des entreprises au sein de TAYAL SPA, au seuil de signification de 5 %.</w:t>
      </w:r>
    </w:p>
    <w:p w14:paraId="7FA3DC48" w14:textId="77777777" w:rsidR="00C91C09" w:rsidRPr="00E2052F" w:rsidRDefault="00650C74" w:rsidP="00D61875">
      <w:pPr>
        <w:pStyle w:val="Paragraphedeliste"/>
        <w:numPr>
          <w:ilvl w:val="0"/>
          <w:numId w:val="28"/>
        </w:numPr>
        <w:spacing w:before="0" w:beforeAutospacing="0"/>
        <w:ind w:left="1491" w:hanging="357"/>
        <w:rPr>
          <w:rFonts w:cstheme="majorBidi"/>
          <w:b/>
          <w:bCs/>
          <w:sz w:val="22"/>
        </w:rPr>
      </w:pPr>
      <w:r w:rsidRPr="00E2052F">
        <w:rPr>
          <w:rFonts w:cstheme="majorBidi"/>
          <w:b/>
          <w:bCs/>
          <w:sz w:val="22"/>
        </w:rPr>
        <w:t>La deuxième sous-hypothèse :</w:t>
      </w:r>
    </w:p>
    <w:p w14:paraId="4C46A74C" w14:textId="77777777" w:rsidR="006924CB" w:rsidRPr="00E2052F" w:rsidRDefault="006924CB" w:rsidP="00D23BF3">
      <w:pPr>
        <w:spacing w:before="0" w:beforeAutospacing="0"/>
        <w:rPr>
          <w:rFonts w:cstheme="majorBidi"/>
          <w:sz w:val="22"/>
        </w:rPr>
      </w:pPr>
      <w:r w:rsidRPr="00E2052F">
        <w:rPr>
          <w:rFonts w:cstheme="majorBidi"/>
          <w:b/>
          <w:bCs/>
          <w:sz w:val="22"/>
        </w:rPr>
        <w:t>H1b</w:t>
      </w:r>
      <w:r w:rsidRPr="00E2052F">
        <w:rPr>
          <w:rFonts w:cstheme="majorBidi"/>
          <w:sz w:val="22"/>
        </w:rPr>
        <w:t xml:space="preserve"> : Il existe une corrélation significative entre la préservation des droits des actionnaires et la responsabilité sociale des entreprises au sein de TAYAL SPA.</w:t>
      </w:r>
    </w:p>
    <w:p w14:paraId="4D8CF33D" w14:textId="77777777" w:rsidR="006924CB" w:rsidRPr="00E2052F" w:rsidRDefault="006924CB" w:rsidP="00D23BF3">
      <w:pPr>
        <w:spacing w:before="0" w:beforeAutospacing="0"/>
        <w:rPr>
          <w:rFonts w:cstheme="majorBidi"/>
          <w:sz w:val="22"/>
        </w:rPr>
      </w:pPr>
      <w:r w:rsidRPr="00E2052F">
        <w:rPr>
          <w:rFonts w:cstheme="majorBidi"/>
          <w:b/>
          <w:bCs/>
          <w:sz w:val="22"/>
        </w:rPr>
        <w:t>H0b</w:t>
      </w:r>
      <w:r w:rsidRPr="00E2052F">
        <w:rPr>
          <w:rFonts w:cstheme="majorBidi"/>
          <w:sz w:val="22"/>
        </w:rPr>
        <w:t xml:space="preserve"> : Il n’existe pas de corrélation significative entre la préservation des droits des actionnaires et la responsabilité sociale des entreprises au sein de TAYAL SPA.</w:t>
      </w:r>
    </w:p>
    <w:p w14:paraId="335C42D4" w14:textId="77777777" w:rsidR="00C66BD9" w:rsidRPr="00E2052F" w:rsidRDefault="00C66BD9" w:rsidP="00D23BF3">
      <w:pPr>
        <w:spacing w:before="0" w:beforeAutospacing="0"/>
        <w:rPr>
          <w:rFonts w:cstheme="majorBidi"/>
          <w:sz w:val="22"/>
        </w:rPr>
      </w:pPr>
      <w:r w:rsidRPr="00E2052F">
        <w:rPr>
          <w:rFonts w:cstheme="majorBidi"/>
          <w:sz w:val="22"/>
        </w:rPr>
        <w:t>Il ressort clairement des résultats du test de corrélation de Pearson visant à déterminer la relation entre la préservation des droits des actionnaires et la responsabilité sociale des entreprises que le coefficient de corrélation R = 0,333</w:t>
      </w:r>
      <w:r w:rsidRPr="00E2052F">
        <w:rPr>
          <w:rFonts w:cstheme="majorBidi"/>
          <w:b/>
          <w:bCs/>
          <w:sz w:val="22"/>
        </w:rPr>
        <w:t xml:space="preserve"> </w:t>
      </w:r>
      <w:r w:rsidRPr="00E2052F">
        <w:rPr>
          <w:rFonts w:cstheme="majorBidi"/>
          <w:sz w:val="22"/>
        </w:rPr>
        <w:t xml:space="preserve">traduit l’existence d’une relation positive </w:t>
      </w:r>
      <w:r w:rsidR="00E37E04" w:rsidRPr="00E2052F">
        <w:rPr>
          <w:rFonts w:cstheme="majorBidi"/>
          <w:sz w:val="22"/>
        </w:rPr>
        <w:t xml:space="preserve">mais faible </w:t>
      </w:r>
      <w:r w:rsidRPr="00E2052F">
        <w:rPr>
          <w:rFonts w:cstheme="majorBidi"/>
          <w:sz w:val="22"/>
        </w:rPr>
        <w:t>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H1(b) et rejeter l’hypothèse H0(b). Cela signifie qu’il existe une relation positive et statistiquement significative entre la préservation des droits des actionnaires et la responsabilité sociale des entreprises au sein de TAYAL SPA, au seuil de signification de 5 %.</w:t>
      </w:r>
    </w:p>
    <w:p w14:paraId="757C866B" w14:textId="77777777" w:rsidR="006924CB" w:rsidRPr="00E2052F" w:rsidRDefault="006924CB" w:rsidP="00D61875">
      <w:pPr>
        <w:pStyle w:val="Paragraphedeliste"/>
        <w:numPr>
          <w:ilvl w:val="0"/>
          <w:numId w:val="29"/>
        </w:numPr>
        <w:spacing w:before="0" w:beforeAutospacing="0"/>
        <w:rPr>
          <w:rFonts w:cstheme="majorBidi"/>
          <w:b/>
          <w:bCs/>
          <w:sz w:val="22"/>
        </w:rPr>
      </w:pPr>
      <w:r w:rsidRPr="00E2052F">
        <w:rPr>
          <w:rFonts w:cstheme="majorBidi"/>
          <w:b/>
          <w:bCs/>
          <w:sz w:val="22"/>
        </w:rPr>
        <w:t>La troisième sous-hypothèse :</w:t>
      </w:r>
    </w:p>
    <w:p w14:paraId="453DBB0B" w14:textId="77777777" w:rsidR="006924CB" w:rsidRPr="00E2052F" w:rsidRDefault="006924CB" w:rsidP="00D23BF3">
      <w:pPr>
        <w:spacing w:before="0" w:beforeAutospacing="0"/>
        <w:rPr>
          <w:rFonts w:cstheme="majorBidi"/>
          <w:sz w:val="22"/>
        </w:rPr>
      </w:pPr>
      <w:r w:rsidRPr="00E2052F">
        <w:rPr>
          <w:rFonts w:cstheme="majorBidi"/>
          <w:b/>
          <w:bCs/>
          <w:sz w:val="22"/>
        </w:rPr>
        <w:t>H1c</w:t>
      </w:r>
      <w:r w:rsidRPr="00E2052F">
        <w:rPr>
          <w:rFonts w:cstheme="majorBidi"/>
          <w:sz w:val="22"/>
        </w:rPr>
        <w:t xml:space="preserve"> : Il existe une corrélation significative entre le traitement équitable des actionnaires et la responsabilité sociale des entreprises au sein de TAYAL SPA.</w:t>
      </w:r>
    </w:p>
    <w:p w14:paraId="6C3D7EB8" w14:textId="77777777" w:rsidR="006924CB" w:rsidRPr="00E2052F" w:rsidRDefault="006924CB" w:rsidP="00D23BF3">
      <w:pPr>
        <w:spacing w:before="0" w:beforeAutospacing="0"/>
        <w:rPr>
          <w:rFonts w:cstheme="majorBidi"/>
          <w:sz w:val="22"/>
        </w:rPr>
      </w:pPr>
      <w:r w:rsidRPr="00E2052F">
        <w:rPr>
          <w:rFonts w:cstheme="majorBidi"/>
          <w:b/>
          <w:bCs/>
          <w:sz w:val="22"/>
        </w:rPr>
        <w:t>H0c</w:t>
      </w:r>
      <w:r w:rsidRPr="00E2052F">
        <w:rPr>
          <w:rFonts w:cstheme="majorBidi"/>
          <w:sz w:val="22"/>
        </w:rPr>
        <w:t xml:space="preserve"> : Il n’existe pas de corrélation significative entre le traitement équitable des actionnaires et la responsabilité sociale des entreprises au sein de TAYAL SPA.</w:t>
      </w:r>
    </w:p>
    <w:p w14:paraId="0E333E00" w14:textId="77777777" w:rsidR="00C66BD9" w:rsidRPr="00E2052F" w:rsidRDefault="0093289D" w:rsidP="00D23BF3">
      <w:pPr>
        <w:spacing w:before="0" w:beforeAutospacing="0"/>
        <w:rPr>
          <w:rFonts w:cstheme="majorBidi"/>
          <w:sz w:val="22"/>
        </w:rPr>
      </w:pPr>
      <w:r w:rsidRPr="00E2052F">
        <w:rPr>
          <w:rFonts w:cstheme="majorBidi"/>
          <w:sz w:val="22"/>
        </w:rPr>
        <w:t xml:space="preserve">Il ressort clairement des résultats du test de corrélation de Pearson visant à déterminer la relation entre le traitement équitable des actionnaires et la responsabilité sociale des entreprises que le coefficient de corrélation R =0,407 traduit l’existence d’une relation positive </w:t>
      </w:r>
      <w:r w:rsidR="00E37E04" w:rsidRPr="00E2052F">
        <w:rPr>
          <w:rFonts w:cstheme="majorBidi"/>
          <w:sz w:val="22"/>
        </w:rPr>
        <w:t xml:space="preserve">modérée </w:t>
      </w:r>
      <w:r w:rsidRPr="00E2052F">
        <w:rPr>
          <w:rFonts w:cstheme="majorBidi"/>
          <w:sz w:val="22"/>
        </w:rPr>
        <w:t xml:space="preserve">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H1(c) et rejeter </w:t>
      </w:r>
      <w:r w:rsidRPr="00E2052F">
        <w:rPr>
          <w:rFonts w:cstheme="majorBidi"/>
          <w:sz w:val="22"/>
        </w:rPr>
        <w:lastRenderedPageBreak/>
        <w:t>l’hypothèse H0(c). Cela signifie qu’il existe une relation positive et statistiquement significative entre le traitement équitable des actionnaires et la responsabilité sociale des entreprises au sein de TAYAL SPA, au seuil de signification de 5 %.</w:t>
      </w:r>
    </w:p>
    <w:p w14:paraId="5EDE41DE" w14:textId="77777777" w:rsidR="006924CB" w:rsidRPr="00E2052F" w:rsidRDefault="006924CB" w:rsidP="00D61875">
      <w:pPr>
        <w:pStyle w:val="Paragraphedeliste"/>
        <w:numPr>
          <w:ilvl w:val="0"/>
          <w:numId w:val="30"/>
        </w:numPr>
        <w:spacing w:before="0" w:beforeAutospacing="0"/>
        <w:rPr>
          <w:rFonts w:cstheme="majorBidi"/>
          <w:b/>
          <w:bCs/>
          <w:sz w:val="22"/>
        </w:rPr>
      </w:pPr>
      <w:r w:rsidRPr="00E2052F">
        <w:rPr>
          <w:rFonts w:cstheme="majorBidi"/>
          <w:b/>
          <w:bCs/>
          <w:sz w:val="22"/>
        </w:rPr>
        <w:t>La quatrième sous-hypothèse :</w:t>
      </w:r>
    </w:p>
    <w:p w14:paraId="0F91C083" w14:textId="77777777" w:rsidR="006924CB" w:rsidRPr="00E2052F" w:rsidRDefault="006924CB" w:rsidP="00D23BF3">
      <w:pPr>
        <w:spacing w:before="0" w:beforeAutospacing="0"/>
        <w:rPr>
          <w:rFonts w:cstheme="majorBidi"/>
          <w:sz w:val="22"/>
        </w:rPr>
      </w:pPr>
      <w:r w:rsidRPr="00E2052F">
        <w:rPr>
          <w:rFonts w:cstheme="majorBidi"/>
          <w:b/>
          <w:bCs/>
          <w:sz w:val="22"/>
        </w:rPr>
        <w:t>H1d</w:t>
      </w:r>
      <w:r w:rsidRPr="00E2052F">
        <w:rPr>
          <w:rFonts w:cstheme="majorBidi"/>
          <w:sz w:val="22"/>
        </w:rPr>
        <w:t xml:space="preserve"> : Il existe une corrélation significative entre le rôle des parties prenantes et la responsabilité sociale des entreprises au sein de TAYAL SPA.</w:t>
      </w:r>
    </w:p>
    <w:p w14:paraId="6593136A" w14:textId="77777777" w:rsidR="006924CB" w:rsidRPr="00E2052F" w:rsidRDefault="006924CB" w:rsidP="00D23BF3">
      <w:pPr>
        <w:spacing w:before="0" w:beforeAutospacing="0"/>
        <w:rPr>
          <w:rFonts w:cstheme="majorBidi"/>
          <w:sz w:val="22"/>
        </w:rPr>
      </w:pPr>
      <w:r w:rsidRPr="00E2052F">
        <w:rPr>
          <w:rFonts w:cstheme="majorBidi"/>
          <w:b/>
          <w:bCs/>
          <w:sz w:val="22"/>
        </w:rPr>
        <w:t>H0d</w:t>
      </w:r>
      <w:r w:rsidRPr="00E2052F">
        <w:rPr>
          <w:rFonts w:cstheme="majorBidi"/>
          <w:sz w:val="22"/>
        </w:rPr>
        <w:t xml:space="preserve"> : Il n’existe pas de corrélation significative entre le rôle des parties prenantes et la responsabilité sociale des entreprises au sein de TAYAL SPA.</w:t>
      </w:r>
    </w:p>
    <w:p w14:paraId="565CC1B1" w14:textId="77777777" w:rsidR="0093289D" w:rsidRPr="00E2052F" w:rsidRDefault="0093289D" w:rsidP="00D23BF3">
      <w:pPr>
        <w:spacing w:before="0" w:beforeAutospacing="0"/>
        <w:rPr>
          <w:rFonts w:cstheme="majorBidi"/>
          <w:sz w:val="22"/>
        </w:rPr>
      </w:pPr>
      <w:r w:rsidRPr="00E2052F">
        <w:rPr>
          <w:rFonts w:cstheme="majorBidi"/>
          <w:sz w:val="22"/>
        </w:rPr>
        <w:t>Il ressort clairement des résultats du test de corrélation de Pearson visant à déterminer la relation entre le rôle des parties prenantes et la responsabilité sociale des entreprises que le coefficient de corrélation R = 0,492 traduit l’existence d’une relation positive modérément forte 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H1(d) et rejeter l’hypothèse H0(d). Cela signifie qu’il existe une relation positive et statistiquement significative entre le rôle des parties prenantes et la responsabilité sociale des entreprises au sein de TAYAL SPA, au seuil de signification de 5 %.</w:t>
      </w:r>
    </w:p>
    <w:p w14:paraId="3F7F8AA1" w14:textId="77777777" w:rsidR="00540741" w:rsidRPr="00E2052F" w:rsidRDefault="00540741" w:rsidP="00D61875">
      <w:pPr>
        <w:pStyle w:val="Paragraphedeliste"/>
        <w:numPr>
          <w:ilvl w:val="0"/>
          <w:numId w:val="30"/>
        </w:numPr>
        <w:spacing w:before="0" w:beforeAutospacing="0"/>
        <w:rPr>
          <w:rFonts w:cstheme="majorBidi"/>
          <w:b/>
          <w:bCs/>
          <w:sz w:val="22"/>
        </w:rPr>
      </w:pPr>
      <w:r w:rsidRPr="00E2052F">
        <w:rPr>
          <w:rFonts w:cstheme="majorBidi"/>
          <w:b/>
          <w:bCs/>
          <w:sz w:val="22"/>
        </w:rPr>
        <w:t>La cinquième sous-hypothèse :</w:t>
      </w:r>
    </w:p>
    <w:p w14:paraId="1AF60879" w14:textId="77777777" w:rsidR="00540741" w:rsidRPr="00E2052F" w:rsidRDefault="00540741" w:rsidP="00D23BF3">
      <w:pPr>
        <w:spacing w:before="0" w:beforeAutospacing="0"/>
        <w:rPr>
          <w:rFonts w:cstheme="majorBidi"/>
          <w:sz w:val="22"/>
        </w:rPr>
      </w:pPr>
      <w:r w:rsidRPr="00E2052F">
        <w:rPr>
          <w:rFonts w:cstheme="majorBidi"/>
          <w:b/>
          <w:bCs/>
          <w:sz w:val="22"/>
        </w:rPr>
        <w:t>H1e</w:t>
      </w:r>
      <w:r w:rsidRPr="00E2052F">
        <w:rPr>
          <w:rFonts w:cstheme="majorBidi"/>
          <w:sz w:val="22"/>
        </w:rPr>
        <w:t xml:space="preserve"> : Il existe une corrélation significative entre la divulgation et la transparence et la responsabilité sociale des entreprises au sein de TAYAL SPA.</w:t>
      </w:r>
    </w:p>
    <w:p w14:paraId="6BAFD675" w14:textId="77777777" w:rsidR="00540741" w:rsidRPr="00E2052F" w:rsidRDefault="00540741" w:rsidP="00D23BF3">
      <w:pPr>
        <w:spacing w:before="0" w:beforeAutospacing="0"/>
        <w:rPr>
          <w:rFonts w:cstheme="majorBidi"/>
          <w:sz w:val="22"/>
        </w:rPr>
      </w:pPr>
      <w:r w:rsidRPr="00E2052F">
        <w:rPr>
          <w:rFonts w:cstheme="majorBidi"/>
          <w:b/>
          <w:bCs/>
          <w:sz w:val="22"/>
        </w:rPr>
        <w:t>H0e</w:t>
      </w:r>
      <w:r w:rsidRPr="00E2052F">
        <w:rPr>
          <w:rFonts w:cstheme="majorBidi"/>
          <w:sz w:val="22"/>
        </w:rPr>
        <w:t xml:space="preserve"> : Il n’existe pas de corrélation significative entre la divulgation et la transparence et la responsabilité sociale des entreprises au sein de TAYAL SPA.</w:t>
      </w:r>
    </w:p>
    <w:p w14:paraId="53C331CD" w14:textId="77777777" w:rsidR="0093289D" w:rsidRPr="00E2052F" w:rsidRDefault="0093289D" w:rsidP="00D23BF3">
      <w:pPr>
        <w:spacing w:before="0" w:beforeAutospacing="0"/>
        <w:rPr>
          <w:rFonts w:cstheme="majorBidi"/>
          <w:sz w:val="22"/>
        </w:rPr>
      </w:pPr>
      <w:r w:rsidRPr="00E2052F">
        <w:rPr>
          <w:rFonts w:cstheme="majorBidi"/>
          <w:sz w:val="22"/>
        </w:rPr>
        <w:t>Il ressort clairement des résultats du test de corrélation de Pearson visant à déterminer la relation entre la divulgation et la transparence et la responsabilité sociale des entreprises que le coefficient de corrélation R=0,609 traduit l’existence d’une relation positive forte 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H1(e) et rejeter l’hypothèse H0(e). Cela signifie qu’il existe une relation positive et statistiquement significative entre la transparence et la responsabilité sociale des entreprises au sein de TAYAL SPA, au seuil de signification de 5 %.</w:t>
      </w:r>
    </w:p>
    <w:p w14:paraId="025A6383" w14:textId="77777777" w:rsidR="00540741" w:rsidRPr="00E2052F" w:rsidRDefault="00540741" w:rsidP="00D61875">
      <w:pPr>
        <w:pStyle w:val="Paragraphedeliste"/>
        <w:numPr>
          <w:ilvl w:val="0"/>
          <w:numId w:val="30"/>
        </w:numPr>
        <w:spacing w:before="0" w:beforeAutospacing="0"/>
        <w:rPr>
          <w:rFonts w:cstheme="majorBidi"/>
          <w:b/>
          <w:bCs/>
          <w:sz w:val="22"/>
        </w:rPr>
      </w:pPr>
      <w:r w:rsidRPr="00E2052F">
        <w:rPr>
          <w:rFonts w:cstheme="majorBidi"/>
          <w:b/>
          <w:bCs/>
          <w:sz w:val="22"/>
        </w:rPr>
        <w:t>La sixième sous-hypothèse :</w:t>
      </w:r>
    </w:p>
    <w:p w14:paraId="60A84A7E" w14:textId="77777777" w:rsidR="00540741" w:rsidRPr="00E2052F" w:rsidRDefault="00540741" w:rsidP="00D23BF3">
      <w:pPr>
        <w:spacing w:before="0" w:beforeAutospacing="0"/>
        <w:rPr>
          <w:rFonts w:cstheme="majorBidi"/>
          <w:sz w:val="22"/>
        </w:rPr>
      </w:pPr>
      <w:r w:rsidRPr="00E2052F">
        <w:rPr>
          <w:rFonts w:cstheme="majorBidi"/>
          <w:b/>
          <w:bCs/>
          <w:sz w:val="22"/>
        </w:rPr>
        <w:lastRenderedPageBreak/>
        <w:t>H1f</w:t>
      </w:r>
      <w:r w:rsidRPr="00E2052F">
        <w:rPr>
          <w:rFonts w:cstheme="majorBidi"/>
          <w:sz w:val="22"/>
        </w:rPr>
        <w:t xml:space="preserve"> : Il existe une corrélation significative entre la responsabilité du conseil</w:t>
      </w:r>
      <w:r w:rsidR="0093289D" w:rsidRPr="00E2052F">
        <w:rPr>
          <w:rFonts w:cstheme="majorBidi"/>
          <w:sz w:val="22"/>
        </w:rPr>
        <w:t xml:space="preserve"> </w:t>
      </w:r>
      <w:r w:rsidRPr="00E2052F">
        <w:rPr>
          <w:rFonts w:cstheme="majorBidi"/>
          <w:sz w:val="22"/>
        </w:rPr>
        <w:t>D’administration et la responsabilité sociale des entreprises au sein de TAYAL SPA.</w:t>
      </w:r>
    </w:p>
    <w:p w14:paraId="333E9C91" w14:textId="77777777" w:rsidR="00540741" w:rsidRPr="00E2052F" w:rsidRDefault="00540741" w:rsidP="00D23BF3">
      <w:pPr>
        <w:spacing w:before="0" w:beforeAutospacing="0"/>
        <w:rPr>
          <w:rFonts w:cstheme="majorBidi"/>
          <w:sz w:val="22"/>
        </w:rPr>
      </w:pPr>
      <w:r w:rsidRPr="00E2052F">
        <w:rPr>
          <w:rFonts w:cstheme="majorBidi"/>
          <w:b/>
          <w:bCs/>
          <w:sz w:val="22"/>
        </w:rPr>
        <w:t>H0f</w:t>
      </w:r>
      <w:r w:rsidRPr="00E2052F">
        <w:rPr>
          <w:rFonts w:cstheme="majorBidi"/>
          <w:sz w:val="22"/>
        </w:rPr>
        <w:t xml:space="preserve"> : Il n’existe pas de corrélation significative entre la responsabilité du conseil</w:t>
      </w:r>
      <w:r w:rsidR="0093289D" w:rsidRPr="00E2052F">
        <w:rPr>
          <w:rFonts w:cstheme="majorBidi"/>
          <w:sz w:val="22"/>
        </w:rPr>
        <w:t xml:space="preserve"> </w:t>
      </w:r>
      <w:r w:rsidRPr="00E2052F">
        <w:rPr>
          <w:rFonts w:cstheme="majorBidi"/>
          <w:sz w:val="22"/>
        </w:rPr>
        <w:t>D’administration et la responsabilité sociale des entreprises au sein de TAYAL SPA.</w:t>
      </w:r>
    </w:p>
    <w:p w14:paraId="04093A86" w14:textId="77777777" w:rsidR="0093289D" w:rsidRPr="00E2052F" w:rsidRDefault="0093289D" w:rsidP="00D23BF3">
      <w:pPr>
        <w:spacing w:before="0" w:beforeAutospacing="0"/>
        <w:rPr>
          <w:rFonts w:cstheme="majorBidi"/>
          <w:sz w:val="22"/>
        </w:rPr>
      </w:pPr>
      <w:r w:rsidRPr="00E2052F">
        <w:rPr>
          <w:rFonts w:cstheme="majorBidi"/>
          <w:sz w:val="22"/>
        </w:rPr>
        <w:t>Il ressort clairement des résultats du test de corrélation de Pearson visant à déterminer la relation entre la responsabilité du conseil d’administration et la responsabilité sociale des entreprises que le coefficient de corrélation R = 0,719 traduit l’existence d’une relation positive très forte entre les variables de recherche. Par ailleurs, les résultats du test ANOVA indiquent que le modèle est globalement significatif, avec un niveau de signification inférieur à 5 %, ce qui confirme l’existence d’un effet significatif de ce principe sur la responsabilité sociale. De plus, les résultats de la régression montrent que la valeur de p (Sig.) est inférieure à 0,05, ce qui nous conduit à accepter l’hypothèse H1(f) et rejeter l’hypothèse H0(f). Cela signifie qu’il existe une relation positive et statistiquement significative entre la responsabilité du conseil d’administration et la responsabilité sociale des entreprises au sein de TAYAL SPA, au seuil de signification de 5 %.</w:t>
      </w:r>
    </w:p>
    <w:p w14:paraId="7116E3F8" w14:textId="77777777" w:rsidR="003D51AD" w:rsidRPr="00E2052F" w:rsidRDefault="003D51AD" w:rsidP="00D23BF3">
      <w:pPr>
        <w:spacing w:before="0" w:beforeAutospacing="0"/>
        <w:rPr>
          <w:rFonts w:cstheme="majorBidi"/>
          <w:sz w:val="22"/>
        </w:rPr>
      </w:pPr>
      <w:r w:rsidRPr="00E2052F">
        <w:rPr>
          <w:rFonts w:cstheme="majorBidi"/>
          <w:sz w:val="22"/>
        </w:rPr>
        <w:t>Après avoir mené une analyse statistique des données de l’échantillon étudié (les employés de TAYAL SPA) afin de vérifier l’impact des principes de la gouvernance d’entreprise sur la responsabilité sociale, les résultats de l’analyse ont révélé l’existence de relations explicatives significatives entre les différentes dimensions de la gouvernance (l’existence d’une base pour un cadre efficace de gouvernance, la préservation des droits des actionnaires, le traitement équitable des actionnaires, le rôle des parties prenantes, la divulgation et la transparence, ainsi que la responsabilité du conseil d’administration) et la responsabilité sociale des entreprises, avec des degrés d’intensité variables.</w:t>
      </w:r>
    </w:p>
    <w:p w14:paraId="16349144" w14:textId="77777777" w:rsidR="005E49E1" w:rsidRPr="00E2052F" w:rsidRDefault="005E49E1" w:rsidP="00D23BF3">
      <w:pPr>
        <w:spacing w:before="0" w:beforeAutospacing="0"/>
        <w:rPr>
          <w:rFonts w:cstheme="majorBidi"/>
          <w:sz w:val="22"/>
        </w:rPr>
      </w:pPr>
      <w:r w:rsidRPr="00E2052F">
        <w:rPr>
          <w:rFonts w:cstheme="majorBidi"/>
          <w:sz w:val="22"/>
        </w:rPr>
        <w:t>Nous avons également noté que le principe de la responsabilité du conseil d’administration est celui qui a eu l’impact le plus important, atteignant 71,9 %, ce qui constitue une preuve que ce principe exerce une influence déterminante sur la gouvernance et la responsabilité sociale des entreprises. En effet, un conseil d’administration efficace favorise une meilleure supervision, une prise de décision stratégique pertinente, un climat de confiance, un engagement organisationnel élevé ainsi qu’un encadrement institutionnel solide. C’est pourquoi il est essentiel pour TAYAL SPA de renforcer le rôle du conseil d’administration, notamment en améliorant son indépendance, en consolidant ses mécanismes de contrôle et en intégrant davantage les enjeux sociaux et environnementaux dans ses orientations stratégiques. Une telle démarche permettrait non seulement d’assurer une meilleure intégration des pratiques de responsabilité sociale, mais également de renforcer la performance globale de l’entreprise, sa crédibilité auprès des parties prenantes et sa capacité à s’inscrire dans une logique de développement durable.</w:t>
      </w:r>
    </w:p>
    <w:p w14:paraId="79B58E07" w14:textId="77777777" w:rsidR="005E49E1" w:rsidRPr="00E2052F" w:rsidRDefault="005E49E1" w:rsidP="00D23BF3">
      <w:pPr>
        <w:spacing w:before="0" w:beforeAutospacing="0"/>
        <w:rPr>
          <w:rFonts w:cstheme="majorBidi"/>
          <w:sz w:val="22"/>
        </w:rPr>
      </w:pPr>
      <w:r w:rsidRPr="00E2052F">
        <w:rPr>
          <w:rFonts w:cstheme="majorBidi"/>
          <w:sz w:val="22"/>
        </w:rPr>
        <w:t xml:space="preserve">Les résultats ont également montré que le principe de la divulgation et de la transparence exerce un impact important, atteignant 60,9 %, ce qui démontre que la transparence contribue directement à </w:t>
      </w:r>
      <w:r w:rsidRPr="00E2052F">
        <w:rPr>
          <w:rFonts w:cstheme="majorBidi"/>
          <w:sz w:val="22"/>
        </w:rPr>
        <w:lastRenderedPageBreak/>
        <w:t>améliorer la crédibilité de l’entreprise et à renforcer la confiance des parties prenantes. En effet, une communication claire, fiable et régulière permet de réduire l’asymétrie d’information, de limiter les incertitudes et de favoriser une meilleure compréhension des activités et des engagements de l’entreprise. Par conséquent, il est nécessaire pour TAYAL SPA de mettre en place des politiques structurées favorisant la communication et la diffusion de l’information, notamment à travers des rapports transparents, des mécanismes de reporting réguliers et des systèmes d’information performants. Une telle orientation permettrait non seulement d’améliorer la qualité de la gouvernance, mais aussi de consolider la réputation de l’entreprise, de renforcer sa légitimité et de soutenir durablement ses initiatives en matière de responsabilité sociale. Quant à l’effet du rôle des parties prenantes, du traitement équitable des actionnaires, de l’existence d’une base pour un cadre efficace de gouvernance et de la préservation des droits des actionnaires sur la responsabilité sociale des entreprises, les résultats de leur effet ont été enregistrés respectivement à hauteur de 0,492, 0,407, 0,343 et 0,333.</w:t>
      </w:r>
    </w:p>
    <w:p w14:paraId="4516A8D1" w14:textId="77777777" w:rsidR="00863C3A" w:rsidRDefault="005E49E1" w:rsidP="00E2052F">
      <w:pPr>
        <w:spacing w:before="0" w:beforeAutospacing="0"/>
        <w:rPr>
          <w:rFonts w:cstheme="majorBidi"/>
          <w:sz w:val="22"/>
        </w:rPr>
      </w:pPr>
      <w:r w:rsidRPr="00E2052F">
        <w:rPr>
          <w:rFonts w:cstheme="majorBidi"/>
          <w:sz w:val="22"/>
        </w:rPr>
        <w:t>Ces résultats confirment qu’il existe une relation positive et significative entre les principes de la gouvernance d’entreprise et la responsabilité sociale des entreprises au sein de TAYAL SPA. Par conséquent, il ressort que la gouvernance exerce un impact positif et déterminant sur la responsabilité sociale, en contribuant à renforcer la transparence, améliorer l’engagement des parties prenantes et promouvoir des pratiques organisationnelles plus responsables et durables.</w:t>
      </w:r>
    </w:p>
    <w:p w14:paraId="11572096" w14:textId="77777777" w:rsidR="00E2052F" w:rsidRDefault="00E2052F" w:rsidP="00E2052F">
      <w:pPr>
        <w:spacing w:before="0" w:beforeAutospacing="0"/>
        <w:rPr>
          <w:rFonts w:cstheme="majorBidi"/>
          <w:sz w:val="22"/>
        </w:rPr>
      </w:pPr>
    </w:p>
    <w:p w14:paraId="5689D8FB" w14:textId="77777777" w:rsidR="00E2052F" w:rsidRDefault="00E2052F" w:rsidP="00E2052F">
      <w:pPr>
        <w:spacing w:before="0" w:beforeAutospacing="0"/>
        <w:rPr>
          <w:rFonts w:cstheme="majorBidi"/>
          <w:sz w:val="22"/>
        </w:rPr>
      </w:pPr>
    </w:p>
    <w:p w14:paraId="015601C2" w14:textId="77777777" w:rsidR="00E2052F" w:rsidRDefault="00E2052F" w:rsidP="00E2052F">
      <w:pPr>
        <w:spacing w:before="0" w:beforeAutospacing="0"/>
        <w:rPr>
          <w:rFonts w:cstheme="majorBidi"/>
          <w:sz w:val="22"/>
        </w:rPr>
      </w:pPr>
    </w:p>
    <w:p w14:paraId="5B8E2A85" w14:textId="77777777" w:rsidR="00E2052F" w:rsidRDefault="00E2052F" w:rsidP="00E2052F">
      <w:pPr>
        <w:spacing w:before="0" w:beforeAutospacing="0"/>
        <w:rPr>
          <w:rFonts w:cstheme="majorBidi"/>
          <w:sz w:val="22"/>
        </w:rPr>
      </w:pPr>
    </w:p>
    <w:p w14:paraId="78020F40" w14:textId="77777777" w:rsidR="00E2052F" w:rsidRDefault="00E2052F" w:rsidP="00E2052F">
      <w:pPr>
        <w:spacing w:before="0" w:beforeAutospacing="0"/>
        <w:rPr>
          <w:rFonts w:cstheme="majorBidi"/>
          <w:sz w:val="22"/>
        </w:rPr>
      </w:pPr>
    </w:p>
    <w:p w14:paraId="020FF4E1" w14:textId="77777777" w:rsidR="00E2052F" w:rsidRDefault="00E2052F" w:rsidP="00E2052F">
      <w:pPr>
        <w:spacing w:before="0" w:beforeAutospacing="0"/>
        <w:rPr>
          <w:rFonts w:cstheme="majorBidi"/>
          <w:sz w:val="22"/>
        </w:rPr>
      </w:pPr>
    </w:p>
    <w:p w14:paraId="3931FB22" w14:textId="77777777" w:rsidR="00E2052F" w:rsidRDefault="00E2052F" w:rsidP="00E2052F">
      <w:pPr>
        <w:spacing w:before="0" w:beforeAutospacing="0"/>
        <w:rPr>
          <w:rFonts w:cstheme="majorBidi"/>
          <w:sz w:val="22"/>
        </w:rPr>
      </w:pPr>
    </w:p>
    <w:p w14:paraId="4D7C2550" w14:textId="77777777" w:rsidR="00E2052F" w:rsidRDefault="00E2052F" w:rsidP="00E2052F">
      <w:pPr>
        <w:spacing w:before="0" w:beforeAutospacing="0"/>
        <w:rPr>
          <w:rFonts w:cstheme="majorBidi"/>
          <w:sz w:val="22"/>
        </w:rPr>
      </w:pPr>
    </w:p>
    <w:p w14:paraId="2EB0565D" w14:textId="77777777" w:rsidR="00E2052F" w:rsidRDefault="00E2052F" w:rsidP="00E2052F">
      <w:pPr>
        <w:spacing w:before="0" w:beforeAutospacing="0"/>
        <w:rPr>
          <w:rFonts w:cstheme="majorBidi"/>
          <w:sz w:val="22"/>
        </w:rPr>
      </w:pPr>
    </w:p>
    <w:p w14:paraId="3DEE01A1" w14:textId="77777777" w:rsidR="00E2052F" w:rsidRDefault="00E2052F" w:rsidP="00E2052F">
      <w:pPr>
        <w:spacing w:before="0" w:beforeAutospacing="0"/>
        <w:rPr>
          <w:rFonts w:cstheme="majorBidi"/>
          <w:sz w:val="22"/>
        </w:rPr>
      </w:pPr>
    </w:p>
    <w:p w14:paraId="6EC16124" w14:textId="77777777" w:rsidR="00E2052F" w:rsidRDefault="00E2052F" w:rsidP="00E2052F">
      <w:pPr>
        <w:spacing w:before="0" w:beforeAutospacing="0"/>
        <w:rPr>
          <w:rFonts w:cstheme="majorBidi"/>
          <w:sz w:val="22"/>
        </w:rPr>
      </w:pPr>
    </w:p>
    <w:p w14:paraId="0BB89240" w14:textId="77777777" w:rsidR="00E2052F" w:rsidRDefault="00E2052F" w:rsidP="00E2052F">
      <w:pPr>
        <w:spacing w:before="0" w:beforeAutospacing="0"/>
        <w:rPr>
          <w:rFonts w:cstheme="majorBidi"/>
          <w:sz w:val="22"/>
        </w:rPr>
      </w:pPr>
    </w:p>
    <w:p w14:paraId="42CF5194" w14:textId="77777777" w:rsidR="00E2052F" w:rsidRDefault="00E2052F" w:rsidP="00E2052F">
      <w:pPr>
        <w:spacing w:before="0" w:beforeAutospacing="0"/>
        <w:rPr>
          <w:rFonts w:cstheme="majorBidi"/>
          <w:sz w:val="22"/>
        </w:rPr>
      </w:pPr>
    </w:p>
    <w:p w14:paraId="26797AAD" w14:textId="77777777" w:rsidR="00842A2D" w:rsidRDefault="00842A2D" w:rsidP="00E2052F">
      <w:pPr>
        <w:spacing w:before="0" w:beforeAutospacing="0"/>
        <w:rPr>
          <w:rFonts w:cstheme="majorBidi"/>
          <w:sz w:val="22"/>
        </w:rPr>
      </w:pPr>
    </w:p>
    <w:p w14:paraId="1D640582" w14:textId="77777777" w:rsidR="00842A2D" w:rsidRDefault="00842A2D" w:rsidP="00E2052F">
      <w:pPr>
        <w:spacing w:before="0" w:beforeAutospacing="0"/>
        <w:rPr>
          <w:rFonts w:cstheme="majorBidi"/>
          <w:sz w:val="22"/>
        </w:rPr>
      </w:pPr>
    </w:p>
    <w:p w14:paraId="21340AB8" w14:textId="77777777" w:rsidR="00842A2D" w:rsidRDefault="00842A2D" w:rsidP="00E2052F">
      <w:pPr>
        <w:spacing w:before="0" w:beforeAutospacing="0"/>
        <w:rPr>
          <w:rFonts w:cstheme="majorBidi"/>
          <w:sz w:val="22"/>
        </w:rPr>
      </w:pPr>
    </w:p>
    <w:p w14:paraId="648BFB0D" w14:textId="77777777" w:rsidR="00842A2D" w:rsidRDefault="00842A2D" w:rsidP="00E2052F">
      <w:pPr>
        <w:spacing w:before="0" w:beforeAutospacing="0"/>
        <w:rPr>
          <w:rFonts w:cstheme="majorBidi"/>
          <w:sz w:val="22"/>
        </w:rPr>
      </w:pPr>
    </w:p>
    <w:p w14:paraId="692B0321" w14:textId="77777777" w:rsidR="00842A2D" w:rsidRDefault="00842A2D" w:rsidP="00E2052F">
      <w:pPr>
        <w:spacing w:before="0" w:beforeAutospacing="0"/>
        <w:rPr>
          <w:rFonts w:cstheme="majorBidi"/>
          <w:sz w:val="22"/>
        </w:rPr>
      </w:pPr>
    </w:p>
    <w:p w14:paraId="3223E7EC" w14:textId="77777777" w:rsidR="00842A2D" w:rsidRDefault="00842A2D" w:rsidP="00E2052F">
      <w:pPr>
        <w:spacing w:before="0" w:beforeAutospacing="0"/>
        <w:rPr>
          <w:rFonts w:cstheme="majorBidi"/>
          <w:sz w:val="22"/>
        </w:rPr>
      </w:pPr>
    </w:p>
    <w:p w14:paraId="268527E5" w14:textId="77777777" w:rsidR="00842A2D" w:rsidRDefault="00842A2D" w:rsidP="00E2052F">
      <w:pPr>
        <w:spacing w:before="0" w:beforeAutospacing="0"/>
        <w:rPr>
          <w:rFonts w:cstheme="majorBidi"/>
          <w:sz w:val="22"/>
        </w:rPr>
      </w:pPr>
    </w:p>
    <w:p w14:paraId="5D5849E4" w14:textId="77777777" w:rsidR="00842A2D" w:rsidRDefault="00842A2D" w:rsidP="00E2052F">
      <w:pPr>
        <w:spacing w:before="0" w:beforeAutospacing="0"/>
        <w:rPr>
          <w:rFonts w:cstheme="majorBidi"/>
          <w:sz w:val="22"/>
        </w:rPr>
      </w:pPr>
    </w:p>
    <w:p w14:paraId="1F179788" w14:textId="77777777" w:rsidR="00842A2D" w:rsidRDefault="00842A2D" w:rsidP="00E2052F">
      <w:pPr>
        <w:spacing w:before="0" w:beforeAutospacing="0"/>
        <w:rPr>
          <w:rFonts w:cstheme="majorBidi"/>
          <w:sz w:val="22"/>
        </w:rPr>
      </w:pPr>
    </w:p>
    <w:p w14:paraId="671CFEDE" w14:textId="77777777" w:rsidR="00E2052F" w:rsidRPr="00E2052F" w:rsidRDefault="00E2052F" w:rsidP="00E2052F">
      <w:pPr>
        <w:spacing w:before="0" w:beforeAutospacing="0"/>
        <w:ind w:firstLine="0"/>
        <w:rPr>
          <w:rFonts w:cstheme="majorBidi"/>
          <w:sz w:val="22"/>
        </w:rPr>
      </w:pPr>
    </w:p>
    <w:p w14:paraId="5E6A68E8" w14:textId="77777777" w:rsidR="008D45A5" w:rsidRPr="00E2052F" w:rsidRDefault="008D45A5" w:rsidP="00BC1AEC">
      <w:pPr>
        <w:pStyle w:val="Titre1"/>
      </w:pPr>
      <w:bookmarkStart w:id="1867" w:name="_Toc229156034"/>
      <w:bookmarkStart w:id="1868" w:name="_Toc231742178"/>
      <w:bookmarkStart w:id="1869" w:name="_Toc231747032"/>
      <w:bookmarkStart w:id="1870" w:name="_Toc231752438"/>
      <w:bookmarkStart w:id="1871" w:name="_Toc231810741"/>
      <w:bookmarkStart w:id="1872" w:name="_Toc231811436"/>
      <w:bookmarkStart w:id="1873" w:name="_Toc231812084"/>
      <w:bookmarkStart w:id="1874" w:name="_Toc231812362"/>
      <w:bookmarkStart w:id="1875" w:name="_Toc231815246"/>
      <w:r w:rsidRPr="00E2052F">
        <w:t>Conclusion du chapitre :</w:t>
      </w:r>
      <w:bookmarkEnd w:id="1867"/>
      <w:bookmarkEnd w:id="1868"/>
      <w:bookmarkEnd w:id="1869"/>
      <w:bookmarkEnd w:id="1870"/>
      <w:bookmarkEnd w:id="1871"/>
      <w:bookmarkEnd w:id="1872"/>
      <w:bookmarkEnd w:id="1873"/>
      <w:bookmarkEnd w:id="1874"/>
      <w:bookmarkEnd w:id="1875"/>
    </w:p>
    <w:p w14:paraId="33477974" w14:textId="77777777" w:rsidR="008D45A5" w:rsidRPr="00E2052F" w:rsidRDefault="008D45A5" w:rsidP="00D23BF3">
      <w:pPr>
        <w:spacing w:before="0" w:beforeAutospacing="0"/>
        <w:rPr>
          <w:rFonts w:cstheme="majorBidi"/>
          <w:sz w:val="22"/>
        </w:rPr>
      </w:pPr>
      <w:r w:rsidRPr="00E2052F">
        <w:rPr>
          <w:rFonts w:cstheme="majorBidi"/>
          <w:sz w:val="22"/>
        </w:rPr>
        <w:t xml:space="preserve"> Le chapitre 3 décrit les aspects pratiques de la recherche examinant les principes de la gouvernance et son impact sur la gestion des risques financiers. </w:t>
      </w:r>
    </w:p>
    <w:p w14:paraId="580B2391" w14:textId="77777777" w:rsidR="008D45A5" w:rsidRPr="00E2052F" w:rsidRDefault="008D45A5" w:rsidP="00D23BF3">
      <w:pPr>
        <w:spacing w:before="0" w:beforeAutospacing="0"/>
        <w:rPr>
          <w:rFonts w:cstheme="majorBidi"/>
          <w:sz w:val="22"/>
        </w:rPr>
      </w:pPr>
      <w:r w:rsidRPr="00E2052F">
        <w:rPr>
          <w:rFonts w:cstheme="majorBidi"/>
          <w:sz w:val="22"/>
        </w:rPr>
        <w:t xml:space="preserve">Nous avons d'abord décrit la procédure de recherche appliquée, y compris l'identification des variables, les méthodes de recherche et la manière de déterminer la recherche sur le sujet sur la base de méthodes descriptives permettant la collecte, l'analyse et Interprétation des données et les méthodes statistiques. </w:t>
      </w:r>
    </w:p>
    <w:p w14:paraId="3E605601" w14:textId="77777777" w:rsidR="008D45A5" w:rsidRPr="00E2052F" w:rsidRDefault="008D45A5" w:rsidP="00D23BF3">
      <w:pPr>
        <w:spacing w:before="0" w:beforeAutospacing="0"/>
        <w:rPr>
          <w:rFonts w:cstheme="majorBidi"/>
          <w:sz w:val="22"/>
        </w:rPr>
      </w:pPr>
      <w:r w:rsidRPr="00E2052F">
        <w:rPr>
          <w:rFonts w:cstheme="majorBidi"/>
          <w:sz w:val="22"/>
        </w:rPr>
        <w:t xml:space="preserve">Nous utilisons des questionnaires, un outil important dans la recherche appliquée, pour recueillir des données. </w:t>
      </w:r>
    </w:p>
    <w:p w14:paraId="10D04686" w14:textId="77777777" w:rsidR="00E2052F" w:rsidRDefault="008D45A5" w:rsidP="00D23BF3">
      <w:pPr>
        <w:spacing w:before="0" w:beforeAutospacing="0"/>
        <w:rPr>
          <w:rFonts w:cstheme="majorBidi"/>
          <w:sz w:val="22"/>
        </w:rPr>
        <w:sectPr w:rsidR="00E2052F" w:rsidSect="0065358E">
          <w:headerReference w:type="default" r:id="rId53"/>
          <w:headerReference w:type="first" r:id="rId54"/>
          <w:pgSz w:w="11906" w:h="16838"/>
          <w:pgMar w:top="851" w:right="1418" w:bottom="1134" w:left="1418" w:header="709" w:footer="709" w:gutter="0"/>
          <w:pgNumType w:start="134"/>
          <w:cols w:space="708"/>
          <w:titlePg/>
          <w:docGrid w:linePitch="360"/>
        </w:sectPr>
      </w:pPr>
      <w:r w:rsidRPr="00E2052F">
        <w:rPr>
          <w:rFonts w:cstheme="majorBidi"/>
          <w:sz w:val="22"/>
        </w:rPr>
        <w:t>Nous avons analysé les axes d'étude, testé les hypothèses et traité les réponses et les opinions des membres de l'échantillon enquêté dans la base logicielle SPSS v27 pour répondre aux questions de recherche en confirmant o</w:t>
      </w:r>
      <w:r w:rsidR="00775D19" w:rsidRPr="00E2052F">
        <w:rPr>
          <w:rFonts w:cstheme="majorBidi"/>
          <w:sz w:val="22"/>
        </w:rPr>
        <w:t>u en infirmant les hypothèses</w:t>
      </w:r>
      <w:r w:rsidR="00E2052F">
        <w:rPr>
          <w:rFonts w:cstheme="majorBidi"/>
          <w:sz w:val="22"/>
        </w:rPr>
        <w:t>.</w:t>
      </w:r>
    </w:p>
    <w:p w14:paraId="212E3436" w14:textId="77777777" w:rsidR="00775D19" w:rsidRPr="00E2052F" w:rsidRDefault="00F562CA" w:rsidP="00D23BF3">
      <w:pPr>
        <w:spacing w:before="0" w:beforeAutospacing="0"/>
        <w:rPr>
          <w:rFonts w:cstheme="majorBidi"/>
          <w:sz w:val="22"/>
        </w:rPr>
        <w:sectPr w:rsidR="00775D19" w:rsidRPr="00E2052F" w:rsidSect="0065358E">
          <w:pgSz w:w="11906" w:h="16838"/>
          <w:pgMar w:top="851" w:right="1418" w:bottom="1134" w:left="1418" w:header="709" w:footer="709" w:gutter="0"/>
          <w:pgNumType w:start="204"/>
          <w:cols w:space="708"/>
          <w:titlePg/>
          <w:docGrid w:linePitch="360"/>
        </w:sectPr>
      </w:pPr>
      <w:r>
        <w:rPr>
          <w:rFonts w:ascii="Times New Roman" w:hAnsi="Times New Roman" w:cs="Times New Roman"/>
          <w:noProof/>
          <w:szCs w:val="24"/>
          <w:lang w:eastAsia="fr-FR"/>
        </w:rPr>
        <w:lastRenderedPageBreak/>
        <mc:AlternateContent>
          <mc:Choice Requires="wps">
            <w:drawing>
              <wp:anchor distT="0" distB="0" distL="114300" distR="114300" simplePos="0" relativeHeight="252130304" behindDoc="0" locked="0" layoutInCell="1" allowOverlap="1" wp14:anchorId="5CF54507" wp14:editId="4866162D">
                <wp:simplePos x="0" y="0"/>
                <wp:positionH relativeFrom="margin">
                  <wp:align>right</wp:align>
                </wp:positionH>
                <wp:positionV relativeFrom="paragraph">
                  <wp:posOffset>3120938</wp:posOffset>
                </wp:positionV>
                <wp:extent cx="5772150" cy="2979682"/>
                <wp:effectExtent l="0" t="0" r="19050" b="11430"/>
                <wp:wrapNone/>
                <wp:docPr id="640" name="Ruban vers le bas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5F0B3B27" w14:textId="77777777" w:rsidR="00A36231" w:rsidRDefault="00A36231" w:rsidP="00F562CA">
                            <w:pPr>
                              <w:jc w:val="center"/>
                              <w:rPr>
                                <w:b/>
                                <w:bCs/>
                                <w:sz w:val="56"/>
                                <w:szCs w:val="52"/>
                              </w:rPr>
                            </w:pPr>
                          </w:p>
                          <w:p w14:paraId="4CE924D4" w14:textId="77777777" w:rsidR="00A36231" w:rsidRPr="004E0735" w:rsidRDefault="00A36231" w:rsidP="00F562CA">
                            <w:pPr>
                              <w:ind w:firstLine="0"/>
                              <w:jc w:val="center"/>
                              <w:rPr>
                                <w:b/>
                                <w:bCs/>
                                <w:sz w:val="56"/>
                                <w:szCs w:val="52"/>
                              </w:rPr>
                            </w:pPr>
                            <w:r>
                              <w:rPr>
                                <w:b/>
                                <w:bCs/>
                                <w:sz w:val="56"/>
                                <w:szCs w:val="52"/>
                              </w:rPr>
                              <w:t>CONCLUSION GENERALE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54507" id="Ruban vers le bas 640" o:spid="_x0000_s1135" type="#_x0000_t53" style="position:absolute;left:0;text-align:left;margin-left:403.3pt;margin-top:245.75pt;width:454.5pt;height:234.6pt;z-index:252130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" fillcolor="#5b9bd5 [3208]" strokecolor="black [3213]">
                <v:textbox>
                  <w:txbxContent>
                    <w:p w14:paraId="5F0B3B27" w14:textId="77777777" w:rsidR="00A36231" w:rsidRDefault="00A36231" w:rsidP="00F562CA">
                      <w:pPr>
                        <w:jc w:val="center"/>
                        <w:rPr>
                          <w:b/>
                          <w:bCs/>
                          <w:sz w:val="56"/>
                          <w:szCs w:val="52"/>
                        </w:rPr>
                      </w:pPr>
                    </w:p>
                    <w:p w14:paraId="4CE924D4" w14:textId="77777777" w:rsidR="00A36231" w:rsidRPr="004E0735" w:rsidRDefault="00A36231" w:rsidP="00F562CA">
                      <w:pPr>
                        <w:ind w:firstLine="0"/>
                        <w:jc w:val="center"/>
                        <w:rPr>
                          <w:b/>
                          <w:bCs/>
                          <w:sz w:val="56"/>
                          <w:szCs w:val="52"/>
                        </w:rPr>
                      </w:pPr>
                      <w:r>
                        <w:rPr>
                          <w:b/>
                          <w:bCs/>
                          <w:sz w:val="56"/>
                          <w:szCs w:val="52"/>
                        </w:rPr>
                        <w:t>CONCLUSION GENERALE</w:t>
                      </w:r>
                    </w:p>
                  </w:txbxContent>
                </v:textbox>
                <w10:wrap anchorx="margin"/>
              </v:shape>
            </w:pict>
          </mc:Fallback>
        </mc:AlternateContent>
      </w:r>
    </w:p>
    <w:p w14:paraId="0495B192" w14:textId="77777777" w:rsidR="00775D19" w:rsidRPr="00E2052F" w:rsidRDefault="00775D19" w:rsidP="00BC1AEC">
      <w:pPr>
        <w:pStyle w:val="Titre1"/>
      </w:pPr>
      <w:bookmarkStart w:id="1876" w:name="_Toc231742179"/>
      <w:bookmarkStart w:id="1877" w:name="_Toc231747033"/>
      <w:bookmarkStart w:id="1878" w:name="_Toc231752439"/>
      <w:bookmarkStart w:id="1879" w:name="_Toc231810742"/>
      <w:bookmarkStart w:id="1880" w:name="_Toc231811437"/>
      <w:bookmarkStart w:id="1881" w:name="_Toc231812085"/>
      <w:bookmarkStart w:id="1882" w:name="_Toc231812363"/>
      <w:bookmarkStart w:id="1883" w:name="_Toc231815247"/>
      <w:r w:rsidRPr="00E2052F">
        <w:lastRenderedPageBreak/>
        <w:t>Conclusion Générale :</w:t>
      </w:r>
      <w:bookmarkEnd w:id="1876"/>
      <w:bookmarkEnd w:id="1877"/>
      <w:bookmarkEnd w:id="1878"/>
      <w:bookmarkEnd w:id="1879"/>
      <w:bookmarkEnd w:id="1880"/>
      <w:bookmarkEnd w:id="1881"/>
      <w:bookmarkEnd w:id="1882"/>
      <w:bookmarkEnd w:id="1883"/>
    </w:p>
    <w:p w14:paraId="7DC9D91F"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Notre étude vise à déterminer l’impact de la gouvernance d’entreprise sur la responsabilité sociétale des entreprises et son rôle dans le renforcement de la performance et du développement durable. Pour faire avancer notre recherche, nous avons divisé notre travail en trois chapitres principaux. Le premier est consacré au cadre théorique de la gouvernance d’entreprise. Une tentative est faite pour comprendre les éléments clés de ce concept. Nous devons comprendre le terme gouvernance, ses principes, ses mécanismes et son importance dans l’amélioration de la transparence, de la responsabilité et de l’efficacité organisationnelle. Le chapitre 2 a abordé le sujet de la responsabilité sociétale des entreprises. À cet effet, le chapitre vise à présenter et analyser la littérature existante sur ce sujet, ainsi que les différentes théories et approches liées à la responsabilité sociétale, ses dimensions économiques, sociales et environnementales et son rôle dans le développement durable des entreprises. Le chapitre 03 vise à présenter et analyser l’étude de cas réalisée au sein de TAYAL SPA. Nous avons collecté des données et des informations relatives à l’entreprise afin d’analyser et créer des questionnaires pour tester la validité de nos principales hypothèses. Ensuite, cette étude de la gouvernance et de son effet sur la responsabilité sociale explore différentes principes de la gouvernance (l'existence d'une base pour un cadre efficace de la gouvernance, la préservation des droits des actionnaires, le traitement équitable des actionnaires, le rôle des parties prenantes, la divulgation et transparence, la responsabilité du conseil d'administration), ainsi que leur lien avec la responsabilité sociale des entreprises. De plus, nous avons acquis une compréhension approfondie des théories et des concepts clés liés à la responsabilité sociétale des entreprises, et nous avons exploré en détail les différents aspects qui affectent la responsabilité sociale des entreprises. L’étude que nous avons menée visait à déterminer l’importance de l’intégration des principes de gouvernance et des pratiques de responsabilité sociale au sein des entreprises industrielles. Cette étude théorique s’est appuyée sur une étude de cas réalisée auprès d’un groupe de 302 salariés au sein de TAYAL SPA. Avec la contribution des responsables de l’entreprise, nous nous sommes appuyés sur des questionnaires et sur l’analyse des données recueillies afin d'analyser et de tester la plausibilité des hypothèses clés.</w:t>
      </w:r>
    </w:p>
    <w:p w14:paraId="439B651C" w14:textId="77777777" w:rsidR="00775D19" w:rsidRPr="00E2052F" w:rsidRDefault="00775D19" w:rsidP="00BC1AEC">
      <w:pPr>
        <w:pStyle w:val="Titre1"/>
        <w:numPr>
          <w:ilvl w:val="0"/>
          <w:numId w:val="99"/>
        </w:numPr>
      </w:pPr>
      <w:bookmarkStart w:id="1884" w:name="_Toc231739004"/>
      <w:bookmarkStart w:id="1885" w:name="_Toc231739432"/>
      <w:bookmarkStart w:id="1886" w:name="_Toc231741718"/>
      <w:bookmarkStart w:id="1887" w:name="_Toc231742180"/>
      <w:bookmarkStart w:id="1888" w:name="_Toc231747034"/>
      <w:bookmarkStart w:id="1889" w:name="_Toc231752440"/>
      <w:bookmarkStart w:id="1890" w:name="_Toc231810072"/>
      <w:bookmarkStart w:id="1891" w:name="_Toc231810743"/>
      <w:bookmarkStart w:id="1892" w:name="_Toc231811438"/>
      <w:bookmarkStart w:id="1893" w:name="_Toc231812086"/>
      <w:bookmarkStart w:id="1894" w:name="_Toc231812364"/>
      <w:bookmarkStart w:id="1895" w:name="_Toc231815248"/>
      <w:r w:rsidRPr="00E2052F">
        <w:t>Les résultats de l’étude :</w:t>
      </w:r>
      <w:bookmarkEnd w:id="1884"/>
      <w:bookmarkEnd w:id="1885"/>
      <w:bookmarkEnd w:id="1886"/>
      <w:bookmarkEnd w:id="1887"/>
      <w:bookmarkEnd w:id="1888"/>
      <w:bookmarkEnd w:id="1889"/>
      <w:bookmarkEnd w:id="1890"/>
      <w:bookmarkEnd w:id="1891"/>
      <w:bookmarkEnd w:id="1892"/>
      <w:bookmarkEnd w:id="1893"/>
      <w:bookmarkEnd w:id="1894"/>
      <w:bookmarkEnd w:id="1895"/>
    </w:p>
    <w:p w14:paraId="3B82BDE9" w14:textId="77777777" w:rsidR="00AE33E1" w:rsidRPr="00E2052F" w:rsidRDefault="00775D19" w:rsidP="00775D19">
      <w:pPr>
        <w:spacing w:before="0" w:beforeAutospacing="0"/>
        <w:ind w:firstLine="0"/>
        <w:rPr>
          <w:rFonts w:cstheme="majorBidi"/>
          <w:sz w:val="22"/>
        </w:rPr>
        <w:sectPr w:rsidR="00AE33E1" w:rsidRPr="00E2052F" w:rsidSect="00D23BF3">
          <w:headerReference w:type="default" r:id="rId55"/>
          <w:pgSz w:w="11906" w:h="16838"/>
          <w:pgMar w:top="851" w:right="1418" w:bottom="1134" w:left="1418" w:header="709" w:footer="709" w:gutter="0"/>
          <w:cols w:space="708"/>
          <w:docGrid w:linePitch="360"/>
        </w:sectPr>
      </w:pPr>
      <w:r w:rsidRPr="00E2052F">
        <w:rPr>
          <w:rFonts w:cstheme="majorBidi"/>
          <w:sz w:val="22"/>
        </w:rPr>
        <w:t>Il y a une relation positive significative entre la gouvernance (l'existence d'une base pour un cadre efficace de la gouvernance, la préservation des droits des actionnaires, le traitement</w:t>
      </w:r>
    </w:p>
    <w:p w14:paraId="21BC6C36" w14:textId="77777777" w:rsidR="00775D19" w:rsidRPr="00E2052F" w:rsidRDefault="00775D19" w:rsidP="00775D19">
      <w:pPr>
        <w:ind w:firstLine="567"/>
        <w:rPr>
          <w:rFonts w:cstheme="majorBidi"/>
          <w:b/>
          <w:bCs/>
          <w:sz w:val="22"/>
        </w:rPr>
      </w:pPr>
      <w:r w:rsidRPr="00E2052F">
        <w:rPr>
          <w:rFonts w:cstheme="majorBidi"/>
          <w:sz w:val="22"/>
        </w:rPr>
        <w:lastRenderedPageBreak/>
        <w:t>Équitable des actionnaires, le rôle des parties prenantes, la divulgation et transparence, la responsabilité du conseil d'administration) et la gestion des risques.</w:t>
      </w:r>
    </w:p>
    <w:p w14:paraId="549021EB"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Les résultats ont montré que le principe de la responsabilité du conseil d’administration a eu l’impact le plus important avec un pourcentage de 71,9 %.</w:t>
      </w:r>
    </w:p>
    <w:p w14:paraId="38720718"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Les résultats ont montré que le niveau de principe de la gouvernance au sein de l’entreprise TAYAL SPA était le plus faible en termes de de la préservation des droits des actionnaires avec un pourcentage de 33, 3 %, par rapport aux autres principes et selon l'échantillon sondé.</w:t>
      </w:r>
    </w:p>
    <w:p w14:paraId="0986EB94"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Les résultats ont également montré que le niveau de responsabilité sociale au sein de TAYAL SPA était meilleur en termes de réponse de la divulgation et de la transparence, du rôle des parties prenantes et du traitement équitable des actionnaires, selon l’échantillon interrogé, par rapport aux autres dimensions étudiées.</w:t>
      </w:r>
    </w:p>
    <w:p w14:paraId="180847A9"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Les résultats ont également montré que le niveau de l’impact des principes de gouvernance était presque similaire en termes de réponse du l’existence d’une base pour un cadre efficace de gouvernance et de la préservation des droits des actionnaires avec des pourcentages respectifs de 34,3 % et 33,3 %.</w:t>
      </w:r>
    </w:p>
    <w:p w14:paraId="10B1EF65" w14:textId="77777777" w:rsidR="00775D19" w:rsidRPr="00E2052F" w:rsidRDefault="00775D19" w:rsidP="00775D19">
      <w:pPr>
        <w:pStyle w:val="NormalWeb"/>
        <w:spacing w:line="360" w:lineRule="auto"/>
        <w:ind w:firstLine="567"/>
        <w:rPr>
          <w:rFonts w:asciiTheme="majorBidi" w:hAnsiTheme="majorBidi" w:cstheme="majorBidi"/>
          <w:sz w:val="22"/>
          <w:szCs w:val="22"/>
        </w:rPr>
      </w:pPr>
      <w:r w:rsidRPr="00E2052F">
        <w:rPr>
          <w:rFonts w:asciiTheme="majorBidi" w:hAnsiTheme="majorBidi" w:cstheme="majorBidi"/>
          <w:sz w:val="22"/>
          <w:szCs w:val="22"/>
        </w:rPr>
        <w:t>Les résultats ont montré qu’il existe un effet statistiquement significatif de la gouvernance d’entreprise sur la responsabilité sociale au sein de TAYAL SPA, ce qui signifie qu’il faut prêter attention aux principes de la gouvernance afin d’améliorer le niveau de responsabilité sociale et de renforcer la performance durable de l’entreprise.</w:t>
      </w:r>
    </w:p>
    <w:p w14:paraId="1539B6BB" w14:textId="77777777" w:rsidR="00775D19" w:rsidRPr="00E2052F" w:rsidRDefault="00775D19" w:rsidP="00BC1AEC">
      <w:pPr>
        <w:pStyle w:val="Titre1"/>
        <w:numPr>
          <w:ilvl w:val="0"/>
          <w:numId w:val="99"/>
        </w:numPr>
      </w:pPr>
      <w:bookmarkStart w:id="1896" w:name="_Toc231739005"/>
      <w:bookmarkStart w:id="1897" w:name="_Toc231739433"/>
      <w:bookmarkStart w:id="1898" w:name="_Toc231741719"/>
      <w:bookmarkStart w:id="1899" w:name="_Toc231742181"/>
      <w:bookmarkStart w:id="1900" w:name="_Toc231747035"/>
      <w:bookmarkStart w:id="1901" w:name="_Toc231752441"/>
      <w:bookmarkStart w:id="1902" w:name="_Toc231810073"/>
      <w:bookmarkStart w:id="1903" w:name="_Toc231810744"/>
      <w:bookmarkStart w:id="1904" w:name="_Toc231811439"/>
      <w:bookmarkStart w:id="1905" w:name="_Toc231812087"/>
      <w:bookmarkStart w:id="1906" w:name="_Toc231812365"/>
      <w:bookmarkStart w:id="1907" w:name="_Toc231815249"/>
      <w:r w:rsidRPr="00E2052F">
        <w:t>Recommandations :</w:t>
      </w:r>
      <w:bookmarkEnd w:id="1896"/>
      <w:bookmarkEnd w:id="1897"/>
      <w:bookmarkEnd w:id="1898"/>
      <w:bookmarkEnd w:id="1899"/>
      <w:bookmarkEnd w:id="1900"/>
      <w:bookmarkEnd w:id="1901"/>
      <w:bookmarkEnd w:id="1902"/>
      <w:bookmarkEnd w:id="1903"/>
      <w:bookmarkEnd w:id="1904"/>
      <w:bookmarkEnd w:id="1905"/>
      <w:bookmarkEnd w:id="1906"/>
      <w:bookmarkEnd w:id="1907"/>
    </w:p>
    <w:p w14:paraId="6223F0E2"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Assurez-vous que le conseil d’administration comprend des membres compétents et indépendants disposant d’une expertise en gouvernance et en responsabilité sociale des entreprises. Le conseil doit jouer un rôle actif dans la supervision stratégique et dans l’amélioration continue des pratiques de gouvernance.</w:t>
      </w:r>
    </w:p>
    <w:p w14:paraId="17DCFCD9"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Développez des politiques et procédures claires et cohérentes pour renforcer la gouvernance, notamment en matière de transparence, de responsabilité, de contrôle interne et de prise de décision. Ces politiques doivent être alignées avec les objectifs stratégiques de l’entreprise et intégrées dans toutes ses activités.</w:t>
      </w:r>
    </w:p>
    <w:p w14:paraId="13DCD625"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Renforcez la culture de la responsabilité sociale au sein de l’organisation en sensibilisant l’ensemble des employés à l’importance des pratiques éthiques, environnementales et sociales dans la performance globale de l’entreprise.</w:t>
      </w:r>
    </w:p>
    <w:p w14:paraId="1A0FFD98"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lastRenderedPageBreak/>
        <w:t>Mettez en place des programmes de formation réguliers sur la gouvernance d’entreprise et la responsabilité sociale afin de développer les compétences des employés et d’améliorer leur compréhension des enjeux liés à la durabilité.</w:t>
      </w:r>
    </w:p>
    <w:p w14:paraId="728073E0"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Améliorez la transparence et la communication interne et externe en assurant une diffusion claire et régulière des informations relatives aux performances sociales, économiques et environnementales de l’entreprise.</w:t>
      </w:r>
    </w:p>
    <w:p w14:paraId="44EA5967"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Impliquez davantage les parties prenantes dans les processus de décision afin de renforcer la confiance, la coopération et la création de valeur durable.</w:t>
      </w:r>
    </w:p>
    <w:p w14:paraId="6D74962A" w14:textId="77777777" w:rsidR="00775D19" w:rsidRPr="00E2052F" w:rsidRDefault="00775D19" w:rsidP="00D61875">
      <w:pPr>
        <w:pStyle w:val="Paragraphedeliste"/>
        <w:numPr>
          <w:ilvl w:val="0"/>
          <w:numId w:val="100"/>
        </w:numPr>
        <w:spacing w:before="0" w:beforeAutospacing="0"/>
        <w:rPr>
          <w:rFonts w:cstheme="majorBidi"/>
          <w:sz w:val="22"/>
        </w:rPr>
      </w:pPr>
      <w:r w:rsidRPr="00E2052F">
        <w:rPr>
          <w:rFonts w:cstheme="majorBidi"/>
          <w:sz w:val="22"/>
        </w:rPr>
        <w:t>Renforcez les pratiques de gestion environnementale et de développement durable, notamment à travers l’optimisation des ressources et la réduction de l’impact écologique des activités industrielles.</w:t>
      </w:r>
    </w:p>
    <w:p w14:paraId="2CB1A99E" w14:textId="77777777" w:rsidR="00775D19" w:rsidRPr="00E2052F" w:rsidRDefault="00775D19" w:rsidP="00BC1AEC">
      <w:pPr>
        <w:pStyle w:val="Titre1"/>
        <w:numPr>
          <w:ilvl w:val="0"/>
          <w:numId w:val="99"/>
        </w:numPr>
      </w:pPr>
      <w:bookmarkStart w:id="1908" w:name="_Toc231739006"/>
      <w:bookmarkStart w:id="1909" w:name="_Toc231739434"/>
      <w:bookmarkStart w:id="1910" w:name="_Toc231741720"/>
      <w:bookmarkStart w:id="1911" w:name="_Toc231742182"/>
      <w:bookmarkStart w:id="1912" w:name="_Toc231747036"/>
      <w:bookmarkStart w:id="1913" w:name="_Toc231752442"/>
      <w:bookmarkStart w:id="1914" w:name="_Toc231810074"/>
      <w:bookmarkStart w:id="1915" w:name="_Toc231810745"/>
      <w:bookmarkStart w:id="1916" w:name="_Toc231811440"/>
      <w:bookmarkStart w:id="1917" w:name="_Toc231812088"/>
      <w:bookmarkStart w:id="1918" w:name="_Toc231812366"/>
      <w:bookmarkStart w:id="1919" w:name="_Toc231815250"/>
      <w:r w:rsidRPr="00E2052F">
        <w:t>Les limites :</w:t>
      </w:r>
      <w:bookmarkEnd w:id="1908"/>
      <w:bookmarkEnd w:id="1909"/>
      <w:bookmarkEnd w:id="1910"/>
      <w:bookmarkEnd w:id="1911"/>
      <w:bookmarkEnd w:id="1912"/>
      <w:bookmarkEnd w:id="1913"/>
      <w:bookmarkEnd w:id="1914"/>
      <w:bookmarkEnd w:id="1915"/>
      <w:bookmarkEnd w:id="1916"/>
      <w:bookmarkEnd w:id="1917"/>
      <w:bookmarkEnd w:id="1918"/>
      <w:bookmarkEnd w:id="1919"/>
    </w:p>
    <w:p w14:paraId="36C4DCA7"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La difficulté d’accès à certaines informations internes sensibles de l’entreprise, ce qui peut limiter la profondeur de l’analyse. </w:t>
      </w:r>
    </w:p>
    <w:p w14:paraId="3951CCBC"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La réticence de certains répondants à fournir des informations complètes et fiables lors de la collecte des données. </w:t>
      </w:r>
    </w:p>
    <w:p w14:paraId="12280883"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Les contraintes de temps ayant limité l’élargissement de l’échantillon et la durée de l’étude empirique. </w:t>
      </w:r>
    </w:p>
    <w:p w14:paraId="24DB569E"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L’étude est basée sur un seul cas (TAYAL SPA), ce qui peut limiter la généralisation des résultats à d’autres entreprises ou secteurs. </w:t>
      </w:r>
    </w:p>
    <w:p w14:paraId="0D96BAC0"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L’utilisation d’une approche transversale qui ne permet pas de mesurer l’évolution des pratiques de gouvernance et de responsabilité sociale dans le long terme. </w:t>
      </w:r>
    </w:p>
    <w:p w14:paraId="6A8718EF" w14:textId="77777777" w:rsidR="00775D19" w:rsidRPr="00E2052F" w:rsidRDefault="00775D19" w:rsidP="00D61875">
      <w:pPr>
        <w:pStyle w:val="Paragraphedeliste"/>
        <w:numPr>
          <w:ilvl w:val="0"/>
          <w:numId w:val="101"/>
        </w:numPr>
        <w:spacing w:before="0" w:beforeAutospacing="0"/>
        <w:rPr>
          <w:rFonts w:cstheme="majorBidi"/>
          <w:sz w:val="22"/>
        </w:rPr>
      </w:pPr>
      <w:r w:rsidRPr="00E2052F">
        <w:rPr>
          <w:rFonts w:cstheme="majorBidi"/>
          <w:sz w:val="22"/>
        </w:rPr>
        <w:t xml:space="preserve">La dépendance aux réponses des questionnaires, ce qui peut introduire un certain biais dans l’interprétation des résultats. </w:t>
      </w:r>
    </w:p>
    <w:p w14:paraId="5BD48A13" w14:textId="77777777" w:rsidR="00775D19" w:rsidRPr="00E2052F" w:rsidRDefault="00775D19" w:rsidP="00BC1AEC">
      <w:pPr>
        <w:pStyle w:val="Titre1"/>
        <w:numPr>
          <w:ilvl w:val="0"/>
          <w:numId w:val="99"/>
        </w:numPr>
      </w:pPr>
      <w:bookmarkStart w:id="1920" w:name="_Toc231739007"/>
      <w:bookmarkStart w:id="1921" w:name="_Toc231739435"/>
      <w:bookmarkStart w:id="1922" w:name="_Toc231741721"/>
      <w:bookmarkStart w:id="1923" w:name="_Toc231742183"/>
      <w:bookmarkStart w:id="1924" w:name="_Toc231747037"/>
      <w:bookmarkStart w:id="1925" w:name="_Toc231752443"/>
      <w:bookmarkStart w:id="1926" w:name="_Toc231810075"/>
      <w:bookmarkStart w:id="1927" w:name="_Toc231810746"/>
      <w:bookmarkStart w:id="1928" w:name="_Toc231811441"/>
      <w:bookmarkStart w:id="1929" w:name="_Toc231812089"/>
      <w:bookmarkStart w:id="1930" w:name="_Toc231812367"/>
      <w:bookmarkStart w:id="1931" w:name="_Toc231815251"/>
      <w:r w:rsidRPr="00E2052F">
        <w:t>Les perspectives :</w:t>
      </w:r>
      <w:bookmarkEnd w:id="1920"/>
      <w:bookmarkEnd w:id="1921"/>
      <w:bookmarkEnd w:id="1922"/>
      <w:bookmarkEnd w:id="1923"/>
      <w:bookmarkEnd w:id="1924"/>
      <w:bookmarkEnd w:id="1925"/>
      <w:bookmarkEnd w:id="1926"/>
      <w:bookmarkEnd w:id="1927"/>
      <w:bookmarkEnd w:id="1928"/>
      <w:bookmarkEnd w:id="1929"/>
      <w:bookmarkEnd w:id="1930"/>
      <w:bookmarkEnd w:id="1931"/>
    </w:p>
    <w:p w14:paraId="03C1E169" w14:textId="77777777" w:rsidR="00775D19" w:rsidRPr="00E2052F" w:rsidRDefault="00775D19" w:rsidP="00775D19">
      <w:pPr>
        <w:ind w:firstLine="567"/>
        <w:rPr>
          <w:rFonts w:cstheme="majorBidi"/>
          <w:sz w:val="22"/>
        </w:rPr>
      </w:pPr>
      <w:r w:rsidRPr="00E2052F">
        <w:rPr>
          <w:rFonts w:cstheme="majorBidi"/>
          <w:sz w:val="22"/>
        </w:rPr>
        <w:t>Voici quelques pistes de recherche qui pourraient être explorées dans des travaux futurs sur la gouvernance d’entreprise et son impact sur la responsabilité sociale des entreprises :</w:t>
      </w:r>
    </w:p>
    <w:p w14:paraId="3FF118D7" w14:textId="77777777" w:rsidR="00775D19" w:rsidRPr="00E2052F" w:rsidRDefault="00775D19" w:rsidP="00D61875">
      <w:pPr>
        <w:pStyle w:val="Paragraphedeliste"/>
        <w:numPr>
          <w:ilvl w:val="0"/>
          <w:numId w:val="102"/>
        </w:numPr>
        <w:spacing w:before="0" w:beforeAutospacing="0"/>
        <w:rPr>
          <w:rFonts w:cstheme="majorBidi"/>
          <w:sz w:val="22"/>
        </w:rPr>
      </w:pPr>
      <w:r w:rsidRPr="00E2052F">
        <w:rPr>
          <w:rFonts w:cstheme="majorBidi"/>
          <w:sz w:val="22"/>
        </w:rPr>
        <w:t>Étude longitudinale de l’évolution de la gouvernance et de la responsabilité sociale des entreprises : Réaliser une analyse dans le temps afin de comprendre comment les pratiques de gouvernance et de responsabilité sociale évoluent au sein de l’entreprise industrielle en fonction des changements économiques, technologiques et réglementaires.</w:t>
      </w:r>
    </w:p>
    <w:p w14:paraId="1F52C394" w14:textId="77777777" w:rsidR="00775D19" w:rsidRPr="00E2052F" w:rsidRDefault="00775D19" w:rsidP="00D61875">
      <w:pPr>
        <w:pStyle w:val="Paragraphedeliste"/>
        <w:numPr>
          <w:ilvl w:val="0"/>
          <w:numId w:val="102"/>
        </w:numPr>
        <w:spacing w:before="0" w:beforeAutospacing="0"/>
        <w:rPr>
          <w:rFonts w:cstheme="majorBidi"/>
          <w:sz w:val="22"/>
        </w:rPr>
      </w:pPr>
      <w:r w:rsidRPr="00E2052F">
        <w:rPr>
          <w:rFonts w:cstheme="majorBidi"/>
          <w:sz w:val="22"/>
        </w:rPr>
        <w:t>Le rôle du conseil d’administration dans le renforcement de la responsabilité sociale : Étudier de manière approfondie la contribution du conseil d’administration dans la définition, le suivi et l’amélioration des stratégies de responsabilité sociale et de développement durable.</w:t>
      </w:r>
    </w:p>
    <w:p w14:paraId="4525C594" w14:textId="77777777" w:rsidR="00775D19" w:rsidRPr="00E2052F" w:rsidRDefault="00775D19" w:rsidP="00D61875">
      <w:pPr>
        <w:pStyle w:val="Paragraphedeliste"/>
        <w:numPr>
          <w:ilvl w:val="0"/>
          <w:numId w:val="102"/>
        </w:numPr>
        <w:spacing w:before="0" w:beforeAutospacing="0"/>
        <w:rPr>
          <w:rFonts w:cstheme="majorBidi"/>
          <w:sz w:val="22"/>
        </w:rPr>
      </w:pPr>
      <w:r w:rsidRPr="00E2052F">
        <w:rPr>
          <w:rFonts w:cstheme="majorBidi"/>
          <w:sz w:val="22"/>
        </w:rPr>
        <w:lastRenderedPageBreak/>
        <w:t>L’impact de la transparence et de la divulgation de l’information sur la confiance des parties prenantes : Examiner comment les pratiques de communication financière et non financière influencent la crédibilité et la réputation des entreprises.</w:t>
      </w:r>
    </w:p>
    <w:p w14:paraId="55199D2D" w14:textId="77777777" w:rsidR="00775D19" w:rsidRPr="00E2052F" w:rsidRDefault="00775D19" w:rsidP="00D61875">
      <w:pPr>
        <w:pStyle w:val="Paragraphedeliste"/>
        <w:numPr>
          <w:ilvl w:val="0"/>
          <w:numId w:val="102"/>
        </w:numPr>
        <w:spacing w:before="0" w:beforeAutospacing="0"/>
        <w:rPr>
          <w:rFonts w:cstheme="majorBidi"/>
          <w:sz w:val="22"/>
        </w:rPr>
      </w:pPr>
      <w:r w:rsidRPr="00E2052F">
        <w:rPr>
          <w:rFonts w:cstheme="majorBidi"/>
          <w:sz w:val="22"/>
        </w:rPr>
        <w:t>Le rôle des ressources humaines dans la mise en œuvre de la responsabilité sociale : Analyser l’impact de la formation, de la gestion des compétences et des conditions de travail sur l’efficacité des pratiques de responsabilité sociale.</w:t>
      </w:r>
    </w:p>
    <w:p w14:paraId="52AF9C17" w14:textId="77777777" w:rsidR="00775D19" w:rsidRPr="00E2052F" w:rsidRDefault="00775D19" w:rsidP="00D61875">
      <w:pPr>
        <w:numPr>
          <w:ilvl w:val="0"/>
          <w:numId w:val="102"/>
        </w:numPr>
        <w:spacing w:before="0" w:beforeAutospacing="0"/>
        <w:rPr>
          <w:rFonts w:cstheme="majorBidi"/>
          <w:sz w:val="22"/>
        </w:rPr>
      </w:pPr>
      <w:r w:rsidRPr="00E2052F">
        <w:rPr>
          <w:rFonts w:cstheme="majorBidi"/>
          <w:sz w:val="22"/>
        </w:rPr>
        <w:t xml:space="preserve">L’effet de la digitalisation et des systèmes d’information sur la gouvernance et la responsabilité sociale : Étudier comment les outils numériques contribuent à améliorer la transparence, la performance et le suivi des engagements sociaux et environnementaux. </w:t>
      </w:r>
    </w:p>
    <w:p w14:paraId="360408E8" w14:textId="77777777" w:rsidR="00775D19" w:rsidRPr="00E2052F" w:rsidRDefault="00775D19" w:rsidP="00775D19">
      <w:pPr>
        <w:pStyle w:val="Paragraphedeliste"/>
        <w:rPr>
          <w:rFonts w:cstheme="majorBidi"/>
          <w:sz w:val="22"/>
        </w:rPr>
      </w:pPr>
    </w:p>
    <w:p w14:paraId="53D66AFF" w14:textId="77777777" w:rsidR="00540741" w:rsidRPr="00E2052F" w:rsidRDefault="00540741" w:rsidP="00AE33E1">
      <w:pPr>
        <w:spacing w:before="0" w:beforeAutospacing="0"/>
        <w:ind w:firstLine="0"/>
        <w:rPr>
          <w:rFonts w:cstheme="majorBidi"/>
          <w:b/>
          <w:bCs/>
          <w:sz w:val="22"/>
        </w:rPr>
      </w:pPr>
    </w:p>
    <w:p w14:paraId="63D393BF" w14:textId="77777777" w:rsidR="00C5729C" w:rsidRPr="00E2052F" w:rsidRDefault="00C5729C" w:rsidP="00D23BF3">
      <w:pPr>
        <w:spacing w:before="0" w:beforeAutospacing="0"/>
        <w:ind w:firstLine="0"/>
        <w:rPr>
          <w:rFonts w:cstheme="majorBidi"/>
          <w:sz w:val="22"/>
        </w:rPr>
      </w:pPr>
    </w:p>
    <w:p w14:paraId="46D801CB" w14:textId="77777777" w:rsidR="00DC547D" w:rsidRPr="00E2052F" w:rsidRDefault="00DC547D" w:rsidP="00D23BF3">
      <w:pPr>
        <w:spacing w:before="0" w:beforeAutospacing="0"/>
        <w:ind w:left="1069" w:firstLine="0"/>
        <w:rPr>
          <w:rFonts w:cstheme="majorBidi"/>
          <w:b/>
          <w:bCs/>
          <w:sz w:val="22"/>
        </w:rPr>
      </w:pPr>
    </w:p>
    <w:p w14:paraId="67C9A8CD" w14:textId="77777777" w:rsidR="0082029F" w:rsidRPr="00E2052F" w:rsidRDefault="0082029F" w:rsidP="00D23BF3">
      <w:pPr>
        <w:spacing w:before="0" w:beforeAutospacing="0"/>
        <w:ind w:left="1069" w:firstLine="0"/>
        <w:rPr>
          <w:rFonts w:cstheme="majorBidi"/>
          <w:b/>
          <w:bCs/>
          <w:sz w:val="22"/>
        </w:rPr>
      </w:pPr>
    </w:p>
    <w:p w14:paraId="3E5DBB6E" w14:textId="77777777" w:rsidR="001A4874" w:rsidRPr="00E2052F" w:rsidRDefault="001A4874" w:rsidP="00D23BF3">
      <w:pPr>
        <w:spacing w:before="0" w:beforeAutospacing="0"/>
        <w:ind w:left="1069" w:firstLine="0"/>
        <w:rPr>
          <w:rFonts w:cstheme="majorBidi"/>
          <w:b/>
          <w:bCs/>
          <w:sz w:val="22"/>
        </w:rPr>
      </w:pPr>
    </w:p>
    <w:p w14:paraId="2CEC4793" w14:textId="77777777" w:rsidR="0049793D" w:rsidRPr="00E2052F" w:rsidRDefault="0049793D" w:rsidP="00D23BF3">
      <w:pPr>
        <w:spacing w:before="0" w:beforeAutospacing="0"/>
        <w:ind w:firstLine="0"/>
        <w:rPr>
          <w:rFonts w:cstheme="majorBidi"/>
          <w:sz w:val="22"/>
        </w:rPr>
      </w:pPr>
    </w:p>
    <w:p w14:paraId="7F82995B" w14:textId="77777777" w:rsidR="00863C3A" w:rsidRPr="00E2052F" w:rsidRDefault="00863C3A" w:rsidP="00D23BF3">
      <w:pPr>
        <w:spacing w:before="0" w:beforeAutospacing="0"/>
        <w:ind w:firstLine="0"/>
        <w:rPr>
          <w:rFonts w:cstheme="majorBidi"/>
          <w:sz w:val="22"/>
        </w:rPr>
      </w:pPr>
    </w:p>
    <w:p w14:paraId="504238C9" w14:textId="77777777" w:rsidR="00863C3A" w:rsidRPr="00E2052F" w:rsidRDefault="00863C3A" w:rsidP="00D23BF3">
      <w:pPr>
        <w:spacing w:before="0" w:beforeAutospacing="0"/>
        <w:ind w:firstLine="0"/>
        <w:rPr>
          <w:rFonts w:cstheme="majorBidi"/>
          <w:sz w:val="22"/>
        </w:rPr>
      </w:pPr>
    </w:p>
    <w:p w14:paraId="17895342" w14:textId="77777777" w:rsidR="00863C3A" w:rsidRPr="00E2052F" w:rsidRDefault="00863C3A" w:rsidP="00D23BF3">
      <w:pPr>
        <w:spacing w:before="0" w:beforeAutospacing="0"/>
        <w:ind w:firstLine="0"/>
        <w:rPr>
          <w:rFonts w:cstheme="majorBidi"/>
          <w:sz w:val="22"/>
        </w:rPr>
      </w:pPr>
    </w:p>
    <w:p w14:paraId="0A4BD575" w14:textId="77777777" w:rsidR="00863C3A" w:rsidRPr="00E2052F" w:rsidRDefault="00E2052F" w:rsidP="00E2052F">
      <w:pPr>
        <w:tabs>
          <w:tab w:val="left" w:pos="5839"/>
        </w:tabs>
        <w:spacing w:before="0" w:beforeAutospacing="0"/>
        <w:ind w:firstLine="0"/>
        <w:rPr>
          <w:rFonts w:cstheme="majorBidi"/>
          <w:sz w:val="22"/>
        </w:rPr>
      </w:pPr>
      <w:r>
        <w:rPr>
          <w:rFonts w:cstheme="majorBidi"/>
          <w:sz w:val="22"/>
        </w:rPr>
        <w:tab/>
      </w:r>
    </w:p>
    <w:p w14:paraId="1A48B21D" w14:textId="77777777" w:rsidR="00BD4F12" w:rsidRDefault="00BD4F12" w:rsidP="00D23BF3">
      <w:pPr>
        <w:spacing w:before="0" w:beforeAutospacing="0"/>
        <w:ind w:firstLine="0"/>
        <w:rPr>
          <w:rFonts w:cstheme="majorBidi"/>
          <w:sz w:val="22"/>
        </w:rPr>
        <w:sectPr w:rsidR="00BD4F12" w:rsidSect="00D23BF3">
          <w:pgSz w:w="11906" w:h="16838"/>
          <w:pgMar w:top="851" w:right="1418" w:bottom="1134" w:left="1418" w:header="709" w:footer="709" w:gutter="0"/>
          <w:cols w:space="708"/>
          <w:docGrid w:linePitch="360"/>
        </w:sectPr>
      </w:pPr>
    </w:p>
    <w:p w14:paraId="71E5B662" w14:textId="77777777" w:rsidR="00BD4F12" w:rsidRDefault="00BD4F12" w:rsidP="00D23BF3">
      <w:pPr>
        <w:spacing w:before="0" w:beforeAutospacing="0"/>
        <w:ind w:firstLine="0"/>
        <w:rPr>
          <w:rFonts w:cstheme="majorBidi"/>
          <w:sz w:val="22"/>
        </w:rPr>
      </w:pPr>
      <w:r>
        <w:rPr>
          <w:rFonts w:ascii="Times New Roman" w:hAnsi="Times New Roman" w:cs="Times New Roman"/>
          <w:noProof/>
          <w:szCs w:val="24"/>
          <w:lang w:eastAsia="fr-FR"/>
        </w:rPr>
        <w:lastRenderedPageBreak/>
        <mc:AlternateContent>
          <mc:Choice Requires="wps">
            <w:drawing>
              <wp:anchor distT="0" distB="0" distL="114300" distR="114300" simplePos="0" relativeHeight="252132352" behindDoc="0" locked="0" layoutInCell="1" allowOverlap="1" wp14:anchorId="0F6DA720" wp14:editId="7CB123E1">
                <wp:simplePos x="0" y="0"/>
                <wp:positionH relativeFrom="margin">
                  <wp:posOffset>-126124</wp:posOffset>
                </wp:positionH>
                <wp:positionV relativeFrom="paragraph">
                  <wp:posOffset>2915986</wp:posOffset>
                </wp:positionV>
                <wp:extent cx="5772150" cy="2979682"/>
                <wp:effectExtent l="0" t="0" r="19050" b="11430"/>
                <wp:wrapNone/>
                <wp:docPr id="646" name="Ruban vers le bas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78C309DD" w14:textId="77777777" w:rsidR="00A36231" w:rsidRDefault="00A36231" w:rsidP="00BD4F12">
                            <w:pPr>
                              <w:ind w:firstLine="0"/>
                              <w:jc w:val="center"/>
                              <w:rPr>
                                <w:b/>
                                <w:bCs/>
                                <w:sz w:val="48"/>
                                <w:szCs w:val="44"/>
                              </w:rPr>
                            </w:pPr>
                          </w:p>
                          <w:p w14:paraId="6D5E6AFA" w14:textId="77777777" w:rsidR="00A36231" w:rsidRPr="00BD4F12" w:rsidRDefault="00A36231" w:rsidP="00BD4F12">
                            <w:pPr>
                              <w:ind w:firstLine="0"/>
                              <w:jc w:val="center"/>
                              <w:rPr>
                                <w:b/>
                                <w:bCs/>
                                <w:sz w:val="48"/>
                                <w:szCs w:val="44"/>
                              </w:rPr>
                            </w:pPr>
                            <w:r w:rsidRPr="00BD4F12">
                              <w:rPr>
                                <w:b/>
                                <w:bCs/>
                                <w:sz w:val="48"/>
                                <w:szCs w:val="44"/>
                              </w:rPr>
                              <w:t>BIBLIOGRAPHIE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DA720" id="Ruban vers le bas 646" o:spid="_x0000_s1136" type="#_x0000_t53" style="position:absolute;left:0;text-align:left;margin-left:-9.95pt;margin-top:229.6pt;width:454.5pt;height:234.6pt;z-index:25213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" fillcolor="#5b9bd5 [3208]" strokecolor="black [3213]">
                <v:textbox>
                  <w:txbxContent>
                    <w:p w14:paraId="78C309DD" w14:textId="77777777" w:rsidR="00A36231" w:rsidRDefault="00A36231" w:rsidP="00BD4F12">
                      <w:pPr>
                        <w:ind w:firstLine="0"/>
                        <w:jc w:val="center"/>
                        <w:rPr>
                          <w:b/>
                          <w:bCs/>
                          <w:sz w:val="48"/>
                          <w:szCs w:val="44"/>
                        </w:rPr>
                      </w:pPr>
                    </w:p>
                    <w:p w14:paraId="6D5E6AFA" w14:textId="77777777" w:rsidR="00A36231" w:rsidRPr="00BD4F12" w:rsidRDefault="00A36231" w:rsidP="00BD4F12">
                      <w:pPr>
                        <w:ind w:firstLine="0"/>
                        <w:jc w:val="center"/>
                        <w:rPr>
                          <w:b/>
                          <w:bCs/>
                          <w:sz w:val="48"/>
                          <w:szCs w:val="44"/>
                        </w:rPr>
                      </w:pPr>
                      <w:r w:rsidRPr="00BD4F12">
                        <w:rPr>
                          <w:b/>
                          <w:bCs/>
                          <w:sz w:val="48"/>
                          <w:szCs w:val="44"/>
                        </w:rPr>
                        <w:t>BIBLIOGRAPHIE</w:t>
                      </w:r>
                    </w:p>
                  </w:txbxContent>
                </v:textbox>
                <w10:wrap anchorx="margin"/>
              </v:shape>
            </w:pict>
          </mc:Fallback>
        </mc:AlternateContent>
      </w:r>
    </w:p>
    <w:p w14:paraId="1492C21E" w14:textId="77777777" w:rsidR="00BD4F12" w:rsidRPr="00BD4F12" w:rsidRDefault="00BD4F12" w:rsidP="00BD4F12">
      <w:pPr>
        <w:rPr>
          <w:rFonts w:cstheme="majorBidi"/>
          <w:sz w:val="22"/>
        </w:rPr>
      </w:pPr>
    </w:p>
    <w:p w14:paraId="5D2DBDC2" w14:textId="77777777" w:rsidR="00BD4F12" w:rsidRPr="00BD4F12" w:rsidRDefault="00BD4F12" w:rsidP="00BD4F12">
      <w:pPr>
        <w:rPr>
          <w:rFonts w:cstheme="majorBidi"/>
          <w:sz w:val="22"/>
        </w:rPr>
      </w:pPr>
    </w:p>
    <w:p w14:paraId="3ED5928B" w14:textId="77777777" w:rsidR="00BD4F12" w:rsidRPr="00BD4F12" w:rsidRDefault="00BD4F12" w:rsidP="00BD4F12">
      <w:pPr>
        <w:rPr>
          <w:rFonts w:cstheme="majorBidi"/>
          <w:sz w:val="22"/>
        </w:rPr>
      </w:pPr>
    </w:p>
    <w:p w14:paraId="2263BAE3" w14:textId="77777777" w:rsidR="00BD4F12" w:rsidRPr="00BD4F12" w:rsidRDefault="00BD4F12" w:rsidP="00BD4F12">
      <w:pPr>
        <w:rPr>
          <w:rFonts w:cstheme="majorBidi"/>
          <w:sz w:val="22"/>
        </w:rPr>
      </w:pPr>
    </w:p>
    <w:p w14:paraId="67054884" w14:textId="77777777" w:rsidR="00BD4F12" w:rsidRPr="00BD4F12" w:rsidRDefault="00BD4F12" w:rsidP="00BD4F12">
      <w:pPr>
        <w:rPr>
          <w:rFonts w:cstheme="majorBidi"/>
          <w:sz w:val="22"/>
        </w:rPr>
      </w:pPr>
    </w:p>
    <w:p w14:paraId="50BBD6AE" w14:textId="77777777" w:rsidR="00BD4F12" w:rsidRPr="00BD4F12" w:rsidRDefault="00BD4F12" w:rsidP="00BD4F12">
      <w:pPr>
        <w:rPr>
          <w:rFonts w:cstheme="majorBidi"/>
          <w:sz w:val="22"/>
        </w:rPr>
      </w:pPr>
    </w:p>
    <w:p w14:paraId="5127AC2C" w14:textId="77777777" w:rsidR="00BD4F12" w:rsidRPr="00BD4F12" w:rsidRDefault="00BD4F12" w:rsidP="00BD4F12">
      <w:pPr>
        <w:rPr>
          <w:rFonts w:cstheme="majorBidi"/>
          <w:sz w:val="22"/>
        </w:rPr>
      </w:pPr>
    </w:p>
    <w:p w14:paraId="7A050174" w14:textId="77777777" w:rsidR="00BD4F12" w:rsidRPr="00BD4F12" w:rsidRDefault="00BD4F12" w:rsidP="00BD4F12">
      <w:pPr>
        <w:rPr>
          <w:rFonts w:cstheme="majorBidi"/>
          <w:sz w:val="22"/>
        </w:rPr>
      </w:pPr>
    </w:p>
    <w:p w14:paraId="2D15A771" w14:textId="77777777" w:rsidR="00BD4F12" w:rsidRPr="00BD4F12" w:rsidRDefault="00BD4F12" w:rsidP="00BD4F12">
      <w:pPr>
        <w:rPr>
          <w:rFonts w:cstheme="majorBidi"/>
          <w:sz w:val="22"/>
        </w:rPr>
      </w:pPr>
    </w:p>
    <w:p w14:paraId="32C56DE6" w14:textId="77777777" w:rsidR="00BD4F12" w:rsidRPr="00BD4F12" w:rsidRDefault="00BD4F12" w:rsidP="00BD4F12">
      <w:pPr>
        <w:rPr>
          <w:rFonts w:cstheme="majorBidi"/>
          <w:sz w:val="22"/>
        </w:rPr>
      </w:pPr>
    </w:p>
    <w:p w14:paraId="5B15CDD8" w14:textId="77777777" w:rsidR="00BD4F12" w:rsidRPr="00BD4F12" w:rsidRDefault="00BD4F12" w:rsidP="00BD4F12">
      <w:pPr>
        <w:rPr>
          <w:rFonts w:cstheme="majorBidi"/>
          <w:sz w:val="22"/>
        </w:rPr>
      </w:pPr>
    </w:p>
    <w:p w14:paraId="6E86C7A2" w14:textId="77777777" w:rsidR="00BD4F12" w:rsidRPr="00BD4F12" w:rsidRDefault="00BD4F12" w:rsidP="00BD4F12">
      <w:pPr>
        <w:rPr>
          <w:rFonts w:cstheme="majorBidi"/>
          <w:sz w:val="22"/>
        </w:rPr>
      </w:pPr>
    </w:p>
    <w:p w14:paraId="43A58ED5" w14:textId="77777777" w:rsidR="00BD4F12" w:rsidRPr="00BD4F12" w:rsidRDefault="00BD4F12" w:rsidP="00BD4F12">
      <w:pPr>
        <w:rPr>
          <w:rFonts w:cstheme="majorBidi"/>
          <w:sz w:val="22"/>
        </w:rPr>
      </w:pPr>
    </w:p>
    <w:p w14:paraId="41655A52" w14:textId="77777777" w:rsidR="00BD4F12" w:rsidRPr="00BD4F12" w:rsidRDefault="00BD4F12" w:rsidP="00BD4F12">
      <w:pPr>
        <w:rPr>
          <w:rFonts w:cstheme="majorBidi"/>
          <w:sz w:val="22"/>
        </w:rPr>
      </w:pPr>
    </w:p>
    <w:p w14:paraId="6846C691" w14:textId="77777777" w:rsidR="00BD4F12" w:rsidRPr="00BD4F12" w:rsidRDefault="00BD4F12" w:rsidP="00BD4F12">
      <w:pPr>
        <w:rPr>
          <w:rFonts w:cstheme="majorBidi"/>
          <w:sz w:val="22"/>
        </w:rPr>
      </w:pPr>
    </w:p>
    <w:p w14:paraId="7E3C8D27" w14:textId="77777777" w:rsidR="00BD4F12" w:rsidRPr="00BD4F12" w:rsidRDefault="00BD4F12" w:rsidP="00BD4F12">
      <w:pPr>
        <w:rPr>
          <w:rFonts w:cstheme="majorBidi"/>
          <w:sz w:val="22"/>
        </w:rPr>
      </w:pPr>
    </w:p>
    <w:p w14:paraId="74000142" w14:textId="77777777" w:rsidR="00BD4F12" w:rsidRPr="00BD4F12" w:rsidRDefault="00BD4F12" w:rsidP="00BD4F12">
      <w:pPr>
        <w:rPr>
          <w:rFonts w:cstheme="majorBidi"/>
          <w:sz w:val="22"/>
        </w:rPr>
      </w:pPr>
    </w:p>
    <w:p w14:paraId="3F3D36FD" w14:textId="77777777" w:rsidR="00BD4F12" w:rsidRPr="00BD4F12" w:rsidRDefault="00BD4F12" w:rsidP="00BD4F12">
      <w:pPr>
        <w:rPr>
          <w:rFonts w:cstheme="majorBidi"/>
          <w:sz w:val="22"/>
        </w:rPr>
      </w:pPr>
    </w:p>
    <w:p w14:paraId="2A73650C" w14:textId="77777777" w:rsidR="00BD4F12" w:rsidRDefault="00BD4F12" w:rsidP="00BD4F12">
      <w:pPr>
        <w:tabs>
          <w:tab w:val="left" w:pos="2979"/>
        </w:tabs>
        <w:rPr>
          <w:rFonts w:cstheme="majorBidi"/>
          <w:sz w:val="22"/>
        </w:rPr>
        <w:sectPr w:rsidR="00BD4F12" w:rsidSect="00D23BF3">
          <w:headerReference w:type="default" r:id="rId56"/>
          <w:pgSz w:w="11906" w:h="16838"/>
          <w:pgMar w:top="851" w:right="1418" w:bottom="1134" w:left="1418" w:header="709" w:footer="709" w:gutter="0"/>
          <w:cols w:space="708"/>
          <w:docGrid w:linePitch="360"/>
        </w:sectPr>
      </w:pPr>
      <w:r>
        <w:rPr>
          <w:rFonts w:cstheme="majorBidi"/>
          <w:sz w:val="22"/>
        </w:rPr>
        <w:tab/>
      </w:r>
    </w:p>
    <w:p w14:paraId="27F84EBC" w14:textId="77777777" w:rsidR="00056C6A" w:rsidRPr="00D00AB2" w:rsidRDefault="00056C6A" w:rsidP="00BC1AEC">
      <w:pPr>
        <w:pStyle w:val="Titre1"/>
      </w:pPr>
      <w:bookmarkStart w:id="1932" w:name="_Toc231742184"/>
      <w:bookmarkStart w:id="1933" w:name="_Toc231747038"/>
      <w:bookmarkStart w:id="1934" w:name="_Toc231752444"/>
      <w:bookmarkStart w:id="1935" w:name="_Toc231810747"/>
      <w:bookmarkStart w:id="1936" w:name="_Toc231811442"/>
      <w:bookmarkStart w:id="1937" w:name="_Toc231812090"/>
      <w:bookmarkStart w:id="1938" w:name="_Toc231812368"/>
      <w:bookmarkStart w:id="1939" w:name="_Toc231815252"/>
      <w:r w:rsidRPr="00D00AB2">
        <w:lastRenderedPageBreak/>
        <w:t>Bibliographie</w:t>
      </w:r>
      <w:bookmarkEnd w:id="1932"/>
      <w:bookmarkEnd w:id="1933"/>
      <w:bookmarkEnd w:id="1934"/>
      <w:bookmarkEnd w:id="1935"/>
      <w:bookmarkEnd w:id="1936"/>
      <w:bookmarkEnd w:id="1937"/>
      <w:bookmarkEnd w:id="1938"/>
      <w:bookmarkEnd w:id="1939"/>
    </w:p>
    <w:p w14:paraId="7BF13FCF" w14:textId="77777777" w:rsidR="00056C6A" w:rsidRPr="00D00AB2" w:rsidRDefault="00056C6A" w:rsidP="00F36332">
      <w:pPr>
        <w:pStyle w:val="Paragraphedeliste"/>
        <w:numPr>
          <w:ilvl w:val="0"/>
          <w:numId w:val="205"/>
        </w:numPr>
        <w:spacing w:before="0" w:beforeAutospacing="0" w:line="259" w:lineRule="auto"/>
        <w:ind w:left="714" w:hanging="357"/>
        <w:contextualSpacing w:val="0"/>
        <w:rPr>
          <w:rFonts w:cstheme="majorBidi"/>
          <w:b/>
          <w:bCs/>
          <w:sz w:val="22"/>
        </w:rPr>
      </w:pPr>
      <w:r w:rsidRPr="00D00AB2">
        <w:rPr>
          <w:rFonts w:cstheme="majorBidi"/>
          <w:b/>
          <w:bCs/>
          <w:sz w:val="22"/>
        </w:rPr>
        <w:t>Les références en Français :</w:t>
      </w:r>
    </w:p>
    <w:p w14:paraId="7129ED45" w14:textId="77777777" w:rsidR="00056C6A" w:rsidRPr="00D00AB2" w:rsidRDefault="00056C6A" w:rsidP="00F36332">
      <w:pPr>
        <w:pStyle w:val="Paragraphedeliste"/>
        <w:numPr>
          <w:ilvl w:val="0"/>
          <w:numId w:val="206"/>
        </w:numPr>
        <w:spacing w:before="0" w:beforeAutospacing="0" w:line="259" w:lineRule="auto"/>
        <w:ind w:left="714" w:hanging="357"/>
        <w:contextualSpacing w:val="0"/>
        <w:rPr>
          <w:rFonts w:cstheme="majorBidi"/>
          <w:b/>
          <w:bCs/>
          <w:sz w:val="22"/>
        </w:rPr>
      </w:pPr>
      <w:r w:rsidRPr="00D00AB2">
        <w:rPr>
          <w:rFonts w:cstheme="majorBidi"/>
          <w:b/>
          <w:bCs/>
          <w:sz w:val="22"/>
        </w:rPr>
        <w:t>Ouvrage :</w:t>
      </w:r>
    </w:p>
    <w:p w14:paraId="708060AE"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A. Naciri, « Traité de gouvernance d’entreprise : l’approche scolaire », Ed 1, Presses de l’Université du Québec, 2011, p 179.</w:t>
      </w:r>
    </w:p>
    <w:p w14:paraId="0809F3B7"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Appercel, R. et Valognes, F., « Audit et contrôle interne », Ed. Ellipses, Paris, 2022, Page 2.</w:t>
      </w:r>
    </w:p>
    <w:p w14:paraId="00D77ABE"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ARISTOTE, Éthique à Nicomaque, Livre VI, éd. Jean-Yves Château (dir.), Collection « Tradition de la pensée classique », Librairie Philosophique J. Vrin, Paris, 1997, p.271.</w:t>
      </w:r>
    </w:p>
    <w:p w14:paraId="658C7488"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BALLET Jérôme, DE BRY Françoise, L’entreprise et l’éthique, Éditions du Seuil, paris, 2001, p.75.</w:t>
      </w:r>
    </w:p>
    <w:p w14:paraId="585F775F"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Bancel F., « La gouvernance des entreprises ». Édition Economica, Paris, 1997, p 24.</w:t>
      </w:r>
    </w:p>
    <w:p w14:paraId="61736761"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Caby, J., Hirigoyen G., « création de valeur et gouvernance d’entreprise », édition 3, Economica, paris, 2005, p 103.</w:t>
      </w:r>
    </w:p>
    <w:p w14:paraId="2351D559"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Capron, Michel, &amp; Quairel-Lanoizelée, Françoise, La responsabilité sociale d’entreprise, coll. « Repères », La Découverte, Paris, 2010, p. 128.</w:t>
      </w:r>
    </w:p>
    <w:p w14:paraId="15727A65"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CHARREAUX Gérard, « Le gouvernement de l’entreprise : corporate gouvernance, théorie et faits », 1 Ed, Economica, Paris, 1997, p.540.</w:t>
      </w:r>
    </w:p>
    <w:p w14:paraId="63CE3DF8" w14:textId="77777777" w:rsidR="00951BD4" w:rsidRDefault="00951BD4" w:rsidP="00951BD4">
      <w:pPr>
        <w:pStyle w:val="Paragraphedeliste"/>
        <w:numPr>
          <w:ilvl w:val="0"/>
          <w:numId w:val="207"/>
        </w:numPr>
        <w:spacing w:before="0" w:beforeAutospacing="0" w:line="259" w:lineRule="auto"/>
        <w:rPr>
          <w:rFonts w:cstheme="majorBidi"/>
          <w:sz w:val="22"/>
        </w:rPr>
      </w:pPr>
      <w:r w:rsidRPr="00951BD4">
        <w:rPr>
          <w:rFonts w:cstheme="majorBidi"/>
          <w:sz w:val="22"/>
        </w:rPr>
        <w:t>É. Durkheim, « De la division du travail social », Félix Alcan,Paris, 1893, p. 79.</w:t>
      </w:r>
    </w:p>
    <w:p w14:paraId="7A2C45A8" w14:textId="77777777" w:rsidR="00056C6A" w:rsidRPr="00D00AB2" w:rsidRDefault="00056C6A" w:rsidP="00951BD4">
      <w:pPr>
        <w:pStyle w:val="Paragraphedeliste"/>
        <w:numPr>
          <w:ilvl w:val="0"/>
          <w:numId w:val="207"/>
        </w:numPr>
        <w:spacing w:before="0" w:beforeAutospacing="0" w:line="259" w:lineRule="auto"/>
        <w:rPr>
          <w:rFonts w:cstheme="majorBidi"/>
          <w:sz w:val="22"/>
        </w:rPr>
      </w:pPr>
      <w:r w:rsidRPr="00D00AB2">
        <w:rPr>
          <w:rFonts w:cstheme="majorBidi"/>
          <w:sz w:val="22"/>
        </w:rPr>
        <w:t>F. Pestre, La responsabilité sociale des entreprises multinationales, L’Harmattan, Paris, 2013, p. 25.</w:t>
      </w:r>
    </w:p>
    <w:p w14:paraId="0F7933D2"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Goffman, Erving, Les rites d’interaction, traduit de l’anglais par Alain Kihm, Éditions de Minuit, coll. « Le sens commun », Paris, 1974, p.200.</w:t>
      </w:r>
    </w:p>
    <w:p w14:paraId="37C5C772"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Guy HERMET, « Dictionnaire de la science politique et des institutions politiques », 3e édition, Armand Colin, Paris, 1998, p. 114.</w:t>
      </w:r>
    </w:p>
    <w:p w14:paraId="3981372F"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GUINCHARD et DEBART, Lexique des termes juridiques, Dalloz, 2019-2020, p. 955.</w:t>
      </w:r>
    </w:p>
    <w:p w14:paraId="2D2EC697"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IGALENS Jacques, GOND Jean-Pascal, La responsabilité sociale de l’entreprise, Humensis, Paris, 2017, p. 14.</w:t>
      </w:r>
    </w:p>
    <w:p w14:paraId="76855164"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ISO 26000, « Lignes directrices relatives à la responsabilité sociétale », 1ére éd, édition Afnor, 2010, page 19.</w:t>
      </w:r>
    </w:p>
    <w:p w14:paraId="73904E8E"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 xml:space="preserve">Jean-Claude Juncker, « LIVRE BLANC SUR L’AVENIR DE L’EUROPE », Commission </w:t>
      </w:r>
      <w:r w:rsidR="001C59F0" w:rsidRPr="00D00AB2">
        <w:rPr>
          <w:rFonts w:cstheme="majorBidi"/>
          <w:sz w:val="22"/>
        </w:rPr>
        <w:t>européenne, BELGIQUE</w:t>
      </w:r>
      <w:r w:rsidRPr="00D00AB2">
        <w:rPr>
          <w:rFonts w:cstheme="majorBidi"/>
          <w:sz w:val="22"/>
        </w:rPr>
        <w:t>, 2017, p 32</w:t>
      </w:r>
    </w:p>
    <w:p w14:paraId="022286B7"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KANT Emmanuel, Fondements de la métaphysique des mœurs, Le Livre de Poche, Collection « Les Classiques de la philosophie », Paris, 1993, p. 111.</w:t>
      </w:r>
    </w:p>
    <w:p w14:paraId="0196C7F7" w14:textId="77777777" w:rsidR="00056C6A"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L.Cardinal, C.Andrew, «La démocratie à l’épreuve de la gouvernance »,1 Ed, Presses de l’Université d’Ottawa, 2001, p 09.</w:t>
      </w:r>
    </w:p>
    <w:p w14:paraId="10820C07" w14:textId="77777777" w:rsidR="00FC536F" w:rsidRDefault="00FC536F" w:rsidP="00FC536F">
      <w:pPr>
        <w:pStyle w:val="Paragraphedeliste"/>
        <w:numPr>
          <w:ilvl w:val="0"/>
          <w:numId w:val="207"/>
        </w:numPr>
        <w:spacing w:before="0" w:beforeAutospacing="0" w:line="259" w:lineRule="auto"/>
        <w:rPr>
          <w:rFonts w:cstheme="majorBidi"/>
          <w:sz w:val="22"/>
        </w:rPr>
      </w:pPr>
      <w:r w:rsidRPr="00FC536F">
        <w:rPr>
          <w:rFonts w:cstheme="majorBidi"/>
          <w:sz w:val="22"/>
        </w:rPr>
        <w:t>Lecomte Séverine et Adary Assaël, « L’ISO 26000 en pratique : Faire de la responsabilité sociétale un levier de performance sur l’entreprise », Dunod, Paris, 2012, p.105.</w:t>
      </w:r>
    </w:p>
    <w:p w14:paraId="681422FB" w14:textId="77777777" w:rsidR="005966CE" w:rsidRPr="00D00AB2" w:rsidRDefault="005966CE" w:rsidP="005966CE">
      <w:pPr>
        <w:pStyle w:val="Paragraphedeliste"/>
        <w:numPr>
          <w:ilvl w:val="0"/>
          <w:numId w:val="207"/>
        </w:numPr>
        <w:spacing w:before="0" w:beforeAutospacing="0" w:line="259" w:lineRule="auto"/>
        <w:rPr>
          <w:rFonts w:cstheme="majorBidi"/>
          <w:sz w:val="22"/>
        </w:rPr>
      </w:pPr>
      <w:r w:rsidRPr="005966CE">
        <w:rPr>
          <w:rFonts w:cstheme="majorBidi"/>
          <w:sz w:val="22"/>
        </w:rPr>
        <w:t>Lépineux François, Rosé Jean-Jacques, Bonanni Carole, Hudson Sarah, «La responsabilité sociale des entreprises Théories et pratiques », 2e édition, Dunod, Paris, 2016, p. 19.</w:t>
      </w:r>
    </w:p>
    <w:p w14:paraId="678ED7F8" w14:textId="77777777" w:rsidR="00056C6A" w:rsidRPr="00D00AB2" w:rsidRDefault="00056C6A" w:rsidP="007D713D">
      <w:pPr>
        <w:pStyle w:val="Paragraphedeliste"/>
        <w:numPr>
          <w:ilvl w:val="0"/>
          <w:numId w:val="207"/>
        </w:numPr>
        <w:spacing w:before="0" w:beforeAutospacing="0" w:line="259" w:lineRule="auto"/>
        <w:rPr>
          <w:rFonts w:cstheme="majorBidi"/>
          <w:sz w:val="22"/>
        </w:rPr>
      </w:pPr>
      <w:r w:rsidRPr="00D00AB2">
        <w:rPr>
          <w:rFonts w:cstheme="majorBidi"/>
          <w:sz w:val="22"/>
        </w:rPr>
        <w:t xml:space="preserve">M. Capron et F. Quairel-Lanoizelée, La responsabilité sociale d’entreprise, </w:t>
      </w:r>
      <w:r w:rsidR="007D713D" w:rsidRPr="00D00AB2">
        <w:rPr>
          <w:rFonts w:cstheme="majorBidi"/>
          <w:sz w:val="22"/>
        </w:rPr>
        <w:t>La Découverte,</w:t>
      </w:r>
      <w:r w:rsidR="007D713D">
        <w:rPr>
          <w:rFonts w:cstheme="majorBidi"/>
          <w:sz w:val="22"/>
        </w:rPr>
        <w:t xml:space="preserve"> </w:t>
      </w:r>
      <w:r w:rsidRPr="00D00AB2">
        <w:rPr>
          <w:rFonts w:cstheme="majorBidi"/>
          <w:sz w:val="22"/>
        </w:rPr>
        <w:t>Paris, 2016, p. 12.</w:t>
      </w:r>
    </w:p>
    <w:p w14:paraId="6E0040DF" w14:textId="77777777" w:rsidR="00056C6A" w:rsidRPr="00D00AB2" w:rsidRDefault="00056C6A" w:rsidP="007D713D">
      <w:pPr>
        <w:pStyle w:val="Paragraphedeliste"/>
        <w:numPr>
          <w:ilvl w:val="0"/>
          <w:numId w:val="207"/>
        </w:numPr>
        <w:spacing w:before="0" w:beforeAutospacing="0" w:line="259" w:lineRule="auto"/>
        <w:rPr>
          <w:rFonts w:cstheme="majorBidi"/>
          <w:sz w:val="22"/>
        </w:rPr>
      </w:pPr>
      <w:r w:rsidRPr="00D00AB2">
        <w:rPr>
          <w:rFonts w:cstheme="majorBidi"/>
          <w:sz w:val="22"/>
        </w:rPr>
        <w:t>M. Combemale et J. Igalens, Audit social,</w:t>
      </w:r>
      <w:r w:rsidR="007D713D" w:rsidRPr="007D713D">
        <w:rPr>
          <w:rFonts w:cstheme="majorBidi"/>
          <w:sz w:val="22"/>
        </w:rPr>
        <w:t xml:space="preserve"> </w:t>
      </w:r>
      <w:r w:rsidR="007D713D" w:rsidRPr="00D00AB2">
        <w:rPr>
          <w:rFonts w:cstheme="majorBidi"/>
          <w:sz w:val="22"/>
        </w:rPr>
        <w:t>PUF,</w:t>
      </w:r>
      <w:r w:rsidRPr="00D00AB2">
        <w:rPr>
          <w:rFonts w:cstheme="majorBidi"/>
          <w:sz w:val="22"/>
        </w:rPr>
        <w:t xml:space="preserve"> Paris, 2005, p. 78.</w:t>
      </w:r>
    </w:p>
    <w:p w14:paraId="1AC5ADEA"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Parrat, F., « Théories et pratiques de la gouvernance d’entreprise ». Ed. Maxima, 2014, Page 64.</w:t>
      </w:r>
    </w:p>
    <w:p w14:paraId="2CADAA13"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Pierre Cabane, « Manuel de gouvernance d'entreprise les meilleur pratique pour créer de la valeur »,2ed, groupe EYROLLES, Paris, 2013, p24.</w:t>
      </w:r>
    </w:p>
    <w:p w14:paraId="1D6259FF"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Ploix, H, « Le dirigeant et le gouvernement d’entreprise », Ed. Village mondial (Pearson Education), 2003, page 78.</w:t>
      </w:r>
    </w:p>
    <w:p w14:paraId="61233CDD"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SMOUTS, Marie-Claude (dir.), « Les nouvelles relations internationales. Pratiques et théories », Paris, Presses de la Fondation Nationale des Sciences Politiques, 1998, p238.</w:t>
      </w:r>
    </w:p>
    <w:p w14:paraId="1FE2D117"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lastRenderedPageBreak/>
        <w:t>U. Beck, La société du risque : sur la voie d’une autre modernité, Flammarion, Paris, 2001, p. 40.</w:t>
      </w:r>
    </w:p>
    <w:p w14:paraId="5B7C1AEC" w14:textId="77777777" w:rsidR="00523C93" w:rsidRDefault="00523C93" w:rsidP="00523C93">
      <w:pPr>
        <w:pStyle w:val="Paragraphedeliste"/>
        <w:numPr>
          <w:ilvl w:val="0"/>
          <w:numId w:val="207"/>
        </w:numPr>
        <w:spacing w:before="0" w:beforeAutospacing="0" w:line="259" w:lineRule="auto"/>
        <w:rPr>
          <w:rFonts w:cstheme="majorBidi"/>
          <w:sz w:val="22"/>
        </w:rPr>
      </w:pPr>
      <w:r w:rsidRPr="00523C93">
        <w:rPr>
          <w:rFonts w:cstheme="majorBidi"/>
          <w:sz w:val="22"/>
        </w:rPr>
        <w:t>Vallaeys François, « Pour une vraie responsabilité sociale : Clarifications, propositions », Presses Universitaires de France, Paris, 2013, p.113.</w:t>
      </w:r>
    </w:p>
    <w:p w14:paraId="4321B915"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Van Gennep, Arnold, Les rites de passage, éd. numérique réalisée par Réjeanne Toussaint, d’après l’édition Stock, Paris, 1924, p. 124.</w:t>
      </w:r>
    </w:p>
    <w:p w14:paraId="7FC6434D" w14:textId="77777777" w:rsidR="00056C6A" w:rsidRPr="00D00AB2" w:rsidRDefault="00056C6A" w:rsidP="00F36332">
      <w:pPr>
        <w:pStyle w:val="Paragraphedeliste"/>
        <w:numPr>
          <w:ilvl w:val="0"/>
          <w:numId w:val="207"/>
        </w:numPr>
        <w:spacing w:before="0" w:beforeAutospacing="0" w:line="259" w:lineRule="auto"/>
        <w:rPr>
          <w:rFonts w:cstheme="majorBidi"/>
          <w:sz w:val="22"/>
        </w:rPr>
      </w:pPr>
      <w:r w:rsidRPr="00D00AB2">
        <w:rPr>
          <w:rFonts w:cstheme="majorBidi"/>
          <w:sz w:val="22"/>
        </w:rPr>
        <w:t>Wirtz P., « Les meilleures pratiques de gouvernance d’entreprise ». Édition La Découverte, Paris, 2008, p29.</w:t>
      </w:r>
    </w:p>
    <w:p w14:paraId="7410D7A8" w14:textId="77777777" w:rsidR="00056C6A" w:rsidRPr="00D00AB2" w:rsidRDefault="00056C6A" w:rsidP="00F36332">
      <w:pPr>
        <w:pStyle w:val="Paragraphedeliste"/>
        <w:numPr>
          <w:ilvl w:val="0"/>
          <w:numId w:val="206"/>
        </w:numPr>
        <w:spacing w:before="0" w:beforeAutospacing="0" w:line="259" w:lineRule="auto"/>
        <w:ind w:left="714" w:hanging="357"/>
        <w:contextualSpacing w:val="0"/>
        <w:rPr>
          <w:rFonts w:cstheme="majorBidi"/>
          <w:b/>
          <w:bCs/>
          <w:sz w:val="22"/>
        </w:rPr>
      </w:pPr>
      <w:r w:rsidRPr="00D00AB2">
        <w:rPr>
          <w:rFonts w:cstheme="majorBidi"/>
          <w:b/>
          <w:bCs/>
          <w:sz w:val="22"/>
        </w:rPr>
        <w:t>Articles :</w:t>
      </w:r>
    </w:p>
    <w:p w14:paraId="452E3D72"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A. Acquier et F. Aggeri, « Une généalogie de la pensée managériale sur la RSE », Revue française de gestion, vol. 34, n°180, 2008, p. 133.</w:t>
      </w:r>
    </w:p>
    <w:p w14:paraId="19F80A2B"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AMAKHIR HICHAM, BENGHAZALA ZAKARIA, « Le Cadre Théorique de la Gouvernance des Entreprises : Un Essai de Synthèse », International Journal of Financial Accountability, Economics, Management, and Auditing, vol05, n°.2, 2023, p270.</w:t>
      </w:r>
    </w:p>
    <w:p w14:paraId="5BAADF99" w14:textId="77777777" w:rsidR="001C59F0" w:rsidRPr="001C59F0" w:rsidRDefault="00056C6A" w:rsidP="001C59F0">
      <w:pPr>
        <w:pStyle w:val="Notedebasdepage"/>
        <w:numPr>
          <w:ilvl w:val="0"/>
          <w:numId w:val="208"/>
        </w:numPr>
        <w:spacing w:before="0" w:beforeAutospacing="0"/>
        <w:rPr>
          <w:rFonts w:cstheme="majorBidi"/>
          <w:sz w:val="22"/>
          <w:szCs w:val="22"/>
        </w:rPr>
      </w:pPr>
      <w:r w:rsidRPr="00D00AB2">
        <w:rPr>
          <w:rFonts w:cstheme="majorBidi"/>
          <w:sz w:val="22"/>
          <w:szCs w:val="22"/>
        </w:rPr>
        <w:t>Balazard, Hélène, « Des préoccupations quotidiennes à l’intérêt général », Projet, vol. 363, n° 2, 2018, p. 8.</w:t>
      </w:r>
    </w:p>
    <w:p w14:paraId="4550D177"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Benamsili Lamia, «TECHNIQUES OF CLINICAL EXAMINATION IN PSYCHOLOGY », revue qabas des études humaine et social, vol 05, N° 01, juillet2021, p 13.</w:t>
      </w:r>
    </w:p>
    <w:p w14:paraId="488096C0" w14:textId="77777777" w:rsidR="00056C6A"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Benoît Pigé, « Enracinement des dirigeants et richesse des actionnaires », Finance Contrôle Stratégie, Vol.1, N°3, septembre 1998, p140.</w:t>
      </w:r>
    </w:p>
    <w:p w14:paraId="08241966" w14:textId="77777777" w:rsidR="001C59F0" w:rsidRPr="00D00AB2" w:rsidRDefault="001C59F0" w:rsidP="001C59F0">
      <w:pPr>
        <w:pStyle w:val="Notedebasdepage"/>
        <w:numPr>
          <w:ilvl w:val="0"/>
          <w:numId w:val="208"/>
        </w:numPr>
        <w:spacing w:before="0" w:beforeAutospacing="0"/>
        <w:rPr>
          <w:rFonts w:cstheme="majorBidi"/>
          <w:sz w:val="22"/>
          <w:szCs w:val="22"/>
        </w:rPr>
      </w:pPr>
      <w:r w:rsidRPr="001C59F0">
        <w:rPr>
          <w:rFonts w:cstheme="majorBidi"/>
          <w:sz w:val="22"/>
          <w:szCs w:val="22"/>
        </w:rPr>
        <w:t>Brédart Xavier, « Les systèmes nationaux de gouvernance : typologies et évolution », Revue des Sciences de Gestion, n° 275, 2015, p34.</w:t>
      </w:r>
    </w:p>
    <w:p w14:paraId="6BEF02C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Cadet, Isabelle, « Aspects juridiques de la responsabilité sociale », vol. 53, n° 1, 2016, p. 34.</w:t>
      </w:r>
    </w:p>
    <w:p w14:paraId="4B4A198E"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CHARREAUX Gérard, « Le conseil d’administration dans les théories de la gouvernance », La Revue du Financier, n°127, 2000, pp 4-10.</w:t>
      </w:r>
    </w:p>
    <w:p w14:paraId="74C33C4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CHRIEF Wahida, «La gouvernance d’entreprise : approche théorique », Journal of Contemporary Business and EconomicStudies, vol.06, n° 02,2023, p377.</w:t>
      </w:r>
    </w:p>
    <w:p w14:paraId="00EBFB30"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Christian Barrère, « pour une théorie critique des droits de propriété », Actuel Marx n°29, 2001, p15.</w:t>
      </w:r>
    </w:p>
    <w:p w14:paraId="781004ED" w14:textId="77777777" w:rsidR="00056C6A"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DINAOUI Mehdi, EL GNAOUI Leila, «La gouvernance et la performance des organisations : une étude de cas des organisations de l’économie sociale et solidaire dans la région de Souss – Massa », Revue Française d’Economie et de Gestion, Vol 04, N°09, 2023, p 110.</w:t>
      </w:r>
    </w:p>
    <w:p w14:paraId="1999E38C" w14:textId="77777777" w:rsidR="00C71AB5" w:rsidRPr="00D00AB2" w:rsidRDefault="00C71AB5" w:rsidP="00C71AB5">
      <w:pPr>
        <w:pStyle w:val="Notedebasdepage"/>
        <w:numPr>
          <w:ilvl w:val="0"/>
          <w:numId w:val="208"/>
        </w:numPr>
        <w:spacing w:before="0" w:beforeAutospacing="0"/>
        <w:rPr>
          <w:rFonts w:cstheme="majorBidi"/>
          <w:sz w:val="22"/>
          <w:szCs w:val="22"/>
        </w:rPr>
      </w:pPr>
      <w:r w:rsidRPr="00C71AB5">
        <w:rPr>
          <w:rFonts w:cstheme="majorBidi"/>
          <w:sz w:val="22"/>
          <w:szCs w:val="22"/>
        </w:rPr>
        <w:t>DJEMAI Sabrina, ABEDOU Abderrahmane, « La RSE un outil de développement des territoires et de ses acteurs : Cas de l’entreprise Cevital », Finance and Business Economies Review, Vol. 2, N°3, 2018, pp. 642–658.</w:t>
      </w:r>
    </w:p>
    <w:p w14:paraId="3FBB4302" w14:textId="77777777" w:rsidR="00056C6A" w:rsidRPr="003D0E92" w:rsidRDefault="003D0E92" w:rsidP="003D0E92">
      <w:pPr>
        <w:pStyle w:val="Notedebasdepage"/>
        <w:numPr>
          <w:ilvl w:val="0"/>
          <w:numId w:val="208"/>
        </w:numPr>
        <w:spacing w:before="0" w:beforeAutospacing="0"/>
        <w:rPr>
          <w:rFonts w:cstheme="majorBidi"/>
          <w:sz w:val="22"/>
          <w:szCs w:val="22"/>
        </w:rPr>
      </w:pPr>
      <w:r w:rsidRPr="003D0E92">
        <w:rPr>
          <w:rFonts w:cstheme="majorBidi"/>
          <w:sz w:val="22"/>
          <w:szCs w:val="22"/>
        </w:rPr>
        <w:t xml:space="preserve">DUBRION Benjamin, « Gestion des ressources humaines et responsabilité sociale des entreprises : éclairer des évolutions nouvelles à la lumière de questionnements anciens », </w:t>
      </w:r>
      <w:r w:rsidRPr="003D0E92">
        <w:rPr>
          <w:rFonts w:cstheme="majorBidi"/>
          <w:i/>
          <w:iCs/>
          <w:sz w:val="22"/>
          <w:szCs w:val="22"/>
        </w:rPr>
        <w:t>Management &amp; Avenir</w:t>
      </w:r>
      <w:r w:rsidRPr="003D0E92">
        <w:rPr>
          <w:rFonts w:cstheme="majorBidi"/>
          <w:sz w:val="22"/>
          <w:szCs w:val="22"/>
        </w:rPr>
        <w:t>, vol 39, N°9, Paris, 2010, p. 44.</w:t>
      </w:r>
    </w:p>
    <w:p w14:paraId="0E0672B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Essid, M., &amp; Berland, N., « Les indicateurs de la RSE dans les entreprises françaises », Revue française de gestion, vol. 39, n° 234, 2013, p. 37.</w:t>
      </w:r>
    </w:p>
    <w:p w14:paraId="286B281A"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Ettahri Younes, El aaroubi Sijaj, « La gouvernance des entreprises cotées : Une analyse théorique », Revue Marocaine de Gestion et d’Economie, vol 5, 2011, p74.</w:t>
      </w:r>
    </w:p>
    <w:p w14:paraId="31EE369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Fellah Anissa, « L’interview comme support didactique dans l’enseignement apprentissage de l’oral dans une classe de FLE, cas des élèves de 1ère année secondaire », Langage fonctionne, Volume10, N°1, 2023, p20.</w:t>
      </w:r>
    </w:p>
    <w:p w14:paraId="1AB08A09"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G. Hoffman et J.-Y. Saulquin, « Quand la RSE revisite la chaîne de valeur », Management &amp; Avenir, 2009, p. 38.</w:t>
      </w:r>
    </w:p>
    <w:p w14:paraId="01AC2C94" w14:textId="77777777" w:rsidR="00056C6A"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Gaoussou Diarra, Patrick plane, « La Banque mondiale et la genèse de la notion de bonne gouvernance », Mondes en développement, vol 40, n°158, 2012, pp 51-55.</w:t>
      </w:r>
    </w:p>
    <w:p w14:paraId="4536CACF" w14:textId="77777777" w:rsidR="008A2745" w:rsidRPr="00D00AB2" w:rsidRDefault="008A2745" w:rsidP="008A2745">
      <w:pPr>
        <w:pStyle w:val="Notedebasdepage"/>
        <w:numPr>
          <w:ilvl w:val="0"/>
          <w:numId w:val="208"/>
        </w:numPr>
        <w:spacing w:before="0" w:beforeAutospacing="0"/>
        <w:rPr>
          <w:rFonts w:cstheme="majorBidi"/>
          <w:sz w:val="22"/>
          <w:szCs w:val="22"/>
        </w:rPr>
      </w:pPr>
      <w:r w:rsidRPr="008A2745">
        <w:rPr>
          <w:rFonts w:cstheme="majorBidi"/>
          <w:sz w:val="22"/>
          <w:szCs w:val="22"/>
        </w:rPr>
        <w:t>Gérard Charreaux et Philippe Desbrières, « Gouvernance des entreprises : valeur partenariale contre-valeur actionnariale », Finance Contrôle Stratégie, vol. 1, n° 2, 1998, p. 68-69.</w:t>
      </w:r>
    </w:p>
    <w:p w14:paraId="620F4503"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Guenaou, Mustapha, « De la responsabilité sociale à la responsabilité sociétale : la responsabilité intégralement socio-sociétale de l’entreprise, définition et principes », Afaq Fikriya, vol. 12, n° 2, 2024, p. 373.</w:t>
      </w:r>
    </w:p>
    <w:p w14:paraId="7ED75E73"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lastRenderedPageBreak/>
        <w:t>Hamida Adja, Kechad Rabah, Colot Olivier, « Apport de l’Audit Interne à la Gouvernance des Entreprises : Cas de l’Algérie », Revue des Réformes Economiques et Intégration En Economie Mondiale, vol 15, N1, 2021, p458.</w:t>
      </w:r>
    </w:p>
    <w:p w14:paraId="274F643B" w14:textId="77777777" w:rsidR="00056C6A" w:rsidRPr="00D00AB2" w:rsidRDefault="00056C6A" w:rsidP="00951BD4">
      <w:pPr>
        <w:pStyle w:val="Notedebasdepage"/>
        <w:numPr>
          <w:ilvl w:val="0"/>
          <w:numId w:val="208"/>
        </w:numPr>
        <w:spacing w:before="0" w:beforeAutospacing="0"/>
        <w:rPr>
          <w:rFonts w:cstheme="majorBidi"/>
          <w:sz w:val="22"/>
          <w:szCs w:val="22"/>
        </w:rPr>
      </w:pPr>
      <w:r w:rsidRPr="00D00AB2">
        <w:rPr>
          <w:rFonts w:cstheme="majorBidi"/>
          <w:sz w:val="22"/>
          <w:szCs w:val="22"/>
        </w:rPr>
        <w:t>HOLLANDTS Xavier, VALIORGUE Bertrand, « La RSE comme processus entrepreneurial de conversion de valeurs sociales en valeur marchande : un examen empirique du lien entre engagements sociétaux et performance économique des entreprises françaises cotées entre 1999 et 2009 », Revue de l’Organisation Responsable, Vol. 6, N°2, Paris, 2011, p.35.</w:t>
      </w:r>
    </w:p>
    <w:p w14:paraId="2BC4E80D"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IDRISSI, N. &amp; LOULID, A., « Effet des mécanismes de gouvernance sur la performance des sociétés marocaines cotées en bourse », Revue du Contrôle de la Comptabilité et de l’Audit, n° 4, 2018, p 102.</w:t>
      </w:r>
    </w:p>
    <w:p w14:paraId="3C07128A"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J.-P. Delsol, « Responsabilité », Journal des Libertés, n°8, 2020, p. 117.</w:t>
      </w:r>
    </w:p>
    <w:p w14:paraId="765F0D79"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Jean-Jacques Caussain, «L'influence mondiale et européenne», Cahiers de droit de l'entreprise, vol. 5,2005, p 35.</w:t>
      </w:r>
    </w:p>
    <w:p w14:paraId="3794D6E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Jean-Pierre Le Goff, « Le mythe de l'entreprise : critique de l'idéologie managériale», vol 11, n°61, 1993, pp. 143-144.</w:t>
      </w:r>
    </w:p>
    <w:p w14:paraId="6404AD16"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Joualy D., “La responsabilité sociale des entreprises : historique et contexte d’émergence du construit”, Revue Internationale des Sciences de Gestion, Vol. 5, No. 3, 2022, p. 1040.</w:t>
      </w:r>
    </w:p>
    <w:p w14:paraId="2271110A"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Jules Roger FEUDJO, Georges Kriyoss MFOUAPON, « La gouvernance stratégique : vers une nouvelle vision de l’organisation du pouvoir au sein des champions nationaux », Journal of Academic Finance, Vol. 12, n° 1, 2021, p 174.</w:t>
      </w:r>
    </w:p>
    <w:p w14:paraId="66A7839F" w14:textId="77777777" w:rsidR="00056C6A" w:rsidRPr="00D00AB2" w:rsidRDefault="00056C6A" w:rsidP="00F36332">
      <w:pPr>
        <w:pStyle w:val="Paragraphedeliste"/>
        <w:numPr>
          <w:ilvl w:val="0"/>
          <w:numId w:val="208"/>
        </w:numPr>
        <w:spacing w:before="0" w:beforeAutospacing="0" w:line="259" w:lineRule="auto"/>
        <w:rPr>
          <w:rFonts w:cstheme="majorBidi"/>
          <w:sz w:val="22"/>
        </w:rPr>
      </w:pPr>
      <w:r w:rsidRPr="00D00AB2">
        <w:rPr>
          <w:rFonts w:cstheme="majorBidi"/>
          <w:sz w:val="22"/>
        </w:rPr>
        <w:t>KHEDIM Amal, GRARI Yamina, « La gouvernance au sein de l’entreprise », Al-BashaerEconomic Journal, vol 2, Numéro : 03, Mars 2016, p215.</w:t>
      </w:r>
    </w:p>
    <w:p w14:paraId="4371668B"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LACROIX Isabelle &amp; ST ARNAUD Pier Olivier, « La gouvernance : tenter une définition », Cahiers de recherche en politique appliquée, Vol. IV, Numéro 3, Automne 2012, p24.</w:t>
      </w:r>
    </w:p>
    <w:p w14:paraId="7077BF08"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LAMKARAF IKRAM, ZAAM HOURIA, « L’AUDIT INTERNE AU SERVICE DE LA GOUVERNANCE D’ENTREPRISE », Revue du Contrôle de la Comptabilité et de l’Audit, vol.3, n°2, 2019, p 565.</w:t>
      </w:r>
    </w:p>
    <w:p w14:paraId="3CE87C42" w14:textId="77777777" w:rsidR="00056C6A"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Legendre, Myriam, « Environnement et santé », Santé publique, Éditions SFSP, vol. 15, n° 3, 2003, p. 300.</w:t>
      </w:r>
    </w:p>
    <w:p w14:paraId="3DF3CE9D" w14:textId="77777777" w:rsidR="00577546" w:rsidRPr="00D00AB2" w:rsidRDefault="00577546" w:rsidP="00577546">
      <w:pPr>
        <w:pStyle w:val="Notedebasdepage"/>
        <w:numPr>
          <w:ilvl w:val="0"/>
          <w:numId w:val="208"/>
        </w:numPr>
        <w:spacing w:before="0" w:beforeAutospacing="0"/>
        <w:rPr>
          <w:rFonts w:cstheme="majorBidi"/>
          <w:sz w:val="22"/>
          <w:szCs w:val="22"/>
        </w:rPr>
      </w:pPr>
      <w:r w:rsidRPr="00577546">
        <w:rPr>
          <w:rFonts w:cstheme="majorBidi"/>
          <w:sz w:val="22"/>
          <w:szCs w:val="22"/>
        </w:rPr>
        <w:t>Malika AMGHAR, Moussa BOUKRIF, «La gouvernance d’entreprise : un concept ambivalent, quelle application pour le contexte algérien ? », Revue DIRASSAT, vol 8, n°3, 2017, p 283.</w:t>
      </w:r>
    </w:p>
    <w:p w14:paraId="4D4A2052" w14:textId="77777777" w:rsidR="00056C6A"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Meziani</w:t>
      </w:r>
      <w:r w:rsidR="00EC4BCB">
        <w:rPr>
          <w:rFonts w:cstheme="majorBidi"/>
          <w:sz w:val="22"/>
          <w:szCs w:val="22"/>
        </w:rPr>
        <w:t xml:space="preserve"> </w:t>
      </w:r>
      <w:r w:rsidRPr="00D00AB2">
        <w:rPr>
          <w:rFonts w:cstheme="majorBidi"/>
          <w:sz w:val="22"/>
          <w:szCs w:val="22"/>
        </w:rPr>
        <w:t>Henen, Chelil Abdellatif, « Les mécanismes de contrôle dans la gouvernance d’entreprise en Algérie (le cas de l’entreprise STARR Tlemcen)», Revue des sciences économiques, vol 1, n°1,2014, p.170.</w:t>
      </w:r>
    </w:p>
    <w:p w14:paraId="2FC6C7FA" w14:textId="77777777" w:rsidR="00EC4BCB" w:rsidRDefault="00EC4BCB" w:rsidP="00EC4BCB">
      <w:pPr>
        <w:pStyle w:val="Notedebasdepage"/>
        <w:numPr>
          <w:ilvl w:val="0"/>
          <w:numId w:val="208"/>
        </w:numPr>
        <w:spacing w:before="0" w:beforeAutospacing="0"/>
        <w:rPr>
          <w:rFonts w:cstheme="majorBidi"/>
          <w:sz w:val="22"/>
          <w:szCs w:val="22"/>
        </w:rPr>
      </w:pPr>
      <w:r w:rsidRPr="00EC4BCB">
        <w:rPr>
          <w:rFonts w:cstheme="majorBidi"/>
          <w:sz w:val="22"/>
          <w:szCs w:val="22"/>
        </w:rPr>
        <w:t>Moez Essid, Nicolas Berland, « Les indicateurs de la RSE dans les entreprises françaises : la complexité responsable », Revue française de gestion, n°234, 2013, p 29.</w:t>
      </w:r>
    </w:p>
    <w:p w14:paraId="77F281A8" w14:textId="77777777" w:rsidR="00577546" w:rsidRPr="00D00AB2" w:rsidRDefault="00577546" w:rsidP="00577546">
      <w:pPr>
        <w:pStyle w:val="Notedebasdepage"/>
        <w:numPr>
          <w:ilvl w:val="0"/>
          <w:numId w:val="208"/>
        </w:numPr>
        <w:spacing w:before="0" w:beforeAutospacing="0"/>
        <w:rPr>
          <w:rFonts w:cstheme="majorBidi"/>
          <w:sz w:val="22"/>
          <w:szCs w:val="22"/>
        </w:rPr>
      </w:pPr>
      <w:r w:rsidRPr="00577546">
        <w:rPr>
          <w:rFonts w:cstheme="majorBidi"/>
          <w:sz w:val="22"/>
          <w:szCs w:val="22"/>
        </w:rPr>
        <w:t>Mokhtar HAFS, « Les droits des actionnaires dans la société par actions », Revue des études juridiques comparées, vol 8, n°1, 2022, p 1025.</w:t>
      </w:r>
    </w:p>
    <w:p w14:paraId="2D6500F2" w14:textId="77777777" w:rsidR="00056C6A" w:rsidRPr="00D00AB2" w:rsidRDefault="00056C6A" w:rsidP="00F36332">
      <w:pPr>
        <w:pStyle w:val="Notedebasdepage"/>
        <w:numPr>
          <w:ilvl w:val="0"/>
          <w:numId w:val="208"/>
        </w:numPr>
        <w:spacing w:before="0" w:beforeAutospacing="0"/>
        <w:rPr>
          <w:rFonts w:cstheme="majorBidi"/>
          <w:sz w:val="22"/>
          <w:szCs w:val="22"/>
          <w:lang w:val="en-AE"/>
        </w:rPr>
      </w:pPr>
      <w:r w:rsidRPr="00D00AB2">
        <w:rPr>
          <w:rFonts w:cstheme="majorBidi"/>
          <w:sz w:val="22"/>
          <w:szCs w:val="22"/>
          <w:lang w:val="en-AE"/>
        </w:rPr>
        <w:t>Mohamed BENZBIR ,Mohamed HAMDAOUI, « Governance mechanisms and corporate performance: a systematic review of the literature »,Internatinal Journal of Accounting,Finance,Auditing,Management and Economics,Vol. 4, issue 1, 2023, p 205.</w:t>
      </w:r>
    </w:p>
    <w:p w14:paraId="16E20195"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Nawel H, « Le confection d’un questionnaire d'enquête et la formulation de ses questions », Revue de la Faculté des Lettres, des Sciences humaines et sociales, vol 7, n 2, p160.</w:t>
      </w:r>
    </w:p>
    <w:p w14:paraId="77637769" w14:textId="77777777" w:rsidR="00056C6A" w:rsidRPr="00D00AB2" w:rsidRDefault="00056C6A" w:rsidP="00F36332">
      <w:pPr>
        <w:pStyle w:val="Notedebasdepage"/>
        <w:numPr>
          <w:ilvl w:val="0"/>
          <w:numId w:val="208"/>
        </w:numPr>
        <w:spacing w:before="0" w:beforeAutospacing="0"/>
        <w:rPr>
          <w:rFonts w:cstheme="majorBidi"/>
          <w:sz w:val="22"/>
          <w:szCs w:val="22"/>
          <w:lang w:val="en-AE"/>
        </w:rPr>
      </w:pPr>
      <w:r w:rsidRPr="00D00AB2">
        <w:rPr>
          <w:rFonts w:cstheme="majorBidi"/>
          <w:sz w:val="22"/>
          <w:szCs w:val="22"/>
          <w:lang w:val="en-AE"/>
        </w:rPr>
        <w:t>P.W. MOERLAND, « Alternative disciplinary mechanisms in different corporate systems », Journal of Economic Behavior and Organization, vol 26, 1995, p21.</w:t>
      </w:r>
    </w:p>
    <w:p w14:paraId="3DE8DF85"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Paquerot M, «L'enracinement des dirigeants et ses effets», Revue Française de Gestion, n° 111, 1996, p 215.</w:t>
      </w:r>
    </w:p>
    <w:p w14:paraId="29D3CC35"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PASQUERO Jean, « Éthique des affaires, responsabilité sociale et gouvernance sociétale : démêler l’écheveau », Gestion, Vol. 32, N°1, Québec, Canada, 2007, p.114.</w:t>
      </w:r>
    </w:p>
    <w:p w14:paraId="3D4DCD65"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PIOT.C, KERMICHE.L, «A quoi serve les comités d’audit ? », comptabilité-contrôle-audit, Numéro thématique, Décembre 2009, p 11.</w:t>
      </w:r>
    </w:p>
    <w:p w14:paraId="6CCD61BF" w14:textId="77777777" w:rsidR="00056C6A" w:rsidRPr="00D00AB2" w:rsidRDefault="00056C6A" w:rsidP="00F36332">
      <w:pPr>
        <w:pStyle w:val="Notedebasdepage"/>
        <w:numPr>
          <w:ilvl w:val="0"/>
          <w:numId w:val="208"/>
        </w:numPr>
        <w:spacing w:before="0" w:beforeAutospacing="0"/>
        <w:rPr>
          <w:rFonts w:cstheme="majorBidi"/>
          <w:sz w:val="22"/>
          <w:szCs w:val="22"/>
          <w:lang w:val="en-AE"/>
        </w:rPr>
      </w:pPr>
      <w:r w:rsidRPr="00D00AB2">
        <w:rPr>
          <w:rFonts w:cstheme="majorBidi"/>
          <w:sz w:val="22"/>
          <w:szCs w:val="22"/>
          <w:lang w:val="en-AE"/>
        </w:rPr>
        <w:t>P.W. MOERLAND, « Alternative disciplinary mechanisms in different corporate systems », Journal of Economic Behavior and Organization, vol 26, 1995, p21.</w:t>
      </w:r>
    </w:p>
    <w:p w14:paraId="1E2BD639"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RACHEDI Abdelkader, MAARIF Mohamed, BENHAMIDA Mohammed, «Les modèles de la gouvernance de l’entreprise», les cahiers du mecas, vol 10, n°1, 2014, p 101.</w:t>
      </w:r>
    </w:p>
    <w:p w14:paraId="12C609AC"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lastRenderedPageBreak/>
        <w:t>Rivière-Giordano, Géraldine, « Comment crédibiliser le reporting sociétal ? », Comptabilité – Contrôle – Audit, vol. 13, n° 2, Paris, 2007, p. 131.</w:t>
      </w:r>
    </w:p>
    <w:p w14:paraId="526DD177"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Rosa, Hartmut, « La compétition comme mode d’interaction. La société concurrentielle et ses conséquences sur la culture et sur les structures sociales », Sociologie, vol. 10, n° 3, 2019, p. 329.</w:t>
      </w:r>
    </w:p>
    <w:p w14:paraId="5A09B518"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Sachs, Jeffrey D., « Pour le développement durable », Project Syndicate, traduction française, 7 juin 2013, p. 2.</w:t>
      </w:r>
    </w:p>
    <w:p w14:paraId="41754504"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Salah BELHADJ, « La rationalité et l’analyse des politiques publiques », La Revue algérienne des études politiques, vol 03, n°02, 2016, p 178.</w:t>
      </w:r>
    </w:p>
    <w:p w14:paraId="4AE5887D"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Sara EL ASSRI, Samir ERRABIH, « Émergence historique de la Gouvernance d'Entreprise Historicalemergence of CorporateGovernance », International Journal of Accounting, Finance, Auditing, Management and Economics, Vol 4, N 1, 2023, p 121. Stamatis, Constantin M., « La concrétisation pragmatique des normes juridiques », Revue interdisciplinaire d’études juridiques, vol. 31, n3, 1993, p. 9.</w:t>
      </w:r>
    </w:p>
    <w:p w14:paraId="62B1FBAD"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Yakoubikhelifa, Badaoui Imane, « Gouvernance et qualité de transmission des entreprises familiales », Revue de recherches quantitatives et qualitatives en sciences économiques et administratives, vol 04, n 02, p113.</w:t>
      </w:r>
    </w:p>
    <w:p w14:paraId="6110F4A3" w14:textId="77777777" w:rsidR="00056C6A" w:rsidRPr="00D00AB2" w:rsidRDefault="00056C6A" w:rsidP="00F36332">
      <w:pPr>
        <w:pStyle w:val="Notedebasdepage"/>
        <w:numPr>
          <w:ilvl w:val="0"/>
          <w:numId w:val="208"/>
        </w:numPr>
        <w:spacing w:before="0" w:beforeAutospacing="0"/>
        <w:rPr>
          <w:rFonts w:cstheme="majorBidi"/>
          <w:sz w:val="22"/>
          <w:szCs w:val="22"/>
        </w:rPr>
      </w:pPr>
      <w:r w:rsidRPr="00D00AB2">
        <w:rPr>
          <w:rFonts w:cstheme="majorBidi"/>
          <w:sz w:val="22"/>
          <w:szCs w:val="22"/>
        </w:rPr>
        <w:t>Zahm F., Mouchet C., “De la Responsabilité Sociétale d’une exploitation agricole à la mesure de sa Performance Globale : revue de la littérature et application avec la méthode IDEA”, Économie et Institutions, n°18-19, 2012, p. 100.</w:t>
      </w:r>
    </w:p>
    <w:p w14:paraId="6285F46B" w14:textId="77777777" w:rsidR="00056C6A" w:rsidRDefault="00056C6A" w:rsidP="00F36332">
      <w:pPr>
        <w:pStyle w:val="Notedebasdepage"/>
        <w:numPr>
          <w:ilvl w:val="0"/>
          <w:numId w:val="208"/>
        </w:numPr>
        <w:spacing w:before="0" w:beforeAutospacing="0"/>
        <w:rPr>
          <w:rFonts w:cstheme="majorBidi"/>
          <w:sz w:val="22"/>
          <w:szCs w:val="22"/>
          <w:lang w:val="en-AE"/>
        </w:rPr>
      </w:pPr>
      <w:r w:rsidRPr="00D00AB2">
        <w:rPr>
          <w:rFonts w:cstheme="majorBidi"/>
          <w:sz w:val="22"/>
          <w:szCs w:val="22"/>
          <w:lang w:val="en-AE"/>
        </w:rPr>
        <w:t>Zahra, S. et Pearce, J. ,« Boards of directors and corporate financial performance: A review and integrative model »,Journal of Management, Vol. 15, n° 2, 1989, p 302.</w:t>
      </w:r>
    </w:p>
    <w:p w14:paraId="47FE9998" w14:textId="77777777" w:rsidR="008A2745" w:rsidRPr="008A2745" w:rsidRDefault="008A2745" w:rsidP="008A2745">
      <w:pPr>
        <w:pStyle w:val="Notedebasdepage"/>
        <w:numPr>
          <w:ilvl w:val="0"/>
          <w:numId w:val="208"/>
        </w:numPr>
        <w:spacing w:before="0" w:beforeAutospacing="0"/>
        <w:rPr>
          <w:rFonts w:cstheme="majorBidi"/>
          <w:sz w:val="22"/>
          <w:szCs w:val="22"/>
        </w:rPr>
      </w:pPr>
      <w:r w:rsidRPr="008A2745">
        <w:rPr>
          <w:rFonts w:cstheme="majorBidi"/>
          <w:sz w:val="22"/>
          <w:szCs w:val="22"/>
        </w:rPr>
        <w:t>ZERROUKI Imene « Gouvernance et responsabilité sociétale de l’entreprise en Algérie : Quelle réalité ? Cas de l’entreprise économique SOCOTHYD », Journal of North African Economies, Vol. 16, N°2,2023, p. 741.</w:t>
      </w:r>
    </w:p>
    <w:p w14:paraId="0D572534" w14:textId="77777777" w:rsidR="00056C6A" w:rsidRPr="00D00AB2" w:rsidRDefault="00056C6A" w:rsidP="00F36332">
      <w:pPr>
        <w:pStyle w:val="Notedebasdepage"/>
        <w:numPr>
          <w:ilvl w:val="0"/>
          <w:numId w:val="206"/>
        </w:numPr>
        <w:spacing w:after="100" w:afterAutospacing="1"/>
        <w:ind w:left="714" w:hanging="357"/>
        <w:rPr>
          <w:rFonts w:cstheme="majorBidi"/>
          <w:b/>
          <w:bCs/>
          <w:sz w:val="22"/>
          <w:szCs w:val="22"/>
        </w:rPr>
      </w:pPr>
      <w:r w:rsidRPr="00D00AB2">
        <w:rPr>
          <w:rFonts w:cstheme="majorBidi"/>
          <w:b/>
          <w:bCs/>
          <w:sz w:val="22"/>
          <w:szCs w:val="22"/>
        </w:rPr>
        <w:t>Mémoires et thèses :</w:t>
      </w:r>
    </w:p>
    <w:p w14:paraId="633AEC38" w14:textId="77777777" w:rsidR="00056C6A" w:rsidRPr="00D00AB2" w:rsidRDefault="00056C6A" w:rsidP="00F36332">
      <w:pPr>
        <w:pStyle w:val="Notedebasdepage"/>
        <w:numPr>
          <w:ilvl w:val="0"/>
          <w:numId w:val="212"/>
        </w:numPr>
        <w:spacing w:before="0" w:beforeAutospacing="0"/>
        <w:rPr>
          <w:rFonts w:cstheme="majorBidi"/>
          <w:sz w:val="22"/>
          <w:szCs w:val="22"/>
        </w:rPr>
      </w:pPr>
      <w:r w:rsidRPr="00D00AB2">
        <w:rPr>
          <w:rFonts w:cstheme="majorBidi"/>
          <w:sz w:val="22"/>
          <w:szCs w:val="22"/>
        </w:rPr>
        <w:t>Dhahri-Sellami N., « Convergence entre les institutions de gouvernance publique et privée : rôle des Systèmes Nationaux de Gouvernance. Cas des pays du Maghreb : Tunisie-Algérie-Maroc ». Thèse de Doctorat en Sciences Économiques, Université de Bordeaux IV-Université de Tunis (cotutelle), 2012, p 52.</w:t>
      </w:r>
    </w:p>
    <w:p w14:paraId="66850040" w14:textId="77777777" w:rsidR="00056C6A" w:rsidRPr="00D00AB2" w:rsidRDefault="00056C6A" w:rsidP="00F36332">
      <w:pPr>
        <w:pStyle w:val="Notedebasdepage"/>
        <w:numPr>
          <w:ilvl w:val="0"/>
          <w:numId w:val="212"/>
        </w:numPr>
        <w:spacing w:before="0" w:beforeAutospacing="0"/>
        <w:rPr>
          <w:rFonts w:cstheme="majorBidi"/>
          <w:sz w:val="22"/>
          <w:szCs w:val="22"/>
        </w:rPr>
      </w:pPr>
      <w:r w:rsidRPr="00D00AB2">
        <w:rPr>
          <w:rFonts w:eastAsia="Times New Roman" w:cstheme="majorBidi"/>
          <w:sz w:val="22"/>
          <w:szCs w:val="22"/>
          <w:lang w:eastAsia="fr-FR"/>
        </w:rPr>
        <w:t>Gendre-Aegerter, La perception du dirigeant de PME de sa responsabilité sociale, thèse de doctorat</w:t>
      </w:r>
      <w:r w:rsidR="001F7845">
        <w:rPr>
          <w:rFonts w:eastAsia="Times New Roman" w:cstheme="majorBidi"/>
          <w:sz w:val="22"/>
          <w:szCs w:val="22"/>
          <w:lang w:eastAsia="fr-FR"/>
        </w:rPr>
        <w:t xml:space="preserve"> en science de gestion</w:t>
      </w:r>
      <w:r w:rsidRPr="00D00AB2">
        <w:rPr>
          <w:rFonts w:eastAsia="Times New Roman" w:cstheme="majorBidi"/>
          <w:sz w:val="22"/>
          <w:szCs w:val="22"/>
          <w:lang w:eastAsia="fr-FR"/>
        </w:rPr>
        <w:t>, Université de Fribourg, 2008, p. 136.</w:t>
      </w:r>
    </w:p>
    <w:p w14:paraId="17678446" w14:textId="77777777" w:rsidR="00056C6A" w:rsidRPr="00D00AB2" w:rsidRDefault="00056C6A" w:rsidP="00F36332">
      <w:pPr>
        <w:pStyle w:val="Notedebasdepage"/>
        <w:numPr>
          <w:ilvl w:val="0"/>
          <w:numId w:val="212"/>
        </w:numPr>
        <w:spacing w:before="0" w:beforeAutospacing="0"/>
        <w:rPr>
          <w:rFonts w:cstheme="majorBidi"/>
          <w:sz w:val="22"/>
          <w:szCs w:val="22"/>
        </w:rPr>
      </w:pPr>
      <w:r w:rsidRPr="00D00AB2">
        <w:rPr>
          <w:rFonts w:cstheme="majorBidi"/>
          <w:sz w:val="22"/>
          <w:szCs w:val="22"/>
        </w:rPr>
        <w:t>Sirine TOUMI, « L’IMPACT DES MECANISMES DE GOUVERNANCE DANS LA GESTION DES RISQUES BANCAIRES ET LA PERFORMANCE DES BANQUES », Thèse de doctorat en Sciences Economiques, Université Nice Sophia Antipolis-Université de Tunis (cotutelle), 12 décembre 2016, p17.</w:t>
      </w:r>
    </w:p>
    <w:p w14:paraId="794A2FEB" w14:textId="77777777" w:rsidR="00056C6A" w:rsidRPr="00D00AB2" w:rsidRDefault="00056C6A" w:rsidP="00F36332">
      <w:pPr>
        <w:pStyle w:val="Notedebasdepage"/>
        <w:numPr>
          <w:ilvl w:val="0"/>
          <w:numId w:val="206"/>
        </w:numPr>
        <w:spacing w:after="100" w:afterAutospacing="1"/>
        <w:rPr>
          <w:rFonts w:cstheme="majorBidi"/>
          <w:b/>
          <w:bCs/>
          <w:sz w:val="22"/>
          <w:szCs w:val="22"/>
        </w:rPr>
      </w:pPr>
      <w:r w:rsidRPr="00D00AB2">
        <w:rPr>
          <w:rFonts w:cstheme="majorBidi"/>
          <w:b/>
          <w:bCs/>
          <w:sz w:val="22"/>
          <w:szCs w:val="22"/>
        </w:rPr>
        <w:t>Site web :</w:t>
      </w:r>
    </w:p>
    <w:p w14:paraId="2E1D36F2" w14:textId="77777777" w:rsidR="00DE0785" w:rsidRDefault="00DE0785" w:rsidP="00DE0785">
      <w:pPr>
        <w:pStyle w:val="Notedebasdepage"/>
        <w:numPr>
          <w:ilvl w:val="0"/>
          <w:numId w:val="213"/>
        </w:numPr>
        <w:spacing w:before="0" w:beforeAutospacing="0"/>
        <w:rPr>
          <w:rFonts w:cstheme="majorBidi"/>
          <w:sz w:val="22"/>
          <w:szCs w:val="22"/>
        </w:rPr>
      </w:pPr>
      <w:r w:rsidRPr="00DE0785">
        <w:rPr>
          <w:rFonts w:cstheme="majorBidi"/>
          <w:sz w:val="22"/>
          <w:szCs w:val="22"/>
        </w:rPr>
        <w:t xml:space="preserve">Eric-Alain ZOUKOUA, « LA COMPLEMENTARITE DES APPROCHES THEORIQUES DE LA GOUVERNANCE : APPLICATION AU SECTEUR ASSOCIATIF », HAL Id : halshs-00558358, 2011, pp 4-5, disponible sur </w:t>
      </w:r>
      <w:hyperlink r:id="rId57" w:history="1">
        <w:r w:rsidRPr="00D424E9">
          <w:rPr>
            <w:rStyle w:val="Lienhypertexte"/>
            <w:rFonts w:cstheme="majorBidi"/>
            <w:sz w:val="22"/>
            <w:szCs w:val="22"/>
          </w:rPr>
          <w:t>https://shs.hal.science/halshs-00558358v1/document</w:t>
        </w:r>
      </w:hyperlink>
      <w:r>
        <w:rPr>
          <w:rFonts w:cstheme="majorBidi"/>
          <w:sz w:val="22"/>
          <w:szCs w:val="22"/>
        </w:rPr>
        <w:t xml:space="preserve"> </w:t>
      </w:r>
      <w:r w:rsidRPr="00DE0785">
        <w:rPr>
          <w:rFonts w:cstheme="majorBidi"/>
          <w:sz w:val="22"/>
          <w:szCs w:val="22"/>
        </w:rPr>
        <w:t>, consulter le 10/04/2026</w:t>
      </w:r>
      <w:r>
        <w:rPr>
          <w:rFonts w:cstheme="majorBidi"/>
          <w:sz w:val="22"/>
          <w:szCs w:val="22"/>
        </w:rPr>
        <w:t>.</w:t>
      </w:r>
    </w:p>
    <w:p w14:paraId="31D19D09" w14:textId="77777777" w:rsidR="0074242B" w:rsidRDefault="0074242B" w:rsidP="0074242B">
      <w:pPr>
        <w:pStyle w:val="Notedebasdepage"/>
        <w:numPr>
          <w:ilvl w:val="0"/>
          <w:numId w:val="213"/>
        </w:numPr>
        <w:spacing w:before="0" w:beforeAutospacing="0"/>
        <w:rPr>
          <w:rFonts w:cstheme="majorBidi"/>
          <w:sz w:val="22"/>
          <w:szCs w:val="22"/>
        </w:rPr>
      </w:pPr>
      <w:r w:rsidRPr="0074242B">
        <w:rPr>
          <w:rFonts w:cstheme="majorBidi"/>
          <w:sz w:val="22"/>
          <w:szCs w:val="22"/>
        </w:rPr>
        <w:t xml:space="preserve">K. Annan, « discours au Forum économique mondial », Davos, 1999, p. 5, disponible sur </w:t>
      </w:r>
      <w:hyperlink r:id="rId58" w:history="1">
        <w:r w:rsidRPr="00D424E9">
          <w:rPr>
            <w:rStyle w:val="Lienhypertexte"/>
            <w:rFonts w:cstheme="majorBidi"/>
            <w:sz w:val="22"/>
            <w:szCs w:val="22"/>
          </w:rPr>
          <w:t>https://pactemondial.org/2024/01/31/il-y-a-25-ans-kofi-annan-prononcait-le-discours-fondateur-du-pacte-mondial/</w:t>
        </w:r>
      </w:hyperlink>
      <w:r>
        <w:rPr>
          <w:rFonts w:cstheme="majorBidi"/>
          <w:sz w:val="22"/>
          <w:szCs w:val="22"/>
        </w:rPr>
        <w:t xml:space="preserve"> </w:t>
      </w:r>
      <w:r w:rsidRPr="0074242B">
        <w:rPr>
          <w:rFonts w:cstheme="majorBidi"/>
          <w:sz w:val="22"/>
          <w:szCs w:val="22"/>
        </w:rPr>
        <w:t>, consulter le 11/04/2026</w:t>
      </w:r>
      <w:r>
        <w:rPr>
          <w:rFonts w:cstheme="majorBidi"/>
          <w:sz w:val="22"/>
          <w:szCs w:val="22"/>
        </w:rPr>
        <w:t>.</w:t>
      </w:r>
    </w:p>
    <w:p w14:paraId="518221CF" w14:textId="77777777" w:rsidR="00056C6A" w:rsidRPr="00D00AB2" w:rsidRDefault="00056C6A" w:rsidP="0074242B">
      <w:pPr>
        <w:pStyle w:val="Notedebasdepage"/>
        <w:numPr>
          <w:ilvl w:val="0"/>
          <w:numId w:val="213"/>
        </w:numPr>
        <w:spacing w:before="0" w:beforeAutospacing="0"/>
        <w:rPr>
          <w:rFonts w:cstheme="majorBidi"/>
          <w:sz w:val="22"/>
          <w:szCs w:val="22"/>
        </w:rPr>
      </w:pPr>
      <w:r w:rsidRPr="00D00AB2">
        <w:rPr>
          <w:rFonts w:cstheme="majorBidi"/>
          <w:sz w:val="22"/>
          <w:szCs w:val="22"/>
        </w:rPr>
        <w:t xml:space="preserve">Gomez, P.Y, Référentiel pour une gouvernance raisonnable des entreprises françaises[en ligne], 2009, disponible sur : </w:t>
      </w:r>
      <w:hyperlink r:id="rId59" w:history="1">
        <w:r w:rsidRPr="00D00AB2">
          <w:rPr>
            <w:rStyle w:val="Lienhypertexte"/>
            <w:rFonts w:cstheme="majorBidi"/>
            <w:sz w:val="22"/>
            <w:szCs w:val="22"/>
          </w:rPr>
          <w:t>https://www.ifge-online.org/wp-content/uploads/2015/06/R%C3%A9f%C3%A9rentiel-IFGE-Mai-2015-planche1.pdf</w:t>
        </w:r>
      </w:hyperlink>
      <w:r w:rsidRPr="00D00AB2">
        <w:rPr>
          <w:rStyle w:val="Lienhypertexte"/>
          <w:rFonts w:cstheme="majorBidi"/>
          <w:sz w:val="22"/>
          <w:szCs w:val="22"/>
        </w:rPr>
        <w:t>,</w:t>
      </w:r>
      <w:r w:rsidRPr="00D00AB2">
        <w:rPr>
          <w:rFonts w:cstheme="majorBidi"/>
          <w:sz w:val="22"/>
          <w:szCs w:val="22"/>
        </w:rPr>
        <w:t xml:space="preserve"> consulter le 29/03/2026.</w:t>
      </w:r>
    </w:p>
    <w:p w14:paraId="0857DD3E" w14:textId="77777777" w:rsidR="00056C6A" w:rsidRPr="00D00AB2" w:rsidRDefault="00056C6A" w:rsidP="00F36332">
      <w:pPr>
        <w:pStyle w:val="Notedebasdepage"/>
        <w:numPr>
          <w:ilvl w:val="0"/>
          <w:numId w:val="213"/>
        </w:numPr>
        <w:spacing w:before="0" w:beforeAutospacing="0"/>
        <w:rPr>
          <w:rFonts w:cstheme="majorBidi"/>
          <w:sz w:val="22"/>
          <w:szCs w:val="22"/>
        </w:rPr>
      </w:pPr>
      <w:r w:rsidRPr="00D00AB2">
        <w:rPr>
          <w:rFonts w:cstheme="majorBidi"/>
          <w:sz w:val="22"/>
          <w:szCs w:val="22"/>
        </w:rPr>
        <w:t xml:space="preserve">GUIDE Comment élaborer et mettre en œuvre un code de bonnes pratiques de gouvernance d’entreprise ?, disponible sur : </w:t>
      </w:r>
      <w:hyperlink r:id="rId60" w:history="1">
        <w:r w:rsidRPr="00D00AB2">
          <w:rPr>
            <w:rStyle w:val="Lienhypertexte"/>
            <w:rFonts w:cstheme="majorBidi"/>
            <w:sz w:val="22"/>
            <w:szCs w:val="22"/>
          </w:rPr>
          <w:t>https://www.ifc.org/content/dam/ifc/doc/2000/presentation-vol-1-good-corporate-governance-practices.pdf</w:t>
        </w:r>
      </w:hyperlink>
      <w:r w:rsidRPr="00D00AB2">
        <w:rPr>
          <w:rFonts w:cstheme="majorBidi"/>
          <w:sz w:val="22"/>
          <w:szCs w:val="22"/>
        </w:rPr>
        <w:t xml:space="preserve"> , consulter le 05/04/2026.</w:t>
      </w:r>
    </w:p>
    <w:p w14:paraId="2DCF3B3D"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1" w:tgtFrame="_blank" w:history="1">
        <w:r w:rsidR="00056C6A" w:rsidRPr="00D00AB2">
          <w:rPr>
            <w:rStyle w:val="Lienhypertexte"/>
            <w:rFonts w:cstheme="majorBidi"/>
            <w:sz w:val="22"/>
            <w:szCs w:val="22"/>
          </w:rPr>
          <w:t>http://www.ilo.org</w:t>
        </w:r>
      </w:hyperlink>
      <w:r w:rsidR="00BD0F3A">
        <w:rPr>
          <w:rFonts w:cstheme="majorBidi"/>
          <w:sz w:val="22"/>
          <w:szCs w:val="22"/>
        </w:rPr>
        <w:t>: consulté le 20/03/2026</w:t>
      </w:r>
      <w:r w:rsidR="00056C6A" w:rsidRPr="00D00AB2">
        <w:rPr>
          <w:rFonts w:cstheme="majorBidi"/>
          <w:sz w:val="22"/>
          <w:szCs w:val="22"/>
        </w:rPr>
        <w:t>.</w:t>
      </w:r>
    </w:p>
    <w:p w14:paraId="022050FB"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2" w:tgtFrame="_blank" w:history="1">
        <w:r w:rsidR="00056C6A" w:rsidRPr="00D00AB2">
          <w:rPr>
            <w:rStyle w:val="Lienhypertexte"/>
            <w:rFonts w:cstheme="majorBidi"/>
            <w:sz w:val="22"/>
            <w:szCs w:val="22"/>
          </w:rPr>
          <w:t>http://www.larousse.fr</w:t>
        </w:r>
      </w:hyperlink>
      <w:r w:rsidR="00056C6A" w:rsidRPr="00D00AB2">
        <w:rPr>
          <w:rFonts w:cstheme="majorBidi"/>
          <w:sz w:val="22"/>
          <w:szCs w:val="22"/>
        </w:rPr>
        <w:t>: consulté le 14/02/2026.</w:t>
      </w:r>
    </w:p>
    <w:p w14:paraId="2CCF5B0B"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3" w:history="1">
        <w:r w:rsidR="00056C6A" w:rsidRPr="00D00AB2">
          <w:rPr>
            <w:rStyle w:val="Lienhypertexte"/>
            <w:rFonts w:cstheme="majorBidi"/>
            <w:sz w:val="22"/>
            <w:szCs w:val="22"/>
          </w:rPr>
          <w:t>https://books.openedition.org/uop/1645?lang=fr</w:t>
        </w:r>
      </w:hyperlink>
      <w:r w:rsidR="00056C6A" w:rsidRPr="00D00AB2">
        <w:rPr>
          <w:rFonts w:cstheme="majorBidi"/>
          <w:sz w:val="22"/>
          <w:szCs w:val="22"/>
        </w:rPr>
        <w:t xml:space="preserve"> , consulter le 26/03/2026.</w:t>
      </w:r>
    </w:p>
    <w:p w14:paraId="29E46EC5"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4" w:tgtFrame="_blank" w:history="1">
        <w:r w:rsidR="00056C6A" w:rsidRPr="00D00AB2">
          <w:rPr>
            <w:rStyle w:val="Lienhypertexte"/>
            <w:rFonts w:cstheme="majorBidi"/>
            <w:sz w:val="22"/>
            <w:szCs w:val="22"/>
          </w:rPr>
          <w:t>https://done.fr/principes-rse</w:t>
        </w:r>
      </w:hyperlink>
      <w:r w:rsidR="00056C6A" w:rsidRPr="00D00AB2">
        <w:rPr>
          <w:rFonts w:cstheme="majorBidi"/>
          <w:sz w:val="22"/>
          <w:szCs w:val="22"/>
        </w:rPr>
        <w:t xml:space="preserve"> : consulté le 08/03/2026.</w:t>
      </w:r>
    </w:p>
    <w:p w14:paraId="3B7A47C5"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5" w:tgtFrame="_blank" w:history="1">
        <w:r w:rsidR="00056C6A" w:rsidRPr="00D00AB2">
          <w:rPr>
            <w:rStyle w:val="Lienhypertexte"/>
            <w:rFonts w:cstheme="majorBidi"/>
            <w:sz w:val="22"/>
            <w:szCs w:val="22"/>
          </w:rPr>
          <w:t>https://fr.scribd.com/document/462187215/Theorie-de-l-enracinement</w:t>
        </w:r>
      </w:hyperlink>
      <w:r w:rsidR="00056C6A" w:rsidRPr="00D00AB2">
        <w:rPr>
          <w:rFonts w:cstheme="majorBidi"/>
          <w:sz w:val="22"/>
          <w:szCs w:val="22"/>
        </w:rPr>
        <w:t xml:space="preserve">, consulter le 23/04/2026. </w:t>
      </w:r>
    </w:p>
    <w:p w14:paraId="5D201FFD" w14:textId="77777777" w:rsidR="00056C6A" w:rsidRDefault="00351FDE" w:rsidP="00F36332">
      <w:pPr>
        <w:pStyle w:val="Notedebasdepage"/>
        <w:numPr>
          <w:ilvl w:val="0"/>
          <w:numId w:val="213"/>
        </w:numPr>
        <w:spacing w:before="0" w:beforeAutospacing="0"/>
        <w:rPr>
          <w:rFonts w:cstheme="majorBidi"/>
          <w:sz w:val="22"/>
          <w:szCs w:val="22"/>
        </w:rPr>
      </w:pPr>
      <w:hyperlink r:id="rId66" w:history="1">
        <w:r w:rsidR="00056C6A" w:rsidRPr="00D00AB2">
          <w:rPr>
            <w:rStyle w:val="Lienhypertexte"/>
            <w:rFonts w:cstheme="majorBidi"/>
            <w:sz w:val="22"/>
            <w:szCs w:val="22"/>
          </w:rPr>
          <w:t>https://fr.scribd.com/document/468606073/299981623-Demarche-de-l-Audit-Interne-1</w:t>
        </w:r>
      </w:hyperlink>
      <w:r w:rsidR="00056C6A" w:rsidRPr="00D00AB2">
        <w:rPr>
          <w:rFonts w:cstheme="majorBidi"/>
          <w:sz w:val="22"/>
          <w:szCs w:val="22"/>
        </w:rPr>
        <w:t xml:space="preserve"> , consulter le 25/04/2026.</w:t>
      </w:r>
    </w:p>
    <w:p w14:paraId="34781B6E" w14:textId="77777777" w:rsidR="000036D1" w:rsidRPr="00D00AB2" w:rsidRDefault="00351FDE" w:rsidP="000036D1">
      <w:pPr>
        <w:pStyle w:val="Notedebasdepage"/>
        <w:numPr>
          <w:ilvl w:val="0"/>
          <w:numId w:val="213"/>
        </w:numPr>
        <w:spacing w:before="0" w:beforeAutospacing="0"/>
        <w:rPr>
          <w:rFonts w:cstheme="majorBidi"/>
          <w:sz w:val="22"/>
          <w:szCs w:val="22"/>
        </w:rPr>
      </w:pPr>
      <w:hyperlink r:id="rId67" w:history="1">
        <w:r w:rsidR="000036D1" w:rsidRPr="000036D1">
          <w:rPr>
            <w:rStyle w:val="Lienhypertexte"/>
            <w:rFonts w:cstheme="majorBidi"/>
            <w:sz w:val="22"/>
            <w:szCs w:val="22"/>
          </w:rPr>
          <w:t>https://fr.scribd.com/document/850198762/Gouvernance-d-entreprise-Support1</w:t>
        </w:r>
      </w:hyperlink>
      <w:r w:rsidR="000036D1" w:rsidRPr="000036D1">
        <w:rPr>
          <w:rFonts w:cstheme="majorBidi"/>
          <w:sz w:val="22"/>
          <w:szCs w:val="22"/>
        </w:rPr>
        <w:t xml:space="preserve"> , consulter le 06/02/2026.</w:t>
      </w:r>
    </w:p>
    <w:p w14:paraId="7EC121B9"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8" w:history="1">
        <w:r w:rsidR="000036D1" w:rsidRPr="00D424E9">
          <w:rPr>
            <w:rStyle w:val="Lienhypertexte"/>
            <w:rFonts w:cstheme="majorBidi"/>
            <w:sz w:val="22"/>
            <w:szCs w:val="22"/>
          </w:rPr>
          <w:t>https://fr.scribd.com/document/508499767/rse-les-approches</w:t>
        </w:r>
      </w:hyperlink>
      <w:r w:rsidR="000036D1">
        <w:rPr>
          <w:rFonts w:cstheme="majorBidi"/>
          <w:sz w:val="22"/>
          <w:szCs w:val="22"/>
        </w:rPr>
        <w:t xml:space="preserve"> ,</w:t>
      </w:r>
      <w:r w:rsidR="000036D1" w:rsidRPr="000036D1">
        <w:rPr>
          <w:rFonts w:cstheme="majorBidi"/>
          <w:sz w:val="22"/>
          <w:szCs w:val="22"/>
        </w:rPr>
        <w:t xml:space="preserve"> consulté le 12/02/2026</w:t>
      </w:r>
      <w:r w:rsidR="00056C6A" w:rsidRPr="00D00AB2">
        <w:rPr>
          <w:rFonts w:cstheme="majorBidi"/>
          <w:sz w:val="22"/>
          <w:szCs w:val="22"/>
        </w:rPr>
        <w:t>.</w:t>
      </w:r>
    </w:p>
    <w:p w14:paraId="5237C372"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69" w:tgtFrame="_blank" w:history="1">
        <w:r w:rsidR="00056C6A" w:rsidRPr="00D00AB2">
          <w:rPr>
            <w:rStyle w:val="Lienhypertexte"/>
            <w:rFonts w:cstheme="majorBidi"/>
            <w:sz w:val="22"/>
            <w:szCs w:val="22"/>
          </w:rPr>
          <w:t>https://fr.scribd.com/document/556491212/cours-DD-RSE-ispp2</w:t>
        </w:r>
      </w:hyperlink>
      <w:r w:rsidR="0074242B">
        <w:rPr>
          <w:rFonts w:cstheme="majorBidi"/>
          <w:sz w:val="22"/>
          <w:szCs w:val="22"/>
        </w:rPr>
        <w:t>, consulté le 25/04/</w:t>
      </w:r>
      <w:r w:rsidR="00056C6A" w:rsidRPr="00D00AB2">
        <w:rPr>
          <w:rFonts w:cstheme="majorBidi"/>
          <w:sz w:val="22"/>
          <w:szCs w:val="22"/>
        </w:rPr>
        <w:t>2026.</w:t>
      </w:r>
    </w:p>
    <w:p w14:paraId="4051D564"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0" w:tgtFrame="_blank" w:history="1">
        <w:r w:rsidR="00056C6A" w:rsidRPr="00D00AB2">
          <w:rPr>
            <w:rStyle w:val="Lienhypertexte"/>
            <w:rFonts w:cstheme="majorBidi"/>
            <w:sz w:val="22"/>
            <w:szCs w:val="22"/>
          </w:rPr>
          <w:t>https://fr.scribd.com/document/717910355/indicateurs-RS</w:t>
        </w:r>
      </w:hyperlink>
      <w:r w:rsidR="00056C6A" w:rsidRPr="00D00AB2">
        <w:rPr>
          <w:rFonts w:cstheme="majorBidi"/>
          <w:sz w:val="22"/>
          <w:szCs w:val="22"/>
        </w:rPr>
        <w:t>: consulté le 22/04/2026.</w:t>
      </w:r>
    </w:p>
    <w:p w14:paraId="1E74232A"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1" w:tgtFrame="_blank" w:history="1">
        <w:r w:rsidR="00056C6A" w:rsidRPr="00D00AB2">
          <w:rPr>
            <w:rStyle w:val="Lienhypertexte"/>
            <w:rFonts w:cstheme="majorBidi"/>
            <w:sz w:val="22"/>
            <w:szCs w:val="22"/>
          </w:rPr>
          <w:t>https://fr.scribd.com/document/777299207/SUPPORT-DE-GOUVERNANCE-ET-RESPONSABILITE-SOCIETALE-DE-L-ENTREPRISE</w:t>
        </w:r>
      </w:hyperlink>
      <w:r w:rsidR="00056C6A" w:rsidRPr="00D00AB2">
        <w:rPr>
          <w:rFonts w:cstheme="majorBidi"/>
          <w:sz w:val="22"/>
          <w:szCs w:val="22"/>
        </w:rPr>
        <w:t xml:space="preserve"> : consulté le 18/03/2026.</w:t>
      </w:r>
    </w:p>
    <w:p w14:paraId="6875C0D2"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2" w:history="1">
        <w:r w:rsidR="00056C6A" w:rsidRPr="00D00AB2">
          <w:rPr>
            <w:rStyle w:val="Lienhypertexte"/>
            <w:rFonts w:cstheme="majorBidi"/>
            <w:sz w:val="22"/>
            <w:szCs w:val="22"/>
          </w:rPr>
          <w:t>https://fr.scribd.com/document/462187215/Theorie-de-l-enracinement</w:t>
        </w:r>
      </w:hyperlink>
      <w:r w:rsidR="00056C6A" w:rsidRPr="00D00AB2">
        <w:rPr>
          <w:rFonts w:cstheme="majorBidi"/>
          <w:sz w:val="22"/>
          <w:szCs w:val="22"/>
        </w:rPr>
        <w:t xml:space="preserve"> , consulter le 23/04/2026.</w:t>
      </w:r>
    </w:p>
    <w:p w14:paraId="08732BD5"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3" w:tgtFrame="_blank" w:history="1">
        <w:r w:rsidR="00056C6A" w:rsidRPr="00D00AB2">
          <w:rPr>
            <w:rStyle w:val="Lienhypertexte"/>
            <w:rFonts w:cstheme="majorBidi"/>
            <w:sz w:val="22"/>
            <w:szCs w:val="22"/>
          </w:rPr>
          <w:t>https://pactemondial.org/decouvrir/dix-principes-pacte-mondial-nations-unies/#droits-de-l-homme</w:t>
        </w:r>
      </w:hyperlink>
      <w:r w:rsidR="00056C6A" w:rsidRPr="00D00AB2">
        <w:rPr>
          <w:rFonts w:cstheme="majorBidi"/>
          <w:sz w:val="22"/>
          <w:szCs w:val="22"/>
        </w:rPr>
        <w:t xml:space="preserve"> , consulté le 14/03/2026.</w:t>
      </w:r>
    </w:p>
    <w:p w14:paraId="4565414D"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4" w:tgtFrame="_blank" w:history="1">
        <w:r w:rsidR="00056C6A" w:rsidRPr="00D00AB2">
          <w:rPr>
            <w:rStyle w:val="Lienhypertexte"/>
            <w:rFonts w:cstheme="majorBidi"/>
            <w:sz w:val="22"/>
            <w:szCs w:val="22"/>
          </w:rPr>
          <w:t>https://www.agence-declic.fr/actualites/leviers-performance-rse-entreprise-decryptage/</w:t>
        </w:r>
      </w:hyperlink>
      <w:r w:rsidR="00056C6A" w:rsidRPr="00D00AB2">
        <w:rPr>
          <w:rFonts w:cstheme="majorBidi"/>
          <w:sz w:val="22"/>
          <w:szCs w:val="22"/>
        </w:rPr>
        <w:t xml:space="preserve"> : consulter le 21/03/2026.</w:t>
      </w:r>
    </w:p>
    <w:p w14:paraId="58870648"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5" w:tgtFrame="_blank" w:history="1">
        <w:r w:rsidR="00056C6A" w:rsidRPr="00D00AB2">
          <w:rPr>
            <w:rStyle w:val="Lienhypertexte"/>
            <w:rFonts w:cstheme="majorBidi"/>
            <w:sz w:val="22"/>
            <w:szCs w:val="22"/>
          </w:rPr>
          <w:t>https://www.alternatives-economiques.fr/dominique-plihon/entreprises-gouvernance-hybride/00023658</w:t>
        </w:r>
      </w:hyperlink>
      <w:r w:rsidR="00056C6A" w:rsidRPr="00D00AB2">
        <w:rPr>
          <w:rFonts w:cstheme="majorBidi"/>
          <w:sz w:val="22"/>
          <w:szCs w:val="22"/>
        </w:rPr>
        <w:t>, consulter le 19/04/2026.</w:t>
      </w:r>
    </w:p>
    <w:p w14:paraId="4F08D3CB"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6" w:history="1">
        <w:r w:rsidR="00056C6A" w:rsidRPr="00D00AB2">
          <w:rPr>
            <w:rStyle w:val="Lienhypertexte"/>
            <w:rFonts w:cstheme="majorBidi"/>
            <w:sz w:val="22"/>
            <w:szCs w:val="22"/>
          </w:rPr>
          <w:t>https://www.alvi-management.fr/definition-de-la-gouvernance/</w:t>
        </w:r>
      </w:hyperlink>
      <w:r w:rsidR="00056C6A" w:rsidRPr="00D00AB2">
        <w:rPr>
          <w:rFonts w:cstheme="majorBidi"/>
          <w:sz w:val="22"/>
          <w:szCs w:val="22"/>
        </w:rPr>
        <w:t xml:space="preserve"> , consulter le 06/04/2026.</w:t>
      </w:r>
    </w:p>
    <w:p w14:paraId="20B1F235"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7" w:tgtFrame="_blank" w:history="1">
        <w:r w:rsidR="00056C6A" w:rsidRPr="00D00AB2">
          <w:rPr>
            <w:rStyle w:val="Lienhypertexte"/>
            <w:rFonts w:cstheme="majorBidi"/>
            <w:sz w:val="22"/>
            <w:szCs w:val="22"/>
          </w:rPr>
          <w:t>https://www.globalreporting.org/about-gri/mission-history/</w:t>
        </w:r>
      </w:hyperlink>
      <w:r w:rsidR="00056C6A" w:rsidRPr="00D00AB2">
        <w:rPr>
          <w:rFonts w:cstheme="majorBidi"/>
          <w:sz w:val="22"/>
          <w:szCs w:val="22"/>
        </w:rPr>
        <w:t xml:space="preserve"> : consulté le 14/03/2026.</w:t>
      </w:r>
    </w:p>
    <w:p w14:paraId="65A59E76"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78" w:tgtFrame="_blank" w:history="1">
        <w:r w:rsidR="00056C6A" w:rsidRPr="00D00AB2">
          <w:rPr>
            <w:rStyle w:val="Lienhypertexte"/>
            <w:rFonts w:cstheme="majorBidi"/>
            <w:sz w:val="22"/>
            <w:szCs w:val="22"/>
          </w:rPr>
          <w:t>https://www.ifa-asso.com/</w:t>
        </w:r>
      </w:hyperlink>
      <w:r w:rsidR="00056C6A" w:rsidRPr="00D00AB2">
        <w:rPr>
          <w:rFonts w:cstheme="majorBidi"/>
          <w:sz w:val="22"/>
          <w:szCs w:val="22"/>
        </w:rPr>
        <w:t xml:space="preserve"> , consulter le 25/04/2026.</w:t>
      </w:r>
    </w:p>
    <w:p w14:paraId="1DBD1273" w14:textId="77777777" w:rsidR="00056C6A" w:rsidRDefault="00351FDE" w:rsidP="00F36332">
      <w:pPr>
        <w:pStyle w:val="Notedebasdepage"/>
        <w:numPr>
          <w:ilvl w:val="0"/>
          <w:numId w:val="213"/>
        </w:numPr>
        <w:spacing w:before="0" w:beforeAutospacing="0"/>
        <w:rPr>
          <w:rFonts w:cstheme="majorBidi"/>
          <w:sz w:val="22"/>
          <w:szCs w:val="22"/>
        </w:rPr>
      </w:pPr>
      <w:hyperlink r:id="rId79" w:tgtFrame="_blank" w:history="1">
        <w:r w:rsidR="00056C6A" w:rsidRPr="00D00AB2">
          <w:rPr>
            <w:rStyle w:val="Lienhypertexte"/>
            <w:rFonts w:cstheme="majorBidi"/>
            <w:sz w:val="22"/>
            <w:szCs w:val="22"/>
          </w:rPr>
          <w:t>https://www.infolegale.fr/blog/rse-quels-sont-les-3-piliers</w:t>
        </w:r>
      </w:hyperlink>
      <w:r w:rsidR="00056C6A" w:rsidRPr="00D00AB2">
        <w:rPr>
          <w:rFonts w:cstheme="majorBidi"/>
          <w:sz w:val="22"/>
          <w:szCs w:val="22"/>
        </w:rPr>
        <w:t xml:space="preserve"> : consulté le 8/03/2026</w:t>
      </w:r>
      <w:r w:rsidR="00C26383">
        <w:rPr>
          <w:rFonts w:cstheme="majorBidi"/>
          <w:sz w:val="22"/>
          <w:szCs w:val="22"/>
        </w:rPr>
        <w:t>.</w:t>
      </w:r>
    </w:p>
    <w:p w14:paraId="797989BC" w14:textId="77777777" w:rsidR="00C26383" w:rsidRPr="00D00AB2" w:rsidRDefault="00351FDE" w:rsidP="00C26383">
      <w:pPr>
        <w:pStyle w:val="Notedebasdepage"/>
        <w:numPr>
          <w:ilvl w:val="0"/>
          <w:numId w:val="213"/>
        </w:numPr>
        <w:spacing w:before="0" w:beforeAutospacing="0"/>
        <w:rPr>
          <w:rFonts w:cstheme="majorBidi"/>
          <w:sz w:val="22"/>
          <w:szCs w:val="22"/>
        </w:rPr>
      </w:pPr>
      <w:hyperlink r:id="rId80" w:history="1">
        <w:r w:rsidR="00C26383" w:rsidRPr="00D424E9">
          <w:rPr>
            <w:rStyle w:val="Lienhypertexte"/>
            <w:rFonts w:cstheme="majorBidi"/>
            <w:sz w:val="22"/>
            <w:szCs w:val="22"/>
          </w:rPr>
          <w:t>https://journals.openedition.org/regulation/9328?lang=en</w:t>
        </w:r>
      </w:hyperlink>
      <w:r w:rsidR="00C26383" w:rsidRPr="00C26383">
        <w:rPr>
          <w:rFonts w:cstheme="majorBidi"/>
          <w:sz w:val="22"/>
          <w:szCs w:val="22"/>
        </w:rPr>
        <w:t xml:space="preserve"> , consulter le 09/03/2026.</w:t>
      </w:r>
    </w:p>
    <w:p w14:paraId="46A5E7D5"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81" w:tgtFrame="_blank" w:history="1">
        <w:r w:rsidR="00056C6A" w:rsidRPr="00D00AB2">
          <w:rPr>
            <w:rStyle w:val="Lienhypertexte"/>
            <w:rFonts w:cstheme="majorBidi"/>
            <w:sz w:val="22"/>
            <w:szCs w:val="22"/>
          </w:rPr>
          <w:t>https://www.legalplace.fr/guides/enjeux-rse-entreprise/</w:t>
        </w:r>
      </w:hyperlink>
      <w:r w:rsidR="00C26383">
        <w:rPr>
          <w:rFonts w:cstheme="majorBidi"/>
          <w:sz w:val="22"/>
          <w:szCs w:val="22"/>
        </w:rPr>
        <w:t xml:space="preserve"> ,</w:t>
      </w:r>
      <w:r w:rsidR="00056C6A" w:rsidRPr="00D00AB2">
        <w:rPr>
          <w:rFonts w:cstheme="majorBidi"/>
          <w:sz w:val="22"/>
          <w:szCs w:val="22"/>
        </w:rPr>
        <w:t xml:space="preserve"> consulté le 18/03/2026.</w:t>
      </w:r>
    </w:p>
    <w:p w14:paraId="65BBBE01"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82" w:tgtFrame="_blank" w:history="1">
        <w:r w:rsidR="00056C6A" w:rsidRPr="00D00AB2">
          <w:rPr>
            <w:rStyle w:val="Lienhypertexte"/>
            <w:rFonts w:cstheme="majorBidi"/>
            <w:sz w:val="22"/>
            <w:szCs w:val="22"/>
          </w:rPr>
          <w:t>https://www.maxicours.com/se/cours/la-rationalite-limitee/</w:t>
        </w:r>
      </w:hyperlink>
      <w:r w:rsidR="00056C6A" w:rsidRPr="00D00AB2">
        <w:rPr>
          <w:rFonts w:cstheme="majorBidi"/>
          <w:sz w:val="22"/>
          <w:szCs w:val="22"/>
        </w:rPr>
        <w:t xml:space="preserve"> , consulter le 22/04/2026.</w:t>
      </w:r>
    </w:p>
    <w:p w14:paraId="6E750E38"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83" w:tgtFrame="_blank" w:history="1">
        <w:r w:rsidR="00056C6A" w:rsidRPr="00D00AB2">
          <w:rPr>
            <w:rStyle w:val="Lienhypertexte"/>
            <w:rFonts w:cstheme="majorBidi"/>
            <w:sz w:val="22"/>
            <w:szCs w:val="22"/>
          </w:rPr>
          <w:t>https://www.nexco-expertise.com/audit-rse</w:t>
        </w:r>
      </w:hyperlink>
      <w:r w:rsidR="00056C6A" w:rsidRPr="00D00AB2">
        <w:rPr>
          <w:rFonts w:cstheme="majorBidi"/>
          <w:sz w:val="22"/>
          <w:szCs w:val="22"/>
        </w:rPr>
        <w:t xml:space="preserve"> : consulté le 21/03/2026.</w:t>
      </w:r>
    </w:p>
    <w:p w14:paraId="1BAF5CBA"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84" w:tgtFrame="_blank" w:history="1">
        <w:r w:rsidR="00056C6A" w:rsidRPr="00D00AB2">
          <w:rPr>
            <w:rStyle w:val="Lienhypertexte"/>
            <w:rFonts w:cstheme="majorBidi"/>
            <w:sz w:val="22"/>
            <w:szCs w:val="22"/>
          </w:rPr>
          <w:t>https://www.oecd.org/fr/gouvernementdentreprise/#:~:text=La%20gouvernance%20d'entreprise%20contribue,%C3%A0%20l'%C3%A9dification%20de%20soci%C3%A9t%C3%A9s</w:t>
        </w:r>
      </w:hyperlink>
      <w:r w:rsidR="00056C6A" w:rsidRPr="00D00AB2">
        <w:rPr>
          <w:rFonts w:cstheme="majorBidi"/>
          <w:sz w:val="22"/>
          <w:szCs w:val="22"/>
        </w:rPr>
        <w:t>, consulter le 05/04/2026.</w:t>
      </w:r>
    </w:p>
    <w:p w14:paraId="31851214" w14:textId="77777777" w:rsidR="00056C6A" w:rsidRPr="00D00AB2" w:rsidRDefault="00351FDE" w:rsidP="00F36332">
      <w:pPr>
        <w:pStyle w:val="Notedebasdepage"/>
        <w:numPr>
          <w:ilvl w:val="0"/>
          <w:numId w:val="213"/>
        </w:numPr>
        <w:spacing w:before="0" w:beforeAutospacing="0"/>
        <w:rPr>
          <w:rFonts w:cstheme="majorBidi"/>
          <w:sz w:val="22"/>
          <w:szCs w:val="22"/>
        </w:rPr>
      </w:pPr>
      <w:hyperlink r:id="rId85" w:tgtFrame="_blank" w:history="1">
        <w:r w:rsidR="00056C6A" w:rsidRPr="00D00AB2">
          <w:rPr>
            <w:rStyle w:val="Lienhypertexte"/>
            <w:rFonts w:cstheme="majorBidi"/>
            <w:sz w:val="22"/>
            <w:szCs w:val="22"/>
          </w:rPr>
          <w:t>https://www.petite-entreprise.net/P-2884-84-G1-definition-l-audit-externe.html</w:t>
        </w:r>
      </w:hyperlink>
      <w:r w:rsidR="00056C6A" w:rsidRPr="00D00AB2">
        <w:rPr>
          <w:rFonts w:cstheme="majorBidi"/>
          <w:sz w:val="22"/>
          <w:szCs w:val="22"/>
        </w:rPr>
        <w:t xml:space="preserve"> , consulter le 26/04/2026.</w:t>
      </w:r>
    </w:p>
    <w:p w14:paraId="5913602E" w14:textId="77777777" w:rsidR="00056C6A" w:rsidRDefault="00056C6A" w:rsidP="00F36332">
      <w:pPr>
        <w:pStyle w:val="Notedebasdepage"/>
        <w:numPr>
          <w:ilvl w:val="0"/>
          <w:numId w:val="213"/>
        </w:numPr>
        <w:spacing w:before="0" w:beforeAutospacing="0"/>
        <w:rPr>
          <w:rFonts w:cstheme="majorBidi"/>
          <w:sz w:val="22"/>
          <w:szCs w:val="22"/>
        </w:rPr>
      </w:pPr>
      <w:r w:rsidRPr="00D00AB2">
        <w:rPr>
          <w:rFonts w:cstheme="majorBidi"/>
          <w:sz w:val="22"/>
          <w:szCs w:val="22"/>
        </w:rPr>
        <w:t xml:space="preserve">ICGN Global Governance Principles Influence, British Library Cataloguing in Publication Data, 2001, pp 6-7, Disponible sur </w:t>
      </w:r>
      <w:hyperlink r:id="rId86" w:tgtFrame="_blank" w:history="1">
        <w:r w:rsidRPr="00D00AB2">
          <w:rPr>
            <w:rStyle w:val="Lienhypertexte"/>
            <w:rFonts w:cstheme="majorBidi"/>
            <w:sz w:val="22"/>
            <w:szCs w:val="22"/>
          </w:rPr>
          <w:t>https://www.icgn.org/sites/default/files/20211/ICGN%20Global%20Governance%20Principles%202021.pdf</w:t>
        </w:r>
      </w:hyperlink>
      <w:r w:rsidRPr="00D00AB2">
        <w:rPr>
          <w:rFonts w:cstheme="majorBidi"/>
          <w:sz w:val="22"/>
          <w:szCs w:val="22"/>
        </w:rPr>
        <w:t xml:space="preserve"> , consulter le 20/03/2026.</w:t>
      </w:r>
    </w:p>
    <w:p w14:paraId="575DB986" w14:textId="77777777" w:rsidR="004738CD" w:rsidRPr="00D00AB2" w:rsidRDefault="004738CD" w:rsidP="004738CD">
      <w:pPr>
        <w:pStyle w:val="Notedebasdepage"/>
        <w:numPr>
          <w:ilvl w:val="0"/>
          <w:numId w:val="213"/>
        </w:numPr>
        <w:spacing w:before="0" w:beforeAutospacing="0"/>
        <w:rPr>
          <w:rFonts w:cstheme="majorBidi"/>
          <w:sz w:val="22"/>
          <w:szCs w:val="22"/>
        </w:rPr>
      </w:pPr>
      <w:r w:rsidRPr="004738CD">
        <w:rPr>
          <w:rFonts w:cstheme="majorBidi"/>
          <w:sz w:val="22"/>
          <w:szCs w:val="22"/>
        </w:rPr>
        <w:t xml:space="preserve">Patrice Charlier, « Gouvernance, enracinement et performance des entreprises familiales européennes », la comptabilité, le contrôle et l’audit entre changement et stabilité, HAL Id : halshs-00522463, 2010, p 15, disponible sur </w:t>
      </w:r>
      <w:hyperlink r:id="rId87" w:history="1">
        <w:r w:rsidRPr="00D424E9">
          <w:rPr>
            <w:rStyle w:val="Lienhypertexte"/>
            <w:rFonts w:cstheme="majorBidi"/>
            <w:sz w:val="22"/>
            <w:szCs w:val="22"/>
          </w:rPr>
          <w:t>https://shs.hal.science/halshs-00522463v1/document</w:t>
        </w:r>
      </w:hyperlink>
      <w:r>
        <w:rPr>
          <w:rFonts w:cstheme="majorBidi"/>
          <w:sz w:val="22"/>
          <w:szCs w:val="22"/>
        </w:rPr>
        <w:t xml:space="preserve"> </w:t>
      </w:r>
      <w:r w:rsidRPr="004738CD">
        <w:rPr>
          <w:rFonts w:cstheme="majorBidi"/>
          <w:sz w:val="22"/>
          <w:szCs w:val="22"/>
        </w:rPr>
        <w:t>, consulter le 04/04/2026.</w:t>
      </w:r>
    </w:p>
    <w:p w14:paraId="41A32A56" w14:textId="77777777" w:rsidR="00056C6A" w:rsidRPr="00D00AB2" w:rsidRDefault="00056C6A" w:rsidP="00F36332">
      <w:pPr>
        <w:pStyle w:val="Notedebasdepage"/>
        <w:numPr>
          <w:ilvl w:val="0"/>
          <w:numId w:val="213"/>
        </w:numPr>
        <w:spacing w:before="0" w:beforeAutospacing="0"/>
        <w:rPr>
          <w:rFonts w:cstheme="majorBidi"/>
          <w:sz w:val="22"/>
          <w:szCs w:val="22"/>
        </w:rPr>
      </w:pPr>
      <w:r w:rsidRPr="00D00AB2">
        <w:rPr>
          <w:rFonts w:cstheme="majorBidi"/>
          <w:sz w:val="22"/>
          <w:szCs w:val="22"/>
        </w:rPr>
        <w:t xml:space="preserve">Principes de gouvernement d’entreprise de L’OCDE édition 4, Disponible sur l’adresse suivante </w:t>
      </w:r>
      <w:hyperlink w:history="1">
        <w:r w:rsidRPr="00D00AB2">
          <w:rPr>
            <w:rStyle w:val="Lienhypertexte"/>
            <w:rFonts w:cstheme="majorBidi"/>
            <w:sz w:val="22"/>
            <w:szCs w:val="22"/>
          </w:rPr>
          <w:t xml:space="preserve">www.oecd.org </w:t>
        </w:r>
      </w:hyperlink>
      <w:r w:rsidRPr="00D00AB2">
        <w:rPr>
          <w:rFonts w:cstheme="majorBidi"/>
          <w:sz w:val="22"/>
          <w:szCs w:val="22"/>
        </w:rPr>
        <w:t xml:space="preserve"> consulté </w:t>
      </w:r>
      <w:r w:rsidR="00BD0F3A" w:rsidRPr="00D00AB2">
        <w:rPr>
          <w:rFonts w:cstheme="majorBidi"/>
          <w:sz w:val="22"/>
          <w:szCs w:val="22"/>
        </w:rPr>
        <w:t>le 14</w:t>
      </w:r>
      <w:r w:rsidRPr="00D00AB2">
        <w:rPr>
          <w:rFonts w:cstheme="majorBidi"/>
          <w:sz w:val="22"/>
          <w:szCs w:val="22"/>
        </w:rPr>
        <w:t>/04/2026.</w:t>
      </w:r>
    </w:p>
    <w:p w14:paraId="2B9C0B39" w14:textId="77777777" w:rsidR="00056C6A" w:rsidRPr="001F7845" w:rsidRDefault="00056C6A" w:rsidP="00F36332">
      <w:pPr>
        <w:pStyle w:val="Notedebasdepage"/>
        <w:numPr>
          <w:ilvl w:val="0"/>
          <w:numId w:val="206"/>
        </w:numPr>
        <w:spacing w:after="100" w:afterAutospacing="1"/>
        <w:ind w:left="714" w:hanging="357"/>
        <w:rPr>
          <w:rFonts w:cstheme="majorBidi"/>
          <w:b/>
          <w:bCs/>
          <w:sz w:val="22"/>
          <w:szCs w:val="22"/>
          <w:lang w:val="en-AE"/>
        </w:rPr>
      </w:pPr>
      <w:r w:rsidRPr="00D00AB2">
        <w:rPr>
          <w:rFonts w:cstheme="majorBidi"/>
          <w:b/>
          <w:bCs/>
          <w:sz w:val="22"/>
          <w:szCs w:val="22"/>
        </w:rPr>
        <w:t>Rapports :</w:t>
      </w:r>
    </w:p>
    <w:p w14:paraId="1C67455A"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Christian Rouillard, Nathalie Burlone, « l’état et la société civile sous le joug de la gouvernance», collection gouvernance et gestion publique, les Presses de l’Université Laval, Canada, 2011, p24.</w:t>
      </w:r>
    </w:p>
    <w:p w14:paraId="40DC57A6"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Comité de Bâle sur le contrôle bancaire, « Renforcement de la gouvernance d’entreprise dans les établissements bancaires », Banque des Règlements Internationaux, 2006, p20.</w:t>
      </w:r>
    </w:p>
    <w:p w14:paraId="601B5FDB"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Commission européenne, « Livre blanc sur la gouvernance européenne », Bruxelles, 2001, pp. 8 -14.</w:t>
      </w:r>
    </w:p>
    <w:p w14:paraId="15394B9F"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lastRenderedPageBreak/>
        <w:t>Commission européenne, Livre vert – Promouvoir un cadre européen pour la RSE, Bruxelles, 2001, p. 7.</w:t>
      </w:r>
    </w:p>
    <w:p w14:paraId="5216DE4A"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Commission mondiale sur l’environnement et le développement (CMED), Notre avenir à tous (Rapport Brundtland), Nations Unies, 1987, p.46.</w:t>
      </w:r>
    </w:p>
    <w:p w14:paraId="525A9A51" w14:textId="77777777" w:rsidR="00056C6A"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Commission nationale gouvernance d’entreprise, « code spécifique de bonne pratiques de gouvernance des PME et entreprises familials », annexe au code marocain de bonne pratique de gouvernance d’entreprise, Décembre 2008, P12.</w:t>
      </w:r>
    </w:p>
    <w:p w14:paraId="78DF02AB" w14:textId="77777777" w:rsidR="00356CCD" w:rsidRPr="00D00AB2" w:rsidRDefault="00356CCD" w:rsidP="00356CCD">
      <w:pPr>
        <w:pStyle w:val="Notedebasdepage"/>
        <w:numPr>
          <w:ilvl w:val="0"/>
          <w:numId w:val="210"/>
        </w:numPr>
        <w:spacing w:after="100" w:afterAutospacing="1"/>
        <w:rPr>
          <w:rFonts w:cstheme="majorBidi"/>
          <w:sz w:val="22"/>
          <w:szCs w:val="22"/>
        </w:rPr>
      </w:pPr>
      <w:r w:rsidRPr="00356CCD">
        <w:rPr>
          <w:rFonts w:cstheme="majorBidi"/>
          <w:sz w:val="22"/>
          <w:szCs w:val="22"/>
        </w:rPr>
        <w:t>IAA, « L’audit interne et l’audit externe : des rôles distincts dans la gouvernance organisationnelle », n° 8, Perspectives internationales, 2017, p 5.</w:t>
      </w:r>
    </w:p>
    <w:p w14:paraId="1E7653E2" w14:textId="77777777" w:rsidR="00056C6A" w:rsidRPr="00D00AB2" w:rsidRDefault="00056C6A" w:rsidP="00356CCD">
      <w:pPr>
        <w:pStyle w:val="Notedebasdepage"/>
        <w:numPr>
          <w:ilvl w:val="0"/>
          <w:numId w:val="210"/>
        </w:numPr>
        <w:spacing w:after="100" w:afterAutospacing="1"/>
        <w:rPr>
          <w:rFonts w:cstheme="majorBidi"/>
          <w:sz w:val="22"/>
          <w:szCs w:val="22"/>
        </w:rPr>
      </w:pPr>
      <w:r w:rsidRPr="00D00AB2">
        <w:rPr>
          <w:rFonts w:cstheme="majorBidi"/>
          <w:sz w:val="22"/>
          <w:szCs w:val="22"/>
        </w:rPr>
        <w:t>IIA, « Code de déontologie », Cadre de référence internationale des pratiques professionnelles (CRIPP), Édition 2017, p 1.</w:t>
      </w:r>
    </w:p>
    <w:p w14:paraId="3C7CBF06"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OCDE, « Principes de gouvernement d'entreprise de l'OCDE », OECD/LEGAL/0327, p7.</w:t>
      </w:r>
    </w:p>
    <w:p w14:paraId="18B90C51"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OCDE, « Principes de gouvernement d’entreprise de l’OCDE », ORGANISATION DE COOPÉRATION ET DE DÉVELOPPEMENT ÉCONOMIQUES, France, 2004, p20.</w:t>
      </w:r>
    </w:p>
    <w:p w14:paraId="0E1A4FAD"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OCDE, « Principes de gouvernement d’entreprise du G20 et de l’OCDE », Rapport de l'OCDE aux ministres des Finances et aux gouverneurs des banques centrales du G20, 2015, pp39-41.</w:t>
      </w:r>
    </w:p>
    <w:p w14:paraId="226F67EE"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OCDE, « Principes de l’OCDE relatifs au gouvernement d’entreprise », Réunion du Conseil de l'OCDE au niveau ministériel, 1999, p21.</w:t>
      </w:r>
    </w:p>
    <w:p w14:paraId="26F2E543"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OCDE, « Recommandation du Conseil relative aux Principes de gouvernance d’entreprise », OECD/LEGAL/0413, pp 35-45.</w:t>
      </w:r>
    </w:p>
    <w:p w14:paraId="4F51FFF9" w14:textId="77777777" w:rsidR="00056C6A" w:rsidRPr="00D00AB2" w:rsidRDefault="00056C6A" w:rsidP="00F36332">
      <w:pPr>
        <w:pStyle w:val="Notedebasdepage"/>
        <w:numPr>
          <w:ilvl w:val="0"/>
          <w:numId w:val="210"/>
        </w:numPr>
        <w:spacing w:after="100" w:afterAutospacing="1"/>
        <w:rPr>
          <w:rFonts w:cstheme="majorBidi"/>
          <w:sz w:val="22"/>
          <w:szCs w:val="22"/>
        </w:rPr>
      </w:pPr>
      <w:r w:rsidRPr="00D00AB2">
        <w:rPr>
          <w:rFonts w:cstheme="majorBidi"/>
          <w:sz w:val="22"/>
          <w:szCs w:val="22"/>
        </w:rPr>
        <w:t>Rapport sur le développement en Afrique, « Chapitre 7 : La gouvernance d’entreprise », 2011, p 150.</w:t>
      </w:r>
    </w:p>
    <w:p w14:paraId="17D5DBFC" w14:textId="77777777" w:rsidR="00056C6A" w:rsidRPr="00D00AB2" w:rsidRDefault="00056C6A" w:rsidP="00F36332">
      <w:pPr>
        <w:pStyle w:val="Paragraphedeliste"/>
        <w:numPr>
          <w:ilvl w:val="0"/>
          <w:numId w:val="205"/>
        </w:numPr>
        <w:spacing w:before="0" w:beforeAutospacing="0" w:line="259" w:lineRule="auto"/>
        <w:ind w:left="714" w:hanging="357"/>
        <w:contextualSpacing w:val="0"/>
        <w:rPr>
          <w:rFonts w:cstheme="majorBidi"/>
          <w:b/>
          <w:bCs/>
          <w:sz w:val="22"/>
        </w:rPr>
      </w:pPr>
      <w:r w:rsidRPr="00D00AB2">
        <w:rPr>
          <w:rFonts w:cstheme="majorBidi"/>
          <w:b/>
          <w:bCs/>
          <w:sz w:val="22"/>
        </w:rPr>
        <w:t>Les références en Anglais :</w:t>
      </w:r>
    </w:p>
    <w:p w14:paraId="026514F0" w14:textId="77777777" w:rsidR="00056C6A" w:rsidRPr="00D00AB2" w:rsidRDefault="00056C6A" w:rsidP="00F36332">
      <w:pPr>
        <w:pStyle w:val="Paragraphedeliste"/>
        <w:numPr>
          <w:ilvl w:val="0"/>
          <w:numId w:val="206"/>
        </w:numPr>
        <w:spacing w:before="0" w:beforeAutospacing="0" w:line="259" w:lineRule="auto"/>
        <w:ind w:left="714" w:hanging="357"/>
        <w:contextualSpacing w:val="0"/>
        <w:rPr>
          <w:rFonts w:cstheme="majorBidi"/>
          <w:b/>
          <w:bCs/>
          <w:sz w:val="22"/>
        </w:rPr>
      </w:pPr>
      <w:r w:rsidRPr="00D00AB2">
        <w:rPr>
          <w:rFonts w:cstheme="majorBidi"/>
          <w:b/>
          <w:bCs/>
          <w:sz w:val="22"/>
        </w:rPr>
        <w:t>Books :</w:t>
      </w:r>
    </w:p>
    <w:p w14:paraId="7AE0EC1D"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Amartya Sen, «  Development as Freedom »,Ed 1, Oxford University Press, Oxford, 1999,p87.</w:t>
      </w:r>
    </w:p>
    <w:p w14:paraId="21CF05D5" w14:textId="77777777" w:rsidR="00056C6A" w:rsidRPr="00D00AB2" w:rsidRDefault="00056C6A" w:rsidP="007D713D">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CARROLL Archie B., BUCHHOLTZ Ann K., Business &amp; Society: Ethics and Stakeholder Management, 3rd edition, South-Western College Publishing, États-Unis, 1996, p.657.</w:t>
      </w:r>
    </w:p>
    <w:p w14:paraId="1E1F7926"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Carter, C. B. and Lorsch, J, « Back to the drawing Board: Designing corporate boards for a complex world »,Boston,MA : Harvard Business School Press, 2003, p839.</w:t>
      </w:r>
    </w:p>
    <w:p w14:paraId="38776632"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D. Vogel, </w:t>
      </w:r>
      <w:r w:rsidR="007D713D" w:rsidRPr="007D713D">
        <w:rPr>
          <w:rFonts w:cstheme="majorBidi"/>
          <w:sz w:val="22"/>
          <w:lang w:val="en-AE"/>
        </w:rPr>
        <w:t>« </w:t>
      </w:r>
      <w:r w:rsidRPr="00D00AB2">
        <w:rPr>
          <w:rFonts w:cstheme="majorBidi"/>
          <w:sz w:val="22"/>
          <w:lang w:val="en-AE"/>
        </w:rPr>
        <w:t>The Market for Virtue: The Potential and Limits of Corporate Social Responsibility</w:t>
      </w:r>
      <w:r w:rsidR="007D713D" w:rsidRPr="007D713D">
        <w:rPr>
          <w:rFonts w:cstheme="majorBidi"/>
          <w:sz w:val="22"/>
          <w:lang w:val="en-AE"/>
        </w:rPr>
        <w:t> »</w:t>
      </w:r>
      <w:r w:rsidRPr="00D00AB2">
        <w:rPr>
          <w:rFonts w:cstheme="majorBidi"/>
          <w:sz w:val="22"/>
          <w:lang w:val="en-AE"/>
        </w:rPr>
        <w:t>, Washington, Brookings Institution Press, 2005, p. 64.</w:t>
      </w:r>
    </w:p>
    <w:p w14:paraId="57985944"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Elkington, John, </w:t>
      </w:r>
      <w:r w:rsidR="007D713D" w:rsidRPr="007D713D">
        <w:rPr>
          <w:rFonts w:cstheme="majorBidi"/>
          <w:sz w:val="22"/>
          <w:lang w:val="en-AE"/>
        </w:rPr>
        <w:t>« </w:t>
      </w:r>
      <w:r w:rsidRPr="00D00AB2">
        <w:rPr>
          <w:rFonts w:cstheme="majorBidi"/>
          <w:sz w:val="22"/>
          <w:lang w:val="en-AE"/>
        </w:rPr>
        <w:t>Cannibals with Forks: The Triple Bottom Line of 21st Century Business</w:t>
      </w:r>
      <w:r w:rsidR="007D713D" w:rsidRPr="007D713D">
        <w:rPr>
          <w:rFonts w:cstheme="majorBidi"/>
          <w:sz w:val="22"/>
          <w:lang w:val="en-AE"/>
        </w:rPr>
        <w:t> »</w:t>
      </w:r>
      <w:r w:rsidRPr="00D00AB2">
        <w:rPr>
          <w:rFonts w:cstheme="majorBidi"/>
          <w:sz w:val="22"/>
          <w:lang w:val="en-AE"/>
        </w:rPr>
        <w:t>, New Society Publishers, 1998, 407 p. 375.</w:t>
      </w:r>
    </w:p>
    <w:p w14:paraId="0AA55C06"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FREEMAN R. Edward, </w:t>
      </w:r>
      <w:r w:rsidR="007D713D" w:rsidRPr="007D713D">
        <w:rPr>
          <w:rFonts w:cstheme="majorBidi"/>
          <w:sz w:val="22"/>
          <w:lang w:val="en-AE"/>
        </w:rPr>
        <w:t>« </w:t>
      </w:r>
      <w:r w:rsidRPr="00D00AB2">
        <w:rPr>
          <w:rFonts w:cstheme="majorBidi"/>
          <w:sz w:val="22"/>
          <w:lang w:val="en-AE"/>
        </w:rPr>
        <w:t>Strategic Management: A Stakeholder Approach</w:t>
      </w:r>
      <w:r w:rsidR="007D713D" w:rsidRPr="007D713D">
        <w:rPr>
          <w:rFonts w:cstheme="majorBidi"/>
          <w:sz w:val="22"/>
          <w:lang w:val="en-AE"/>
        </w:rPr>
        <w:t> »</w:t>
      </w:r>
      <w:r w:rsidRPr="00D00AB2">
        <w:rPr>
          <w:rFonts w:cstheme="majorBidi"/>
          <w:sz w:val="22"/>
          <w:lang w:val="en-AE"/>
        </w:rPr>
        <w:t>, Pitman Publishing, Boston, 1984, p. 46.</w:t>
      </w:r>
    </w:p>
    <w:p w14:paraId="04C80F40"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H. L. Johnson, </w:t>
      </w:r>
      <w:r w:rsidR="007D713D" w:rsidRPr="007D713D">
        <w:rPr>
          <w:rFonts w:cstheme="majorBidi"/>
          <w:sz w:val="22"/>
          <w:lang w:val="en-AE"/>
        </w:rPr>
        <w:t>« </w:t>
      </w:r>
      <w:r w:rsidRPr="00D00AB2">
        <w:rPr>
          <w:rFonts w:cstheme="majorBidi"/>
          <w:sz w:val="22"/>
          <w:lang w:val="en-AE"/>
        </w:rPr>
        <w:t>Business in Contemporary Society: Framework and Issues</w:t>
      </w:r>
      <w:r w:rsidR="007D713D" w:rsidRPr="007D713D">
        <w:rPr>
          <w:rFonts w:cstheme="majorBidi"/>
          <w:sz w:val="22"/>
          <w:lang w:val="en-AE"/>
        </w:rPr>
        <w:t> »</w:t>
      </w:r>
      <w:r w:rsidRPr="00D00AB2">
        <w:rPr>
          <w:rFonts w:cstheme="majorBidi"/>
          <w:sz w:val="22"/>
          <w:lang w:val="en-AE"/>
        </w:rPr>
        <w:t>, Belmont, Wadsworth, 1971, p. 19.</w:t>
      </w:r>
    </w:p>
    <w:p w14:paraId="09FDBF27" w14:textId="77777777" w:rsidR="00056C6A" w:rsidRPr="00D00AB2" w:rsidRDefault="001F7845" w:rsidP="001F7845">
      <w:pPr>
        <w:pStyle w:val="Paragraphedeliste"/>
        <w:numPr>
          <w:ilvl w:val="0"/>
          <w:numId w:val="209"/>
        </w:numPr>
        <w:spacing w:before="0" w:beforeAutospacing="0" w:line="259" w:lineRule="auto"/>
        <w:rPr>
          <w:rFonts w:cstheme="majorBidi"/>
          <w:sz w:val="22"/>
          <w:lang w:val="en-AE"/>
        </w:rPr>
      </w:pPr>
      <w:r>
        <w:rPr>
          <w:rFonts w:cstheme="majorBidi"/>
          <w:sz w:val="22"/>
          <w:lang w:val="en-AE"/>
        </w:rPr>
        <w:t>H.</w:t>
      </w:r>
      <w:r w:rsidRPr="001F7845">
        <w:rPr>
          <w:rFonts w:cstheme="majorBidi"/>
          <w:sz w:val="22"/>
          <w:lang w:val="en-AE"/>
        </w:rPr>
        <w:t xml:space="preserve"> R. Bowen, </w:t>
      </w:r>
      <w:r w:rsidR="007D713D" w:rsidRPr="007D713D">
        <w:rPr>
          <w:rFonts w:cstheme="majorBidi"/>
          <w:sz w:val="22"/>
          <w:lang w:val="en-AE"/>
        </w:rPr>
        <w:t>« </w:t>
      </w:r>
      <w:r w:rsidRPr="001F7845">
        <w:rPr>
          <w:rFonts w:cstheme="majorBidi"/>
          <w:sz w:val="22"/>
          <w:lang w:val="en-AE"/>
        </w:rPr>
        <w:t>Social Responsibilities of the Businessman</w:t>
      </w:r>
      <w:r w:rsidR="007D713D" w:rsidRPr="007D713D">
        <w:rPr>
          <w:rFonts w:cstheme="majorBidi"/>
          <w:sz w:val="22"/>
          <w:lang w:val="en-AE"/>
        </w:rPr>
        <w:t> »</w:t>
      </w:r>
      <w:r w:rsidRPr="001F7845">
        <w:rPr>
          <w:rFonts w:cstheme="majorBidi"/>
          <w:sz w:val="22"/>
          <w:lang w:val="en-AE"/>
        </w:rPr>
        <w:t>, Harper &amp; Brothers, New York, 1953, p. 6.</w:t>
      </w:r>
    </w:p>
    <w:p w14:paraId="669AF7C8"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Herzberg, Frederick, </w:t>
      </w:r>
      <w:r w:rsidR="007D713D" w:rsidRPr="007D713D">
        <w:rPr>
          <w:rFonts w:cstheme="majorBidi"/>
          <w:sz w:val="22"/>
          <w:lang w:val="en-AE"/>
        </w:rPr>
        <w:t>« </w:t>
      </w:r>
      <w:r w:rsidRPr="00D00AB2">
        <w:rPr>
          <w:rFonts w:cstheme="majorBidi"/>
          <w:sz w:val="22"/>
          <w:lang w:val="en-AE"/>
        </w:rPr>
        <w:t>Work and the Nature of Man</w:t>
      </w:r>
      <w:r w:rsidR="007D713D" w:rsidRPr="007D713D">
        <w:rPr>
          <w:rFonts w:cstheme="majorBidi"/>
          <w:sz w:val="22"/>
          <w:lang w:val="en-AE"/>
        </w:rPr>
        <w:t> »</w:t>
      </w:r>
      <w:r w:rsidRPr="00D00AB2">
        <w:rPr>
          <w:rFonts w:cstheme="majorBidi"/>
          <w:sz w:val="22"/>
          <w:lang w:val="en-AE"/>
        </w:rPr>
        <w:t>, New York, World Publishing Company, 1966, p. 200.</w:t>
      </w:r>
    </w:p>
    <w:p w14:paraId="6220B1D5"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 xml:space="preserve">J. W. McGuire, </w:t>
      </w:r>
      <w:r w:rsidR="007D713D" w:rsidRPr="007D713D">
        <w:rPr>
          <w:rFonts w:cstheme="majorBidi"/>
          <w:sz w:val="22"/>
          <w:lang w:val="en-AE"/>
        </w:rPr>
        <w:t>« </w:t>
      </w:r>
      <w:r w:rsidRPr="00D00AB2">
        <w:rPr>
          <w:rFonts w:cstheme="majorBidi"/>
          <w:sz w:val="22"/>
          <w:lang w:val="en-AE"/>
        </w:rPr>
        <w:t>Business and Society</w:t>
      </w:r>
      <w:r w:rsidR="007D713D" w:rsidRPr="007D713D">
        <w:rPr>
          <w:rFonts w:cstheme="majorBidi"/>
          <w:sz w:val="22"/>
          <w:lang w:val="en-AE"/>
        </w:rPr>
        <w:t> »</w:t>
      </w:r>
      <w:r w:rsidRPr="00D00AB2">
        <w:rPr>
          <w:rFonts w:cstheme="majorBidi"/>
          <w:sz w:val="22"/>
          <w:lang w:val="en-AE"/>
        </w:rPr>
        <w:t>, New York, McGraw-Hill, 1963, p. 28.</w:t>
      </w:r>
    </w:p>
    <w:p w14:paraId="1B533417" w14:textId="77777777" w:rsidR="00056C6A" w:rsidRPr="00D00AB2" w:rsidRDefault="00056C6A" w:rsidP="00F36332">
      <w:pPr>
        <w:pStyle w:val="Paragraphedeliste"/>
        <w:numPr>
          <w:ilvl w:val="0"/>
          <w:numId w:val="209"/>
        </w:numPr>
        <w:spacing w:before="0" w:beforeAutospacing="0" w:line="259" w:lineRule="auto"/>
        <w:rPr>
          <w:rFonts w:cstheme="majorBidi"/>
          <w:sz w:val="22"/>
        </w:rPr>
      </w:pPr>
      <w:r w:rsidRPr="00D00AB2">
        <w:rPr>
          <w:rFonts w:cstheme="majorBidi"/>
          <w:sz w:val="22"/>
        </w:rPr>
        <w:t>J. Rivero, Droit administratif, Paris, Dalloz, 1987. p. 112.</w:t>
      </w:r>
    </w:p>
    <w:p w14:paraId="6202058F"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John Rawls, « A Theory of Justice », Ed 1,Harvard University Press, Cambridge :Massachusetts, 1971,p83.</w:t>
      </w:r>
    </w:p>
    <w:p w14:paraId="029C296D"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John C. Coffee,</w:t>
      </w:r>
      <w:r w:rsidRPr="00D00AB2">
        <w:rPr>
          <w:rFonts w:cstheme="majorBidi"/>
          <w:b/>
          <w:bCs/>
          <w:sz w:val="22"/>
          <w:lang w:val="en-AE"/>
        </w:rPr>
        <w:t> « </w:t>
      </w:r>
      <w:r w:rsidRPr="00D00AB2">
        <w:rPr>
          <w:rFonts w:cstheme="majorBidi"/>
          <w:sz w:val="22"/>
          <w:lang w:val="en-AE"/>
        </w:rPr>
        <w:t>Gatekeepers: The Professions and Corporate Governance »,Ed 1, Oxford University Press, New York, 2006.</w:t>
      </w:r>
    </w:p>
    <w:p w14:paraId="3BEDF258"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Keasey.K, Thompson .S, Wright.M, « Corporate Governance Accountability, enterprise and international comparisons », The Wiley Finance Series, 2005,p 10.</w:t>
      </w:r>
    </w:p>
    <w:p w14:paraId="3276F935" w14:textId="77777777" w:rsidR="00056C6A" w:rsidRPr="00D00AB2" w:rsidRDefault="00056C6A" w:rsidP="00F36332">
      <w:pPr>
        <w:pStyle w:val="Paragraphedeliste"/>
        <w:numPr>
          <w:ilvl w:val="0"/>
          <w:numId w:val="209"/>
        </w:numPr>
        <w:spacing w:before="0" w:beforeAutospacing="0" w:line="259" w:lineRule="auto"/>
        <w:rPr>
          <w:rFonts w:cstheme="majorBidi"/>
          <w:sz w:val="22"/>
          <w:lang w:val="en-AE"/>
        </w:rPr>
      </w:pPr>
      <w:r w:rsidRPr="00D00AB2">
        <w:rPr>
          <w:rFonts w:cstheme="majorBidi"/>
          <w:sz w:val="22"/>
          <w:lang w:val="en-AE"/>
        </w:rPr>
        <w:t>Kooiman Jan, « Governing as Governance », Sage Publications</w:t>
      </w:r>
      <w:r w:rsidR="007D713D" w:rsidRPr="007D713D">
        <w:rPr>
          <w:rFonts w:cstheme="majorBidi"/>
          <w:sz w:val="22"/>
          <w:lang w:val="en-AE"/>
        </w:rPr>
        <w:t xml:space="preserve"> LTD</w:t>
      </w:r>
      <w:r w:rsidRPr="00D00AB2">
        <w:rPr>
          <w:rFonts w:cstheme="majorBidi"/>
          <w:sz w:val="22"/>
          <w:lang w:val="en-AE"/>
        </w:rPr>
        <w:t>,</w:t>
      </w:r>
      <w:r w:rsidR="007D713D" w:rsidRPr="007D713D">
        <w:rPr>
          <w:rFonts w:cstheme="majorBidi"/>
          <w:sz w:val="22"/>
          <w:lang w:val="en-AE"/>
        </w:rPr>
        <w:t>london,</w:t>
      </w:r>
      <w:r w:rsidRPr="00D00AB2">
        <w:rPr>
          <w:rFonts w:cstheme="majorBidi"/>
          <w:sz w:val="22"/>
          <w:lang w:val="en-AE"/>
        </w:rPr>
        <w:t xml:space="preserve"> 2003, p20.</w:t>
      </w:r>
    </w:p>
    <w:p w14:paraId="19432B91" w14:textId="77777777" w:rsidR="00056C6A" w:rsidRPr="00D00AB2" w:rsidRDefault="00056C6A" w:rsidP="007D713D">
      <w:pPr>
        <w:pStyle w:val="Paragraphedeliste"/>
        <w:numPr>
          <w:ilvl w:val="0"/>
          <w:numId w:val="209"/>
        </w:numPr>
        <w:spacing w:after="100" w:afterAutospacing="1" w:line="240" w:lineRule="auto"/>
        <w:rPr>
          <w:rFonts w:eastAsia="Times New Roman" w:cstheme="majorBidi"/>
          <w:sz w:val="22"/>
          <w:lang w:val="en-AE" w:eastAsia="fr-FR"/>
        </w:rPr>
      </w:pPr>
      <w:r w:rsidRPr="00D00AB2">
        <w:rPr>
          <w:rFonts w:eastAsia="Times New Roman" w:cstheme="majorBidi"/>
          <w:sz w:val="22"/>
          <w:lang w:val="en-AE" w:eastAsia="fr-FR"/>
        </w:rPr>
        <w:lastRenderedPageBreak/>
        <w:t xml:space="preserve">Michael Power, </w:t>
      </w:r>
      <w:r w:rsidR="007D713D" w:rsidRPr="007D713D">
        <w:rPr>
          <w:rFonts w:eastAsia="Times New Roman" w:cstheme="majorBidi"/>
          <w:sz w:val="22"/>
          <w:lang w:val="en-AE" w:eastAsia="fr-FR"/>
        </w:rPr>
        <w:t>« </w:t>
      </w:r>
      <w:r w:rsidRPr="00D00AB2">
        <w:rPr>
          <w:rFonts w:eastAsia="Times New Roman" w:cstheme="majorBidi"/>
          <w:sz w:val="22"/>
          <w:lang w:val="en-AE" w:eastAsia="fr-FR"/>
        </w:rPr>
        <w:t>The Audit Society: Rituals of Verification</w:t>
      </w:r>
      <w:r w:rsidR="007D713D" w:rsidRPr="007D713D">
        <w:rPr>
          <w:rFonts w:eastAsia="Times New Roman" w:cstheme="majorBidi"/>
          <w:sz w:val="22"/>
          <w:lang w:val="en-AE" w:eastAsia="fr-FR"/>
        </w:rPr>
        <w:t> »</w:t>
      </w:r>
      <w:r w:rsidRPr="00D00AB2">
        <w:rPr>
          <w:rFonts w:eastAsia="Times New Roman" w:cstheme="majorBidi"/>
          <w:sz w:val="22"/>
          <w:lang w:val="en-AE" w:eastAsia="fr-FR"/>
        </w:rPr>
        <w:t>, Oxford University Press,</w:t>
      </w:r>
      <w:r w:rsidR="007D713D" w:rsidRPr="007D713D">
        <w:rPr>
          <w:rFonts w:eastAsia="Times New Roman" w:cstheme="majorBidi"/>
          <w:sz w:val="22"/>
          <w:lang w:val="en-AE" w:eastAsia="fr-FR"/>
        </w:rPr>
        <w:t>Oxford,</w:t>
      </w:r>
      <w:r w:rsidRPr="00D00AB2">
        <w:rPr>
          <w:rFonts w:eastAsia="Times New Roman" w:cstheme="majorBidi"/>
          <w:sz w:val="22"/>
          <w:lang w:val="en-AE" w:eastAsia="fr-FR"/>
        </w:rPr>
        <w:t xml:space="preserve"> 1997.p. 45.</w:t>
      </w:r>
    </w:p>
    <w:p w14:paraId="40EB0DD3" w14:textId="77777777" w:rsidR="00056C6A" w:rsidRPr="00D00AB2" w:rsidRDefault="00056C6A" w:rsidP="007D713D">
      <w:pPr>
        <w:pStyle w:val="Paragraphedeliste"/>
        <w:numPr>
          <w:ilvl w:val="0"/>
          <w:numId w:val="209"/>
        </w:numPr>
        <w:spacing w:after="100" w:afterAutospacing="1" w:line="240" w:lineRule="auto"/>
        <w:rPr>
          <w:rFonts w:eastAsia="Times New Roman" w:cstheme="majorBidi"/>
          <w:sz w:val="22"/>
          <w:lang w:val="en-AE" w:eastAsia="fr-FR"/>
        </w:rPr>
      </w:pPr>
      <w:r w:rsidRPr="00D00AB2">
        <w:rPr>
          <w:rFonts w:eastAsia="Times New Roman" w:cstheme="majorBidi"/>
          <w:sz w:val="22"/>
          <w:lang w:val="en-AE" w:eastAsia="fr-FR"/>
        </w:rPr>
        <w:t>Norman E. Bowie,</w:t>
      </w:r>
      <w:r w:rsidR="007D713D" w:rsidRPr="007D713D">
        <w:rPr>
          <w:rFonts w:eastAsia="Times New Roman" w:cstheme="majorBidi"/>
          <w:sz w:val="22"/>
          <w:lang w:val="en-AE" w:eastAsia="fr-FR"/>
        </w:rPr>
        <w:t> « </w:t>
      </w:r>
      <w:r w:rsidRPr="00D00AB2">
        <w:rPr>
          <w:rFonts w:eastAsia="Times New Roman" w:cstheme="majorBidi"/>
          <w:sz w:val="22"/>
          <w:lang w:val="en-AE" w:eastAsia="fr-FR"/>
        </w:rPr>
        <w:t xml:space="preserve"> Business Ethics: A Kantian Perspective</w:t>
      </w:r>
      <w:r w:rsidR="007D713D" w:rsidRPr="007D713D">
        <w:rPr>
          <w:rFonts w:eastAsia="Times New Roman" w:cstheme="majorBidi"/>
          <w:sz w:val="22"/>
          <w:lang w:val="en-AE" w:eastAsia="fr-FR"/>
        </w:rPr>
        <w:t> »</w:t>
      </w:r>
      <w:r w:rsidRPr="00D00AB2">
        <w:rPr>
          <w:rFonts w:eastAsia="Times New Roman" w:cstheme="majorBidi"/>
          <w:sz w:val="22"/>
          <w:lang w:val="en-AE" w:eastAsia="fr-FR"/>
        </w:rPr>
        <w:t>, Wiley,</w:t>
      </w:r>
      <w:r w:rsidR="007D713D" w:rsidRPr="007D713D">
        <w:rPr>
          <w:rFonts w:eastAsia="Times New Roman" w:cstheme="majorBidi"/>
          <w:sz w:val="22"/>
          <w:lang w:val="en-AE" w:eastAsia="fr-FR"/>
        </w:rPr>
        <w:t xml:space="preserve"> </w:t>
      </w:r>
      <w:r w:rsidR="007D713D" w:rsidRPr="00D00AB2">
        <w:rPr>
          <w:rFonts w:eastAsia="Times New Roman" w:cstheme="majorBidi"/>
          <w:sz w:val="22"/>
          <w:lang w:val="en-AE" w:eastAsia="fr-FR"/>
        </w:rPr>
        <w:t>Oxford,</w:t>
      </w:r>
      <w:r w:rsidRPr="00D00AB2">
        <w:rPr>
          <w:rFonts w:eastAsia="Times New Roman" w:cstheme="majorBidi"/>
          <w:sz w:val="22"/>
          <w:lang w:val="en-AE" w:eastAsia="fr-FR"/>
        </w:rPr>
        <w:t xml:space="preserve"> 1999. p. 88.</w:t>
      </w:r>
    </w:p>
    <w:p w14:paraId="147E41AE" w14:textId="77777777" w:rsidR="00056C6A" w:rsidRPr="00D00AB2" w:rsidRDefault="00056C6A" w:rsidP="00F36332">
      <w:pPr>
        <w:pStyle w:val="Paragraphedeliste"/>
        <w:numPr>
          <w:ilvl w:val="0"/>
          <w:numId w:val="209"/>
        </w:numPr>
        <w:spacing w:after="100" w:afterAutospacing="1" w:line="240" w:lineRule="auto"/>
        <w:rPr>
          <w:rFonts w:eastAsia="Times New Roman" w:cstheme="majorBidi"/>
          <w:sz w:val="22"/>
          <w:lang w:eastAsia="fr-FR"/>
        </w:rPr>
      </w:pPr>
      <w:r w:rsidRPr="00D00AB2">
        <w:rPr>
          <w:rFonts w:eastAsia="Times New Roman" w:cstheme="majorBidi"/>
          <w:sz w:val="22"/>
          <w:lang w:eastAsia="fr-FR"/>
        </w:rPr>
        <w:t>Organisation internationale de normalisation,</w:t>
      </w:r>
      <w:r w:rsidR="007D713D">
        <w:rPr>
          <w:rFonts w:eastAsia="Times New Roman" w:cstheme="majorBidi"/>
          <w:sz w:val="22"/>
          <w:lang w:eastAsia="fr-FR"/>
        </w:rPr>
        <w:t> « </w:t>
      </w:r>
      <w:r w:rsidR="007D713D" w:rsidRPr="00D00AB2">
        <w:rPr>
          <w:rFonts w:eastAsia="Times New Roman" w:cstheme="majorBidi"/>
          <w:sz w:val="22"/>
          <w:lang w:eastAsia="fr-FR"/>
        </w:rPr>
        <w:t>ISO</w:t>
      </w:r>
      <w:r w:rsidRPr="00D00AB2">
        <w:rPr>
          <w:rFonts w:eastAsia="Times New Roman" w:cstheme="majorBidi"/>
          <w:sz w:val="22"/>
          <w:lang w:eastAsia="fr-FR"/>
        </w:rPr>
        <w:t xml:space="preserve"> </w:t>
      </w:r>
      <w:r w:rsidR="00CB40A3" w:rsidRPr="00D00AB2">
        <w:rPr>
          <w:rFonts w:eastAsia="Times New Roman" w:cstheme="majorBidi"/>
          <w:sz w:val="22"/>
          <w:lang w:eastAsia="fr-FR"/>
        </w:rPr>
        <w:t>26000 :</w:t>
      </w:r>
      <w:r w:rsidRPr="00D00AB2">
        <w:rPr>
          <w:rFonts w:eastAsia="Times New Roman" w:cstheme="majorBidi"/>
          <w:sz w:val="22"/>
          <w:lang w:eastAsia="fr-FR"/>
        </w:rPr>
        <w:t xml:space="preserve"> Guidance on social responsibility</w:t>
      </w:r>
      <w:r w:rsidR="007D713D">
        <w:rPr>
          <w:rFonts w:eastAsia="Times New Roman" w:cstheme="majorBidi"/>
          <w:sz w:val="22"/>
          <w:lang w:eastAsia="fr-FR"/>
        </w:rPr>
        <w:t> »</w:t>
      </w:r>
      <w:r w:rsidRPr="00D00AB2">
        <w:rPr>
          <w:rFonts w:eastAsia="Times New Roman" w:cstheme="majorBidi"/>
          <w:sz w:val="22"/>
          <w:lang w:eastAsia="fr-FR"/>
        </w:rPr>
        <w:t>, Genève, 2010, p. 7.</w:t>
      </w:r>
    </w:p>
    <w:p w14:paraId="4AAA6483" w14:textId="77777777" w:rsidR="00056C6A" w:rsidRPr="00D00AB2" w:rsidRDefault="00056C6A" w:rsidP="007D713D">
      <w:pPr>
        <w:pStyle w:val="Paragraphedeliste"/>
        <w:numPr>
          <w:ilvl w:val="0"/>
          <w:numId w:val="209"/>
        </w:numPr>
        <w:spacing w:after="100" w:afterAutospacing="1" w:line="240" w:lineRule="auto"/>
        <w:rPr>
          <w:rFonts w:eastAsia="Times New Roman" w:cstheme="majorBidi"/>
          <w:sz w:val="22"/>
          <w:lang w:val="en-AE" w:eastAsia="fr-FR"/>
        </w:rPr>
      </w:pPr>
      <w:r w:rsidRPr="00D00AB2">
        <w:rPr>
          <w:rFonts w:eastAsia="Times New Roman" w:cstheme="majorBidi"/>
          <w:sz w:val="22"/>
          <w:lang w:val="en-AE" w:eastAsia="fr-FR"/>
        </w:rPr>
        <w:t xml:space="preserve">R. Ackerman, </w:t>
      </w:r>
      <w:r w:rsidR="007D713D" w:rsidRPr="007D713D">
        <w:rPr>
          <w:rFonts w:eastAsia="Times New Roman" w:cstheme="majorBidi"/>
          <w:sz w:val="22"/>
          <w:lang w:val="en-AE" w:eastAsia="fr-FR"/>
        </w:rPr>
        <w:t>« </w:t>
      </w:r>
      <w:r w:rsidRPr="00D00AB2">
        <w:rPr>
          <w:rFonts w:eastAsia="Times New Roman" w:cstheme="majorBidi"/>
          <w:sz w:val="22"/>
          <w:lang w:val="en-AE" w:eastAsia="fr-FR"/>
        </w:rPr>
        <w:t>The Social Challenge to Business</w:t>
      </w:r>
      <w:r w:rsidR="007D713D" w:rsidRPr="007D713D">
        <w:rPr>
          <w:rFonts w:eastAsia="Times New Roman" w:cstheme="majorBidi"/>
          <w:sz w:val="22"/>
          <w:lang w:val="en-AE" w:eastAsia="fr-FR"/>
        </w:rPr>
        <w:t> »</w:t>
      </w:r>
      <w:r w:rsidRPr="00D00AB2">
        <w:rPr>
          <w:rFonts w:eastAsia="Times New Roman" w:cstheme="majorBidi"/>
          <w:sz w:val="22"/>
          <w:lang w:val="en-AE" w:eastAsia="fr-FR"/>
        </w:rPr>
        <w:t>, Harvard University Press,</w:t>
      </w:r>
      <w:r w:rsidR="007D713D" w:rsidRPr="007D713D">
        <w:rPr>
          <w:rFonts w:eastAsia="Times New Roman" w:cstheme="majorBidi"/>
          <w:sz w:val="22"/>
          <w:lang w:val="en-AE" w:eastAsia="fr-FR"/>
        </w:rPr>
        <w:t xml:space="preserve"> </w:t>
      </w:r>
      <w:r w:rsidR="007D713D" w:rsidRPr="00D00AB2">
        <w:rPr>
          <w:rFonts w:eastAsia="Times New Roman" w:cstheme="majorBidi"/>
          <w:sz w:val="22"/>
          <w:lang w:val="en-AE" w:eastAsia="fr-FR"/>
        </w:rPr>
        <w:t>Cambridge,</w:t>
      </w:r>
      <w:r w:rsidRPr="00D00AB2">
        <w:rPr>
          <w:rFonts w:eastAsia="Times New Roman" w:cstheme="majorBidi"/>
          <w:sz w:val="22"/>
          <w:lang w:val="en-AE" w:eastAsia="fr-FR"/>
        </w:rPr>
        <w:t xml:space="preserve"> 1975, p. 53.</w:t>
      </w:r>
    </w:p>
    <w:p w14:paraId="05DEC731" w14:textId="77777777" w:rsidR="00056C6A" w:rsidRPr="00D00AB2" w:rsidRDefault="00056C6A" w:rsidP="00F36332">
      <w:pPr>
        <w:pStyle w:val="Paragraphedeliste"/>
        <w:numPr>
          <w:ilvl w:val="0"/>
          <w:numId w:val="209"/>
        </w:numPr>
        <w:spacing w:after="100" w:afterAutospacing="1" w:line="240" w:lineRule="auto"/>
        <w:rPr>
          <w:rFonts w:eastAsia="Times New Roman" w:cstheme="majorBidi"/>
          <w:sz w:val="22"/>
          <w:lang w:val="en-AE" w:eastAsia="fr-FR"/>
        </w:rPr>
      </w:pPr>
      <w:r w:rsidRPr="00D00AB2">
        <w:rPr>
          <w:rFonts w:eastAsia="Times New Roman" w:cstheme="majorBidi"/>
          <w:sz w:val="22"/>
          <w:lang w:val="en-AE" w:eastAsia="fr-FR"/>
        </w:rPr>
        <w:t>Paolon</w:t>
      </w:r>
      <w:r w:rsidR="007D713D">
        <w:rPr>
          <w:rFonts w:eastAsia="Times New Roman" w:cstheme="majorBidi"/>
          <w:sz w:val="22"/>
          <w:lang w:val="en-AE" w:eastAsia="fr-FR"/>
        </w:rPr>
        <w:t xml:space="preserve">i Mauro </w:t>
      </w:r>
      <w:r w:rsidR="007D713D" w:rsidRPr="007D713D">
        <w:rPr>
          <w:rFonts w:eastAsia="Times New Roman" w:cstheme="majorBidi"/>
          <w:sz w:val="22"/>
          <w:lang w:val="en-AE" w:eastAsia="fr-FR"/>
        </w:rPr>
        <w:t>,</w:t>
      </w:r>
      <w:r w:rsidR="007D713D">
        <w:rPr>
          <w:rFonts w:eastAsia="Times New Roman" w:cstheme="majorBidi"/>
          <w:sz w:val="22"/>
          <w:lang w:val="en-AE" w:eastAsia="fr-FR"/>
        </w:rPr>
        <w:t xml:space="preserve"> Paoloni</w:t>
      </w:r>
      <w:r w:rsidR="007D713D" w:rsidRPr="007D713D">
        <w:rPr>
          <w:rFonts w:eastAsia="Times New Roman" w:cstheme="majorBidi"/>
          <w:sz w:val="22"/>
          <w:lang w:val="en-AE" w:eastAsia="fr-FR"/>
        </w:rPr>
        <w:t xml:space="preserve"> </w:t>
      </w:r>
      <w:r w:rsidR="007D713D">
        <w:rPr>
          <w:rFonts w:eastAsia="Times New Roman" w:cstheme="majorBidi"/>
          <w:sz w:val="22"/>
          <w:lang w:val="en-AE" w:eastAsia="fr-FR"/>
        </w:rPr>
        <w:t xml:space="preserve">Paola </w:t>
      </w:r>
      <w:r w:rsidR="007D713D" w:rsidRPr="007D713D">
        <w:rPr>
          <w:rFonts w:eastAsia="Times New Roman" w:cstheme="majorBidi"/>
          <w:sz w:val="22"/>
          <w:lang w:val="en-AE" w:eastAsia="fr-FR"/>
        </w:rPr>
        <w:t>,</w:t>
      </w:r>
      <w:r w:rsidR="007D713D">
        <w:rPr>
          <w:rFonts w:eastAsia="Times New Roman" w:cstheme="majorBidi"/>
          <w:sz w:val="22"/>
          <w:lang w:val="en-AE" w:eastAsia="fr-FR"/>
        </w:rPr>
        <w:t xml:space="preserve"> Arduini</w:t>
      </w:r>
      <w:r w:rsidR="007D713D" w:rsidRPr="007D713D">
        <w:rPr>
          <w:rFonts w:eastAsia="Times New Roman" w:cstheme="majorBidi"/>
          <w:sz w:val="22"/>
          <w:lang w:val="en-AE" w:eastAsia="fr-FR"/>
        </w:rPr>
        <w:t xml:space="preserve"> </w:t>
      </w:r>
      <w:r w:rsidRPr="00D00AB2">
        <w:rPr>
          <w:rFonts w:eastAsia="Times New Roman" w:cstheme="majorBidi"/>
          <w:sz w:val="22"/>
          <w:lang w:val="en-AE" w:eastAsia="fr-FR"/>
        </w:rPr>
        <w:t xml:space="preserve">Simona (dir.), </w:t>
      </w:r>
      <w:r w:rsidR="007D713D" w:rsidRPr="007D713D">
        <w:rPr>
          <w:rFonts w:eastAsia="Times New Roman" w:cstheme="majorBidi"/>
          <w:sz w:val="22"/>
          <w:lang w:val="en-AE" w:eastAsia="fr-FR"/>
        </w:rPr>
        <w:t>« </w:t>
      </w:r>
      <w:r w:rsidRPr="00D00AB2">
        <w:rPr>
          <w:rFonts w:eastAsia="Times New Roman" w:cstheme="majorBidi"/>
          <w:sz w:val="22"/>
          <w:lang w:val="en-AE" w:eastAsia="fr-FR"/>
        </w:rPr>
        <w:t>ICGR 2019 – 2nd International Conference on Gender Research</w:t>
      </w:r>
      <w:r w:rsidR="007D713D" w:rsidRPr="007D713D">
        <w:rPr>
          <w:rFonts w:eastAsia="Times New Roman" w:cstheme="majorBidi"/>
          <w:sz w:val="22"/>
          <w:lang w:val="en-AE" w:eastAsia="fr-FR"/>
        </w:rPr>
        <w:t> »</w:t>
      </w:r>
      <w:r w:rsidRPr="00D00AB2">
        <w:rPr>
          <w:rFonts w:eastAsia="Times New Roman" w:cstheme="majorBidi"/>
          <w:sz w:val="22"/>
          <w:lang w:val="en-AE" w:eastAsia="fr-FR"/>
        </w:rPr>
        <w:t>, Academic Conferences and Publishing International, 2019, p. 164.</w:t>
      </w:r>
    </w:p>
    <w:p w14:paraId="4E8C4EDC" w14:textId="77777777" w:rsidR="00056C6A" w:rsidRPr="00D00AB2" w:rsidRDefault="00056C6A" w:rsidP="00056C6A">
      <w:pPr>
        <w:pStyle w:val="Paragraphedeliste"/>
        <w:rPr>
          <w:rFonts w:cstheme="majorBidi"/>
          <w:color w:val="4472C4" w:themeColor="accent1"/>
          <w:sz w:val="22"/>
          <w:lang w:val="en-AE"/>
        </w:rPr>
      </w:pPr>
    </w:p>
    <w:p w14:paraId="77BA2044" w14:textId="77777777" w:rsidR="00056C6A" w:rsidRPr="00D00AB2" w:rsidRDefault="00056C6A" w:rsidP="00F36332">
      <w:pPr>
        <w:pStyle w:val="Paragraphedeliste"/>
        <w:numPr>
          <w:ilvl w:val="0"/>
          <w:numId w:val="206"/>
        </w:numPr>
        <w:spacing w:before="0" w:beforeAutospacing="0" w:line="259" w:lineRule="auto"/>
        <w:ind w:left="714" w:hanging="357"/>
        <w:contextualSpacing w:val="0"/>
        <w:rPr>
          <w:rFonts w:cstheme="majorBidi"/>
          <w:b/>
          <w:bCs/>
          <w:sz w:val="22"/>
        </w:rPr>
      </w:pPr>
      <w:r w:rsidRPr="00D00AB2">
        <w:rPr>
          <w:rFonts w:cstheme="majorBidi"/>
          <w:b/>
          <w:bCs/>
          <w:sz w:val="22"/>
        </w:rPr>
        <w:t>Journals and magazines :</w:t>
      </w:r>
    </w:p>
    <w:p w14:paraId="3A74C272"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A. B. Carroll, « The Pyramid of Corporate Social Responsibility », Business Horizons, vol. 34, n°4, 1991, p. 4.</w:t>
      </w:r>
    </w:p>
    <w:p w14:paraId="2C545F10"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Abagail McWilliams &amp; Donald Siegel, « Corporate Social Responsibility: A Theory of the Firm Perspective », Academy of Management Review, vol. 26, n° 1, 2001, p. 119.</w:t>
      </w:r>
    </w:p>
    <w:p w14:paraId="3BCFC5E0" w14:textId="77777777" w:rsidR="00D31B22" w:rsidRDefault="00BD3A95" w:rsidP="00BD3A95">
      <w:pPr>
        <w:pStyle w:val="Paragraphedeliste"/>
        <w:numPr>
          <w:ilvl w:val="0"/>
          <w:numId w:val="216"/>
        </w:numPr>
        <w:spacing w:before="0" w:beforeAutospacing="0" w:line="259" w:lineRule="auto"/>
        <w:rPr>
          <w:rFonts w:cstheme="majorBidi"/>
          <w:sz w:val="22"/>
          <w:lang w:val="en-AE"/>
        </w:rPr>
      </w:pPr>
      <w:r w:rsidRPr="00BD3A95">
        <w:rPr>
          <w:rFonts w:cstheme="majorBidi"/>
          <w:sz w:val="22"/>
          <w:lang w:val="en-AE"/>
        </w:rPr>
        <w:t>AGUILERA Ruth V., JACKSON Gregory, « The Cross-National Diversity of Corporate Governance: Dimensions and Determinants », Academy of Management Review, Vol. 28, N°3, 2003, pp. 447–465.</w:t>
      </w:r>
    </w:p>
    <w:p w14:paraId="2CE6ECC8" w14:textId="77777777" w:rsidR="00D31B22" w:rsidRDefault="00D31B22" w:rsidP="00D31B22">
      <w:pPr>
        <w:pStyle w:val="Paragraphedeliste"/>
        <w:numPr>
          <w:ilvl w:val="0"/>
          <w:numId w:val="216"/>
        </w:numPr>
        <w:spacing w:before="0" w:beforeAutospacing="0" w:line="259" w:lineRule="auto"/>
        <w:rPr>
          <w:rFonts w:cstheme="majorBidi"/>
          <w:sz w:val="22"/>
          <w:lang w:val="en-AE"/>
        </w:rPr>
      </w:pPr>
      <w:r w:rsidRPr="00D31B22">
        <w:rPr>
          <w:rFonts w:cstheme="majorBidi"/>
          <w:sz w:val="22"/>
          <w:lang w:val="en-AE"/>
        </w:rPr>
        <w:t>AL-TAEE Mohammed, « The Relationship Between Corporate Strategy &amp; Corporate Social Responsibility – A Case Study on Zarqa University »,Economie et société, Vol. 09, N°09, 2013, p 50.</w:t>
      </w:r>
    </w:p>
    <w:p w14:paraId="3216764B" w14:textId="77777777" w:rsidR="008A2745" w:rsidRDefault="008A2745" w:rsidP="008A2745">
      <w:pPr>
        <w:pStyle w:val="Paragraphedeliste"/>
        <w:numPr>
          <w:ilvl w:val="0"/>
          <w:numId w:val="216"/>
        </w:numPr>
        <w:spacing w:before="0" w:beforeAutospacing="0" w:line="259" w:lineRule="auto"/>
        <w:rPr>
          <w:rFonts w:cstheme="majorBidi"/>
          <w:sz w:val="22"/>
          <w:lang w:val="en-AE"/>
        </w:rPr>
      </w:pPr>
      <w:r w:rsidRPr="008A2745">
        <w:rPr>
          <w:rFonts w:cstheme="majorBidi"/>
          <w:sz w:val="22"/>
          <w:lang w:val="en-AE"/>
        </w:rPr>
        <w:t>BELGAT Amira, HAMANA Kamel, « The Role of Transparency and Disclosure in the Adoption of Social Responsibility Dimensions – A Case Study of Naftal Annaba », Algerian Review of Economic Development, Vol. 08, N°02, 2021, pp. 399–414.</w:t>
      </w:r>
    </w:p>
    <w:p w14:paraId="22C4F995" w14:textId="77777777" w:rsidR="00491F4A" w:rsidRPr="00D00AB2" w:rsidRDefault="00491F4A" w:rsidP="00BD3A95">
      <w:pPr>
        <w:pStyle w:val="Paragraphedeliste"/>
        <w:numPr>
          <w:ilvl w:val="0"/>
          <w:numId w:val="216"/>
        </w:numPr>
        <w:spacing w:before="0" w:beforeAutospacing="0" w:line="259" w:lineRule="auto"/>
        <w:rPr>
          <w:rFonts w:cstheme="majorBidi"/>
          <w:sz w:val="22"/>
          <w:lang w:val="en-AE"/>
        </w:rPr>
      </w:pPr>
      <w:r w:rsidRPr="00491F4A">
        <w:rPr>
          <w:rFonts w:cstheme="majorBidi"/>
          <w:sz w:val="22"/>
          <w:lang w:val="en-AE"/>
        </w:rPr>
        <w:t>BESSAID Oussama Nabil, « The Role of Social Responsibility in Improving Ethics Corporate Governance – Case of Enterprise Sonatrach », Journal of North African Economies, Vol. 19, N°32, ISSN 1112-6132, Université de Chlef, Algérie, 2025,p. 215.</w:t>
      </w:r>
    </w:p>
    <w:p w14:paraId="79A796E7"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Brian R. Cheffins, « Corporate Governance Reform: Britain as an Exporter », SSRN Electronic journal,Vol 08 , issue 1,2000, p38.</w:t>
      </w:r>
    </w:p>
    <w:p w14:paraId="2D550A97"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 J. Wood, « Corporate Social Performance Revisited », Academy of Management Review, vol. 16, n°4, 1991, p. 699.</w:t>
      </w:r>
    </w:p>
    <w:p w14:paraId="32840146"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 L. Swanson, « Addressing a theoretical problem by reorienting the corporate social performance model », Academy of Management Review, vol. 20, n°1, 1995, p. 47.</w:t>
      </w:r>
    </w:p>
    <w:p w14:paraId="0D3199AC"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 Matten et J. Moon, « Implicit and explicit CSR », Academy of Management Review, vol. 33, n°2, 2008, p. 411.</w:t>
      </w:r>
    </w:p>
    <w:p w14:paraId="42E11AA6"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 R. Dalton et A. Cosier, « The Four Faces of Social Responsibility », Business Horizons, vol. 25, n°3, 1982, p. 19.</w:t>
      </w:r>
    </w:p>
    <w:p w14:paraId="50C830DD"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Davis K., “Can Business Afford to Ignore Social Responsibilities?”, California Management Review, Vol. 2, No. 3, University of California Press, April 1960, p. 76.</w:t>
      </w:r>
    </w:p>
    <w:p w14:paraId="2B0770F8"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Deepa Narayan, « Voices of the Poor », World Bank, Washington D.C., 2000,p176.</w:t>
      </w:r>
    </w:p>
    <w:p w14:paraId="57859609"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DIAMOND, D., &amp; DYBVIG, P, « Bank run, Insurance and Liquidity », Journal of Political Economy, vol 91, issue 3, 1983, p130.</w:t>
      </w:r>
    </w:p>
    <w:p w14:paraId="3AD9BD19" w14:textId="77777777" w:rsidR="00056C6A" w:rsidRPr="00D00AB2" w:rsidRDefault="00056C6A" w:rsidP="003D0E9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DONALDSON Thomas, PRESTON Lee E., « The Stakeholder Theory of the Corporation: Concepts, Evidence, and Implications », Academy of Management Review, Vol. 20, N°01, New York, 1995, p.78.</w:t>
      </w:r>
    </w:p>
    <w:p w14:paraId="4E383C27"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EPSTEIN Edwin M., « Religion and Business – The Critical Role of Religious Traditions in Management Education », Journal of Business Ethics, Vol. 38, N°1–2, 2002, p.94.</w:t>
      </w:r>
    </w:p>
    <w:p w14:paraId="5E68765D"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F. Tuzzolino et B. R. Armandi, « A Need-Hierarchy Framework for Assessing Corporate Social Responsibility », Academy of Management Review, vol. 6, 1981, p. 21.</w:t>
      </w:r>
    </w:p>
    <w:p w14:paraId="6891B196"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lastRenderedPageBreak/>
        <w:t>Garriga E., Melé D., “Corporate Social Responsibility Theories: Mapping the Territory”, Journal of Business Ethics, Vol. 53, No. 1/2, Springer, August 2004, p. 55.</w:t>
      </w:r>
    </w:p>
    <w:p w14:paraId="3856C599"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Hopwood, A. G., « An Empirical Study of the Role of Accounting Data in Performance Evaluation », Journal of Accounting Research, vol. 10, 1972, p. 159.</w:t>
      </w:r>
    </w:p>
    <w:p w14:paraId="73E74CF4"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IDRISSI, N., &amp; CHARIF, A., « The impact of the internal governance mechanisms on the value creation »,International Journal of Accounting-Finance-Auditing, Management and Economics, vol. 3, issue 3-2, 2022,p 177.</w:t>
      </w:r>
    </w:p>
    <w:p w14:paraId="0B802CB2"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 NORTON, « International Financial Institutions and the Movement Toward Greater Accountability and Transparency: The Case of Legal Reform Programmes and the Problem of Evaluation », International Lawyer, Vol35, N°01, 2001, p 1452.</w:t>
      </w:r>
    </w:p>
    <w:p w14:paraId="4F3F6C79"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Jaiswal S., Kharwar S. S., “Environmental Responsibility as a Core Dimension of Corporate Social Responsibility: A Conceptual Framework”, Journal of Economics and Management, Vol. 5, No. 2, April 2026, p. 43.</w:t>
      </w:r>
    </w:p>
    <w:p w14:paraId="4F31468E"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Jensen, M. C, « The Modem Industrial Revolution, Exit, and the Failure of Internal Control Systems », Journal of Finance, vol 48, issue 3, 1993, p 25.</w:t>
      </w:r>
    </w:p>
    <w:p w14:paraId="306CA54E"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Jensen, M.C. et Meckling, « Theory of the Firm: Management Behaviour, Agency Cost and Ownership Structure », Journal of Financial Economic, vol 03, issue 4,1976, p 310.</w:t>
      </w:r>
    </w:p>
    <w:p w14:paraId="530E7481"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John C. Coates, « The Goals and Promise of the Sarbanes–Oxley Act », Journal of Economic Perspectives,Vol.21, issue 1,2007,p 92.</w:t>
      </w:r>
    </w:p>
    <w:p w14:paraId="6C986A87"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John Pound,« The Rise of the Political Model of Corporate Governance and Corporate Control »,Ed1, Harvard University, 1992,p70.</w:t>
      </w:r>
    </w:p>
    <w:p w14:paraId="2E3BABF0" w14:textId="77777777" w:rsidR="00056C6A"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Julian Franks et Colin Mayer, « Corporate Ownership and Control in the U.K., Germany, and France », Journal of Applied Corporate Finance, vol. 9, issue 4, 1997, p 38.</w:t>
      </w:r>
    </w:p>
    <w:p w14:paraId="423FE96F" w14:textId="77777777" w:rsidR="00056C6A"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K. Davis, « The Case for and Against Business Assumption of Social Responsibilities », Academy of Management Journal, vol. 16, n°2, 1973, p. 317.</w:t>
      </w:r>
    </w:p>
    <w:p w14:paraId="28EB1999" w14:textId="77777777" w:rsidR="00D31B22" w:rsidRPr="00D31B22" w:rsidRDefault="00D31B22" w:rsidP="00D31B22">
      <w:pPr>
        <w:pStyle w:val="Paragraphedeliste"/>
        <w:numPr>
          <w:ilvl w:val="0"/>
          <w:numId w:val="216"/>
        </w:numPr>
        <w:spacing w:before="0" w:beforeAutospacing="0" w:line="259" w:lineRule="auto"/>
        <w:rPr>
          <w:rFonts w:cstheme="majorBidi"/>
          <w:sz w:val="22"/>
          <w:lang w:val="en-AE"/>
        </w:rPr>
      </w:pPr>
      <w:r w:rsidRPr="00BD3A95">
        <w:rPr>
          <w:rFonts w:cstheme="majorBidi"/>
          <w:sz w:val="22"/>
          <w:lang w:val="en-AE"/>
        </w:rPr>
        <w:t>KAKABADSE Nada K., ROZUEL Cécile, LEE-DAVIES Linda, « Corporate Social Responsibility and Stakeholder Approach: A Conceptual Review », International Journal of Business Governance and Ethics, Vol. 1, N°4, 2005, pp. 277–302.</w:t>
      </w:r>
    </w:p>
    <w:p w14:paraId="5E41C6FD" w14:textId="77777777" w:rsidR="00D31B22" w:rsidRPr="00D00AB2" w:rsidRDefault="00D31B22" w:rsidP="00D31B22">
      <w:pPr>
        <w:pStyle w:val="Paragraphedeliste"/>
        <w:numPr>
          <w:ilvl w:val="0"/>
          <w:numId w:val="216"/>
        </w:numPr>
        <w:spacing w:before="0" w:beforeAutospacing="0" w:line="259" w:lineRule="auto"/>
        <w:rPr>
          <w:rFonts w:cstheme="majorBidi"/>
          <w:sz w:val="22"/>
          <w:lang w:val="en-AE"/>
        </w:rPr>
      </w:pPr>
      <w:r w:rsidRPr="00D31B22">
        <w:rPr>
          <w:rFonts w:cstheme="majorBidi"/>
          <w:sz w:val="22"/>
          <w:lang w:val="en-AE"/>
        </w:rPr>
        <w:t>KHAN Habib-Uz-Zaman, « The Effect of Corporate Governance Elements on Corporate Social Responsibility (CSR) Reporting: Empirical Evidence from Private Commercial Banks of Bangladesh », International Journal of Law and Management, Vol. 52, N°2, 2010, pp. 82–109.</w:t>
      </w:r>
    </w:p>
    <w:p w14:paraId="1C7BD1E5"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Klein, A, « Firm Performance and Board Committee Structure », Journal of Law an Economics, Vol.41, 1998, p. 137.</w:t>
      </w:r>
    </w:p>
    <w:p w14:paraId="55300CF1"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Mazaru Yoshimori « Whose company is it? The concept of the corporation in Japan and the west », Long range planning: LRP; international journal of strategic management, vol. 28,issue4, 1995, pp 39-41.</w:t>
      </w:r>
    </w:p>
    <w:p w14:paraId="2F6D4FB8"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McWilliams A., Siegel D., “Corporate Social Responsibility: A Theory of the Firm Perspective”, Academy of Management Review, Vol. 26, No. 1, January 2001, p. 120.</w:t>
      </w:r>
    </w:p>
    <w:p w14:paraId="0F981B57"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Mongiardino, A. and Plath, C, « Risk governance at large banks: Have any lessons been learned », Journal of Risk Management in Financial Institutions, vol. 3, 2010, p116.</w:t>
      </w:r>
    </w:p>
    <w:p w14:paraId="595D95BF"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Ocasio W. and J. Joseph,« Cultural Adaptation and Institutional Change: The Evolution of Vocabularies of Corporate Governance , 1972-2003 », Poetics, vol. 33, issue 3-4,2005, pp. 165.</w:t>
      </w:r>
    </w:p>
    <w:p w14:paraId="7646A29D"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P. HIRST, G. THOMPSON, « Globalization and the future of the Nation State », Economy and Society, vol 24,n°3, 1995, p. 422.</w:t>
      </w:r>
    </w:p>
    <w:p w14:paraId="0ED96643"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P. J. DiMaggio et W. W. Powell, « The iron cage revisited », American Sociological Review, vol. 48, n°2, 1983, p. 155.</w:t>
      </w:r>
    </w:p>
    <w:p w14:paraId="4534CA51" w14:textId="77777777" w:rsidR="00056C6A" w:rsidRPr="00D00AB2" w:rsidRDefault="00056C6A" w:rsidP="003D0E9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 xml:space="preserve">PASQUERO Jean, « Business Ethics and National Identity in Quebec: Distinctiveness and Directions », Journal of </w:t>
      </w:r>
      <w:r w:rsidR="003D0E92">
        <w:rPr>
          <w:rFonts w:cstheme="majorBidi"/>
          <w:sz w:val="22"/>
          <w:lang w:val="en-AE"/>
        </w:rPr>
        <w:t>Business Ethics, Vol. 16, N°06,</w:t>
      </w:r>
      <w:r w:rsidRPr="00D00AB2">
        <w:rPr>
          <w:rFonts w:cstheme="majorBidi"/>
          <w:sz w:val="22"/>
          <w:lang w:val="en-AE"/>
        </w:rPr>
        <w:t>1997, p. 629.</w:t>
      </w:r>
    </w:p>
    <w:p w14:paraId="15426530"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Philip H. Zalecki, « The Corporate Governance Roles of the Inside and Outside Directors », University of Toledo Law Review, vol. 24, 1993,p 840.</w:t>
      </w:r>
    </w:p>
    <w:p w14:paraId="2F309B29"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lastRenderedPageBreak/>
        <w:t>Porter Michael E., Kramer Mark R., « Strategy and Society: The Link Between Competitive Advantage and Corporate Social Responsibility », Harvard Business Review, Vol. 84, N°12, 2006, p. 79.</w:t>
      </w:r>
    </w:p>
    <w:p w14:paraId="76BD3AA0"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R. Roman, S. Hayibor et B. Agle, « The relationship between social and financial performance », Business &amp; Society, vol. 38, 1999, p. 110.</w:t>
      </w:r>
    </w:p>
    <w:p w14:paraId="547EF7F2" w14:textId="77777777" w:rsidR="00056C6A"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R. V. Aguilera et al., « Putting the S back in CSR », Academy of Management Review, vol. 32, n°3, 2007, pp. 851.</w:t>
      </w:r>
    </w:p>
    <w:p w14:paraId="25FAE771" w14:textId="77777777" w:rsidR="00491F4A" w:rsidRPr="00D00AB2" w:rsidRDefault="00491F4A" w:rsidP="00F36332">
      <w:pPr>
        <w:pStyle w:val="Paragraphedeliste"/>
        <w:numPr>
          <w:ilvl w:val="0"/>
          <w:numId w:val="216"/>
        </w:numPr>
        <w:spacing w:before="0" w:beforeAutospacing="0" w:line="259" w:lineRule="auto"/>
        <w:rPr>
          <w:rFonts w:cstheme="majorBidi"/>
          <w:sz w:val="22"/>
          <w:lang w:val="en-AE"/>
        </w:rPr>
      </w:pPr>
      <w:r w:rsidRPr="007E5F60">
        <w:rPr>
          <w:lang w:val="en-AE"/>
        </w:rPr>
        <w:t>R. Zaman, T. Jain, G. Samara et D. Jamali, « Corporate Governance Meets Corporate Social Responsibility: Mapping the Interface », Business &amp; Society, vol. 61, n° 3, 2022, p.</w:t>
      </w:r>
      <w:r w:rsidRPr="00D04D5A">
        <w:rPr>
          <w:lang w:val="en-AE"/>
        </w:rPr>
        <w:t>700</w:t>
      </w:r>
      <w:r w:rsidRPr="007E5F60">
        <w:rPr>
          <w:lang w:val="en-AE"/>
        </w:rPr>
        <w:t>.</w:t>
      </w:r>
    </w:p>
    <w:p w14:paraId="258D9C70"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RODERICK RHODES, « The New Governance: Governing without Government »,Vol 44 ,1996, p.652.</w:t>
      </w:r>
    </w:p>
    <w:p w14:paraId="44B74BFB"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Ruth V. Aguilera, Gregory Jackson, « The cross</w:t>
      </w:r>
      <w:r w:rsidRPr="00D00AB2">
        <w:rPr>
          <w:rFonts w:cstheme="majorBidi"/>
          <w:sz w:val="22"/>
          <w:lang w:val="en-AE"/>
        </w:rPr>
        <w:noBreakHyphen/>
        <w:t>national diversity of corporate governance: Dimensions and determinants »,Academy of Management Review, vol.28, issue 03,p 450.</w:t>
      </w:r>
    </w:p>
    <w:p w14:paraId="46EAA71D" w14:textId="77777777" w:rsidR="00056C6A"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S. P. Sethi, « Dimensions of Corporate Social Performance », California Management Review, vol. 17, n°3, 1975, p. 59.</w:t>
      </w:r>
    </w:p>
    <w:p w14:paraId="3319CF97" w14:textId="77777777" w:rsidR="00C71AB5" w:rsidRPr="00D00AB2" w:rsidRDefault="00C71AB5" w:rsidP="00C71AB5">
      <w:pPr>
        <w:pStyle w:val="Paragraphedeliste"/>
        <w:numPr>
          <w:ilvl w:val="0"/>
          <w:numId w:val="216"/>
        </w:numPr>
        <w:spacing w:before="0" w:beforeAutospacing="0" w:line="259" w:lineRule="auto"/>
        <w:rPr>
          <w:rFonts w:cstheme="majorBidi"/>
          <w:sz w:val="22"/>
          <w:lang w:val="en-AE"/>
        </w:rPr>
      </w:pPr>
      <w:r w:rsidRPr="00C71AB5">
        <w:rPr>
          <w:rFonts w:cstheme="majorBidi"/>
          <w:sz w:val="22"/>
          <w:lang w:val="en-AE"/>
        </w:rPr>
        <w:t>SAHRAOUI Hamoudi Hadj, « Corporate Social Responsibility as a Means of Performance Enhancement: The Case of a Cement Plant in Sétif (Algeria) », Journal of Finance and Banking Review, Vol. 01, N°01,Décembre 2016, pp. 40–46.</w:t>
      </w:r>
    </w:p>
    <w:p w14:paraId="003D9559"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Shleifer, Andrei, and Robert Vishny , « A survey of corporate governance », The Journal of Finance, volume 52,issue 2,1997,p 737.</w:t>
      </w:r>
    </w:p>
    <w:p w14:paraId="5597215E"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Stoker Gerry, « Governance as Theory: Five Propositions », International Social Science Journal, vol 50, issue 155, 1998, pp. 17-28.</w:t>
      </w:r>
    </w:p>
    <w:p w14:paraId="21E7E92B"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T. M. Jones, « Corporate Social Responsibility Revisited, Redefined », California Management Review, vol. 22, 1980, p. 59.</w:t>
      </w:r>
    </w:p>
    <w:p w14:paraId="58E8EC90"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T. P. Lyon et A. W. Montgomery, « The means and end of greenwash », Organization &amp; Environment, vol. 28, n°2, 2015, p. 231.</w:t>
      </w:r>
    </w:p>
    <w:p w14:paraId="7AC83743" w14:textId="77777777" w:rsidR="00056C6A" w:rsidRPr="00D00AB2" w:rsidRDefault="00056C6A" w:rsidP="00F36332">
      <w:pPr>
        <w:pStyle w:val="Paragraphedeliste"/>
        <w:numPr>
          <w:ilvl w:val="0"/>
          <w:numId w:val="216"/>
        </w:numPr>
        <w:spacing w:before="0" w:beforeAutospacing="0" w:line="259" w:lineRule="auto"/>
        <w:rPr>
          <w:rFonts w:cstheme="majorBidi"/>
          <w:sz w:val="22"/>
          <w:lang w:val="en-AE"/>
        </w:rPr>
      </w:pPr>
      <w:r w:rsidRPr="00D00AB2">
        <w:rPr>
          <w:rFonts w:cstheme="majorBidi"/>
          <w:sz w:val="22"/>
          <w:lang w:val="en-AE"/>
        </w:rPr>
        <w:t>Waddock S. A., Graves S. B., The Corporate Social Performance–Financial Performance Link, Strategic Management Journal, Vol. 18, No. 4, Wiley, April 1997, p. 303.</w:t>
      </w:r>
    </w:p>
    <w:p w14:paraId="6DFCF535" w14:textId="77777777" w:rsidR="00056C6A" w:rsidRPr="00D00AB2" w:rsidRDefault="00056C6A" w:rsidP="00F36332">
      <w:pPr>
        <w:pStyle w:val="Paragraphedeliste"/>
        <w:numPr>
          <w:ilvl w:val="0"/>
          <w:numId w:val="206"/>
        </w:numPr>
        <w:spacing w:after="100" w:afterAutospacing="1" w:line="259" w:lineRule="auto"/>
        <w:ind w:left="714" w:hanging="357"/>
        <w:contextualSpacing w:val="0"/>
        <w:rPr>
          <w:rFonts w:cstheme="majorBidi"/>
          <w:b/>
          <w:bCs/>
          <w:sz w:val="22"/>
        </w:rPr>
      </w:pPr>
      <w:r w:rsidRPr="00D00AB2">
        <w:rPr>
          <w:rFonts w:cstheme="majorBidi"/>
          <w:b/>
          <w:bCs/>
          <w:sz w:val="22"/>
        </w:rPr>
        <w:t>Reports :</w:t>
      </w:r>
    </w:p>
    <w:p w14:paraId="1C57D370"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Committee for Economic Development (CED), Social Responsibilities of Business Corporations, New York, , 1971, p. 31.</w:t>
      </w:r>
    </w:p>
    <w:p w14:paraId="705739CA"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FRC The UK corporate governance code, London : Financial Reporting Council, 2010, p20.</w:t>
      </w:r>
    </w:p>
    <w:p w14:paraId="5D50ECDF" w14:textId="77777777" w:rsidR="00056C6A" w:rsidRPr="00D00AB2" w:rsidRDefault="00056C6A" w:rsidP="00F36332">
      <w:pPr>
        <w:pStyle w:val="Paragraphedeliste"/>
        <w:numPr>
          <w:ilvl w:val="0"/>
          <w:numId w:val="211"/>
        </w:numPr>
        <w:spacing w:after="100" w:afterAutospacing="1" w:line="240" w:lineRule="auto"/>
        <w:rPr>
          <w:rFonts w:eastAsia="Times New Roman" w:cstheme="majorBidi"/>
          <w:sz w:val="22"/>
          <w:lang w:val="en-AE" w:eastAsia="fr-FR"/>
        </w:rPr>
      </w:pPr>
      <w:r w:rsidRPr="00D00AB2">
        <w:rPr>
          <w:rFonts w:eastAsia="Times New Roman" w:cstheme="majorBidi"/>
          <w:sz w:val="22"/>
          <w:lang w:val="en-AE" w:eastAsia="fr-FR"/>
        </w:rPr>
        <w:t>Global Reporting Initiative, GRI Standards, Amsterdam, 2021, p. 11.</w:t>
      </w:r>
    </w:p>
    <w:p w14:paraId="049C15D6" w14:textId="77777777" w:rsidR="00056C6A" w:rsidRPr="00D00AB2" w:rsidRDefault="00056C6A" w:rsidP="00F36332">
      <w:pPr>
        <w:pStyle w:val="Paragraphedeliste"/>
        <w:numPr>
          <w:ilvl w:val="0"/>
          <w:numId w:val="211"/>
        </w:numPr>
        <w:spacing w:after="100" w:afterAutospacing="1" w:line="240" w:lineRule="auto"/>
        <w:rPr>
          <w:rFonts w:eastAsia="Times New Roman" w:cstheme="majorBidi"/>
          <w:sz w:val="22"/>
          <w:lang w:eastAsia="fr-FR"/>
        </w:rPr>
      </w:pPr>
      <w:r w:rsidRPr="00D00AB2">
        <w:rPr>
          <w:rFonts w:eastAsia="Times New Roman" w:cstheme="majorBidi"/>
          <w:sz w:val="22"/>
          <w:lang w:eastAsia="fr-FR"/>
        </w:rPr>
        <w:t>K. Annan, discours au Forum économique mondial, Davos, 1999, p. 5.</w:t>
      </w:r>
    </w:p>
    <w:p w14:paraId="72FE58A7"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Kaufmann Daniel, Aart Kraay , Pablo Zoido Lobatón, « Governance Matters », World Bank Policy Research Working Paper n°2196, 1999, p 10.</w:t>
      </w:r>
    </w:p>
    <w:p w14:paraId="229BFB6D"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OECD, G20/OECD Principles of Corporate Governance, Paris, 2015, p. 22.</w:t>
      </w:r>
    </w:p>
    <w:p w14:paraId="550948B5" w14:textId="77777777" w:rsidR="00056C6A"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Organisation for Economic Co-operation and Development(OCDE), « Citizens as Partners: Information, Consultation and Public Participation in Policy-Making », Paris, 2001,p73.</w:t>
      </w:r>
    </w:p>
    <w:p w14:paraId="603725DD" w14:textId="77777777" w:rsidR="008A2745" w:rsidRPr="00D00AB2" w:rsidRDefault="008A2745" w:rsidP="008A2745">
      <w:pPr>
        <w:pStyle w:val="Paragraphedeliste"/>
        <w:numPr>
          <w:ilvl w:val="0"/>
          <w:numId w:val="211"/>
        </w:numPr>
        <w:spacing w:before="0" w:beforeAutospacing="0" w:line="259" w:lineRule="auto"/>
        <w:rPr>
          <w:rFonts w:cstheme="majorBidi"/>
          <w:sz w:val="22"/>
          <w:lang w:val="en-AE"/>
        </w:rPr>
      </w:pPr>
      <w:r w:rsidRPr="008A2745">
        <w:rPr>
          <w:rFonts w:cstheme="majorBidi"/>
          <w:sz w:val="22"/>
          <w:lang w:val="en-AE"/>
        </w:rPr>
        <w:t>The OECD Principles of Corporate Governance, first issued in 1999 and updated in 2015.</w:t>
      </w:r>
    </w:p>
    <w:p w14:paraId="3EB46E85"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World bank, « Governance and Development »</w:t>
      </w:r>
      <w:r w:rsidRPr="00D00AB2">
        <w:rPr>
          <w:rFonts w:cstheme="majorBidi"/>
          <w:i/>
          <w:iCs/>
          <w:sz w:val="22"/>
          <w:lang w:val="en-AE"/>
        </w:rPr>
        <w:t xml:space="preserve">, </w:t>
      </w:r>
      <w:r w:rsidRPr="00D00AB2">
        <w:rPr>
          <w:rFonts w:cstheme="majorBidi"/>
          <w:sz w:val="22"/>
          <w:lang w:val="en-AE"/>
        </w:rPr>
        <w:t>Washington D.C., 1992,pp 1-15.</w:t>
      </w:r>
    </w:p>
    <w:p w14:paraId="2B00B8FD"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World Bank, “Development in practice : Governance – the World’s Bank experience,” Report n° 13134, 1994, p 42.</w:t>
      </w:r>
    </w:p>
    <w:p w14:paraId="55C57F20"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World bank, « World Development Report 2000/2001: Attacking Poverty », Washington D.C., 2001,p88.</w:t>
      </w:r>
    </w:p>
    <w:p w14:paraId="14AAD7D4" w14:textId="77777777" w:rsidR="00056C6A" w:rsidRPr="00D00AB2" w:rsidRDefault="00056C6A" w:rsidP="00F36332">
      <w:pPr>
        <w:pStyle w:val="Paragraphedeliste"/>
        <w:numPr>
          <w:ilvl w:val="0"/>
          <w:numId w:val="211"/>
        </w:numPr>
        <w:spacing w:before="0" w:beforeAutospacing="0" w:line="259" w:lineRule="auto"/>
        <w:rPr>
          <w:rFonts w:cstheme="majorBidi"/>
          <w:sz w:val="22"/>
          <w:lang w:val="en-AE"/>
        </w:rPr>
      </w:pPr>
      <w:r w:rsidRPr="00D00AB2">
        <w:rPr>
          <w:rFonts w:cstheme="majorBidi"/>
          <w:sz w:val="22"/>
          <w:lang w:val="en-AE"/>
        </w:rPr>
        <w:t>World bank, « World Development Report 2006: Equity and Development », Washington D.C., 2006,p3.</w:t>
      </w:r>
    </w:p>
    <w:p w14:paraId="79269463" w14:textId="77777777" w:rsidR="00056C6A" w:rsidRPr="00D00AB2" w:rsidRDefault="00056C6A" w:rsidP="00F36332">
      <w:pPr>
        <w:pStyle w:val="Paragraphedeliste"/>
        <w:numPr>
          <w:ilvl w:val="0"/>
          <w:numId w:val="205"/>
        </w:numPr>
        <w:spacing w:after="100" w:afterAutospacing="1" w:line="259" w:lineRule="auto"/>
        <w:ind w:left="714" w:hanging="357"/>
        <w:contextualSpacing w:val="0"/>
        <w:rPr>
          <w:rFonts w:cstheme="majorBidi"/>
          <w:b/>
          <w:bCs/>
          <w:sz w:val="22"/>
        </w:rPr>
      </w:pPr>
      <w:r w:rsidRPr="00D00AB2">
        <w:rPr>
          <w:rFonts w:cstheme="majorBidi"/>
          <w:b/>
          <w:bCs/>
          <w:sz w:val="22"/>
        </w:rPr>
        <w:t>Les références en Arabe :</w:t>
      </w:r>
    </w:p>
    <w:p w14:paraId="581798E4" w14:textId="77777777" w:rsidR="00056C6A" w:rsidRPr="00D00AB2" w:rsidRDefault="00056C6A" w:rsidP="00F36332">
      <w:pPr>
        <w:pStyle w:val="Paragraphedeliste"/>
        <w:numPr>
          <w:ilvl w:val="0"/>
          <w:numId w:val="206"/>
        </w:numPr>
        <w:bidi/>
        <w:spacing w:after="100" w:afterAutospacing="1" w:line="259" w:lineRule="auto"/>
        <w:jc w:val="left"/>
        <w:rPr>
          <w:rFonts w:cstheme="majorBidi"/>
          <w:b/>
          <w:bCs/>
          <w:sz w:val="22"/>
        </w:rPr>
      </w:pPr>
      <w:r w:rsidRPr="00D00AB2">
        <w:rPr>
          <w:rFonts w:cstheme="majorBidi"/>
          <w:b/>
          <w:bCs/>
          <w:sz w:val="22"/>
          <w:rtl/>
        </w:rPr>
        <w:lastRenderedPageBreak/>
        <w:t>الكتب</w:t>
      </w:r>
      <w:r w:rsidRPr="00D00AB2">
        <w:rPr>
          <w:rFonts w:cstheme="majorBidi"/>
          <w:b/>
          <w:bCs/>
          <w:sz w:val="22"/>
        </w:rPr>
        <w:t>:</w:t>
      </w:r>
    </w:p>
    <w:p w14:paraId="1C5157A5" w14:textId="77777777" w:rsidR="00056C6A" w:rsidRPr="00D00AB2" w:rsidRDefault="00056C6A" w:rsidP="00F36332">
      <w:pPr>
        <w:pStyle w:val="Paragraphedeliste"/>
        <w:numPr>
          <w:ilvl w:val="0"/>
          <w:numId w:val="214"/>
        </w:numPr>
        <w:bidi/>
        <w:spacing w:after="100" w:afterAutospacing="1" w:line="259" w:lineRule="auto"/>
        <w:jc w:val="left"/>
        <w:rPr>
          <w:rFonts w:cstheme="majorBidi"/>
          <w:sz w:val="22"/>
        </w:rPr>
      </w:pPr>
      <w:r w:rsidRPr="00D00AB2">
        <w:rPr>
          <w:rFonts w:cstheme="majorBidi"/>
          <w:sz w:val="22"/>
          <w:rtl/>
        </w:rPr>
        <w:t>السعدي رحال، "الإحصاء الوصفي"، مؤسسة الرجاء للطباعة والنشر،الطبعة الأولى، الجزائر،2013، ص 18</w:t>
      </w:r>
      <w:r w:rsidRPr="00D00AB2">
        <w:rPr>
          <w:rFonts w:cstheme="majorBidi"/>
          <w:sz w:val="22"/>
        </w:rPr>
        <w:t>.</w:t>
      </w:r>
    </w:p>
    <w:p w14:paraId="779C0F3C" w14:textId="77777777" w:rsidR="00056C6A" w:rsidRPr="00D00AB2" w:rsidRDefault="00056C6A" w:rsidP="00F36332">
      <w:pPr>
        <w:pStyle w:val="Paragraphedeliste"/>
        <w:numPr>
          <w:ilvl w:val="0"/>
          <w:numId w:val="214"/>
        </w:numPr>
        <w:bidi/>
        <w:spacing w:after="100" w:afterAutospacing="1" w:line="259" w:lineRule="auto"/>
        <w:jc w:val="left"/>
        <w:rPr>
          <w:rFonts w:cstheme="majorBidi"/>
          <w:sz w:val="22"/>
        </w:rPr>
      </w:pPr>
      <w:r w:rsidRPr="00D00AB2">
        <w:rPr>
          <w:rFonts w:cstheme="majorBidi"/>
          <w:sz w:val="22"/>
          <w:rtl/>
        </w:rPr>
        <w:t>عبد الرزاق سالم الرحاحلة، المسؤولية الاجتماعية، دار الإعصار العلمي للنشر والتوزيع، الأردن، ،</w:t>
      </w:r>
      <w:r w:rsidRPr="00D00AB2">
        <w:rPr>
          <w:rFonts w:cstheme="majorBidi"/>
          <w:sz w:val="22"/>
        </w:rPr>
        <w:t xml:space="preserve">2011 </w:t>
      </w:r>
      <w:r w:rsidRPr="00D00AB2">
        <w:rPr>
          <w:rFonts w:cstheme="majorBidi"/>
          <w:sz w:val="22"/>
          <w:rtl/>
        </w:rPr>
        <w:t>ص</w:t>
      </w:r>
      <w:r w:rsidRPr="00D00AB2">
        <w:rPr>
          <w:rFonts w:cstheme="majorBidi"/>
          <w:sz w:val="22"/>
        </w:rPr>
        <w:t>.75</w:t>
      </w:r>
    </w:p>
    <w:p w14:paraId="390156C6" w14:textId="77777777" w:rsidR="00056C6A" w:rsidRPr="00D00AB2" w:rsidRDefault="00056C6A" w:rsidP="00F36332">
      <w:pPr>
        <w:pStyle w:val="Paragraphedeliste"/>
        <w:numPr>
          <w:ilvl w:val="0"/>
          <w:numId w:val="214"/>
        </w:numPr>
        <w:bidi/>
        <w:spacing w:after="100" w:afterAutospacing="1" w:line="259" w:lineRule="auto"/>
        <w:jc w:val="left"/>
        <w:rPr>
          <w:rFonts w:cstheme="majorBidi"/>
          <w:sz w:val="22"/>
        </w:rPr>
      </w:pPr>
      <w:r w:rsidRPr="00D00AB2">
        <w:rPr>
          <w:rFonts w:cstheme="majorBidi"/>
          <w:sz w:val="22"/>
          <w:rtl/>
        </w:rPr>
        <w:t>عدنان درويش، حوكمة الشركات ودور مجلس الإدارة، اتحاد المصارف العربية،الطبعة الأولى، بيروت، لبنان، 2007، ص ص 33-32.</w:t>
      </w:r>
    </w:p>
    <w:p w14:paraId="036ACC04" w14:textId="77777777" w:rsidR="00056C6A" w:rsidRPr="00D00AB2" w:rsidRDefault="00056C6A" w:rsidP="00F36332">
      <w:pPr>
        <w:pStyle w:val="Paragraphedeliste"/>
        <w:numPr>
          <w:ilvl w:val="0"/>
          <w:numId w:val="206"/>
        </w:numPr>
        <w:bidi/>
        <w:spacing w:before="0" w:beforeAutospacing="0" w:line="259" w:lineRule="auto"/>
        <w:jc w:val="left"/>
        <w:rPr>
          <w:rFonts w:cstheme="majorBidi"/>
          <w:b/>
          <w:bCs/>
          <w:sz w:val="22"/>
        </w:rPr>
      </w:pPr>
      <w:r w:rsidRPr="00D00AB2">
        <w:rPr>
          <w:rFonts w:cstheme="majorBidi"/>
          <w:b/>
          <w:bCs/>
          <w:sz w:val="22"/>
          <w:rtl/>
        </w:rPr>
        <w:t>مجلات</w:t>
      </w:r>
      <w:r w:rsidRPr="00D00AB2">
        <w:rPr>
          <w:rFonts w:cstheme="majorBidi"/>
          <w:b/>
          <w:bCs/>
          <w:sz w:val="22"/>
        </w:rPr>
        <w:t>:</w:t>
      </w:r>
    </w:p>
    <w:p w14:paraId="33216003" w14:textId="77777777" w:rsidR="00270C8E" w:rsidRPr="00270C8E" w:rsidRDefault="00270C8E" w:rsidP="00270C8E">
      <w:pPr>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السويسي، محمد، « تطبيق المسؤولية الاجتماعية في المؤسسات الاقتصادية: مقاربة منهجية لخطوات التفعيل », مجلة الدراسات الاقتصادية والإدارية، المجلد 12، العدد 1، 2018، ص 55</w:t>
      </w:r>
      <w:r w:rsidRPr="00D00AB2">
        <w:rPr>
          <w:rFonts w:eastAsia="Times New Roman" w:cstheme="majorBidi"/>
          <w:sz w:val="22"/>
          <w:lang w:eastAsia="fr-FR"/>
        </w:rPr>
        <w:t>.</w:t>
      </w:r>
    </w:p>
    <w:p w14:paraId="226D3386" w14:textId="77777777" w:rsidR="00270C8E" w:rsidRPr="00270C8E" w:rsidRDefault="00270C8E" w:rsidP="00270C8E">
      <w:pPr>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الشريف، محمد عبد الله، « دور المسؤولية الاجتماعية للشركات في دعم التنمية والعلاقة مع الجهات الحكومية: دراسة تحليلية », مجلة الإدارة العامة، المجلد 58، العدد 2، 2018، ص</w:t>
      </w:r>
      <w:r w:rsidRPr="00D00AB2">
        <w:rPr>
          <w:rFonts w:eastAsia="Times New Roman" w:cstheme="majorBidi"/>
          <w:sz w:val="22"/>
          <w:lang w:eastAsia="fr-FR"/>
        </w:rPr>
        <w:t>223</w:t>
      </w:r>
      <w:r w:rsidRPr="00D00AB2">
        <w:rPr>
          <w:rFonts w:eastAsia="Times New Roman" w:cstheme="majorBidi"/>
          <w:sz w:val="22"/>
          <w:rtl/>
          <w:lang w:eastAsia="fr-FR"/>
        </w:rPr>
        <w:t xml:space="preserve"> .</w:t>
      </w:r>
    </w:p>
    <w:p w14:paraId="525E6CC0" w14:textId="77777777" w:rsidR="00056C6A" w:rsidRPr="00D00AB2" w:rsidRDefault="00056C6A" w:rsidP="00270C8E">
      <w:pPr>
        <w:pStyle w:val="Paragraphedeliste"/>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أحمد، عبد الله بن عبد الرحمن، « المسؤولية الاجتماعية للشركات وأثرها على الأداء المؤسسي: دراسة تحليلية », المجلة العربية للإدارة، المجلد 35، العدد 2، 2015، ص45</w:t>
      </w:r>
      <w:r w:rsidRPr="00D00AB2">
        <w:rPr>
          <w:rFonts w:eastAsia="Times New Roman" w:cstheme="majorBidi"/>
          <w:sz w:val="22"/>
          <w:lang w:eastAsia="fr-FR"/>
        </w:rPr>
        <w:t xml:space="preserve"> .</w:t>
      </w:r>
    </w:p>
    <w:p w14:paraId="0B7EF01F" w14:textId="77777777" w:rsidR="00056C6A" w:rsidRPr="00D00AB2" w:rsidRDefault="00056C6A" w:rsidP="00F36332">
      <w:pPr>
        <w:pStyle w:val="Paragraphedeliste"/>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بشرى عبد الوهاب، محمد حسن، دليل مقترح لتفعيل لجنة التدقيق لدعم تنفيذ حوكمة الشركات وآليتها، مجلة الغري للعلوم الاقتصادية والإدارية، كلية الإدارة والاقتصاد، جامعة الكوفة، العراق، المجلد 8، العدد 22، 2012، ص 620</w:t>
      </w:r>
      <w:r w:rsidRPr="00D00AB2">
        <w:rPr>
          <w:rFonts w:eastAsia="Times New Roman" w:cstheme="majorBidi"/>
          <w:sz w:val="22"/>
          <w:lang w:eastAsia="fr-FR"/>
        </w:rPr>
        <w:t>.</w:t>
      </w:r>
    </w:p>
    <w:p w14:paraId="1FCE9E18" w14:textId="77777777" w:rsidR="00056C6A" w:rsidRDefault="00056C6A" w:rsidP="00F36332">
      <w:pPr>
        <w:pStyle w:val="Paragraphedeliste"/>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د. ولد محمد عيسى محمد محمود،» قراءة في نظام حوكمة الشركات «،مجلة الاستراتيجية والتنمية،المجلد 3، العدد 5،2013، ص 260</w:t>
      </w:r>
      <w:r w:rsidRPr="00D00AB2">
        <w:rPr>
          <w:rFonts w:eastAsia="Times New Roman" w:cstheme="majorBidi"/>
          <w:sz w:val="22"/>
          <w:lang w:eastAsia="fr-FR"/>
        </w:rPr>
        <w:t>.</w:t>
      </w:r>
    </w:p>
    <w:p w14:paraId="5493C779" w14:textId="77777777" w:rsidR="00D31B22" w:rsidRPr="00D00AB2" w:rsidRDefault="00D31B22" w:rsidP="00D31B22">
      <w:pPr>
        <w:pStyle w:val="Paragraphedeliste"/>
        <w:numPr>
          <w:ilvl w:val="0"/>
          <w:numId w:val="217"/>
        </w:numPr>
        <w:bidi/>
        <w:spacing w:after="100" w:afterAutospacing="1" w:line="240" w:lineRule="auto"/>
        <w:jc w:val="left"/>
        <w:rPr>
          <w:rFonts w:eastAsia="Times New Roman" w:cstheme="majorBidi"/>
          <w:sz w:val="22"/>
          <w:lang w:eastAsia="fr-FR"/>
        </w:rPr>
      </w:pPr>
      <w:r w:rsidRPr="00D31B22">
        <w:rPr>
          <w:rFonts w:eastAsia="Times New Roman" w:cs="Times New Roman"/>
          <w:sz w:val="22"/>
          <w:rtl/>
          <w:lang w:eastAsia="fr-FR"/>
        </w:rPr>
        <w:t>دفون محمد، «دور المسؤولية الاجتماعية الأخلاقية في تفعيل حوكمة الشركات»، مجلة التراث، المجلد 9، العدد 22019,، الصفحات 135–152.</w:t>
      </w:r>
    </w:p>
    <w:p w14:paraId="4458551B" w14:textId="77777777" w:rsidR="00270C8E" w:rsidRDefault="00270C8E" w:rsidP="00270C8E">
      <w:pPr>
        <w:numPr>
          <w:ilvl w:val="0"/>
          <w:numId w:val="217"/>
        </w:numPr>
        <w:bidi/>
        <w:spacing w:after="100" w:afterAutospacing="1" w:line="240" w:lineRule="auto"/>
        <w:jc w:val="left"/>
        <w:rPr>
          <w:rFonts w:eastAsia="Times New Roman" w:cstheme="majorBidi"/>
          <w:sz w:val="22"/>
          <w:lang w:eastAsia="fr-FR"/>
        </w:rPr>
      </w:pPr>
      <w:r>
        <w:rPr>
          <w:rFonts w:eastAsia="Times New Roman" w:cs="Times New Roman"/>
          <w:sz w:val="22"/>
          <w:rtl/>
          <w:lang w:eastAsia="fr-FR"/>
        </w:rPr>
        <w:t xml:space="preserve"> </w:t>
      </w:r>
      <w:r w:rsidRPr="00270C8E">
        <w:rPr>
          <w:rFonts w:eastAsia="Times New Roman" w:cs="Times New Roman"/>
          <w:sz w:val="22"/>
          <w:rtl/>
          <w:lang w:eastAsia="fr-FR"/>
        </w:rPr>
        <w:t>فيروز مصلح الضمور، فوزية مقراش، «أثر الالتزام بالمسؤولية الاجتماعية للشركات على الميزة التنافسية: دراسة حالة شركة صناعة الأدوية صيدال – الجزائر»، مجلة العلوم الاقتصادية والتسيير والعلوم التجارية، المجلد 11، العدد 01، 2018، ص.335</w:t>
      </w:r>
    </w:p>
    <w:p w14:paraId="0BC5D915" w14:textId="77777777" w:rsidR="00056C6A" w:rsidRPr="00D00AB2" w:rsidRDefault="00056C6A" w:rsidP="00270C8E">
      <w:pPr>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رافع كمال، قطاف عبد القادر وماحي محمد،» مدى إمكانية تطبيق حوكمة الشركات والمسؤولية الاجتماعية في المؤسسات الاقتصادية: المشاكل والآليات المقترحة لتفعيلها – حالة الجزائر «، مجلة آفاق للعلوم، المجلد 07، العدد 01، 2022، ص 589</w:t>
      </w:r>
      <w:r w:rsidRPr="00D00AB2">
        <w:rPr>
          <w:rFonts w:eastAsia="Times New Roman" w:cstheme="majorBidi"/>
          <w:sz w:val="22"/>
          <w:lang w:eastAsia="fr-FR"/>
        </w:rPr>
        <w:t>.</w:t>
      </w:r>
    </w:p>
    <w:p w14:paraId="4025C02A" w14:textId="77777777" w:rsidR="00056C6A" w:rsidRPr="00D00AB2" w:rsidRDefault="00056C6A" w:rsidP="00F36332">
      <w:pPr>
        <w:numPr>
          <w:ilvl w:val="0"/>
          <w:numId w:val="217"/>
        </w:numPr>
        <w:bidi/>
        <w:spacing w:after="100" w:afterAutospacing="1" w:line="240" w:lineRule="auto"/>
        <w:jc w:val="left"/>
        <w:rPr>
          <w:rFonts w:eastAsia="Times New Roman" w:cstheme="majorBidi"/>
          <w:sz w:val="22"/>
          <w:lang w:eastAsia="fr-FR"/>
        </w:rPr>
      </w:pPr>
      <w:r w:rsidRPr="00D00AB2">
        <w:rPr>
          <w:rFonts w:eastAsia="Times New Roman" w:cstheme="majorBidi"/>
          <w:sz w:val="22"/>
          <w:rtl/>
          <w:lang w:eastAsia="fr-FR"/>
        </w:rPr>
        <w:t>لیلى</w:t>
      </w:r>
      <w:r w:rsidR="00270C8E">
        <w:rPr>
          <w:rFonts w:eastAsia="Times New Roman" w:cstheme="majorBidi"/>
          <w:sz w:val="22"/>
          <w:lang w:eastAsia="fr-FR"/>
        </w:rPr>
        <w:t xml:space="preserve"> </w:t>
      </w:r>
      <w:r w:rsidRPr="00D00AB2">
        <w:rPr>
          <w:rFonts w:eastAsia="Times New Roman" w:cstheme="majorBidi"/>
          <w:sz w:val="22"/>
          <w:rtl/>
          <w:lang w:eastAsia="fr-FR"/>
        </w:rPr>
        <w:t>غضبان،» مبادئ حوكمة الشركات– دراسة حالة الجزائر «، مجلة الدراسات القانونية والاقتصادية، المجلد 05، العدد 02، المركز الجامعي سي الحواس، بريكة – الجزائر، سنة 2022، ص</w:t>
      </w:r>
      <w:r w:rsidRPr="00D00AB2">
        <w:rPr>
          <w:rFonts w:eastAsia="Times New Roman" w:cstheme="majorBidi"/>
          <w:sz w:val="22"/>
          <w:lang w:eastAsia="fr-FR"/>
        </w:rPr>
        <w:t xml:space="preserve"> .29</w:t>
      </w:r>
    </w:p>
    <w:p w14:paraId="0349D451" w14:textId="77777777" w:rsidR="00056C6A" w:rsidRPr="00D00AB2" w:rsidRDefault="00531CA5" w:rsidP="00531CA5">
      <w:pPr>
        <w:pStyle w:val="Paragraphedeliste"/>
        <w:numPr>
          <w:ilvl w:val="0"/>
          <w:numId w:val="217"/>
        </w:numPr>
        <w:bidi/>
        <w:spacing w:before="0" w:beforeAutospacing="0" w:line="259" w:lineRule="auto"/>
        <w:jc w:val="left"/>
        <w:rPr>
          <w:rFonts w:cstheme="majorBidi"/>
          <w:sz w:val="22"/>
        </w:rPr>
      </w:pPr>
      <w:r w:rsidRPr="00531CA5">
        <w:rPr>
          <w:rFonts w:cs="Times New Roman"/>
          <w:sz w:val="22"/>
          <w:rtl/>
        </w:rPr>
        <w:t>محمد شتوح، «دور المسؤولية الاجتماعية في تفعيل وتطوير جودة الخدمات: دراسة ميدانية مؤسسة موبيليس « ، مجلة المنهل الاقتصادي، المجلد 05، العدد 01، ماي 2022، ص.571.</w:t>
      </w:r>
    </w:p>
    <w:p w14:paraId="4262DEB9" w14:textId="77777777" w:rsidR="00056C6A" w:rsidRPr="00D00AB2" w:rsidRDefault="00056C6A" w:rsidP="00F36332">
      <w:pPr>
        <w:pStyle w:val="Paragraphedeliste"/>
        <w:numPr>
          <w:ilvl w:val="0"/>
          <w:numId w:val="206"/>
        </w:numPr>
        <w:bidi/>
        <w:spacing w:before="0" w:beforeAutospacing="0" w:line="259" w:lineRule="auto"/>
        <w:jc w:val="left"/>
        <w:rPr>
          <w:rFonts w:cstheme="majorBidi"/>
          <w:b/>
          <w:bCs/>
          <w:sz w:val="22"/>
        </w:rPr>
      </w:pPr>
      <w:r w:rsidRPr="00D00AB2">
        <w:rPr>
          <w:rFonts w:cstheme="majorBidi"/>
          <w:b/>
          <w:bCs/>
          <w:sz w:val="22"/>
          <w:rtl/>
        </w:rPr>
        <w:t>الاطروحات</w:t>
      </w:r>
      <w:r w:rsidRPr="00D00AB2">
        <w:rPr>
          <w:rFonts w:cstheme="majorBidi"/>
          <w:b/>
          <w:bCs/>
          <w:sz w:val="22"/>
        </w:rPr>
        <w:t xml:space="preserve"> </w:t>
      </w:r>
      <w:r w:rsidRPr="00D00AB2">
        <w:rPr>
          <w:rFonts w:cstheme="majorBidi"/>
          <w:b/>
          <w:bCs/>
          <w:sz w:val="22"/>
          <w:rtl/>
        </w:rPr>
        <w:t>والمذكرات</w:t>
      </w:r>
      <w:r w:rsidRPr="00D00AB2">
        <w:rPr>
          <w:rFonts w:cstheme="majorBidi"/>
          <w:b/>
          <w:bCs/>
          <w:sz w:val="22"/>
        </w:rPr>
        <w:t>:</w:t>
      </w:r>
    </w:p>
    <w:p w14:paraId="66073AFF" w14:textId="77777777" w:rsidR="00056C6A" w:rsidRPr="00D00AB2" w:rsidRDefault="00056C6A" w:rsidP="00F36332">
      <w:pPr>
        <w:pStyle w:val="Notedebasdepage"/>
        <w:numPr>
          <w:ilvl w:val="0"/>
          <w:numId w:val="215"/>
        </w:numPr>
        <w:bidi/>
        <w:spacing w:before="0" w:beforeAutospacing="0"/>
        <w:jc w:val="left"/>
        <w:rPr>
          <w:rFonts w:cstheme="majorBidi"/>
          <w:sz w:val="22"/>
          <w:szCs w:val="22"/>
        </w:rPr>
      </w:pPr>
      <w:r w:rsidRPr="00D00AB2">
        <w:rPr>
          <w:rFonts w:cstheme="majorBidi"/>
          <w:sz w:val="22"/>
          <w:szCs w:val="22"/>
          <w:rtl/>
        </w:rPr>
        <w:t>براهيمي آسية، "المؤسسة الجزائرية واستقطاب الكفاءات والمحافظة عليها "، أطروحة مقدمة لنيل شهادة الدكتوراه في العلوم الاقتصادية، تخصص تسيير المؤسسات فرع إدارة المنظمات، كلية العلوم الاقتصادية وعلوم التسيير والعلوم التجارية جامعة أبو بكر بلقايد، تلمسان،2017، ص243</w:t>
      </w:r>
    </w:p>
    <w:p w14:paraId="3E6F26AC" w14:textId="77777777" w:rsidR="00056C6A" w:rsidRPr="00D00AB2" w:rsidRDefault="00056C6A" w:rsidP="00F36332">
      <w:pPr>
        <w:pStyle w:val="Notedebasdepage"/>
        <w:numPr>
          <w:ilvl w:val="0"/>
          <w:numId w:val="215"/>
        </w:numPr>
        <w:bidi/>
        <w:spacing w:before="0" w:beforeAutospacing="0"/>
        <w:jc w:val="left"/>
        <w:rPr>
          <w:rFonts w:cstheme="majorBidi"/>
          <w:sz w:val="22"/>
          <w:szCs w:val="22"/>
        </w:rPr>
      </w:pPr>
      <w:r w:rsidRPr="00D00AB2">
        <w:rPr>
          <w:rFonts w:cstheme="majorBidi"/>
          <w:sz w:val="22"/>
          <w:szCs w:val="22"/>
          <w:rtl/>
        </w:rPr>
        <w:t xml:space="preserve">إبراهيم إسحاق نسمان، </w:t>
      </w:r>
      <w:r w:rsidRPr="00D00AB2">
        <w:rPr>
          <w:rFonts w:cstheme="majorBidi"/>
          <w:sz w:val="22"/>
          <w:szCs w:val="22"/>
        </w:rPr>
        <w:t>»</w:t>
      </w:r>
      <w:r w:rsidRPr="00D00AB2">
        <w:rPr>
          <w:rFonts w:cstheme="majorBidi"/>
          <w:sz w:val="22"/>
          <w:szCs w:val="22"/>
          <w:rtl/>
        </w:rPr>
        <w:t>دور إدارة المراجعة الداخلية في تفعيل مبادئ الحوكمة -دراسة تطبيقية على قطاع المصارف العاملة في</w:t>
      </w:r>
      <w:r w:rsidR="00270C8E">
        <w:rPr>
          <w:rFonts w:cstheme="majorBidi"/>
          <w:sz w:val="22"/>
          <w:szCs w:val="22"/>
        </w:rPr>
        <w:t xml:space="preserve"> </w:t>
      </w:r>
      <w:r w:rsidRPr="00D00AB2">
        <w:rPr>
          <w:rFonts w:cstheme="majorBidi"/>
          <w:sz w:val="22"/>
          <w:szCs w:val="22"/>
          <w:rtl/>
        </w:rPr>
        <w:t>فلسطين</w:t>
      </w:r>
      <w:r w:rsidRPr="00D00AB2">
        <w:rPr>
          <w:rFonts w:cstheme="majorBidi"/>
          <w:sz w:val="22"/>
          <w:szCs w:val="22"/>
        </w:rPr>
        <w:t>«</w:t>
      </w:r>
      <w:r w:rsidRPr="00D00AB2">
        <w:rPr>
          <w:rFonts w:cstheme="majorBidi"/>
          <w:sz w:val="22"/>
          <w:szCs w:val="22"/>
          <w:rtl/>
        </w:rPr>
        <w:t>، مذكرة ماجستيرفي المحاسبة والتمويل، كلية التجارة، الجامعة الإسلامية، غزة، 2009، ص</w:t>
      </w:r>
      <w:r w:rsidRPr="00D00AB2">
        <w:rPr>
          <w:rFonts w:cstheme="majorBidi"/>
          <w:sz w:val="22"/>
          <w:szCs w:val="22"/>
        </w:rPr>
        <w:t>.20</w:t>
      </w:r>
    </w:p>
    <w:p w14:paraId="492B6CC0" w14:textId="77777777" w:rsidR="00056C6A" w:rsidRPr="00D00AB2" w:rsidRDefault="00056C6A" w:rsidP="00F36332">
      <w:pPr>
        <w:pStyle w:val="Notedebasdepage"/>
        <w:numPr>
          <w:ilvl w:val="0"/>
          <w:numId w:val="215"/>
        </w:numPr>
        <w:bidi/>
        <w:spacing w:before="0" w:beforeAutospacing="0"/>
        <w:jc w:val="left"/>
        <w:rPr>
          <w:rFonts w:cstheme="majorBidi"/>
          <w:sz w:val="22"/>
          <w:szCs w:val="22"/>
        </w:rPr>
      </w:pPr>
      <w:r w:rsidRPr="00D00AB2">
        <w:rPr>
          <w:rFonts w:cstheme="majorBidi"/>
          <w:sz w:val="22"/>
          <w:szCs w:val="22"/>
          <w:rtl/>
        </w:rPr>
        <w:t>د. ولد محمد عيسى محمد محمود</w:t>
      </w:r>
      <w:r w:rsidRPr="00D00AB2">
        <w:rPr>
          <w:rFonts w:cstheme="majorBidi"/>
          <w:sz w:val="22"/>
          <w:szCs w:val="22"/>
          <w:rtl/>
          <w:lang w:bidi="ar-DZ"/>
        </w:rPr>
        <w:t>،</w:t>
      </w:r>
      <w:r w:rsidRPr="00D00AB2">
        <w:rPr>
          <w:rFonts w:cstheme="majorBidi"/>
          <w:sz w:val="22"/>
          <w:szCs w:val="22"/>
        </w:rPr>
        <w:t>» </w:t>
      </w:r>
      <w:r w:rsidRPr="00D00AB2">
        <w:rPr>
          <w:rFonts w:cstheme="majorBidi"/>
          <w:sz w:val="22"/>
          <w:szCs w:val="22"/>
          <w:rtl/>
        </w:rPr>
        <w:t>قراءة في نظام حوكمة الشركات</w:t>
      </w:r>
      <w:r w:rsidRPr="00D00AB2">
        <w:rPr>
          <w:rFonts w:cstheme="majorBidi"/>
          <w:sz w:val="22"/>
          <w:szCs w:val="22"/>
        </w:rPr>
        <w:t> «</w:t>
      </w:r>
      <w:r w:rsidRPr="00D00AB2">
        <w:rPr>
          <w:rFonts w:cstheme="majorBidi"/>
          <w:sz w:val="22"/>
          <w:szCs w:val="22"/>
          <w:rtl/>
        </w:rPr>
        <w:t>،مجلة الاستراتيجية والتنمية،المجلد 3، العدد 5،</w:t>
      </w:r>
      <w:r w:rsidRPr="00D00AB2">
        <w:rPr>
          <w:rFonts w:cstheme="majorBidi"/>
          <w:sz w:val="22"/>
          <w:szCs w:val="22"/>
        </w:rPr>
        <w:t>2013</w:t>
      </w:r>
      <w:r w:rsidRPr="00D00AB2">
        <w:rPr>
          <w:rFonts w:cstheme="majorBidi"/>
          <w:sz w:val="22"/>
          <w:szCs w:val="22"/>
          <w:rtl/>
          <w:lang w:bidi="ar-DZ"/>
        </w:rPr>
        <w:t>،</w:t>
      </w:r>
      <w:r w:rsidRPr="00D00AB2">
        <w:rPr>
          <w:rFonts w:cstheme="majorBidi"/>
          <w:sz w:val="22"/>
          <w:szCs w:val="22"/>
          <w:rtl/>
        </w:rPr>
        <w:t xml:space="preserve"> ص 260.</w:t>
      </w:r>
    </w:p>
    <w:p w14:paraId="21F7DA8B" w14:textId="77777777" w:rsidR="00056C6A" w:rsidRPr="00D00AB2" w:rsidRDefault="00056C6A" w:rsidP="00056C6A">
      <w:pPr>
        <w:rPr>
          <w:rFonts w:cstheme="majorBidi"/>
          <w:b/>
          <w:bCs/>
          <w:sz w:val="22"/>
        </w:rPr>
      </w:pPr>
    </w:p>
    <w:p w14:paraId="3C87C357" w14:textId="77777777" w:rsidR="00BD4F12" w:rsidRPr="00D00AB2" w:rsidRDefault="00BD4F12" w:rsidP="00BD4F12">
      <w:pPr>
        <w:tabs>
          <w:tab w:val="left" w:pos="2979"/>
        </w:tabs>
        <w:rPr>
          <w:rFonts w:cstheme="majorBidi"/>
          <w:sz w:val="22"/>
        </w:rPr>
      </w:pPr>
    </w:p>
    <w:p w14:paraId="3F5DA6F7" w14:textId="77777777" w:rsidR="00CB40A3" w:rsidRPr="00D00AB2" w:rsidRDefault="00CB40A3" w:rsidP="00BD4F12">
      <w:pPr>
        <w:rPr>
          <w:rFonts w:cstheme="majorBidi"/>
          <w:sz w:val="22"/>
        </w:rPr>
        <w:sectPr w:rsidR="00CB40A3" w:rsidRPr="00D00AB2" w:rsidSect="00D23BF3">
          <w:headerReference w:type="default" r:id="rId88"/>
          <w:pgSz w:w="11906" w:h="16838"/>
          <w:pgMar w:top="851" w:right="1418" w:bottom="1134" w:left="1418" w:header="709" w:footer="709" w:gutter="0"/>
          <w:cols w:space="708"/>
          <w:docGrid w:linePitch="360"/>
        </w:sectPr>
      </w:pPr>
    </w:p>
    <w:p w14:paraId="06DB1AB7" w14:textId="77777777" w:rsidR="00CB40A3" w:rsidRPr="00D00AB2" w:rsidRDefault="00CB40A3" w:rsidP="00BD4F12">
      <w:pPr>
        <w:rPr>
          <w:rFonts w:cstheme="majorBidi"/>
          <w:sz w:val="22"/>
        </w:rPr>
      </w:pPr>
    </w:p>
    <w:p w14:paraId="1E9C8ED0" w14:textId="77777777" w:rsidR="00CB40A3" w:rsidRPr="00D00AB2" w:rsidRDefault="00CB40A3" w:rsidP="00CB40A3">
      <w:pPr>
        <w:rPr>
          <w:rFonts w:cstheme="majorBidi"/>
          <w:sz w:val="22"/>
        </w:rPr>
      </w:pPr>
    </w:p>
    <w:p w14:paraId="771F7B1B" w14:textId="77777777" w:rsidR="00CB40A3" w:rsidRPr="00D00AB2" w:rsidRDefault="00CB40A3" w:rsidP="00CB40A3">
      <w:pPr>
        <w:rPr>
          <w:rFonts w:cstheme="majorBidi"/>
          <w:sz w:val="22"/>
        </w:rPr>
      </w:pPr>
    </w:p>
    <w:p w14:paraId="0DC2A7D5" w14:textId="77777777" w:rsidR="00CB40A3" w:rsidRPr="00D00AB2" w:rsidRDefault="00CB40A3" w:rsidP="00CB40A3">
      <w:pPr>
        <w:rPr>
          <w:rFonts w:cstheme="majorBidi"/>
          <w:sz w:val="22"/>
        </w:rPr>
      </w:pPr>
    </w:p>
    <w:p w14:paraId="7FAD54F1" w14:textId="77777777" w:rsidR="00CB40A3" w:rsidRPr="00D00AB2" w:rsidRDefault="00CB40A3" w:rsidP="00CB40A3">
      <w:pPr>
        <w:rPr>
          <w:rFonts w:cstheme="majorBidi"/>
          <w:sz w:val="22"/>
        </w:rPr>
      </w:pPr>
    </w:p>
    <w:p w14:paraId="37A09517" w14:textId="77777777" w:rsidR="00CB40A3" w:rsidRPr="00D00AB2" w:rsidRDefault="00CB40A3" w:rsidP="00CB40A3">
      <w:pPr>
        <w:rPr>
          <w:rFonts w:cstheme="majorBidi"/>
          <w:sz w:val="22"/>
        </w:rPr>
      </w:pPr>
    </w:p>
    <w:p w14:paraId="268470CB" w14:textId="77777777" w:rsidR="00CB40A3" w:rsidRPr="00D00AB2" w:rsidRDefault="00CB40A3" w:rsidP="00CB40A3">
      <w:pPr>
        <w:rPr>
          <w:rFonts w:cstheme="majorBidi"/>
          <w:sz w:val="22"/>
        </w:rPr>
      </w:pPr>
      <w:r w:rsidRPr="00D00AB2">
        <w:rPr>
          <w:rFonts w:cstheme="majorBidi"/>
          <w:noProof/>
          <w:sz w:val="22"/>
          <w:lang w:eastAsia="fr-FR"/>
        </w:rPr>
        <mc:AlternateContent>
          <mc:Choice Requires="wps">
            <w:drawing>
              <wp:anchor distT="0" distB="0" distL="114300" distR="114300" simplePos="0" relativeHeight="252134400" behindDoc="0" locked="0" layoutInCell="1" allowOverlap="1" wp14:anchorId="32BA63DA" wp14:editId="33957870">
                <wp:simplePos x="0" y="0"/>
                <wp:positionH relativeFrom="margin">
                  <wp:align>right</wp:align>
                </wp:positionH>
                <wp:positionV relativeFrom="paragraph">
                  <wp:posOffset>304165</wp:posOffset>
                </wp:positionV>
                <wp:extent cx="5772150" cy="2979682"/>
                <wp:effectExtent l="0" t="0" r="19050" b="11430"/>
                <wp:wrapNone/>
                <wp:docPr id="476" name="Ruban vers le bas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chemeClr val="accent5">
                            <a:lumMod val="100000"/>
                            <a:lumOff val="0"/>
                          </a:schemeClr>
                        </a:solidFill>
                        <a:ln w="9525">
                          <a:solidFill>
                            <a:schemeClr val="tx1"/>
                          </a:solidFill>
                          <a:round/>
                          <a:headEnd/>
                          <a:tailEnd/>
                        </a:ln>
                      </wps:spPr>
                      <wps:txbx>
                        <w:txbxContent>
                          <w:p w14:paraId="232B3008" w14:textId="77777777" w:rsidR="00A36231" w:rsidRDefault="00A36231" w:rsidP="00CB40A3">
                            <w:pPr>
                              <w:ind w:firstLine="0"/>
                              <w:rPr>
                                <w:b/>
                                <w:bCs/>
                                <w:sz w:val="48"/>
                                <w:szCs w:val="44"/>
                              </w:rPr>
                            </w:pPr>
                          </w:p>
                          <w:p w14:paraId="4ADE7314" w14:textId="77777777" w:rsidR="00A36231" w:rsidRPr="00BD4F12" w:rsidRDefault="00A36231" w:rsidP="00CB40A3">
                            <w:pPr>
                              <w:ind w:firstLine="0"/>
                              <w:jc w:val="center"/>
                              <w:rPr>
                                <w:b/>
                                <w:bCs/>
                                <w:sz w:val="48"/>
                                <w:szCs w:val="44"/>
                              </w:rPr>
                            </w:pPr>
                            <w:r>
                              <w:rPr>
                                <w:b/>
                                <w:bCs/>
                                <w:sz w:val="48"/>
                                <w:szCs w:val="44"/>
                              </w:rPr>
                              <w:t>ANNEXES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A63DA" id="Ruban vers le bas 476" o:spid="_x0000_s1137" type="#_x0000_t53" style="position:absolute;left:0;text-align:left;margin-left:403.3pt;margin-top:23.95pt;width:454.5pt;height:234.6pt;z-index:252134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" fillcolor="#5b9bd5 [3208]" strokecolor="black [3213]">
                <v:textbox>
                  <w:txbxContent>
                    <w:p w14:paraId="232B3008" w14:textId="77777777" w:rsidR="00A36231" w:rsidRDefault="00A36231" w:rsidP="00CB40A3">
                      <w:pPr>
                        <w:ind w:firstLine="0"/>
                        <w:rPr>
                          <w:b/>
                          <w:bCs/>
                          <w:sz w:val="48"/>
                          <w:szCs w:val="44"/>
                        </w:rPr>
                      </w:pPr>
                    </w:p>
                    <w:p w14:paraId="4ADE7314" w14:textId="77777777" w:rsidR="00A36231" w:rsidRPr="00BD4F12" w:rsidRDefault="00A36231" w:rsidP="00CB40A3">
                      <w:pPr>
                        <w:ind w:firstLine="0"/>
                        <w:jc w:val="center"/>
                        <w:rPr>
                          <w:b/>
                          <w:bCs/>
                          <w:sz w:val="48"/>
                          <w:szCs w:val="44"/>
                        </w:rPr>
                      </w:pPr>
                      <w:r>
                        <w:rPr>
                          <w:b/>
                          <w:bCs/>
                          <w:sz w:val="48"/>
                          <w:szCs w:val="44"/>
                        </w:rPr>
                        <w:t>ANNEXES</w:t>
                      </w:r>
                    </w:p>
                  </w:txbxContent>
                </v:textbox>
                <w10:wrap anchorx="margin"/>
              </v:shape>
            </w:pict>
          </mc:Fallback>
        </mc:AlternateContent>
      </w:r>
    </w:p>
    <w:p w14:paraId="41E7E2A1" w14:textId="77777777" w:rsidR="00CB40A3" w:rsidRPr="00D00AB2" w:rsidRDefault="00CB40A3" w:rsidP="00CB40A3">
      <w:pPr>
        <w:rPr>
          <w:rFonts w:cstheme="majorBidi"/>
          <w:sz w:val="22"/>
        </w:rPr>
      </w:pPr>
    </w:p>
    <w:p w14:paraId="77EE0DE1" w14:textId="77777777" w:rsidR="00CB40A3" w:rsidRPr="00D00AB2" w:rsidRDefault="00CB40A3" w:rsidP="00CB40A3">
      <w:pPr>
        <w:tabs>
          <w:tab w:val="center" w:pos="4677"/>
        </w:tabs>
        <w:rPr>
          <w:rFonts w:cstheme="majorBidi"/>
          <w:sz w:val="22"/>
        </w:rPr>
        <w:sectPr w:rsidR="00CB40A3" w:rsidRPr="00D00AB2" w:rsidSect="00D23BF3">
          <w:headerReference w:type="default" r:id="rId89"/>
          <w:pgSz w:w="11906" w:h="16838"/>
          <w:pgMar w:top="851" w:right="1418" w:bottom="1134" w:left="1418" w:header="709" w:footer="709" w:gutter="0"/>
          <w:cols w:space="708"/>
          <w:docGrid w:linePitch="360"/>
        </w:sectPr>
      </w:pPr>
      <w:r w:rsidRPr="00D00AB2">
        <w:rPr>
          <w:rFonts w:cstheme="majorBidi"/>
          <w:sz w:val="22"/>
        </w:rPr>
        <w:tab/>
      </w:r>
    </w:p>
    <w:p w14:paraId="02977750" w14:textId="77777777" w:rsidR="00D00AB2" w:rsidRPr="00D00AB2" w:rsidRDefault="00D00AB2" w:rsidP="00BC1AEC">
      <w:pPr>
        <w:pStyle w:val="Titre1"/>
        <w:rPr>
          <w:rFonts w:eastAsia="Calibri"/>
        </w:rPr>
      </w:pPr>
      <w:bookmarkStart w:id="1940" w:name="_Toc231742185"/>
      <w:bookmarkStart w:id="1941" w:name="_Toc231747039"/>
      <w:bookmarkStart w:id="1942" w:name="_Toc231752445"/>
      <w:bookmarkStart w:id="1943" w:name="_Toc231810748"/>
      <w:bookmarkStart w:id="1944" w:name="_Toc231811443"/>
      <w:bookmarkStart w:id="1945" w:name="_Toc231812091"/>
      <w:bookmarkStart w:id="1946" w:name="_Toc231812369"/>
      <w:bookmarkStart w:id="1947" w:name="_Toc231815253"/>
      <w:r w:rsidRPr="00D00AB2">
        <w:rPr>
          <w:rFonts w:eastAsia="Calibri"/>
        </w:rPr>
        <w:lastRenderedPageBreak/>
        <w:t>Les annexes :</w:t>
      </w:r>
      <w:bookmarkEnd w:id="1940"/>
      <w:bookmarkEnd w:id="1941"/>
      <w:bookmarkEnd w:id="1942"/>
      <w:bookmarkEnd w:id="1943"/>
      <w:bookmarkEnd w:id="1944"/>
      <w:bookmarkEnd w:id="1945"/>
      <w:bookmarkEnd w:id="1946"/>
      <w:bookmarkEnd w:id="1947"/>
    </w:p>
    <w:p w14:paraId="07C8F43C" w14:textId="77777777" w:rsidR="00D00AB2" w:rsidRPr="00D00AB2" w:rsidRDefault="00D00AB2" w:rsidP="00D00AB2">
      <w:pPr>
        <w:spacing w:before="0" w:beforeAutospacing="0" w:line="259" w:lineRule="auto"/>
        <w:ind w:firstLine="0"/>
        <w:jc w:val="left"/>
        <w:rPr>
          <w:rFonts w:eastAsia="Calibri" w:cstheme="majorBidi"/>
          <w:b/>
          <w:bCs/>
          <w:sz w:val="22"/>
        </w:rPr>
      </w:pPr>
      <w:r w:rsidRPr="00D00AB2">
        <w:rPr>
          <w:rFonts w:eastAsia="Calibri" w:cstheme="majorBidi"/>
          <w:b/>
          <w:bCs/>
          <w:sz w:val="22"/>
        </w:rPr>
        <w:t>Annexe 01 : Questionnaire</w:t>
      </w:r>
    </w:p>
    <w:p w14:paraId="434E4FCE" w14:textId="77777777" w:rsidR="00D00AB2" w:rsidRPr="00D00AB2" w:rsidRDefault="00D00AB2" w:rsidP="00D00AB2">
      <w:pPr>
        <w:spacing w:before="0" w:beforeAutospacing="0" w:line="259" w:lineRule="auto"/>
        <w:ind w:firstLine="0"/>
        <w:jc w:val="left"/>
        <w:rPr>
          <w:rFonts w:eastAsia="Calibri" w:cstheme="majorBidi"/>
          <w:b/>
          <w:bCs/>
          <w:sz w:val="22"/>
        </w:rPr>
      </w:pPr>
    </w:p>
    <w:p w14:paraId="2E58708A" w14:textId="77777777" w:rsidR="00D00AB2" w:rsidRPr="00D00AB2" w:rsidRDefault="00D00AB2" w:rsidP="00D00AB2">
      <w:pPr>
        <w:spacing w:before="0" w:beforeAutospacing="0" w:line="259" w:lineRule="auto"/>
        <w:ind w:firstLine="0"/>
        <w:jc w:val="center"/>
        <w:rPr>
          <w:rFonts w:eastAsia="Calibri" w:cstheme="majorBidi"/>
          <w:sz w:val="22"/>
        </w:rPr>
      </w:pPr>
      <w:r w:rsidRPr="00D00AB2">
        <w:rPr>
          <w:rFonts w:eastAsia="Calibri" w:cstheme="majorBidi"/>
          <w:sz w:val="22"/>
        </w:rPr>
        <w:t>REPUBLIQUE ALGERIENNE DEMOCRATIQUE ET POPULAIRE</w:t>
      </w:r>
    </w:p>
    <w:p w14:paraId="11E2191B" w14:textId="77777777" w:rsidR="00D00AB2" w:rsidRPr="00D00AB2" w:rsidRDefault="00D00AB2" w:rsidP="00D00AB2">
      <w:pPr>
        <w:spacing w:before="0" w:beforeAutospacing="0" w:line="259" w:lineRule="auto"/>
        <w:ind w:firstLine="0"/>
        <w:jc w:val="center"/>
        <w:rPr>
          <w:rFonts w:eastAsia="Calibri" w:cstheme="majorBidi"/>
          <w:sz w:val="22"/>
        </w:rPr>
      </w:pPr>
      <w:r w:rsidRPr="00D00AB2">
        <w:rPr>
          <w:rFonts w:eastAsia="Calibri" w:cstheme="majorBidi"/>
          <w:sz w:val="22"/>
        </w:rPr>
        <w:t>MINISTERE DE L’ENSEIGNNEMENT SUPERIEURE ET DE LA</w:t>
      </w:r>
    </w:p>
    <w:p w14:paraId="29E9D26A" w14:textId="77777777" w:rsidR="00D00AB2" w:rsidRPr="00D00AB2" w:rsidRDefault="00D00AB2" w:rsidP="00D00AB2">
      <w:pPr>
        <w:spacing w:before="0" w:beforeAutospacing="0" w:line="259" w:lineRule="auto"/>
        <w:ind w:firstLine="0"/>
        <w:jc w:val="center"/>
        <w:rPr>
          <w:rFonts w:eastAsia="Calibri" w:cstheme="majorBidi"/>
          <w:sz w:val="22"/>
        </w:rPr>
      </w:pPr>
      <w:r w:rsidRPr="00D00AB2">
        <w:rPr>
          <w:rFonts w:eastAsia="Times New Roman" w:cstheme="majorBidi"/>
          <w:noProof/>
          <w:sz w:val="22"/>
          <w:lang w:eastAsia="fr-FR"/>
        </w:rPr>
        <w:drawing>
          <wp:anchor distT="0" distB="0" distL="114300" distR="114300" simplePos="0" relativeHeight="252137472" behindDoc="0" locked="0" layoutInCell="1" allowOverlap="1" wp14:anchorId="083A3D27" wp14:editId="102FE59D">
            <wp:simplePos x="0" y="0"/>
            <wp:positionH relativeFrom="column">
              <wp:posOffset>4162146</wp:posOffset>
            </wp:positionH>
            <wp:positionV relativeFrom="paragraph">
              <wp:posOffset>6985</wp:posOffset>
            </wp:positionV>
            <wp:extent cx="687629" cy="687629"/>
            <wp:effectExtent l="0" t="0" r="0" b="0"/>
            <wp:wrapNone/>
            <wp:docPr id="480" name="Image 480" descr="C:\Users\PC\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images.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87629" cy="6876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0AB2">
        <w:rPr>
          <w:rFonts w:eastAsia="Times New Roman" w:cstheme="majorBidi"/>
          <w:noProof/>
          <w:sz w:val="22"/>
          <w:lang w:eastAsia="fr-FR"/>
        </w:rPr>
        <w:drawing>
          <wp:anchor distT="0" distB="0" distL="114300" distR="114300" simplePos="0" relativeHeight="252138496" behindDoc="0" locked="0" layoutInCell="1" allowOverlap="1" wp14:anchorId="2A1BA60B" wp14:editId="0FC4E91E">
            <wp:simplePos x="0" y="0"/>
            <wp:positionH relativeFrom="column">
              <wp:posOffset>1002182</wp:posOffset>
            </wp:positionH>
            <wp:positionV relativeFrom="paragraph">
              <wp:posOffset>10440</wp:posOffset>
            </wp:positionV>
            <wp:extent cx="687629" cy="687629"/>
            <wp:effectExtent l="0" t="0" r="0" b="0"/>
            <wp:wrapNone/>
            <wp:docPr id="481" name="Image 481" descr="C:\Users\PC\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images.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87629" cy="6876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0AB2">
        <w:rPr>
          <w:rFonts w:eastAsia="Calibri" w:cstheme="majorBidi"/>
          <w:sz w:val="22"/>
        </w:rPr>
        <w:t>RECHERCHE SCIENTIFIQUE</w:t>
      </w:r>
    </w:p>
    <w:p w14:paraId="0A39E96E"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b/>
          <w:bCs/>
          <w:sz w:val="22"/>
        </w:rPr>
        <w:t xml:space="preserve">Ecole supérieure de management </w:t>
      </w:r>
    </w:p>
    <w:p w14:paraId="6ABCC7EC"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b/>
          <w:bCs/>
          <w:sz w:val="22"/>
        </w:rPr>
        <w:t>-TLEMCEN-</w:t>
      </w:r>
    </w:p>
    <w:p w14:paraId="674E93F4" w14:textId="77777777" w:rsidR="00D00AB2" w:rsidRPr="00D00AB2" w:rsidRDefault="00D00AB2" w:rsidP="00D00AB2">
      <w:pPr>
        <w:spacing w:before="0" w:beforeAutospacing="0" w:line="259" w:lineRule="auto"/>
        <w:ind w:firstLine="0"/>
        <w:jc w:val="center"/>
        <w:rPr>
          <w:rFonts w:eastAsia="Calibri" w:cstheme="majorBidi"/>
          <w:b/>
          <w:bCs/>
          <w:sz w:val="22"/>
        </w:rPr>
      </w:pPr>
    </w:p>
    <w:p w14:paraId="4C8EF512"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b/>
          <w:bCs/>
          <w:sz w:val="22"/>
        </w:rPr>
        <w:t>Spécialité : management financier/management et stratégies d’entreprises</w:t>
      </w:r>
    </w:p>
    <w:p w14:paraId="235C8FED" w14:textId="77777777" w:rsidR="00D00AB2" w:rsidRPr="00D00AB2" w:rsidRDefault="00D00AB2" w:rsidP="00D00AB2">
      <w:pPr>
        <w:spacing w:before="0" w:beforeAutospacing="0" w:line="259" w:lineRule="auto"/>
        <w:ind w:firstLine="0"/>
        <w:jc w:val="center"/>
        <w:rPr>
          <w:rFonts w:eastAsia="Calibri" w:cstheme="majorBidi"/>
          <w:b/>
          <w:bCs/>
          <w:sz w:val="22"/>
        </w:rPr>
      </w:pPr>
    </w:p>
    <w:p w14:paraId="310A4F84" w14:textId="77777777" w:rsidR="00D00AB2" w:rsidRPr="00D00AB2" w:rsidRDefault="00D00AB2" w:rsidP="00D00AB2">
      <w:pPr>
        <w:spacing w:before="0" w:beforeAutospacing="0" w:line="259" w:lineRule="auto"/>
        <w:ind w:firstLine="0"/>
        <w:jc w:val="center"/>
        <w:rPr>
          <w:rFonts w:eastAsia="Calibri" w:cstheme="majorBidi"/>
          <w:b/>
          <w:bCs/>
          <w:sz w:val="22"/>
        </w:rPr>
      </w:pPr>
    </w:p>
    <w:p w14:paraId="73993B50" w14:textId="77777777" w:rsidR="00D00AB2" w:rsidRPr="00D00AB2" w:rsidRDefault="00D00AB2" w:rsidP="00D00AB2">
      <w:pPr>
        <w:spacing w:after="100" w:afterAutospacing="1" w:line="240" w:lineRule="auto"/>
        <w:ind w:firstLine="0"/>
        <w:jc w:val="left"/>
        <w:rPr>
          <w:rFonts w:eastAsia="Times New Roman" w:cstheme="majorBidi"/>
          <w:sz w:val="22"/>
          <w:lang w:eastAsia="fr-FR"/>
        </w:rPr>
      </w:pPr>
      <w:r w:rsidRPr="00D00AB2">
        <w:rPr>
          <w:rFonts w:eastAsia="Times New Roman" w:cstheme="majorBidi"/>
          <w:noProof/>
          <w:sz w:val="22"/>
          <w:lang w:eastAsia="fr-FR"/>
        </w:rPr>
        <mc:AlternateContent>
          <mc:Choice Requires="wps">
            <w:drawing>
              <wp:anchor distT="0" distB="0" distL="114300" distR="114300" simplePos="0" relativeHeight="252136448" behindDoc="0" locked="0" layoutInCell="1" allowOverlap="1" wp14:anchorId="69C7D9D3" wp14:editId="32FC6DB7">
                <wp:simplePos x="0" y="0"/>
                <wp:positionH relativeFrom="column">
                  <wp:posOffset>-95250</wp:posOffset>
                </wp:positionH>
                <wp:positionV relativeFrom="paragraph">
                  <wp:posOffset>49530</wp:posOffset>
                </wp:positionV>
                <wp:extent cx="5991225" cy="1455420"/>
                <wp:effectExtent l="23495" t="21590" r="24130" b="27940"/>
                <wp:wrapNone/>
                <wp:docPr id="482" name="Rectangl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1455420"/>
                        </a:xfrm>
                        <a:prstGeom prst="rect">
                          <a:avLst/>
                        </a:prstGeom>
                        <a:solidFill>
                          <a:srgbClr val="FFFFFF"/>
                        </a:solidFill>
                        <a:ln w="38100" cmpd="dbl">
                          <a:solidFill>
                            <a:srgbClr val="9CC2E5"/>
                          </a:solidFill>
                          <a:miter lim="800000"/>
                          <a:headEnd/>
                          <a:tailEnd/>
                        </a:ln>
                      </wps:spPr>
                      <wps:txbx>
                        <w:txbxContent>
                          <w:p w14:paraId="1CA325F2" w14:textId="77777777" w:rsidR="00A36231" w:rsidRPr="00D00AB2" w:rsidRDefault="00A36231" w:rsidP="00D00AB2">
                            <w:pPr>
                              <w:rPr>
                                <w:rFonts w:cs="Times New Roman"/>
                                <w:szCs w:val="24"/>
                              </w:rPr>
                            </w:pPr>
                            <w:r w:rsidRPr="00D00AB2">
                              <w:rPr>
                                <w:rFonts w:cs="Times New Roman"/>
                                <w:szCs w:val="24"/>
                              </w:rPr>
                              <w:t>Dans le cadre de la réalisation de notre mémoire de fin d’études pour l’obtention d’un master en management financier au sein de l’école supérieure de management de Tlemcen ; Ce questionnaire a pour objectif principal d’analyser « L’impact de la gouvernance sur la responsabilité sociale des entreprises au sein de l’entreprise « L’Algérienne des Industries Textiles : TAYAL SPA ». Il est convenu que toutes les informations recueillies seront traitées dans le respect total de la confidentialité. Nous vous remercions d’avance pour votre précieuse coopération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7D9D3" id="Rectangle 482" o:spid="_x0000_s1138" style="position:absolute;margin-left:-7.5pt;margin-top:3.9pt;width:471.75pt;height:114.6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" strokecolor="#9cc2e5" strokeweight="3pt">
                <v:stroke linestyle="thinThin"/>
                <v:textbox>
                  <w:txbxContent>
                    <w:p w14:paraId="1CA325F2" w14:textId="77777777" w:rsidR="00A36231" w:rsidRPr="00D00AB2" w:rsidRDefault="00A36231" w:rsidP="00D00AB2">
                      <w:pPr>
                        <w:rPr>
                          <w:rFonts w:cs="Times New Roman"/>
                          <w:szCs w:val="24"/>
                        </w:rPr>
                      </w:pPr>
                      <w:r w:rsidRPr="00D00AB2">
                        <w:rPr>
                          <w:rFonts w:cs="Times New Roman"/>
                          <w:szCs w:val="24"/>
                        </w:rPr>
                        <w:t>Dans le cadre de la réalisation de notre mémoire de fin d’études pour l’obtention d’un master en management financier au sein de l’école supérieure de management de Tlemcen ; Ce questionnaire a pour objectif principal d’analyser « L’impact de la gouvernance sur la responsabilité sociale des entreprises au sein de l’entreprise « L’Algérienne des Industries Textiles : TAYAL SPA ». Il est convenu que toutes les informations recueillies seront traitées dans le respect total de la confidentialité. Nous vous remercions d’avance pour votre précieuse coopération</w:t>
                      </w:r>
                    </w:p>
                  </w:txbxContent>
                </v:textbox>
              </v:rect>
            </w:pict>
          </mc:Fallback>
        </mc:AlternateContent>
      </w:r>
    </w:p>
    <w:p w14:paraId="58856D63" w14:textId="77777777" w:rsidR="00D00AB2" w:rsidRPr="00D00AB2" w:rsidRDefault="00D00AB2" w:rsidP="00D00AB2">
      <w:pPr>
        <w:spacing w:before="0" w:beforeAutospacing="0" w:line="259" w:lineRule="auto"/>
        <w:ind w:firstLine="0"/>
        <w:jc w:val="left"/>
        <w:rPr>
          <w:rFonts w:eastAsia="Calibri" w:cstheme="majorBidi"/>
          <w:b/>
          <w:bCs/>
          <w:sz w:val="22"/>
        </w:rPr>
      </w:pPr>
    </w:p>
    <w:p w14:paraId="11C25C97" w14:textId="77777777" w:rsidR="00D00AB2" w:rsidRPr="00D00AB2" w:rsidRDefault="00D00AB2" w:rsidP="00D00AB2">
      <w:pPr>
        <w:spacing w:after="100" w:afterAutospacing="1" w:line="240" w:lineRule="auto"/>
        <w:ind w:firstLine="0"/>
        <w:jc w:val="left"/>
        <w:rPr>
          <w:rFonts w:eastAsia="Times New Roman" w:cstheme="majorBidi"/>
          <w:sz w:val="22"/>
          <w:lang w:eastAsia="fr-FR"/>
        </w:rPr>
      </w:pPr>
    </w:p>
    <w:p w14:paraId="6866B65D" w14:textId="77777777" w:rsidR="00D00AB2" w:rsidRPr="00D00AB2" w:rsidRDefault="00D00AB2" w:rsidP="00D00AB2">
      <w:pPr>
        <w:spacing w:before="0" w:beforeAutospacing="0" w:line="259" w:lineRule="auto"/>
        <w:ind w:firstLine="0"/>
        <w:jc w:val="left"/>
        <w:rPr>
          <w:rFonts w:eastAsia="Calibri" w:cstheme="majorBidi"/>
          <w:b/>
          <w:bCs/>
          <w:sz w:val="22"/>
        </w:rPr>
      </w:pPr>
    </w:p>
    <w:p w14:paraId="476EFFC0" w14:textId="77777777" w:rsidR="00D00AB2" w:rsidRPr="00D00AB2" w:rsidRDefault="00D00AB2" w:rsidP="00D00AB2">
      <w:pPr>
        <w:spacing w:before="0" w:beforeAutospacing="0" w:line="259" w:lineRule="auto"/>
        <w:ind w:firstLine="0"/>
        <w:jc w:val="left"/>
        <w:rPr>
          <w:rFonts w:eastAsia="Calibri" w:cstheme="majorBidi"/>
          <w:b/>
          <w:bCs/>
          <w:sz w:val="22"/>
        </w:rPr>
      </w:pPr>
    </w:p>
    <w:p w14:paraId="08564D28" w14:textId="77777777" w:rsidR="00D00AB2" w:rsidRPr="00D00AB2" w:rsidRDefault="00D00AB2" w:rsidP="00D00AB2">
      <w:pPr>
        <w:spacing w:before="0" w:beforeAutospacing="0" w:line="259" w:lineRule="auto"/>
        <w:ind w:firstLine="0"/>
        <w:jc w:val="left"/>
        <w:rPr>
          <w:rFonts w:eastAsia="Calibri" w:cstheme="majorBidi"/>
          <w:b/>
          <w:bCs/>
          <w:sz w:val="22"/>
        </w:rPr>
      </w:pPr>
    </w:p>
    <w:p w14:paraId="71DABA4A"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u w:val="single"/>
        </w:rPr>
        <w:t>Réalisé par :</w:t>
      </w:r>
      <w:r w:rsidRPr="00D00AB2">
        <w:rPr>
          <w:rFonts w:eastAsia="Calibri" w:cstheme="majorBidi"/>
          <w:sz w:val="22"/>
        </w:rPr>
        <w:t xml:space="preserve"> BOUZID Siham                                            </w:t>
      </w:r>
      <w:r w:rsidRPr="00D00AB2">
        <w:rPr>
          <w:rFonts w:eastAsia="Calibri" w:cstheme="majorBidi"/>
          <w:b/>
          <w:bCs/>
          <w:sz w:val="22"/>
          <w:u w:val="single"/>
        </w:rPr>
        <w:t>Encadré par :</w:t>
      </w:r>
      <w:r w:rsidRPr="00D00AB2">
        <w:rPr>
          <w:rFonts w:eastAsia="Calibri" w:cstheme="majorBidi"/>
          <w:sz w:val="22"/>
        </w:rPr>
        <w:t xml:space="preserve"> Dr. BRAHIMI Assia</w:t>
      </w:r>
    </w:p>
    <w:p w14:paraId="6F29A303"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t xml:space="preserve">                       </w:t>
      </w:r>
      <w:r w:rsidRPr="00D00AB2">
        <w:rPr>
          <w:rFonts w:eastAsia="Calibri" w:cstheme="majorBidi"/>
          <w:sz w:val="22"/>
        </w:rPr>
        <w:t>BENKOU Douaa</w:t>
      </w:r>
    </w:p>
    <w:p w14:paraId="2B5FAD4A" w14:textId="77777777" w:rsidR="00D00AB2" w:rsidRPr="00D00AB2" w:rsidRDefault="00D00AB2" w:rsidP="00D00AB2">
      <w:pPr>
        <w:spacing w:before="0" w:beforeAutospacing="0" w:line="259" w:lineRule="auto"/>
        <w:ind w:firstLine="0"/>
        <w:jc w:val="left"/>
        <w:rPr>
          <w:rFonts w:eastAsia="Calibri" w:cstheme="majorBidi"/>
          <w:b/>
          <w:bCs/>
          <w:sz w:val="22"/>
        </w:rPr>
      </w:pPr>
    </w:p>
    <w:p w14:paraId="1087CBD3" w14:textId="77777777" w:rsidR="00D00AB2" w:rsidRPr="00D00AB2" w:rsidRDefault="00D00AB2" w:rsidP="00D00AB2">
      <w:pPr>
        <w:spacing w:before="0" w:beforeAutospacing="0" w:line="259" w:lineRule="auto"/>
        <w:ind w:firstLine="0"/>
        <w:jc w:val="left"/>
        <w:rPr>
          <w:rFonts w:eastAsia="Calibri" w:cstheme="majorBidi"/>
          <w:b/>
          <w:bCs/>
          <w:sz w:val="22"/>
        </w:rPr>
      </w:pPr>
    </w:p>
    <w:p w14:paraId="44A30C42" w14:textId="77777777" w:rsidR="00D00AB2" w:rsidRPr="00D00AB2" w:rsidRDefault="00D00AB2" w:rsidP="00D00AB2">
      <w:pPr>
        <w:spacing w:before="0" w:beforeAutospacing="0" w:line="259" w:lineRule="auto"/>
        <w:ind w:firstLine="0"/>
        <w:jc w:val="left"/>
        <w:rPr>
          <w:rFonts w:eastAsia="Calibri" w:cstheme="majorBidi"/>
          <w:b/>
          <w:bCs/>
          <w:sz w:val="22"/>
        </w:rPr>
      </w:pPr>
    </w:p>
    <w:p w14:paraId="3E1A1911" w14:textId="77777777" w:rsidR="00D00AB2" w:rsidRPr="00D00AB2" w:rsidRDefault="00D00AB2" w:rsidP="00D00AB2">
      <w:pPr>
        <w:spacing w:before="0" w:beforeAutospacing="0" w:line="259" w:lineRule="auto"/>
        <w:ind w:firstLine="0"/>
        <w:jc w:val="left"/>
        <w:rPr>
          <w:rFonts w:eastAsia="Calibri" w:cstheme="majorBidi"/>
          <w:b/>
          <w:bCs/>
          <w:sz w:val="22"/>
        </w:rPr>
      </w:pPr>
    </w:p>
    <w:p w14:paraId="0A4079E5"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b/>
          <w:bCs/>
          <w:sz w:val="22"/>
        </w:rPr>
        <w:t>Année universitaire : 2025/2026</w:t>
      </w:r>
    </w:p>
    <w:p w14:paraId="6690FC10" w14:textId="77777777" w:rsidR="00863C3A" w:rsidRPr="00D00AB2" w:rsidRDefault="00863C3A" w:rsidP="00BD4F12">
      <w:pPr>
        <w:rPr>
          <w:rFonts w:cstheme="majorBidi"/>
          <w:sz w:val="22"/>
        </w:rPr>
      </w:pPr>
    </w:p>
    <w:p w14:paraId="6322E2A7" w14:textId="77777777" w:rsidR="00D00AB2" w:rsidRPr="00D00AB2" w:rsidRDefault="00D00AB2" w:rsidP="00BD4F12">
      <w:pPr>
        <w:rPr>
          <w:rFonts w:cstheme="majorBidi"/>
          <w:sz w:val="22"/>
        </w:rPr>
      </w:pPr>
    </w:p>
    <w:p w14:paraId="4C5E0FA3" w14:textId="77777777" w:rsidR="00D00AB2" w:rsidRDefault="00D00AB2" w:rsidP="00BD4F12">
      <w:pPr>
        <w:rPr>
          <w:rFonts w:cstheme="majorBidi"/>
          <w:sz w:val="22"/>
        </w:rPr>
      </w:pPr>
    </w:p>
    <w:p w14:paraId="4F8ABA6E" w14:textId="77777777" w:rsidR="00D00AB2" w:rsidRPr="00D00AB2" w:rsidRDefault="00D00AB2" w:rsidP="00BD4F12">
      <w:pPr>
        <w:rPr>
          <w:rFonts w:cstheme="majorBidi"/>
          <w:sz w:val="22"/>
        </w:rPr>
      </w:pPr>
    </w:p>
    <w:p w14:paraId="181EDC1D"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u w:val="single"/>
        </w:rPr>
        <w:lastRenderedPageBreak/>
        <w:t>Partie 01 :</w:t>
      </w:r>
      <w:r w:rsidRPr="00D00AB2">
        <w:rPr>
          <w:rFonts w:eastAsia="Calibri" w:cstheme="majorBidi"/>
          <w:sz w:val="22"/>
        </w:rPr>
        <w:t xml:space="preserve"> les données personnelles</w:t>
      </w:r>
    </w:p>
    <w:p w14:paraId="72EF0951" w14:textId="77777777" w:rsidR="00D00AB2" w:rsidRPr="00D00AB2" w:rsidRDefault="00D00AB2" w:rsidP="00D00AB2">
      <w:pPr>
        <w:spacing w:before="0" w:beforeAutospacing="0" w:line="259" w:lineRule="auto"/>
        <w:ind w:firstLine="0"/>
        <w:jc w:val="left"/>
        <w:rPr>
          <w:rFonts w:eastAsia="Calibri" w:cstheme="majorBidi"/>
          <w:b/>
          <w:bCs/>
          <w:sz w:val="22"/>
        </w:rPr>
      </w:pPr>
      <w:r w:rsidRPr="00D00AB2">
        <w:rPr>
          <w:rFonts w:eastAsia="Calibri" w:cstheme="majorBidi"/>
          <w:b/>
          <w:bCs/>
          <w:sz w:val="22"/>
        </w:rPr>
        <w:t>1. Sexe :</w:t>
      </w:r>
    </w:p>
    <w:p w14:paraId="57455EE3"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ascii="Segoe UI Symbol" w:eastAsia="Calibri" w:hAnsi="Segoe UI Symbol" w:cs="Segoe UI Symbol"/>
          <w:sz w:val="22"/>
        </w:rPr>
        <w:t>☐</w:t>
      </w:r>
      <w:r w:rsidRPr="00D00AB2">
        <w:rPr>
          <w:rFonts w:eastAsia="Calibri" w:cstheme="majorBidi"/>
          <w:sz w:val="22"/>
        </w:rPr>
        <w:t xml:space="preserve"> Homme                                                     </w:t>
      </w:r>
      <w:r w:rsidRPr="00D00AB2">
        <w:rPr>
          <w:rFonts w:ascii="Segoe UI Symbol" w:eastAsia="Calibri" w:hAnsi="Segoe UI Symbol" w:cs="Segoe UI Symbol"/>
          <w:sz w:val="22"/>
        </w:rPr>
        <w:t>☐</w:t>
      </w:r>
      <w:r w:rsidRPr="00D00AB2">
        <w:rPr>
          <w:rFonts w:eastAsia="Calibri" w:cstheme="majorBidi"/>
          <w:sz w:val="22"/>
        </w:rPr>
        <w:t xml:space="preserve"> Femme</w:t>
      </w:r>
    </w:p>
    <w:p w14:paraId="1B560B0D" w14:textId="77777777" w:rsidR="00D00AB2" w:rsidRPr="00D00AB2" w:rsidRDefault="00D00AB2" w:rsidP="00D00AB2">
      <w:pPr>
        <w:spacing w:before="0" w:beforeAutospacing="0" w:line="259" w:lineRule="auto"/>
        <w:ind w:firstLine="0"/>
        <w:jc w:val="left"/>
        <w:rPr>
          <w:rFonts w:eastAsia="Calibri" w:cstheme="majorBidi"/>
          <w:sz w:val="22"/>
        </w:rPr>
      </w:pPr>
    </w:p>
    <w:p w14:paraId="4EF2AA5E"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t>2. L’âge :</w:t>
      </w:r>
      <w:r w:rsidRPr="00D00AB2">
        <w:rPr>
          <w:rFonts w:ascii="Segoe UI Symbol" w:eastAsia="Calibri" w:hAnsi="Segoe UI Symbol" w:cs="Segoe UI Symbol"/>
          <w:sz w:val="22"/>
        </w:rPr>
        <w:t>☐</w:t>
      </w:r>
      <w:r w:rsidRPr="00D00AB2">
        <w:rPr>
          <w:rFonts w:eastAsia="Calibri" w:cstheme="majorBidi"/>
          <w:sz w:val="22"/>
        </w:rPr>
        <w:t xml:space="preserve"> Moins de 30 ans                </w:t>
      </w:r>
      <w:r w:rsidRPr="00D00AB2">
        <w:rPr>
          <w:rFonts w:ascii="Segoe UI Symbol" w:eastAsia="Calibri" w:hAnsi="Segoe UI Symbol" w:cs="Segoe UI Symbol"/>
          <w:sz w:val="22"/>
        </w:rPr>
        <w:t>☐</w:t>
      </w:r>
      <w:r w:rsidRPr="00D00AB2">
        <w:rPr>
          <w:rFonts w:eastAsia="Calibri" w:cstheme="majorBidi"/>
          <w:sz w:val="22"/>
        </w:rPr>
        <w:t xml:space="preserve"> De 30 à 45 ans                         </w:t>
      </w:r>
      <w:r w:rsidRPr="00D00AB2">
        <w:rPr>
          <w:rFonts w:ascii="Segoe UI Symbol" w:eastAsia="Calibri" w:hAnsi="Segoe UI Symbol" w:cs="Segoe UI Symbol"/>
          <w:sz w:val="22"/>
        </w:rPr>
        <w:t>☐</w:t>
      </w:r>
      <w:r w:rsidRPr="00D00AB2">
        <w:rPr>
          <w:rFonts w:eastAsia="Calibri" w:cstheme="majorBidi"/>
          <w:sz w:val="22"/>
        </w:rPr>
        <w:t xml:space="preserve"> De 45 à 55 ans</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Plus de 55 ans</w:t>
      </w:r>
    </w:p>
    <w:p w14:paraId="4E7EBE46" w14:textId="77777777" w:rsidR="00D00AB2" w:rsidRPr="00D00AB2" w:rsidRDefault="00D00AB2" w:rsidP="00D00AB2">
      <w:pPr>
        <w:spacing w:before="0" w:beforeAutospacing="0" w:line="259" w:lineRule="auto"/>
        <w:ind w:firstLine="0"/>
        <w:jc w:val="left"/>
        <w:rPr>
          <w:rFonts w:eastAsia="Calibri" w:cstheme="majorBidi"/>
          <w:sz w:val="22"/>
        </w:rPr>
      </w:pPr>
    </w:p>
    <w:p w14:paraId="6F56735F"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t xml:space="preserve">3. Niveau d’étude : </w:t>
      </w:r>
      <w:r w:rsidRPr="00D00AB2">
        <w:rPr>
          <w:rFonts w:ascii="Segoe UI Symbol" w:eastAsia="Calibri" w:hAnsi="Segoe UI Symbol" w:cs="Segoe UI Symbol"/>
          <w:sz w:val="22"/>
        </w:rPr>
        <w:t>☐</w:t>
      </w:r>
      <w:r w:rsidRPr="00D00AB2">
        <w:rPr>
          <w:rFonts w:eastAsia="Calibri" w:cstheme="majorBidi"/>
          <w:sz w:val="22"/>
        </w:rPr>
        <w:t xml:space="preserve"> Bac   </w:t>
      </w:r>
      <w:r w:rsidRPr="00D00AB2">
        <w:rPr>
          <w:rFonts w:ascii="Segoe UI Symbol" w:eastAsia="Calibri" w:hAnsi="Segoe UI Symbol" w:cs="Segoe UI Symbol"/>
          <w:sz w:val="22"/>
        </w:rPr>
        <w:t>☐</w:t>
      </w:r>
      <w:r w:rsidRPr="00D00AB2">
        <w:rPr>
          <w:rFonts w:eastAsia="Calibri" w:cstheme="majorBidi"/>
          <w:sz w:val="22"/>
        </w:rPr>
        <w:t xml:space="preserve"> Licence </w:t>
      </w:r>
      <w:r w:rsidRPr="00D00AB2">
        <w:rPr>
          <w:rFonts w:ascii="Segoe UI Symbol" w:eastAsia="Calibri" w:hAnsi="Segoe UI Symbol" w:cs="Segoe UI Symbol"/>
          <w:sz w:val="22"/>
        </w:rPr>
        <w:t>☐</w:t>
      </w:r>
      <w:r w:rsidRPr="00D00AB2">
        <w:rPr>
          <w:rFonts w:eastAsia="Calibri" w:cstheme="majorBidi"/>
          <w:sz w:val="22"/>
        </w:rPr>
        <w:t xml:space="preserve"> Master   </w:t>
      </w:r>
      <w:r w:rsidRPr="00D00AB2">
        <w:rPr>
          <w:rFonts w:ascii="Segoe UI Symbol" w:eastAsia="Calibri" w:hAnsi="Segoe UI Symbol" w:cs="Segoe UI Symbol"/>
          <w:sz w:val="22"/>
        </w:rPr>
        <w:t>☐</w:t>
      </w:r>
      <w:r w:rsidRPr="00D00AB2">
        <w:rPr>
          <w:rFonts w:eastAsia="Calibri" w:cstheme="majorBidi"/>
          <w:sz w:val="22"/>
        </w:rPr>
        <w:t xml:space="preserve"> Magister</w:t>
      </w:r>
      <w:r w:rsidRPr="00D00AB2">
        <w:rPr>
          <w:rFonts w:ascii="Segoe UI Symbol" w:eastAsia="Calibri" w:hAnsi="Segoe UI Symbol" w:cs="Segoe UI Symbol"/>
          <w:sz w:val="22"/>
        </w:rPr>
        <w:t>☐</w:t>
      </w:r>
      <w:r w:rsidRPr="00D00AB2">
        <w:rPr>
          <w:rFonts w:eastAsia="Calibri" w:cstheme="majorBidi"/>
          <w:sz w:val="22"/>
        </w:rPr>
        <w:t xml:space="preserve"> doctorat</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Autre (précisez) : ......................................................................................</w:t>
      </w:r>
    </w:p>
    <w:p w14:paraId="6294EB96" w14:textId="77777777" w:rsidR="00D00AB2" w:rsidRPr="00D00AB2" w:rsidRDefault="00D00AB2" w:rsidP="00D00AB2">
      <w:pPr>
        <w:spacing w:before="0" w:beforeAutospacing="0" w:line="259" w:lineRule="auto"/>
        <w:ind w:firstLine="0"/>
        <w:jc w:val="left"/>
        <w:rPr>
          <w:rFonts w:eastAsia="Calibri" w:cstheme="majorBidi"/>
          <w:sz w:val="22"/>
        </w:rPr>
      </w:pPr>
    </w:p>
    <w:p w14:paraId="061EBEE0" w14:textId="77777777" w:rsidR="00D00AB2" w:rsidRPr="00D00AB2" w:rsidRDefault="00D00AB2" w:rsidP="00D00AB2">
      <w:pPr>
        <w:spacing w:before="0" w:beforeAutospacing="0" w:line="276" w:lineRule="auto"/>
        <w:ind w:firstLine="0"/>
        <w:jc w:val="left"/>
        <w:rPr>
          <w:rFonts w:eastAsia="Calibri" w:cstheme="majorBidi"/>
          <w:sz w:val="22"/>
        </w:rPr>
      </w:pPr>
      <w:r w:rsidRPr="00D00AB2">
        <w:rPr>
          <w:rFonts w:eastAsia="Calibri" w:cstheme="majorBidi"/>
          <w:b/>
          <w:bCs/>
          <w:sz w:val="22"/>
        </w:rPr>
        <w:t xml:space="preserve">4. Domaine d’étude : </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Économie</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Gestion</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Commerce</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Finance</w:t>
      </w:r>
    </w:p>
    <w:p w14:paraId="648D41A2" w14:textId="77777777" w:rsidR="00D00AB2" w:rsidRPr="00D00AB2" w:rsidRDefault="00D00AB2" w:rsidP="00D00AB2">
      <w:pPr>
        <w:spacing w:before="0" w:beforeAutospacing="0" w:line="276" w:lineRule="auto"/>
        <w:ind w:firstLine="0"/>
        <w:jc w:val="left"/>
        <w:rPr>
          <w:rFonts w:eastAsia="Calibri" w:cstheme="majorBidi"/>
          <w:sz w:val="22"/>
        </w:rPr>
      </w:pPr>
      <w:r w:rsidRPr="00D00AB2">
        <w:rPr>
          <w:rFonts w:ascii="Segoe UI Symbol" w:eastAsia="Calibri" w:hAnsi="Segoe UI Symbol" w:cs="Segoe UI Symbol"/>
          <w:sz w:val="22"/>
        </w:rPr>
        <w:t>☐</w:t>
      </w:r>
      <w:r w:rsidRPr="00D00AB2">
        <w:rPr>
          <w:rFonts w:eastAsia="Calibri" w:cstheme="majorBidi"/>
          <w:sz w:val="22"/>
        </w:rPr>
        <w:t xml:space="preserve"> Stratégie</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Autre (précisez) : ......................................................................................</w:t>
      </w:r>
    </w:p>
    <w:p w14:paraId="1A1BCEC7" w14:textId="77777777" w:rsidR="00D00AB2" w:rsidRPr="00D00AB2" w:rsidRDefault="00D00AB2" w:rsidP="00D00AB2">
      <w:pPr>
        <w:spacing w:before="0" w:beforeAutospacing="0" w:line="276" w:lineRule="auto"/>
        <w:ind w:firstLine="0"/>
        <w:jc w:val="left"/>
        <w:rPr>
          <w:rFonts w:eastAsia="Calibri" w:cstheme="majorBidi"/>
          <w:sz w:val="22"/>
        </w:rPr>
      </w:pPr>
    </w:p>
    <w:p w14:paraId="37D8637D" w14:textId="77777777" w:rsidR="00D00AB2" w:rsidRPr="00D00AB2" w:rsidRDefault="00D00AB2" w:rsidP="00D00AB2">
      <w:pPr>
        <w:spacing w:before="0" w:beforeAutospacing="0" w:line="276" w:lineRule="auto"/>
        <w:ind w:firstLine="0"/>
        <w:jc w:val="left"/>
        <w:rPr>
          <w:rFonts w:eastAsia="Calibri" w:cstheme="majorBidi"/>
          <w:sz w:val="22"/>
        </w:rPr>
      </w:pPr>
      <w:r w:rsidRPr="00D00AB2">
        <w:rPr>
          <w:rFonts w:eastAsia="Calibri" w:cstheme="majorBidi"/>
          <w:b/>
          <w:bCs/>
          <w:sz w:val="22"/>
        </w:rPr>
        <w:t xml:space="preserve">5. Poste occupé : </w:t>
      </w:r>
      <w:r w:rsidRPr="00D00AB2">
        <w:rPr>
          <w:rFonts w:eastAsia="Calibri" w:cstheme="majorBidi"/>
          <w:sz w:val="22"/>
        </w:rPr>
        <w:t>..........................................................................................</w:t>
      </w:r>
    </w:p>
    <w:p w14:paraId="036D78EC" w14:textId="77777777" w:rsidR="00D00AB2" w:rsidRPr="00D00AB2" w:rsidRDefault="00D00AB2" w:rsidP="00D00AB2">
      <w:pPr>
        <w:spacing w:before="0" w:beforeAutospacing="0" w:line="276" w:lineRule="auto"/>
        <w:ind w:firstLine="0"/>
        <w:jc w:val="left"/>
        <w:rPr>
          <w:rFonts w:eastAsia="Calibri" w:cstheme="majorBidi"/>
          <w:b/>
          <w:bCs/>
          <w:sz w:val="22"/>
        </w:rPr>
      </w:pPr>
    </w:p>
    <w:p w14:paraId="19C4A64A" w14:textId="77777777" w:rsidR="00D00AB2" w:rsidRPr="00D00AB2" w:rsidRDefault="00D00AB2" w:rsidP="00D00AB2">
      <w:pPr>
        <w:spacing w:before="0" w:beforeAutospacing="0" w:line="276" w:lineRule="auto"/>
        <w:ind w:firstLine="0"/>
        <w:jc w:val="left"/>
        <w:rPr>
          <w:rFonts w:eastAsia="Calibri" w:cstheme="majorBidi"/>
          <w:b/>
          <w:bCs/>
          <w:sz w:val="22"/>
        </w:rPr>
      </w:pPr>
      <w:r w:rsidRPr="00D00AB2">
        <w:rPr>
          <w:rFonts w:eastAsia="Calibri" w:cstheme="majorBidi"/>
          <w:b/>
          <w:bCs/>
          <w:sz w:val="22"/>
        </w:rPr>
        <w:t>6. Expérience professionnelle :</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Moins de 5 ans</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De 5 à 10 ans</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De 11 à 15 ans</w:t>
      </w:r>
      <w:r w:rsidRPr="00D00AB2">
        <w:rPr>
          <w:rFonts w:eastAsia="Calibri" w:cstheme="majorBidi"/>
          <w:sz w:val="22"/>
        </w:rPr>
        <w:br/>
      </w:r>
      <w:r w:rsidRPr="00D00AB2">
        <w:rPr>
          <w:rFonts w:ascii="Segoe UI Symbol" w:eastAsia="Calibri" w:hAnsi="Segoe UI Symbol" w:cs="Segoe UI Symbol"/>
          <w:sz w:val="22"/>
        </w:rPr>
        <w:t>☐</w:t>
      </w:r>
      <w:r w:rsidRPr="00D00AB2">
        <w:rPr>
          <w:rFonts w:eastAsia="Calibri" w:cstheme="majorBidi"/>
          <w:sz w:val="22"/>
        </w:rPr>
        <w:t xml:space="preserve"> Plus de 15 ans</w:t>
      </w:r>
    </w:p>
    <w:p w14:paraId="282C3356" w14:textId="77777777" w:rsidR="00D00AB2" w:rsidRDefault="00D00AB2" w:rsidP="00D00AB2">
      <w:pPr>
        <w:spacing w:before="0" w:beforeAutospacing="0" w:line="276" w:lineRule="auto"/>
        <w:ind w:firstLine="0"/>
        <w:jc w:val="left"/>
        <w:rPr>
          <w:rFonts w:eastAsia="Calibri" w:cstheme="majorBidi"/>
          <w:b/>
          <w:bCs/>
          <w:sz w:val="22"/>
          <w:u w:val="single"/>
        </w:rPr>
      </w:pPr>
    </w:p>
    <w:p w14:paraId="42BA2489" w14:textId="77777777" w:rsidR="00D00AB2" w:rsidRDefault="00D00AB2" w:rsidP="00D00AB2">
      <w:pPr>
        <w:spacing w:before="0" w:beforeAutospacing="0" w:line="276" w:lineRule="auto"/>
        <w:ind w:firstLine="0"/>
        <w:jc w:val="left"/>
        <w:rPr>
          <w:rFonts w:eastAsia="Calibri" w:cstheme="majorBidi"/>
          <w:b/>
          <w:bCs/>
          <w:sz w:val="22"/>
          <w:u w:val="single"/>
        </w:rPr>
      </w:pPr>
    </w:p>
    <w:p w14:paraId="7A1881BE" w14:textId="77777777" w:rsidR="00D00AB2" w:rsidRDefault="00D00AB2" w:rsidP="00D00AB2">
      <w:pPr>
        <w:spacing w:before="0" w:beforeAutospacing="0" w:line="276" w:lineRule="auto"/>
        <w:ind w:firstLine="0"/>
        <w:jc w:val="left"/>
        <w:rPr>
          <w:rFonts w:eastAsia="Calibri" w:cstheme="majorBidi"/>
          <w:b/>
          <w:bCs/>
          <w:sz w:val="22"/>
          <w:u w:val="single"/>
        </w:rPr>
      </w:pPr>
    </w:p>
    <w:p w14:paraId="19365E65" w14:textId="77777777" w:rsidR="00D00AB2" w:rsidRDefault="00D00AB2" w:rsidP="00D00AB2">
      <w:pPr>
        <w:spacing w:before="0" w:beforeAutospacing="0" w:line="276" w:lineRule="auto"/>
        <w:ind w:firstLine="0"/>
        <w:jc w:val="left"/>
        <w:rPr>
          <w:rFonts w:eastAsia="Calibri" w:cstheme="majorBidi"/>
          <w:b/>
          <w:bCs/>
          <w:sz w:val="22"/>
          <w:u w:val="single"/>
        </w:rPr>
      </w:pPr>
    </w:p>
    <w:p w14:paraId="55D012A5" w14:textId="77777777" w:rsidR="00D00AB2" w:rsidRDefault="00D00AB2" w:rsidP="00D00AB2">
      <w:pPr>
        <w:spacing w:before="0" w:beforeAutospacing="0" w:line="276" w:lineRule="auto"/>
        <w:ind w:firstLine="0"/>
        <w:jc w:val="left"/>
        <w:rPr>
          <w:rFonts w:eastAsia="Calibri" w:cstheme="majorBidi"/>
          <w:b/>
          <w:bCs/>
          <w:sz w:val="22"/>
          <w:u w:val="single"/>
        </w:rPr>
      </w:pPr>
    </w:p>
    <w:p w14:paraId="2A68287F" w14:textId="77777777" w:rsidR="00D00AB2" w:rsidRDefault="00D00AB2" w:rsidP="00D00AB2">
      <w:pPr>
        <w:spacing w:before="0" w:beforeAutospacing="0" w:line="276" w:lineRule="auto"/>
        <w:ind w:firstLine="0"/>
        <w:jc w:val="left"/>
        <w:rPr>
          <w:rFonts w:eastAsia="Calibri" w:cstheme="majorBidi"/>
          <w:b/>
          <w:bCs/>
          <w:sz w:val="22"/>
          <w:u w:val="single"/>
        </w:rPr>
      </w:pPr>
    </w:p>
    <w:p w14:paraId="78E660D5" w14:textId="77777777" w:rsidR="00D00AB2" w:rsidRDefault="00D00AB2" w:rsidP="00D00AB2">
      <w:pPr>
        <w:spacing w:before="0" w:beforeAutospacing="0" w:line="276" w:lineRule="auto"/>
        <w:ind w:firstLine="0"/>
        <w:jc w:val="left"/>
        <w:rPr>
          <w:rFonts w:eastAsia="Calibri" w:cstheme="majorBidi"/>
          <w:b/>
          <w:bCs/>
          <w:sz w:val="22"/>
          <w:u w:val="single"/>
        </w:rPr>
      </w:pPr>
    </w:p>
    <w:p w14:paraId="391DBD45" w14:textId="77777777" w:rsidR="00D00AB2" w:rsidRDefault="00D00AB2" w:rsidP="00D00AB2">
      <w:pPr>
        <w:spacing w:before="0" w:beforeAutospacing="0" w:line="276" w:lineRule="auto"/>
        <w:ind w:firstLine="0"/>
        <w:jc w:val="left"/>
        <w:rPr>
          <w:rFonts w:eastAsia="Calibri" w:cstheme="majorBidi"/>
          <w:b/>
          <w:bCs/>
          <w:sz w:val="22"/>
          <w:u w:val="single"/>
        </w:rPr>
      </w:pPr>
    </w:p>
    <w:p w14:paraId="44F2DD81" w14:textId="77777777" w:rsidR="00D00AB2" w:rsidRDefault="00D00AB2" w:rsidP="00D00AB2">
      <w:pPr>
        <w:spacing w:before="0" w:beforeAutospacing="0" w:line="276" w:lineRule="auto"/>
        <w:ind w:firstLine="0"/>
        <w:jc w:val="left"/>
        <w:rPr>
          <w:rFonts w:eastAsia="Calibri" w:cstheme="majorBidi"/>
          <w:b/>
          <w:bCs/>
          <w:sz w:val="22"/>
          <w:u w:val="single"/>
        </w:rPr>
      </w:pPr>
    </w:p>
    <w:p w14:paraId="342864BF" w14:textId="77777777" w:rsidR="00D00AB2" w:rsidRPr="00D00AB2" w:rsidRDefault="00D00AB2" w:rsidP="00D00AB2">
      <w:pPr>
        <w:spacing w:before="0" w:beforeAutospacing="0" w:line="276" w:lineRule="auto"/>
        <w:ind w:firstLine="0"/>
        <w:jc w:val="left"/>
        <w:rPr>
          <w:rFonts w:eastAsia="Calibri" w:cstheme="majorBidi"/>
          <w:sz w:val="22"/>
        </w:rPr>
      </w:pPr>
      <w:r w:rsidRPr="00D00AB2">
        <w:rPr>
          <w:rFonts w:eastAsia="Calibri" w:cstheme="majorBidi"/>
          <w:b/>
          <w:bCs/>
          <w:sz w:val="22"/>
          <w:u w:val="single"/>
        </w:rPr>
        <w:lastRenderedPageBreak/>
        <w:t>Partie 02 :</w:t>
      </w:r>
      <w:r w:rsidRPr="00D00AB2">
        <w:rPr>
          <w:rFonts w:eastAsia="Calibri" w:cstheme="majorBidi"/>
          <w:sz w:val="22"/>
        </w:rPr>
        <w:t xml:space="preserve"> les principes de la gouvernance</w:t>
      </w:r>
    </w:p>
    <w:p w14:paraId="0CADC6C9" w14:textId="77777777" w:rsidR="00D00AB2" w:rsidRPr="00D00AB2" w:rsidRDefault="00D00AB2" w:rsidP="00D00AB2">
      <w:pPr>
        <w:spacing w:before="0" w:beforeAutospacing="0" w:line="276" w:lineRule="auto"/>
        <w:ind w:firstLine="0"/>
        <w:jc w:val="left"/>
        <w:rPr>
          <w:rFonts w:eastAsia="Calibri" w:cstheme="majorBidi"/>
          <w:sz w:val="22"/>
        </w:rPr>
      </w:pPr>
      <w:r w:rsidRPr="00D00AB2">
        <w:rPr>
          <w:rFonts w:eastAsia="Calibri" w:cstheme="majorBidi"/>
          <w:sz w:val="22"/>
        </w:rPr>
        <w:t>Veuillez mettre une croix (x) dans la case appropriée qui, selon vous, est la plus importante.</w:t>
      </w:r>
    </w:p>
    <w:p w14:paraId="01AFC6DE" w14:textId="77777777" w:rsidR="00D00AB2" w:rsidRPr="00D00AB2" w:rsidRDefault="009D45CE" w:rsidP="009D45CE">
      <w:pPr>
        <w:spacing w:before="0" w:beforeAutospacing="0" w:line="240" w:lineRule="auto"/>
        <w:ind w:firstLine="0"/>
        <w:jc w:val="left"/>
        <w:rPr>
          <w:rFonts w:eastAsia="Calibri" w:cstheme="majorBidi"/>
          <w:b/>
          <w:bCs/>
          <w:sz w:val="22"/>
          <w:u w:val="single"/>
        </w:rPr>
      </w:pPr>
      <w:r>
        <w:rPr>
          <w:rFonts w:eastAsia="Calibri" w:cstheme="majorBidi"/>
          <w:b/>
          <w:bCs/>
          <w:sz w:val="22"/>
          <w:u w:val="single"/>
        </w:rPr>
        <w:t>Échelle de réponses :</w:t>
      </w:r>
    </w:p>
    <w:tbl>
      <w:tblPr>
        <w:tblStyle w:val="Grilledutableau3"/>
        <w:tblW w:w="9072" w:type="dxa"/>
        <w:tblLook w:val="04A0" w:firstRow="1" w:lastRow="0" w:firstColumn="1" w:lastColumn="0" w:noHBand="0" w:noVBand="1"/>
      </w:tblPr>
      <w:tblGrid>
        <w:gridCol w:w="1614"/>
        <w:gridCol w:w="1491"/>
        <w:gridCol w:w="1491"/>
        <w:gridCol w:w="1492"/>
        <w:gridCol w:w="1492"/>
        <w:gridCol w:w="1492"/>
      </w:tblGrid>
      <w:tr w:rsidR="00D00AB2" w:rsidRPr="00D00AB2" w14:paraId="7E9F8562" w14:textId="77777777" w:rsidTr="009D45CE">
        <w:trPr>
          <w:trHeight w:val="651"/>
        </w:trPr>
        <w:tc>
          <w:tcPr>
            <w:tcW w:w="1607" w:type="dxa"/>
            <w:shd w:val="clear" w:color="auto" w:fill="D9E2F3" w:themeFill="accent1" w:themeFillTint="33"/>
          </w:tcPr>
          <w:p w14:paraId="4F6CEED1" w14:textId="77777777" w:rsidR="00D00AB2" w:rsidRPr="00D00AB2" w:rsidRDefault="00D00AB2" w:rsidP="009D45CE">
            <w:pPr>
              <w:spacing w:after="160"/>
              <w:rPr>
                <w:rFonts w:eastAsia="Calibri" w:cstheme="majorBidi"/>
                <w:b/>
                <w:bCs/>
                <w:sz w:val="22"/>
                <w:u w:val="single"/>
              </w:rPr>
            </w:pPr>
            <w:r w:rsidRPr="00D00AB2">
              <w:rPr>
                <w:rFonts w:eastAsia="Calibri" w:cstheme="majorBidi"/>
                <w:sz w:val="22"/>
              </w:rPr>
              <w:t>Classification</w:t>
            </w:r>
          </w:p>
        </w:tc>
        <w:tc>
          <w:tcPr>
            <w:tcW w:w="1485" w:type="dxa"/>
            <w:shd w:val="clear" w:color="auto" w:fill="D9E2F3" w:themeFill="accent1" w:themeFillTint="33"/>
          </w:tcPr>
          <w:p w14:paraId="21129C4D"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Tout à fait</w:t>
            </w:r>
          </w:p>
          <w:p w14:paraId="6202EE51"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D’accord</w:t>
            </w:r>
          </w:p>
        </w:tc>
        <w:tc>
          <w:tcPr>
            <w:tcW w:w="1485" w:type="dxa"/>
            <w:shd w:val="clear" w:color="auto" w:fill="D9E2F3" w:themeFill="accent1" w:themeFillTint="33"/>
          </w:tcPr>
          <w:p w14:paraId="257D8A0C" w14:textId="77777777" w:rsidR="00D00AB2" w:rsidRPr="00D00AB2" w:rsidRDefault="00D00AB2" w:rsidP="009D45CE">
            <w:pPr>
              <w:spacing w:after="160"/>
              <w:jc w:val="center"/>
              <w:rPr>
                <w:rFonts w:eastAsia="Calibri" w:cstheme="majorBidi"/>
                <w:sz w:val="22"/>
                <w:u w:val="single"/>
              </w:rPr>
            </w:pPr>
            <w:r w:rsidRPr="00D00AB2">
              <w:rPr>
                <w:rFonts w:eastAsia="Calibri" w:cstheme="majorBidi"/>
                <w:sz w:val="22"/>
              </w:rPr>
              <w:t>D’accord</w:t>
            </w:r>
          </w:p>
        </w:tc>
        <w:tc>
          <w:tcPr>
            <w:tcW w:w="1486" w:type="dxa"/>
            <w:shd w:val="clear" w:color="auto" w:fill="D9E2F3" w:themeFill="accent1" w:themeFillTint="33"/>
          </w:tcPr>
          <w:p w14:paraId="5C25A20F" w14:textId="77777777" w:rsidR="00D00AB2" w:rsidRPr="00D00AB2" w:rsidRDefault="00D00AB2" w:rsidP="009D45CE">
            <w:pPr>
              <w:spacing w:after="160"/>
              <w:jc w:val="center"/>
              <w:rPr>
                <w:rFonts w:eastAsia="Calibri" w:cstheme="majorBidi"/>
                <w:sz w:val="22"/>
                <w:u w:val="single"/>
              </w:rPr>
            </w:pPr>
            <w:r w:rsidRPr="00D00AB2">
              <w:rPr>
                <w:rFonts w:eastAsia="Calibri" w:cstheme="majorBidi"/>
                <w:sz w:val="22"/>
              </w:rPr>
              <w:t>Neutre</w:t>
            </w:r>
          </w:p>
        </w:tc>
        <w:tc>
          <w:tcPr>
            <w:tcW w:w="1486" w:type="dxa"/>
            <w:shd w:val="clear" w:color="auto" w:fill="D9E2F3" w:themeFill="accent1" w:themeFillTint="33"/>
          </w:tcPr>
          <w:p w14:paraId="2AC70007" w14:textId="77777777" w:rsidR="00D00AB2" w:rsidRPr="00D00AB2" w:rsidRDefault="00D00AB2" w:rsidP="009D45CE">
            <w:pPr>
              <w:spacing w:after="160"/>
              <w:jc w:val="center"/>
              <w:rPr>
                <w:rFonts w:eastAsia="Calibri" w:cstheme="majorBidi"/>
                <w:sz w:val="22"/>
                <w:u w:val="single"/>
              </w:rPr>
            </w:pPr>
            <w:r w:rsidRPr="00D00AB2">
              <w:rPr>
                <w:rFonts w:eastAsia="Calibri" w:cstheme="majorBidi"/>
                <w:sz w:val="22"/>
              </w:rPr>
              <w:t>Désaccord</w:t>
            </w:r>
          </w:p>
        </w:tc>
        <w:tc>
          <w:tcPr>
            <w:tcW w:w="1486" w:type="dxa"/>
            <w:shd w:val="clear" w:color="auto" w:fill="D9E2F3" w:themeFill="accent1" w:themeFillTint="33"/>
          </w:tcPr>
          <w:p w14:paraId="2F58D992" w14:textId="77777777" w:rsidR="00D00AB2" w:rsidRPr="00D00AB2" w:rsidRDefault="00D00AB2" w:rsidP="009D45CE">
            <w:pPr>
              <w:spacing w:after="160"/>
              <w:jc w:val="center"/>
              <w:rPr>
                <w:rFonts w:eastAsia="Calibri" w:cstheme="majorBidi"/>
                <w:sz w:val="22"/>
                <w:u w:val="single"/>
              </w:rPr>
            </w:pPr>
            <w:r w:rsidRPr="00D00AB2">
              <w:rPr>
                <w:rFonts w:eastAsia="Calibri" w:cstheme="majorBidi"/>
                <w:sz w:val="22"/>
              </w:rPr>
              <w:t>Tout à fait désaccord</w:t>
            </w:r>
          </w:p>
        </w:tc>
      </w:tr>
      <w:tr w:rsidR="00D00AB2" w:rsidRPr="00D00AB2" w14:paraId="7EC5BE96" w14:textId="77777777" w:rsidTr="009D45CE">
        <w:trPr>
          <w:trHeight w:val="175"/>
        </w:trPr>
        <w:tc>
          <w:tcPr>
            <w:tcW w:w="1607" w:type="dxa"/>
            <w:shd w:val="clear" w:color="auto" w:fill="D9E2F3" w:themeFill="accent1" w:themeFillTint="33"/>
          </w:tcPr>
          <w:p w14:paraId="48CD0E84" w14:textId="77777777" w:rsidR="00D00AB2" w:rsidRPr="00D00AB2" w:rsidRDefault="00D00AB2" w:rsidP="009D45CE">
            <w:pPr>
              <w:spacing w:after="160"/>
              <w:rPr>
                <w:rFonts w:eastAsia="Calibri" w:cstheme="majorBidi"/>
                <w:b/>
                <w:bCs/>
                <w:sz w:val="22"/>
                <w:u w:val="single"/>
              </w:rPr>
            </w:pPr>
            <w:r w:rsidRPr="00D00AB2">
              <w:rPr>
                <w:rFonts w:eastAsia="Calibri" w:cstheme="majorBidi"/>
                <w:sz w:val="22"/>
              </w:rPr>
              <w:t>Degré</w:t>
            </w:r>
          </w:p>
        </w:tc>
        <w:tc>
          <w:tcPr>
            <w:tcW w:w="1485" w:type="dxa"/>
          </w:tcPr>
          <w:p w14:paraId="7DB2B8FD"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5</w:t>
            </w:r>
          </w:p>
        </w:tc>
        <w:tc>
          <w:tcPr>
            <w:tcW w:w="1485" w:type="dxa"/>
          </w:tcPr>
          <w:p w14:paraId="4C6FB659"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4</w:t>
            </w:r>
          </w:p>
        </w:tc>
        <w:tc>
          <w:tcPr>
            <w:tcW w:w="1486" w:type="dxa"/>
          </w:tcPr>
          <w:p w14:paraId="74B358A8"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3</w:t>
            </w:r>
          </w:p>
        </w:tc>
        <w:tc>
          <w:tcPr>
            <w:tcW w:w="1486" w:type="dxa"/>
          </w:tcPr>
          <w:p w14:paraId="1F5D2D8E"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2</w:t>
            </w:r>
          </w:p>
        </w:tc>
        <w:tc>
          <w:tcPr>
            <w:tcW w:w="1486" w:type="dxa"/>
          </w:tcPr>
          <w:p w14:paraId="54A95243" w14:textId="77777777" w:rsidR="00D00AB2" w:rsidRPr="00D00AB2" w:rsidRDefault="00D00AB2" w:rsidP="009D45CE">
            <w:pPr>
              <w:spacing w:after="160"/>
              <w:jc w:val="center"/>
              <w:rPr>
                <w:rFonts w:eastAsia="Calibri" w:cstheme="majorBidi"/>
                <w:sz w:val="22"/>
              </w:rPr>
            </w:pPr>
            <w:r w:rsidRPr="00D00AB2">
              <w:rPr>
                <w:rFonts w:eastAsia="Calibri" w:cstheme="majorBidi"/>
                <w:sz w:val="22"/>
              </w:rPr>
              <w:t>1</w:t>
            </w:r>
          </w:p>
        </w:tc>
      </w:tr>
    </w:tbl>
    <w:p w14:paraId="032D7011" w14:textId="77777777" w:rsidR="009D45CE" w:rsidRDefault="009D45CE" w:rsidP="00D00AB2">
      <w:pPr>
        <w:spacing w:before="0" w:beforeAutospacing="0" w:line="259" w:lineRule="auto"/>
        <w:ind w:firstLine="0"/>
        <w:jc w:val="left"/>
        <w:rPr>
          <w:rFonts w:eastAsia="Calibri" w:cstheme="majorBidi"/>
          <w:b/>
          <w:bCs/>
          <w:sz w:val="22"/>
          <w:u w:val="single"/>
        </w:rPr>
      </w:pPr>
    </w:p>
    <w:p w14:paraId="0130DB20" w14:textId="77777777" w:rsidR="00D00AB2" w:rsidRDefault="00D00AB2" w:rsidP="001350FD">
      <w:pPr>
        <w:spacing w:before="0" w:beforeAutospacing="0" w:line="240" w:lineRule="auto"/>
        <w:ind w:firstLine="0"/>
        <w:contextualSpacing/>
        <w:jc w:val="left"/>
        <w:rPr>
          <w:rFonts w:eastAsia="Times New Roman" w:cstheme="majorBidi"/>
          <w:b/>
          <w:bCs/>
          <w:color w:val="1F1F1F"/>
          <w:sz w:val="22"/>
          <w:u w:val="single"/>
          <w:lang w:eastAsia="fr-FR"/>
        </w:rPr>
      </w:pPr>
      <w:r w:rsidRPr="00D00AB2">
        <w:rPr>
          <w:rFonts w:eastAsia="Times New Roman" w:cstheme="majorBidi"/>
          <w:b/>
          <w:bCs/>
          <w:color w:val="1F1F1F"/>
          <w:sz w:val="22"/>
          <w:u w:val="single"/>
          <w:lang w:eastAsia="fr-FR"/>
        </w:rPr>
        <w:t>L'existence d'une base pour un cadre efficace de la gouvernance :</w:t>
      </w:r>
    </w:p>
    <w:p w14:paraId="4A530EC7" w14:textId="77777777" w:rsidR="001350FD" w:rsidRPr="00D00AB2" w:rsidRDefault="001350FD" w:rsidP="001350FD">
      <w:pPr>
        <w:spacing w:before="0" w:beforeAutospacing="0" w:line="240" w:lineRule="auto"/>
        <w:ind w:firstLine="0"/>
        <w:contextualSpacing/>
        <w:jc w:val="left"/>
        <w:rPr>
          <w:rFonts w:eastAsia="Times New Roman" w:cstheme="majorBidi"/>
          <w:b/>
          <w:bCs/>
          <w:color w:val="1F1F1F"/>
          <w:sz w:val="22"/>
          <w:u w:val="single"/>
          <w:lang w:eastAsia="fr-FR"/>
        </w:rPr>
      </w:pPr>
    </w:p>
    <w:tbl>
      <w:tblPr>
        <w:tblStyle w:val="TableGrid2"/>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2EB568F8" w14:textId="77777777" w:rsidTr="001350FD">
        <w:trPr>
          <w:trHeight w:val="262"/>
        </w:trPr>
        <w:tc>
          <w:tcPr>
            <w:tcW w:w="55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F6AC2F3" w14:textId="77777777" w:rsidR="00D00AB2" w:rsidRPr="00D00AB2" w:rsidRDefault="00D00AB2" w:rsidP="001350FD">
            <w:pPr>
              <w:spacing w:after="160"/>
              <w:contextualSpacing/>
              <w:rPr>
                <w:rFonts w:cstheme="majorBidi"/>
                <w:sz w:val="22"/>
              </w:rPr>
            </w:pPr>
            <w:r w:rsidRPr="00D00AB2">
              <w:rPr>
                <w:rFonts w:cstheme="majorBidi"/>
                <w:sz w:val="22"/>
              </w:rPr>
              <w:t xml:space="preserve">Éléments de formulaire </w:t>
            </w:r>
          </w:p>
        </w:tc>
        <w:tc>
          <w:tcPr>
            <w:tcW w:w="70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DC5C921" w14:textId="77777777" w:rsidR="00D00AB2" w:rsidRPr="00D00AB2" w:rsidRDefault="00D00AB2" w:rsidP="001350FD">
            <w:pPr>
              <w:spacing w:after="160"/>
              <w:contextualSpacing/>
              <w:jc w:val="center"/>
              <w:rPr>
                <w:rFonts w:cstheme="majorBidi"/>
                <w:sz w:val="22"/>
              </w:rPr>
            </w:pPr>
            <w:r w:rsidRPr="00D00AB2">
              <w:rPr>
                <w:rFonts w:cstheme="majorBidi"/>
                <w:sz w:val="22"/>
              </w:rPr>
              <w:t>5</w:t>
            </w:r>
          </w:p>
        </w:tc>
        <w:tc>
          <w:tcPr>
            <w:tcW w:w="70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7C1E3B5" w14:textId="77777777" w:rsidR="00D00AB2" w:rsidRPr="00D00AB2" w:rsidRDefault="00D00AB2" w:rsidP="001350FD">
            <w:pPr>
              <w:spacing w:after="160"/>
              <w:contextualSpacing/>
              <w:jc w:val="center"/>
              <w:rPr>
                <w:rFonts w:cstheme="majorBidi"/>
                <w:sz w:val="22"/>
              </w:rPr>
            </w:pPr>
            <w:r w:rsidRPr="00D00AB2">
              <w:rPr>
                <w:rFonts w:cstheme="majorBidi"/>
                <w:sz w:val="22"/>
              </w:rPr>
              <w:t>4</w:t>
            </w:r>
          </w:p>
        </w:tc>
        <w:tc>
          <w:tcPr>
            <w:tcW w:w="7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449862C" w14:textId="77777777" w:rsidR="00D00AB2" w:rsidRPr="00D00AB2" w:rsidRDefault="00D00AB2" w:rsidP="001350FD">
            <w:pPr>
              <w:spacing w:after="160"/>
              <w:contextualSpacing/>
              <w:jc w:val="center"/>
              <w:rPr>
                <w:rFonts w:cstheme="majorBidi"/>
                <w:sz w:val="22"/>
              </w:rPr>
            </w:pPr>
            <w:r w:rsidRPr="00D00AB2">
              <w:rPr>
                <w:rFonts w:cstheme="majorBidi"/>
                <w:sz w:val="22"/>
              </w:rPr>
              <w:t>3</w:t>
            </w:r>
          </w:p>
        </w:tc>
        <w:tc>
          <w:tcPr>
            <w:tcW w:w="7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3AD23A5" w14:textId="77777777" w:rsidR="00D00AB2" w:rsidRPr="00D00AB2" w:rsidRDefault="00D00AB2" w:rsidP="001350FD">
            <w:pPr>
              <w:spacing w:after="160"/>
              <w:contextualSpacing/>
              <w:jc w:val="center"/>
              <w:rPr>
                <w:rFonts w:cstheme="majorBidi"/>
                <w:sz w:val="22"/>
              </w:rPr>
            </w:pPr>
            <w:r w:rsidRPr="00D00AB2">
              <w:rPr>
                <w:rFonts w:cstheme="majorBidi"/>
                <w:sz w:val="22"/>
              </w:rPr>
              <w:t>2</w:t>
            </w:r>
          </w:p>
        </w:tc>
        <w:tc>
          <w:tcPr>
            <w:tcW w:w="71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43D4CBB" w14:textId="77777777" w:rsidR="00D00AB2" w:rsidRPr="00D00AB2" w:rsidRDefault="00D00AB2" w:rsidP="001350FD">
            <w:pPr>
              <w:spacing w:after="160"/>
              <w:contextualSpacing/>
              <w:jc w:val="center"/>
              <w:rPr>
                <w:rFonts w:cstheme="majorBidi"/>
                <w:sz w:val="22"/>
              </w:rPr>
            </w:pPr>
            <w:r w:rsidRPr="00D00AB2">
              <w:rPr>
                <w:rFonts w:cstheme="majorBidi"/>
                <w:sz w:val="22"/>
              </w:rPr>
              <w:t>1</w:t>
            </w:r>
          </w:p>
        </w:tc>
      </w:tr>
      <w:tr w:rsidR="00D00AB2" w:rsidRPr="00D00AB2" w14:paraId="06CD0FE7"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0088AD11"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La répartition des rôles entre les actionnaires, les dirigeants et les parties prenantes est clairement définie, tout en préservant l'intérêt général.</w:t>
            </w:r>
          </w:p>
          <w:p w14:paraId="166416C8"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8CAB394"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3357E73B" w14:textId="77777777" w:rsidR="00D00AB2" w:rsidRPr="00D00AB2" w:rsidRDefault="00D00AB2" w:rsidP="001350FD">
            <w:pPr>
              <w:spacing w:after="160"/>
              <w:contextualSpacing/>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E4E95F1" w14:textId="77777777" w:rsidR="00D00AB2" w:rsidRPr="00D00AB2" w:rsidRDefault="00D00AB2" w:rsidP="001350FD">
            <w:pPr>
              <w:spacing w:after="160"/>
              <w:contextualSpacing/>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7DB1608" w14:textId="77777777" w:rsidR="00D00AB2" w:rsidRPr="00D00AB2" w:rsidRDefault="00D00AB2" w:rsidP="001350FD">
            <w:pPr>
              <w:spacing w:after="160"/>
              <w:contextualSpacing/>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AE8FA09" w14:textId="77777777" w:rsidR="00D00AB2" w:rsidRPr="00D00AB2" w:rsidRDefault="00D00AB2" w:rsidP="001350FD">
            <w:pPr>
              <w:spacing w:after="160"/>
              <w:contextualSpacing/>
              <w:rPr>
                <w:rFonts w:cstheme="majorBidi"/>
                <w:sz w:val="22"/>
              </w:rPr>
            </w:pPr>
          </w:p>
        </w:tc>
      </w:tr>
      <w:tr w:rsidR="00D00AB2" w:rsidRPr="00D00AB2" w14:paraId="5CCDFBE0"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03E7C24D"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règles, procédures et politiques en vigueur sont respectés par TAYAL.</w:t>
            </w:r>
          </w:p>
        </w:tc>
        <w:tc>
          <w:tcPr>
            <w:tcW w:w="708" w:type="dxa"/>
            <w:tcBorders>
              <w:top w:val="single" w:sz="4" w:space="0" w:color="000000"/>
              <w:left w:val="single" w:sz="4" w:space="0" w:color="000000"/>
              <w:bottom w:val="single" w:sz="4" w:space="0" w:color="000000"/>
              <w:right w:val="single" w:sz="4" w:space="0" w:color="000000"/>
            </w:tcBorders>
          </w:tcPr>
          <w:p w14:paraId="6D15ABFB"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373BC3C" w14:textId="77777777" w:rsidR="00D00AB2" w:rsidRPr="00D00AB2" w:rsidRDefault="00D00AB2" w:rsidP="001350FD">
            <w:pPr>
              <w:spacing w:after="160"/>
              <w:contextualSpacing/>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A0933F9" w14:textId="77777777" w:rsidR="00D00AB2" w:rsidRPr="00D00AB2" w:rsidRDefault="00D00AB2" w:rsidP="001350FD">
            <w:pPr>
              <w:spacing w:after="160"/>
              <w:contextualSpacing/>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E1B99C6" w14:textId="77777777" w:rsidR="00D00AB2" w:rsidRPr="00D00AB2" w:rsidRDefault="00D00AB2" w:rsidP="001350FD">
            <w:pPr>
              <w:spacing w:after="160"/>
              <w:contextualSpacing/>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3E6EAE3" w14:textId="77777777" w:rsidR="00D00AB2" w:rsidRPr="00D00AB2" w:rsidRDefault="00D00AB2" w:rsidP="001350FD">
            <w:pPr>
              <w:spacing w:after="160"/>
              <w:contextualSpacing/>
              <w:rPr>
                <w:rFonts w:cstheme="majorBidi"/>
                <w:sz w:val="22"/>
              </w:rPr>
            </w:pPr>
          </w:p>
        </w:tc>
      </w:tr>
      <w:tr w:rsidR="00D00AB2" w:rsidRPr="00D00AB2" w14:paraId="0A943983"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6544B26A"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TAYAL met en place des pratiques qui renforcent la transparence, l'efficacité, l'efficience dans la prise de décision et la gestion.</w:t>
            </w:r>
          </w:p>
        </w:tc>
        <w:tc>
          <w:tcPr>
            <w:tcW w:w="708" w:type="dxa"/>
            <w:tcBorders>
              <w:top w:val="single" w:sz="4" w:space="0" w:color="000000"/>
              <w:left w:val="single" w:sz="4" w:space="0" w:color="000000"/>
              <w:bottom w:val="single" w:sz="4" w:space="0" w:color="000000"/>
              <w:right w:val="single" w:sz="4" w:space="0" w:color="000000"/>
            </w:tcBorders>
          </w:tcPr>
          <w:p w14:paraId="177D77E2"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36CD7BE" w14:textId="77777777" w:rsidR="00D00AB2" w:rsidRPr="00D00AB2" w:rsidRDefault="00D00AB2" w:rsidP="001350FD">
            <w:pPr>
              <w:spacing w:after="160"/>
              <w:contextualSpacing/>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19D682B" w14:textId="77777777" w:rsidR="00D00AB2" w:rsidRPr="00D00AB2" w:rsidRDefault="00D00AB2" w:rsidP="001350FD">
            <w:pPr>
              <w:spacing w:after="160"/>
              <w:contextualSpacing/>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EB212C9" w14:textId="77777777" w:rsidR="00D00AB2" w:rsidRPr="00D00AB2" w:rsidRDefault="00D00AB2" w:rsidP="001350FD">
            <w:pPr>
              <w:spacing w:after="160"/>
              <w:contextualSpacing/>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08788B5" w14:textId="77777777" w:rsidR="00D00AB2" w:rsidRPr="00D00AB2" w:rsidRDefault="00D00AB2" w:rsidP="001350FD">
            <w:pPr>
              <w:spacing w:after="160"/>
              <w:contextualSpacing/>
              <w:rPr>
                <w:rFonts w:cstheme="majorBidi"/>
                <w:sz w:val="22"/>
              </w:rPr>
            </w:pPr>
          </w:p>
        </w:tc>
      </w:tr>
      <w:tr w:rsidR="00D00AB2" w:rsidRPr="00D00AB2" w14:paraId="55B963C0"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736EFB14"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Une bonne gouvernance au sein de TAYAL contribue à améliorer ses performances économiques et à renforcer son avantage concurrentiel.</w:t>
            </w:r>
          </w:p>
        </w:tc>
        <w:tc>
          <w:tcPr>
            <w:tcW w:w="708" w:type="dxa"/>
            <w:tcBorders>
              <w:top w:val="single" w:sz="4" w:space="0" w:color="000000"/>
              <w:left w:val="single" w:sz="4" w:space="0" w:color="000000"/>
              <w:bottom w:val="single" w:sz="4" w:space="0" w:color="000000"/>
              <w:right w:val="single" w:sz="4" w:space="0" w:color="000000"/>
            </w:tcBorders>
          </w:tcPr>
          <w:p w14:paraId="03A319B8"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31E473E" w14:textId="77777777" w:rsidR="00D00AB2" w:rsidRPr="00D00AB2" w:rsidRDefault="00D00AB2" w:rsidP="001350FD">
            <w:pPr>
              <w:spacing w:after="160"/>
              <w:contextualSpacing/>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5B9FCD1E" w14:textId="77777777" w:rsidR="00D00AB2" w:rsidRPr="00D00AB2" w:rsidRDefault="00D00AB2" w:rsidP="001350FD">
            <w:pPr>
              <w:spacing w:after="160"/>
              <w:contextualSpacing/>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1C8CEF90" w14:textId="77777777" w:rsidR="00D00AB2" w:rsidRPr="00D00AB2" w:rsidRDefault="00D00AB2" w:rsidP="001350FD">
            <w:pPr>
              <w:spacing w:after="160"/>
              <w:contextualSpacing/>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5CF1DDC" w14:textId="77777777" w:rsidR="00D00AB2" w:rsidRPr="00D00AB2" w:rsidRDefault="00D00AB2" w:rsidP="001350FD">
            <w:pPr>
              <w:spacing w:after="160"/>
              <w:contextualSpacing/>
              <w:rPr>
                <w:rFonts w:cstheme="majorBidi"/>
                <w:sz w:val="22"/>
              </w:rPr>
            </w:pPr>
          </w:p>
        </w:tc>
      </w:tr>
      <w:tr w:rsidR="00D00AB2" w:rsidRPr="00D00AB2" w14:paraId="528AF8AC"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4434ACFE"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Les dirigeants sont tenus responsables de leurs décisions devant les organes de contrôle, garantissant ainsi un alignement constant avec la stratégie de l'organisation.</w:t>
            </w:r>
          </w:p>
          <w:p w14:paraId="33DD69DC" w14:textId="77777777" w:rsidR="00D00AB2" w:rsidRPr="00D00AB2" w:rsidRDefault="00D00AB2" w:rsidP="001350FD">
            <w:pPr>
              <w:spacing w:after="160"/>
              <w:ind w:left="720" w:hanging="3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032F1BD" w14:textId="77777777" w:rsidR="00D00AB2" w:rsidRPr="00D00AB2" w:rsidRDefault="00D00AB2" w:rsidP="001350FD">
            <w:pPr>
              <w:spacing w:after="160"/>
              <w:contextualSpacing/>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D70D12D" w14:textId="77777777" w:rsidR="00D00AB2" w:rsidRPr="00D00AB2" w:rsidRDefault="00D00AB2" w:rsidP="001350FD">
            <w:pPr>
              <w:spacing w:after="160"/>
              <w:contextualSpacing/>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C158C4D" w14:textId="77777777" w:rsidR="00D00AB2" w:rsidRPr="00D00AB2" w:rsidRDefault="00D00AB2" w:rsidP="001350FD">
            <w:pPr>
              <w:spacing w:after="160"/>
              <w:contextualSpacing/>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1B467D2" w14:textId="77777777" w:rsidR="00D00AB2" w:rsidRPr="00D00AB2" w:rsidRDefault="00D00AB2" w:rsidP="001350FD">
            <w:pPr>
              <w:spacing w:after="160"/>
              <w:contextualSpacing/>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0FFDB3F" w14:textId="77777777" w:rsidR="00D00AB2" w:rsidRPr="00D00AB2" w:rsidRDefault="00D00AB2" w:rsidP="001350FD">
            <w:pPr>
              <w:spacing w:after="160"/>
              <w:contextualSpacing/>
              <w:rPr>
                <w:rFonts w:cstheme="majorBidi"/>
                <w:sz w:val="22"/>
              </w:rPr>
            </w:pPr>
          </w:p>
        </w:tc>
      </w:tr>
    </w:tbl>
    <w:p w14:paraId="3872B0D5" w14:textId="77777777" w:rsidR="00D00AB2" w:rsidRPr="00D00AB2" w:rsidRDefault="00D00AB2" w:rsidP="00D00AB2">
      <w:pPr>
        <w:spacing w:before="0" w:beforeAutospacing="0" w:line="276" w:lineRule="auto"/>
        <w:ind w:firstLine="0"/>
        <w:jc w:val="left"/>
        <w:rPr>
          <w:rFonts w:eastAsia="Calibri" w:cstheme="majorBidi"/>
          <w:sz w:val="22"/>
        </w:rPr>
      </w:pPr>
    </w:p>
    <w:p w14:paraId="22F6A6C2" w14:textId="77777777" w:rsidR="00D00AB2" w:rsidRPr="00D00AB2" w:rsidRDefault="00D00AB2" w:rsidP="001350FD">
      <w:pPr>
        <w:spacing w:before="0" w:beforeAutospacing="0" w:line="240" w:lineRule="auto"/>
        <w:ind w:firstLine="0"/>
        <w:jc w:val="left"/>
        <w:rPr>
          <w:rFonts w:eastAsia="Calibri" w:cstheme="majorBidi"/>
          <w:b/>
          <w:bCs/>
          <w:sz w:val="22"/>
          <w:u w:val="single"/>
        </w:rPr>
      </w:pPr>
      <w:r w:rsidRPr="00D00AB2">
        <w:rPr>
          <w:rFonts w:eastAsia="Calibri" w:cstheme="majorBidi"/>
          <w:b/>
          <w:bCs/>
          <w:sz w:val="22"/>
          <w:u w:val="single"/>
        </w:rPr>
        <w:t>La préservation des droits des actionnaires :</w:t>
      </w:r>
    </w:p>
    <w:p w14:paraId="6B682FF9" w14:textId="77777777" w:rsidR="00D00AB2" w:rsidRPr="00D00AB2" w:rsidRDefault="00D00AB2" w:rsidP="001350FD">
      <w:pPr>
        <w:spacing w:before="0" w:beforeAutospacing="0" w:line="240" w:lineRule="auto"/>
        <w:ind w:firstLine="0"/>
        <w:jc w:val="left"/>
        <w:rPr>
          <w:rFonts w:eastAsia="Calibri" w:cstheme="majorBidi"/>
          <w:b/>
          <w:bCs/>
          <w:sz w:val="22"/>
          <w:u w:val="single"/>
        </w:rPr>
      </w:pPr>
    </w:p>
    <w:tbl>
      <w:tblPr>
        <w:tblStyle w:val="TableGrid11"/>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6CCF278D" w14:textId="77777777" w:rsidTr="001350FD">
        <w:trPr>
          <w:trHeight w:val="650"/>
        </w:trPr>
        <w:tc>
          <w:tcPr>
            <w:tcW w:w="5526" w:type="dxa"/>
            <w:tcBorders>
              <w:top w:val="single" w:sz="4" w:space="0" w:color="000000"/>
              <w:left w:val="single" w:sz="4" w:space="0" w:color="000000"/>
              <w:bottom w:val="single" w:sz="4" w:space="0" w:color="000000"/>
              <w:right w:val="single" w:sz="4" w:space="0" w:color="000000"/>
            </w:tcBorders>
          </w:tcPr>
          <w:p w14:paraId="170558F3" w14:textId="77777777" w:rsidR="00D00AB2" w:rsidRPr="001350FD" w:rsidRDefault="00D00AB2" w:rsidP="00F36332">
            <w:pPr>
              <w:numPr>
                <w:ilvl w:val="0"/>
                <w:numId w:val="218"/>
              </w:numPr>
              <w:spacing w:after="160"/>
              <w:contextualSpacing/>
              <w:rPr>
                <w:rFonts w:cstheme="majorBidi"/>
                <w:color w:val="1F1F1F"/>
                <w:sz w:val="22"/>
              </w:rPr>
            </w:pPr>
            <w:r w:rsidRPr="00D00AB2">
              <w:rPr>
                <w:rFonts w:cstheme="majorBidi"/>
                <w:sz w:val="22"/>
              </w:rPr>
              <w:t>Les actionnaires ont un droit effectif de participation aux assemblées générales</w:t>
            </w:r>
            <w:r w:rsidRPr="00D00AB2">
              <w:rPr>
                <w:rFonts w:cstheme="majorBidi"/>
                <w:color w:val="1F1F1F"/>
                <w:sz w:val="22"/>
              </w:rPr>
              <w:t>.</w:t>
            </w:r>
          </w:p>
        </w:tc>
        <w:tc>
          <w:tcPr>
            <w:tcW w:w="708" w:type="dxa"/>
            <w:tcBorders>
              <w:top w:val="single" w:sz="4" w:space="0" w:color="000000"/>
              <w:left w:val="single" w:sz="4" w:space="0" w:color="000000"/>
              <w:bottom w:val="single" w:sz="4" w:space="0" w:color="000000"/>
              <w:right w:val="single" w:sz="4" w:space="0" w:color="000000"/>
            </w:tcBorders>
          </w:tcPr>
          <w:p w14:paraId="43320E8F"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2656B33"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7CE68E8"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49B5CFC"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74AD4B6" w14:textId="77777777" w:rsidR="00D00AB2" w:rsidRPr="00D00AB2" w:rsidRDefault="00D00AB2" w:rsidP="001350FD">
            <w:pPr>
              <w:spacing w:after="160"/>
              <w:rPr>
                <w:rFonts w:cstheme="majorBidi"/>
                <w:sz w:val="22"/>
              </w:rPr>
            </w:pPr>
          </w:p>
        </w:tc>
      </w:tr>
      <w:tr w:rsidR="00D00AB2" w:rsidRPr="00D00AB2" w14:paraId="14DC4E1C"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622D3977"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actionnaires possèdent le droit d'élire et de révoquer les membres du conseil d’administration.</w:t>
            </w:r>
          </w:p>
        </w:tc>
        <w:tc>
          <w:tcPr>
            <w:tcW w:w="708" w:type="dxa"/>
            <w:tcBorders>
              <w:top w:val="single" w:sz="4" w:space="0" w:color="000000"/>
              <w:left w:val="single" w:sz="4" w:space="0" w:color="000000"/>
              <w:bottom w:val="single" w:sz="4" w:space="0" w:color="000000"/>
              <w:right w:val="single" w:sz="4" w:space="0" w:color="000000"/>
            </w:tcBorders>
          </w:tcPr>
          <w:p w14:paraId="7C028423"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79420DD"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58BD725C"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6D91679"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140251C" w14:textId="77777777" w:rsidR="00D00AB2" w:rsidRPr="00D00AB2" w:rsidRDefault="00D00AB2" w:rsidP="001350FD">
            <w:pPr>
              <w:spacing w:after="160"/>
              <w:rPr>
                <w:rFonts w:cstheme="majorBidi"/>
                <w:sz w:val="22"/>
              </w:rPr>
            </w:pPr>
          </w:p>
        </w:tc>
      </w:tr>
      <w:tr w:rsidR="00D00AB2" w:rsidRPr="00D00AB2" w14:paraId="77670B9C"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62AD3EB8"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actionnaires possèdent le droit à un accès aisé et opportune aux informations pertinentes</w:t>
            </w:r>
            <w:r w:rsidRPr="00D00AB2">
              <w:rPr>
                <w:rFonts w:cstheme="majorBidi"/>
                <w:color w:val="1F1F1F"/>
                <w:sz w:val="22"/>
              </w:rPr>
              <w:t>.</w:t>
            </w:r>
          </w:p>
        </w:tc>
        <w:tc>
          <w:tcPr>
            <w:tcW w:w="708" w:type="dxa"/>
            <w:tcBorders>
              <w:top w:val="single" w:sz="4" w:space="0" w:color="000000"/>
              <w:left w:val="single" w:sz="4" w:space="0" w:color="000000"/>
              <w:bottom w:val="single" w:sz="4" w:space="0" w:color="000000"/>
              <w:right w:val="single" w:sz="4" w:space="0" w:color="000000"/>
            </w:tcBorders>
          </w:tcPr>
          <w:p w14:paraId="2B4C072D"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EBC21E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26DDC4F"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BA9956C"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3D61816" w14:textId="77777777" w:rsidR="00D00AB2" w:rsidRPr="00D00AB2" w:rsidRDefault="00D00AB2" w:rsidP="001350FD">
            <w:pPr>
              <w:spacing w:after="160"/>
              <w:rPr>
                <w:rFonts w:cstheme="majorBidi"/>
                <w:sz w:val="22"/>
              </w:rPr>
            </w:pPr>
          </w:p>
        </w:tc>
      </w:tr>
      <w:tr w:rsidR="00D00AB2" w:rsidRPr="00D00AB2" w14:paraId="504E961C" w14:textId="77777777" w:rsidTr="001350FD">
        <w:trPr>
          <w:trHeight w:val="618"/>
        </w:trPr>
        <w:tc>
          <w:tcPr>
            <w:tcW w:w="5526" w:type="dxa"/>
            <w:tcBorders>
              <w:top w:val="single" w:sz="4" w:space="0" w:color="000000"/>
              <w:left w:val="single" w:sz="4" w:space="0" w:color="000000"/>
              <w:bottom w:val="single" w:sz="4" w:space="0" w:color="000000"/>
              <w:right w:val="single" w:sz="4" w:space="0" w:color="000000"/>
            </w:tcBorders>
          </w:tcPr>
          <w:p w14:paraId="4735572F"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sz w:val="22"/>
              </w:rPr>
              <w:t>Les actionnaires peuvent exprimer librement leurs préoccupations concernant la gestion.</w:t>
            </w:r>
          </w:p>
        </w:tc>
        <w:tc>
          <w:tcPr>
            <w:tcW w:w="708" w:type="dxa"/>
            <w:tcBorders>
              <w:top w:val="single" w:sz="4" w:space="0" w:color="000000"/>
              <w:left w:val="single" w:sz="4" w:space="0" w:color="000000"/>
              <w:bottom w:val="single" w:sz="4" w:space="0" w:color="000000"/>
              <w:right w:val="single" w:sz="4" w:space="0" w:color="000000"/>
            </w:tcBorders>
          </w:tcPr>
          <w:p w14:paraId="645E751F"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6C0184E"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2712D58"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AE56DF9"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EB8BD9A" w14:textId="77777777" w:rsidR="00D00AB2" w:rsidRPr="00D00AB2" w:rsidRDefault="00D00AB2" w:rsidP="001350FD">
            <w:pPr>
              <w:spacing w:after="160"/>
              <w:rPr>
                <w:rFonts w:cstheme="majorBidi"/>
                <w:sz w:val="22"/>
              </w:rPr>
            </w:pPr>
          </w:p>
        </w:tc>
      </w:tr>
      <w:tr w:rsidR="00D00AB2" w:rsidRPr="00D00AB2" w14:paraId="2CEEF406" w14:textId="77777777" w:rsidTr="001350FD">
        <w:trPr>
          <w:trHeight w:val="556"/>
        </w:trPr>
        <w:tc>
          <w:tcPr>
            <w:tcW w:w="5526" w:type="dxa"/>
            <w:tcBorders>
              <w:top w:val="single" w:sz="4" w:space="0" w:color="000000"/>
              <w:left w:val="single" w:sz="4" w:space="0" w:color="000000"/>
              <w:bottom w:val="single" w:sz="4" w:space="0" w:color="000000"/>
              <w:right w:val="single" w:sz="4" w:space="0" w:color="000000"/>
            </w:tcBorders>
          </w:tcPr>
          <w:p w14:paraId="71E18FDA"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sz w:val="22"/>
              </w:rPr>
              <w:t>Les mécanismes existants permettent de protéger les actionnaires contre toute expropriation abusive</w:t>
            </w:r>
            <w:r w:rsidRPr="00D00AB2">
              <w:rPr>
                <w:rFonts w:cstheme="majorBidi"/>
                <w:color w:val="1F1F1F"/>
                <w:sz w:val="22"/>
              </w:rPr>
              <w:t>.</w:t>
            </w:r>
          </w:p>
          <w:p w14:paraId="75589CAC" w14:textId="77777777" w:rsidR="00D00AB2" w:rsidRPr="00D00AB2" w:rsidRDefault="00D00AB2" w:rsidP="001350FD">
            <w:pPr>
              <w:spacing w:after="160"/>
              <w:ind w:left="720" w:hanging="3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37F63B3"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920B58D"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6E1AECC"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AFBBA5F"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629CECA" w14:textId="77777777" w:rsidR="00D00AB2" w:rsidRPr="00D00AB2" w:rsidRDefault="00D00AB2" w:rsidP="001350FD">
            <w:pPr>
              <w:spacing w:after="160"/>
              <w:rPr>
                <w:rFonts w:cstheme="majorBidi"/>
                <w:sz w:val="22"/>
              </w:rPr>
            </w:pPr>
          </w:p>
        </w:tc>
      </w:tr>
    </w:tbl>
    <w:p w14:paraId="66145F72" w14:textId="77777777" w:rsidR="00D00AB2" w:rsidRPr="00D00AB2" w:rsidRDefault="00D00AB2" w:rsidP="00D00AB2">
      <w:pPr>
        <w:spacing w:before="0" w:beforeAutospacing="0" w:line="276" w:lineRule="auto"/>
        <w:ind w:firstLine="0"/>
        <w:jc w:val="left"/>
        <w:rPr>
          <w:rFonts w:eastAsia="Calibri" w:cstheme="majorBidi"/>
          <w:b/>
          <w:bCs/>
          <w:sz w:val="22"/>
          <w:u w:val="single"/>
        </w:rPr>
      </w:pPr>
    </w:p>
    <w:p w14:paraId="369E8D61" w14:textId="77777777" w:rsidR="001350FD" w:rsidRDefault="001350FD" w:rsidP="00D00AB2">
      <w:pPr>
        <w:spacing w:before="0" w:beforeAutospacing="0" w:line="276" w:lineRule="auto"/>
        <w:ind w:firstLine="0"/>
        <w:jc w:val="left"/>
        <w:rPr>
          <w:rFonts w:eastAsia="Calibri" w:cstheme="majorBidi"/>
          <w:b/>
          <w:bCs/>
          <w:sz w:val="22"/>
          <w:u w:val="single"/>
        </w:rPr>
      </w:pPr>
    </w:p>
    <w:p w14:paraId="7BA28A77" w14:textId="77777777" w:rsidR="00D00AB2" w:rsidRPr="00D00AB2" w:rsidRDefault="00D00AB2" w:rsidP="00D00AB2">
      <w:pPr>
        <w:spacing w:before="0" w:beforeAutospacing="0" w:line="276" w:lineRule="auto"/>
        <w:ind w:firstLine="0"/>
        <w:jc w:val="left"/>
        <w:rPr>
          <w:rFonts w:eastAsia="Calibri" w:cstheme="majorBidi"/>
          <w:b/>
          <w:bCs/>
          <w:sz w:val="22"/>
          <w:u w:val="single"/>
        </w:rPr>
      </w:pPr>
      <w:r w:rsidRPr="00D00AB2">
        <w:rPr>
          <w:rFonts w:eastAsia="Calibri" w:cstheme="majorBidi"/>
          <w:b/>
          <w:bCs/>
          <w:sz w:val="22"/>
          <w:u w:val="single"/>
        </w:rPr>
        <w:lastRenderedPageBreak/>
        <w:t>Le traitement équitable des actionnaires :</w:t>
      </w:r>
    </w:p>
    <w:p w14:paraId="25A6FB55" w14:textId="77777777" w:rsidR="00D00AB2" w:rsidRPr="00D00AB2" w:rsidRDefault="00D00AB2" w:rsidP="00D00AB2">
      <w:pPr>
        <w:spacing w:before="0" w:beforeAutospacing="0" w:line="276" w:lineRule="auto"/>
        <w:ind w:firstLine="0"/>
        <w:jc w:val="left"/>
        <w:rPr>
          <w:rFonts w:eastAsia="Calibri" w:cstheme="majorBidi"/>
          <w:b/>
          <w:bCs/>
          <w:sz w:val="22"/>
          <w:u w:val="single"/>
        </w:rPr>
      </w:pPr>
    </w:p>
    <w:tbl>
      <w:tblPr>
        <w:tblStyle w:val="TableGrid11"/>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2FC47A9D" w14:textId="77777777" w:rsidTr="001350FD">
        <w:trPr>
          <w:trHeight w:val="1304"/>
        </w:trPr>
        <w:tc>
          <w:tcPr>
            <w:tcW w:w="5526" w:type="dxa"/>
            <w:tcBorders>
              <w:top w:val="single" w:sz="4" w:space="0" w:color="000000"/>
              <w:left w:val="single" w:sz="4" w:space="0" w:color="000000"/>
              <w:bottom w:val="single" w:sz="4" w:space="0" w:color="000000"/>
              <w:right w:val="single" w:sz="4" w:space="0" w:color="000000"/>
            </w:tcBorders>
          </w:tcPr>
          <w:p w14:paraId="1204A859" w14:textId="77777777" w:rsidR="00D00AB2" w:rsidRPr="001350FD" w:rsidRDefault="00D00AB2" w:rsidP="00F36332">
            <w:pPr>
              <w:numPr>
                <w:ilvl w:val="0"/>
                <w:numId w:val="218"/>
              </w:numPr>
              <w:contextualSpacing/>
              <w:rPr>
                <w:rFonts w:cstheme="majorBidi"/>
                <w:color w:val="1F1F1F"/>
                <w:sz w:val="22"/>
              </w:rPr>
            </w:pPr>
            <w:r w:rsidRPr="00D00AB2">
              <w:rPr>
                <w:rFonts w:cstheme="majorBidi"/>
                <w:sz w:val="22"/>
              </w:rPr>
              <w:t>Le système de gouvernance doit assurer la protection des droits de vote des actionnaires, notamment lors des décisions stratégiques majeures.</w:t>
            </w:r>
          </w:p>
        </w:tc>
        <w:tc>
          <w:tcPr>
            <w:tcW w:w="708" w:type="dxa"/>
            <w:tcBorders>
              <w:top w:val="single" w:sz="4" w:space="0" w:color="000000"/>
              <w:left w:val="single" w:sz="4" w:space="0" w:color="000000"/>
              <w:bottom w:val="single" w:sz="4" w:space="0" w:color="000000"/>
              <w:right w:val="single" w:sz="4" w:space="0" w:color="000000"/>
            </w:tcBorders>
          </w:tcPr>
          <w:p w14:paraId="57BB2836"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2027D34"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48A08B5"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E7CF945"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B73AD19" w14:textId="77777777" w:rsidR="00D00AB2" w:rsidRPr="00D00AB2" w:rsidRDefault="00D00AB2" w:rsidP="00D00AB2">
            <w:pPr>
              <w:spacing w:line="276" w:lineRule="auto"/>
              <w:rPr>
                <w:rFonts w:cstheme="majorBidi"/>
                <w:sz w:val="22"/>
              </w:rPr>
            </w:pPr>
          </w:p>
        </w:tc>
      </w:tr>
      <w:tr w:rsidR="00D00AB2" w:rsidRPr="00D00AB2" w14:paraId="29557497"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1FA0AD68"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Le cadre de gouvernance doit garantir une politique de distribution des dividendes transparente, équitable et proportionnelle à la participation au capital.</w:t>
            </w:r>
          </w:p>
        </w:tc>
        <w:tc>
          <w:tcPr>
            <w:tcW w:w="708" w:type="dxa"/>
            <w:tcBorders>
              <w:top w:val="single" w:sz="4" w:space="0" w:color="000000"/>
              <w:left w:val="single" w:sz="4" w:space="0" w:color="000000"/>
              <w:bottom w:val="single" w:sz="4" w:space="0" w:color="000000"/>
              <w:right w:val="single" w:sz="4" w:space="0" w:color="000000"/>
            </w:tcBorders>
          </w:tcPr>
          <w:p w14:paraId="7229367C"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321C2CBB"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DECDB2B"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2A10DA4"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794FA5B" w14:textId="77777777" w:rsidR="00D00AB2" w:rsidRPr="00D00AB2" w:rsidRDefault="00D00AB2" w:rsidP="00D00AB2">
            <w:pPr>
              <w:spacing w:line="276" w:lineRule="auto"/>
              <w:rPr>
                <w:rFonts w:cstheme="majorBidi"/>
                <w:sz w:val="22"/>
              </w:rPr>
            </w:pPr>
          </w:p>
        </w:tc>
      </w:tr>
      <w:tr w:rsidR="00D00AB2" w:rsidRPr="00D00AB2" w14:paraId="6B0C942A"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4E669541"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Les mécanismes de gouvernance doivent empêcher l’utilisation d’informations privilégiées au détriment de certains actionnaires</w:t>
            </w:r>
            <w:r w:rsidRPr="00D00AB2">
              <w:rPr>
                <w:rFonts w:cstheme="majorBidi"/>
                <w:color w:val="1F1F1F"/>
                <w:sz w:val="22"/>
              </w:rPr>
              <w:t>.</w:t>
            </w:r>
          </w:p>
        </w:tc>
        <w:tc>
          <w:tcPr>
            <w:tcW w:w="708" w:type="dxa"/>
            <w:tcBorders>
              <w:top w:val="single" w:sz="4" w:space="0" w:color="000000"/>
              <w:left w:val="single" w:sz="4" w:space="0" w:color="000000"/>
              <w:bottom w:val="single" w:sz="4" w:space="0" w:color="000000"/>
              <w:right w:val="single" w:sz="4" w:space="0" w:color="000000"/>
            </w:tcBorders>
          </w:tcPr>
          <w:p w14:paraId="5078B4A1"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1B67269"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F4FEB88"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80B7B87"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B8EA995" w14:textId="77777777" w:rsidR="00D00AB2" w:rsidRPr="00D00AB2" w:rsidRDefault="00D00AB2" w:rsidP="00D00AB2">
            <w:pPr>
              <w:spacing w:line="276" w:lineRule="auto"/>
              <w:rPr>
                <w:rFonts w:cstheme="majorBidi"/>
                <w:sz w:val="22"/>
              </w:rPr>
            </w:pPr>
          </w:p>
        </w:tc>
      </w:tr>
      <w:tr w:rsidR="00D00AB2" w:rsidRPr="00D00AB2" w14:paraId="791A1854"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5C9D03B2"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Les dispositifs de gouvernance doivent encadrer strictement les opérations susceptibles d’avantager certains actionnaires au détriment d’autres.</w:t>
            </w:r>
          </w:p>
        </w:tc>
        <w:tc>
          <w:tcPr>
            <w:tcW w:w="708" w:type="dxa"/>
            <w:tcBorders>
              <w:top w:val="single" w:sz="4" w:space="0" w:color="000000"/>
              <w:left w:val="single" w:sz="4" w:space="0" w:color="000000"/>
              <w:bottom w:val="single" w:sz="4" w:space="0" w:color="000000"/>
              <w:right w:val="single" w:sz="4" w:space="0" w:color="000000"/>
            </w:tcBorders>
          </w:tcPr>
          <w:p w14:paraId="0EA3A7FF"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37709D6E"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6545CD9"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1D7AF382"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10DC93AD" w14:textId="77777777" w:rsidR="00D00AB2" w:rsidRPr="00D00AB2" w:rsidRDefault="00D00AB2" w:rsidP="00D00AB2">
            <w:pPr>
              <w:spacing w:line="276" w:lineRule="auto"/>
              <w:rPr>
                <w:rFonts w:cstheme="majorBidi"/>
                <w:sz w:val="22"/>
              </w:rPr>
            </w:pPr>
          </w:p>
        </w:tc>
      </w:tr>
      <w:tr w:rsidR="00D00AB2" w:rsidRPr="00D00AB2" w14:paraId="7CE91DD0"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79244F77"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Les règles de gouvernance doivent garantir une communication simultanée et équitable de toute information susceptible d’influencer les décisions d’investissement</w:t>
            </w:r>
            <w:r w:rsidRPr="00D00AB2">
              <w:rPr>
                <w:rFonts w:cstheme="majorBidi"/>
                <w:color w:val="1F1F1F"/>
                <w:sz w:val="22"/>
              </w:rPr>
              <w:t>.</w:t>
            </w:r>
          </w:p>
          <w:p w14:paraId="0109794D" w14:textId="77777777" w:rsidR="00D00AB2" w:rsidRPr="00D00AB2" w:rsidRDefault="00D00AB2" w:rsidP="00D00AB2">
            <w:pPr>
              <w:spacing w:line="276" w:lineRule="auto"/>
              <w:ind w:left="720" w:hanging="3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37F3631"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24EF0FC"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97FCA2A"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67B8633"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BD81D4F" w14:textId="77777777" w:rsidR="00D00AB2" w:rsidRPr="00D00AB2" w:rsidRDefault="00D00AB2" w:rsidP="00D00AB2">
            <w:pPr>
              <w:spacing w:line="276" w:lineRule="auto"/>
              <w:rPr>
                <w:rFonts w:cstheme="majorBidi"/>
                <w:sz w:val="22"/>
              </w:rPr>
            </w:pPr>
          </w:p>
        </w:tc>
      </w:tr>
    </w:tbl>
    <w:p w14:paraId="1629A4A8" w14:textId="77777777" w:rsidR="00D00AB2" w:rsidRPr="00D00AB2" w:rsidRDefault="00D00AB2" w:rsidP="00D00AB2">
      <w:pPr>
        <w:spacing w:before="0" w:beforeAutospacing="0" w:line="276" w:lineRule="auto"/>
        <w:ind w:firstLine="0"/>
        <w:jc w:val="left"/>
        <w:rPr>
          <w:rFonts w:eastAsia="Calibri" w:cstheme="majorBidi"/>
          <w:sz w:val="22"/>
        </w:rPr>
      </w:pPr>
    </w:p>
    <w:p w14:paraId="569E90AE" w14:textId="77777777" w:rsidR="00D00AB2" w:rsidRPr="00D00AB2" w:rsidRDefault="00D00AB2" w:rsidP="00D00AB2">
      <w:pPr>
        <w:spacing w:before="0" w:beforeAutospacing="0" w:line="276" w:lineRule="auto"/>
        <w:ind w:firstLine="0"/>
        <w:jc w:val="left"/>
        <w:rPr>
          <w:rFonts w:eastAsia="Calibri" w:cstheme="majorBidi"/>
          <w:b/>
          <w:bCs/>
          <w:sz w:val="22"/>
          <w:u w:val="single"/>
        </w:rPr>
      </w:pPr>
      <w:r w:rsidRPr="00D00AB2">
        <w:rPr>
          <w:rFonts w:eastAsia="Calibri" w:cstheme="majorBidi"/>
          <w:b/>
          <w:bCs/>
          <w:sz w:val="22"/>
          <w:u w:val="single"/>
        </w:rPr>
        <w:t>Le rôle des parties prenantes :</w:t>
      </w:r>
    </w:p>
    <w:p w14:paraId="1C214046" w14:textId="77777777" w:rsidR="00D00AB2" w:rsidRPr="00D00AB2" w:rsidRDefault="00D00AB2" w:rsidP="00D00AB2">
      <w:pPr>
        <w:spacing w:before="0" w:beforeAutospacing="0" w:line="276" w:lineRule="auto"/>
        <w:ind w:firstLine="0"/>
        <w:jc w:val="left"/>
        <w:rPr>
          <w:rFonts w:eastAsia="Calibri" w:cstheme="majorBidi"/>
          <w:b/>
          <w:bCs/>
          <w:sz w:val="22"/>
          <w:u w:val="single"/>
        </w:rPr>
      </w:pPr>
    </w:p>
    <w:tbl>
      <w:tblPr>
        <w:tblStyle w:val="TableGrid11"/>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7CDB24CB"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42AB87D5" w14:textId="77777777" w:rsidR="00D00AB2" w:rsidRPr="001350FD" w:rsidRDefault="00D00AB2" w:rsidP="00F36332">
            <w:pPr>
              <w:numPr>
                <w:ilvl w:val="0"/>
                <w:numId w:val="218"/>
              </w:numPr>
              <w:contextualSpacing/>
              <w:rPr>
                <w:rFonts w:cstheme="majorBidi"/>
                <w:color w:val="1F1F1F"/>
                <w:sz w:val="22"/>
              </w:rPr>
            </w:pPr>
            <w:r w:rsidRPr="00D00AB2">
              <w:rPr>
                <w:rFonts w:cstheme="majorBidi"/>
                <w:sz w:val="22"/>
              </w:rPr>
              <w:t>La gouvernance de TAYAL favorise une intégration proactive des attentes des parties prenantes dans l’élaboration des politiques internes.</w:t>
            </w:r>
          </w:p>
          <w:p w14:paraId="4986DE61" w14:textId="77777777" w:rsidR="00D00AB2" w:rsidRPr="00D00AB2" w:rsidRDefault="00D00AB2" w:rsidP="00D00AB2">
            <w:pPr>
              <w:tabs>
                <w:tab w:val="left" w:pos="1710"/>
              </w:tabs>
              <w:spacing w:line="276" w:lineRule="auto"/>
              <w:rPr>
                <w:rFonts w:cstheme="majorBidi"/>
                <w:sz w:val="22"/>
              </w:rPr>
            </w:pPr>
            <w:r w:rsidRPr="00D00AB2">
              <w:rPr>
                <w:rFonts w:cstheme="majorBidi"/>
                <w:sz w:val="22"/>
              </w:rPr>
              <w:tab/>
            </w:r>
          </w:p>
        </w:tc>
        <w:tc>
          <w:tcPr>
            <w:tcW w:w="708" w:type="dxa"/>
            <w:tcBorders>
              <w:top w:val="single" w:sz="4" w:space="0" w:color="000000"/>
              <w:left w:val="single" w:sz="4" w:space="0" w:color="000000"/>
              <w:bottom w:val="single" w:sz="4" w:space="0" w:color="000000"/>
              <w:right w:val="single" w:sz="4" w:space="0" w:color="000000"/>
            </w:tcBorders>
          </w:tcPr>
          <w:p w14:paraId="560E0D92"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42B8E2D"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5FA4304"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CE9D53C"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1A61E0A" w14:textId="77777777" w:rsidR="00D00AB2" w:rsidRPr="00D00AB2" w:rsidRDefault="00D00AB2" w:rsidP="00D00AB2">
            <w:pPr>
              <w:spacing w:line="276" w:lineRule="auto"/>
              <w:rPr>
                <w:rFonts w:cstheme="majorBidi"/>
                <w:sz w:val="22"/>
              </w:rPr>
            </w:pPr>
          </w:p>
        </w:tc>
      </w:tr>
      <w:tr w:rsidR="00D00AB2" w:rsidRPr="00D00AB2" w14:paraId="7033518A"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7E1F84AA"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La relation avec les parties prenantes s’inscrit dans une logique de responsabilité partagée et de reddition de comptes.</w:t>
            </w:r>
          </w:p>
        </w:tc>
        <w:tc>
          <w:tcPr>
            <w:tcW w:w="708" w:type="dxa"/>
            <w:tcBorders>
              <w:top w:val="single" w:sz="4" w:space="0" w:color="000000"/>
              <w:left w:val="single" w:sz="4" w:space="0" w:color="000000"/>
              <w:bottom w:val="single" w:sz="4" w:space="0" w:color="000000"/>
              <w:right w:val="single" w:sz="4" w:space="0" w:color="000000"/>
            </w:tcBorders>
          </w:tcPr>
          <w:p w14:paraId="1A3176F4"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6AD3898"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E6103C5"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1ADA93C8"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E6412D5" w14:textId="77777777" w:rsidR="00D00AB2" w:rsidRPr="00D00AB2" w:rsidRDefault="00D00AB2" w:rsidP="00D00AB2">
            <w:pPr>
              <w:spacing w:line="276" w:lineRule="auto"/>
              <w:rPr>
                <w:rFonts w:cstheme="majorBidi"/>
                <w:sz w:val="22"/>
              </w:rPr>
            </w:pPr>
          </w:p>
        </w:tc>
      </w:tr>
      <w:tr w:rsidR="00D00AB2" w:rsidRPr="00D00AB2" w14:paraId="5D84FFE4"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7BCC0501"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Les parties prenantes sont considérées comme des acteurs stratégiques contribuant à l’orientation et à la légitimation des décisions organisationnelles.</w:t>
            </w:r>
          </w:p>
        </w:tc>
        <w:tc>
          <w:tcPr>
            <w:tcW w:w="708" w:type="dxa"/>
            <w:tcBorders>
              <w:top w:val="single" w:sz="4" w:space="0" w:color="000000"/>
              <w:left w:val="single" w:sz="4" w:space="0" w:color="000000"/>
              <w:bottom w:val="single" w:sz="4" w:space="0" w:color="000000"/>
              <w:right w:val="single" w:sz="4" w:space="0" w:color="000000"/>
            </w:tcBorders>
          </w:tcPr>
          <w:p w14:paraId="5CE8EA87"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E7A1DEC"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5DDAE19E"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10E400B"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ABBB114" w14:textId="77777777" w:rsidR="00D00AB2" w:rsidRPr="00D00AB2" w:rsidRDefault="00D00AB2" w:rsidP="00D00AB2">
            <w:pPr>
              <w:spacing w:line="276" w:lineRule="auto"/>
              <w:rPr>
                <w:rFonts w:cstheme="majorBidi"/>
                <w:sz w:val="22"/>
              </w:rPr>
            </w:pPr>
          </w:p>
        </w:tc>
      </w:tr>
      <w:tr w:rsidR="00D00AB2" w:rsidRPr="00D00AB2" w14:paraId="73E423D6"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5259AD70"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Les dispositifs d’accès à l’information permettent aux parties prenantes d’exercer un rôle éclairé dans l’évaluation des performances de TAYAL.</w:t>
            </w:r>
          </w:p>
        </w:tc>
        <w:tc>
          <w:tcPr>
            <w:tcW w:w="708" w:type="dxa"/>
            <w:tcBorders>
              <w:top w:val="single" w:sz="4" w:space="0" w:color="000000"/>
              <w:left w:val="single" w:sz="4" w:space="0" w:color="000000"/>
              <w:bottom w:val="single" w:sz="4" w:space="0" w:color="000000"/>
              <w:right w:val="single" w:sz="4" w:space="0" w:color="000000"/>
            </w:tcBorders>
          </w:tcPr>
          <w:p w14:paraId="555F72D5"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9C54AB7"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0D0398E"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F3CC5B7"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1979E21D" w14:textId="77777777" w:rsidR="00D00AB2" w:rsidRPr="00D00AB2" w:rsidRDefault="00D00AB2" w:rsidP="00D00AB2">
            <w:pPr>
              <w:spacing w:line="276" w:lineRule="auto"/>
              <w:rPr>
                <w:rFonts w:cstheme="majorBidi"/>
                <w:sz w:val="22"/>
              </w:rPr>
            </w:pPr>
          </w:p>
        </w:tc>
      </w:tr>
      <w:tr w:rsidR="00D00AB2" w:rsidRPr="00D00AB2" w14:paraId="207F3C89"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123FB684"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La banque adopte une logique partenariale fondée sur la Co-création de valeur avec ses parties prenantes, dans une perspective de performance durable</w:t>
            </w:r>
            <w:r w:rsidRPr="00D00AB2">
              <w:rPr>
                <w:rFonts w:cstheme="majorBidi"/>
                <w:color w:val="1F1F1F"/>
                <w:sz w:val="22"/>
              </w:rPr>
              <w:t>.</w:t>
            </w:r>
          </w:p>
          <w:p w14:paraId="31499D7A" w14:textId="77777777" w:rsidR="00D00AB2" w:rsidRPr="00D00AB2" w:rsidRDefault="00D00AB2" w:rsidP="00D00AB2">
            <w:pPr>
              <w:spacing w:line="276" w:lineRule="auto"/>
              <w:ind w:left="720" w:hanging="3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02B1BA6"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0D09056"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1C3E15C7"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14D6214D"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5C84EAD" w14:textId="77777777" w:rsidR="00D00AB2" w:rsidRPr="00D00AB2" w:rsidRDefault="00D00AB2" w:rsidP="00D00AB2">
            <w:pPr>
              <w:spacing w:line="276" w:lineRule="auto"/>
              <w:rPr>
                <w:rFonts w:cstheme="majorBidi"/>
                <w:sz w:val="22"/>
              </w:rPr>
            </w:pPr>
          </w:p>
        </w:tc>
      </w:tr>
    </w:tbl>
    <w:p w14:paraId="4C4206A5" w14:textId="77777777" w:rsidR="00D00AB2" w:rsidRPr="00D00AB2" w:rsidRDefault="00D00AB2" w:rsidP="00D00AB2">
      <w:pPr>
        <w:spacing w:before="0" w:beforeAutospacing="0" w:line="276" w:lineRule="auto"/>
        <w:ind w:firstLine="0"/>
        <w:jc w:val="left"/>
        <w:rPr>
          <w:rFonts w:eastAsia="Calibri" w:cstheme="majorBidi"/>
          <w:b/>
          <w:bCs/>
          <w:sz w:val="22"/>
        </w:rPr>
      </w:pPr>
    </w:p>
    <w:p w14:paraId="1C05CE98" w14:textId="77777777" w:rsidR="001350FD" w:rsidRDefault="001350FD" w:rsidP="00D00AB2">
      <w:pPr>
        <w:spacing w:before="0" w:beforeAutospacing="0" w:line="276" w:lineRule="auto"/>
        <w:ind w:firstLine="0"/>
        <w:jc w:val="left"/>
        <w:rPr>
          <w:rFonts w:eastAsia="Calibri" w:cstheme="majorBidi"/>
          <w:b/>
          <w:bCs/>
          <w:sz w:val="22"/>
          <w:u w:val="single"/>
        </w:rPr>
      </w:pPr>
    </w:p>
    <w:p w14:paraId="25D37137" w14:textId="77777777" w:rsidR="00D00AB2" w:rsidRPr="00D00AB2" w:rsidRDefault="00D00AB2" w:rsidP="00D00AB2">
      <w:pPr>
        <w:spacing w:before="0" w:beforeAutospacing="0" w:line="276" w:lineRule="auto"/>
        <w:ind w:firstLine="0"/>
        <w:jc w:val="left"/>
        <w:rPr>
          <w:rFonts w:eastAsia="Calibri" w:cstheme="majorBidi"/>
          <w:b/>
          <w:bCs/>
          <w:sz w:val="22"/>
          <w:u w:val="single"/>
        </w:rPr>
      </w:pPr>
      <w:r w:rsidRPr="00D00AB2">
        <w:rPr>
          <w:rFonts w:eastAsia="Calibri" w:cstheme="majorBidi"/>
          <w:b/>
          <w:bCs/>
          <w:sz w:val="22"/>
          <w:u w:val="single"/>
        </w:rPr>
        <w:lastRenderedPageBreak/>
        <w:t>La transparence et divulgation :</w:t>
      </w:r>
    </w:p>
    <w:p w14:paraId="3BAB1636" w14:textId="77777777" w:rsidR="00D00AB2" w:rsidRPr="00D00AB2" w:rsidRDefault="00D00AB2" w:rsidP="00D00AB2">
      <w:pPr>
        <w:spacing w:before="0" w:beforeAutospacing="0" w:line="276" w:lineRule="auto"/>
        <w:ind w:firstLine="0"/>
        <w:jc w:val="left"/>
        <w:rPr>
          <w:rFonts w:eastAsia="Calibri" w:cstheme="majorBidi"/>
          <w:b/>
          <w:bCs/>
          <w:sz w:val="22"/>
          <w:u w:val="single"/>
        </w:rPr>
      </w:pPr>
    </w:p>
    <w:tbl>
      <w:tblPr>
        <w:tblStyle w:val="TableGrid11"/>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0802D1AA"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2D7FD72E"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TAYAL adopte une politique de communication financière structurée garantissant la diffusion régulière et fiable des résultats financiers et opérationnels auprès des parties prenantes.</w:t>
            </w:r>
          </w:p>
          <w:p w14:paraId="1C6ED714"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33DEC29"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999CF30"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CAE4CA9"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5BFE2A2"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D6648C6" w14:textId="77777777" w:rsidR="00D00AB2" w:rsidRPr="00D00AB2" w:rsidRDefault="00D00AB2" w:rsidP="00D00AB2">
            <w:pPr>
              <w:spacing w:line="276" w:lineRule="auto"/>
              <w:rPr>
                <w:rFonts w:cstheme="majorBidi"/>
                <w:sz w:val="22"/>
              </w:rPr>
            </w:pPr>
          </w:p>
        </w:tc>
      </w:tr>
      <w:tr w:rsidR="00D00AB2" w:rsidRPr="00D00AB2" w14:paraId="3E5446FC"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6F321270"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TAYAL met en œuvre un dispositif proactif de divulgation des risques, permettant aux parties prenantes d’anticiper les incertitudes susceptibles d’affecter sa performance.</w:t>
            </w:r>
          </w:p>
        </w:tc>
        <w:tc>
          <w:tcPr>
            <w:tcW w:w="708" w:type="dxa"/>
            <w:tcBorders>
              <w:top w:val="single" w:sz="4" w:space="0" w:color="000000"/>
              <w:left w:val="single" w:sz="4" w:space="0" w:color="000000"/>
              <w:bottom w:val="single" w:sz="4" w:space="0" w:color="000000"/>
              <w:right w:val="single" w:sz="4" w:space="0" w:color="000000"/>
            </w:tcBorders>
          </w:tcPr>
          <w:p w14:paraId="6EFA4EEB"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3B26D82"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F1FC980"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18212F5"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61E2A94" w14:textId="77777777" w:rsidR="00D00AB2" w:rsidRPr="00D00AB2" w:rsidRDefault="00D00AB2" w:rsidP="00D00AB2">
            <w:pPr>
              <w:spacing w:line="276" w:lineRule="auto"/>
              <w:rPr>
                <w:rFonts w:cstheme="majorBidi"/>
                <w:sz w:val="22"/>
              </w:rPr>
            </w:pPr>
          </w:p>
        </w:tc>
      </w:tr>
      <w:tr w:rsidR="00D00AB2" w:rsidRPr="00D00AB2" w14:paraId="56EC67F6"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4233F582" w14:textId="77777777" w:rsidR="00D00AB2" w:rsidRPr="00D00AB2" w:rsidRDefault="00D00AB2" w:rsidP="00F36332">
            <w:pPr>
              <w:numPr>
                <w:ilvl w:val="0"/>
                <w:numId w:val="218"/>
              </w:numPr>
              <w:spacing w:line="276" w:lineRule="auto"/>
              <w:contextualSpacing/>
              <w:rPr>
                <w:rFonts w:cstheme="majorBidi"/>
                <w:sz w:val="22"/>
              </w:rPr>
            </w:pPr>
            <w:r w:rsidRPr="00D00AB2">
              <w:rPr>
                <w:rFonts w:cstheme="majorBidi"/>
                <w:sz w:val="22"/>
              </w:rPr>
              <w:t>Les structures organisationnelles et les politiques de gouvernance TAYAL font l’objet d’une communication claire, accessible et conforme aux exigences de reddition de comptes.</w:t>
            </w:r>
          </w:p>
        </w:tc>
        <w:tc>
          <w:tcPr>
            <w:tcW w:w="708" w:type="dxa"/>
            <w:tcBorders>
              <w:top w:val="single" w:sz="4" w:space="0" w:color="000000"/>
              <w:left w:val="single" w:sz="4" w:space="0" w:color="000000"/>
              <w:bottom w:val="single" w:sz="4" w:space="0" w:color="000000"/>
              <w:right w:val="single" w:sz="4" w:space="0" w:color="000000"/>
            </w:tcBorders>
          </w:tcPr>
          <w:p w14:paraId="5E5E4C66"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2A5CC87"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DA45154"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3D0C7C6"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B8CE2FA" w14:textId="77777777" w:rsidR="00D00AB2" w:rsidRPr="00D00AB2" w:rsidRDefault="00D00AB2" w:rsidP="00D00AB2">
            <w:pPr>
              <w:spacing w:line="276" w:lineRule="auto"/>
              <w:rPr>
                <w:rFonts w:cstheme="majorBidi"/>
                <w:sz w:val="22"/>
              </w:rPr>
            </w:pPr>
          </w:p>
        </w:tc>
      </w:tr>
      <w:tr w:rsidR="00D00AB2" w:rsidRPr="00D00AB2" w14:paraId="478AC30A"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465D2BB9"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Les actionnaires disposent d’une information complète et intelligible concernant les caractéristiques des actions détenues ainsi que les droits de vote qui y sont attachés.</w:t>
            </w:r>
          </w:p>
        </w:tc>
        <w:tc>
          <w:tcPr>
            <w:tcW w:w="708" w:type="dxa"/>
            <w:tcBorders>
              <w:top w:val="single" w:sz="4" w:space="0" w:color="000000"/>
              <w:left w:val="single" w:sz="4" w:space="0" w:color="000000"/>
              <w:bottom w:val="single" w:sz="4" w:space="0" w:color="000000"/>
              <w:right w:val="single" w:sz="4" w:space="0" w:color="000000"/>
            </w:tcBorders>
          </w:tcPr>
          <w:p w14:paraId="7F632C7F"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AAF119B"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9431863"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E0B66D5"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674BD31" w14:textId="77777777" w:rsidR="00D00AB2" w:rsidRPr="00D00AB2" w:rsidRDefault="00D00AB2" w:rsidP="00D00AB2">
            <w:pPr>
              <w:spacing w:line="276" w:lineRule="auto"/>
              <w:rPr>
                <w:rFonts w:cstheme="majorBidi"/>
                <w:sz w:val="22"/>
              </w:rPr>
            </w:pPr>
          </w:p>
        </w:tc>
      </w:tr>
      <w:tr w:rsidR="00D00AB2" w:rsidRPr="00D00AB2" w14:paraId="798DE33F"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31691FFD" w14:textId="77777777" w:rsidR="00D00AB2" w:rsidRPr="00D00AB2" w:rsidRDefault="00D00AB2" w:rsidP="00F36332">
            <w:pPr>
              <w:numPr>
                <w:ilvl w:val="0"/>
                <w:numId w:val="218"/>
              </w:numPr>
              <w:contextualSpacing/>
              <w:rPr>
                <w:rFonts w:cstheme="majorBidi"/>
                <w:color w:val="1F1F1F"/>
                <w:sz w:val="22"/>
              </w:rPr>
            </w:pPr>
            <w:r w:rsidRPr="00D00AB2">
              <w:rPr>
                <w:rFonts w:cstheme="majorBidi"/>
                <w:sz w:val="22"/>
              </w:rPr>
              <w:t>Les orientations stratégiques et les objectifs institutionnels de TAYAL sont formalisés et communiqués de manière transparente aux actionnaires.</w:t>
            </w:r>
          </w:p>
          <w:p w14:paraId="28FD0015" w14:textId="77777777" w:rsidR="00D00AB2" w:rsidRPr="00D00AB2" w:rsidRDefault="00D00AB2" w:rsidP="00D00AB2">
            <w:pPr>
              <w:spacing w:line="276" w:lineRule="auto"/>
              <w:ind w:left="720" w:hanging="3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CF8F0EF" w14:textId="77777777" w:rsidR="00D00AB2" w:rsidRPr="00D00AB2" w:rsidRDefault="00D00AB2" w:rsidP="00D00AB2">
            <w:pPr>
              <w:spacing w:line="276" w:lineRule="auto"/>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53FC95B" w14:textId="77777777" w:rsidR="00D00AB2" w:rsidRPr="00D00AB2" w:rsidRDefault="00D00AB2" w:rsidP="00D00AB2">
            <w:pPr>
              <w:spacing w:line="276" w:lineRule="auto"/>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B1C7B4E" w14:textId="77777777" w:rsidR="00D00AB2" w:rsidRPr="00D00AB2" w:rsidRDefault="00D00AB2" w:rsidP="00D00AB2">
            <w:pPr>
              <w:spacing w:line="276" w:lineRule="auto"/>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EB3319B" w14:textId="77777777" w:rsidR="00D00AB2" w:rsidRPr="00D00AB2" w:rsidRDefault="00D00AB2" w:rsidP="00D00AB2">
            <w:pPr>
              <w:spacing w:line="276" w:lineRule="auto"/>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B82F215" w14:textId="77777777" w:rsidR="00D00AB2" w:rsidRPr="00D00AB2" w:rsidRDefault="00D00AB2" w:rsidP="00D00AB2">
            <w:pPr>
              <w:spacing w:line="276" w:lineRule="auto"/>
              <w:rPr>
                <w:rFonts w:cstheme="majorBidi"/>
                <w:sz w:val="22"/>
              </w:rPr>
            </w:pPr>
          </w:p>
        </w:tc>
      </w:tr>
    </w:tbl>
    <w:p w14:paraId="5353DD00" w14:textId="77777777" w:rsidR="00D00AB2" w:rsidRPr="00D00AB2" w:rsidRDefault="00D00AB2" w:rsidP="00D00AB2">
      <w:pPr>
        <w:spacing w:before="0" w:beforeAutospacing="0" w:line="276" w:lineRule="auto"/>
        <w:ind w:firstLine="0"/>
        <w:jc w:val="left"/>
        <w:rPr>
          <w:rFonts w:eastAsia="Calibri" w:cstheme="majorBidi"/>
          <w:sz w:val="22"/>
          <w:u w:val="single"/>
        </w:rPr>
      </w:pPr>
    </w:p>
    <w:p w14:paraId="53521F3E" w14:textId="77777777" w:rsidR="00D00AB2" w:rsidRPr="00D00AB2" w:rsidRDefault="00D00AB2" w:rsidP="00D00AB2">
      <w:pPr>
        <w:spacing w:before="0" w:beforeAutospacing="0" w:line="276" w:lineRule="auto"/>
        <w:ind w:firstLine="0"/>
        <w:jc w:val="left"/>
        <w:rPr>
          <w:rFonts w:eastAsia="Calibri" w:cstheme="majorBidi"/>
          <w:b/>
          <w:bCs/>
          <w:sz w:val="22"/>
          <w:u w:val="single"/>
        </w:rPr>
      </w:pPr>
      <w:r w:rsidRPr="00D00AB2">
        <w:rPr>
          <w:rFonts w:eastAsia="Calibri" w:cstheme="majorBidi"/>
          <w:b/>
          <w:bCs/>
          <w:sz w:val="22"/>
          <w:u w:val="single"/>
        </w:rPr>
        <w:t>La responsabilité du conseil d'administration :</w:t>
      </w:r>
    </w:p>
    <w:p w14:paraId="108569FD" w14:textId="77777777" w:rsidR="00D00AB2" w:rsidRPr="00D00AB2" w:rsidRDefault="00D00AB2" w:rsidP="001350FD">
      <w:pPr>
        <w:spacing w:before="0" w:beforeAutospacing="0" w:line="240" w:lineRule="auto"/>
        <w:ind w:firstLine="0"/>
        <w:jc w:val="left"/>
        <w:rPr>
          <w:rFonts w:eastAsia="Calibri" w:cstheme="majorBidi"/>
          <w:b/>
          <w:bCs/>
          <w:sz w:val="22"/>
          <w:u w:val="single"/>
        </w:rPr>
      </w:pPr>
    </w:p>
    <w:tbl>
      <w:tblPr>
        <w:tblStyle w:val="TableGrid11"/>
        <w:tblW w:w="9079" w:type="dxa"/>
        <w:tblInd w:w="-108"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366BFF58" w14:textId="77777777" w:rsidTr="00D00AB2">
        <w:trPr>
          <w:trHeight w:val="516"/>
        </w:trPr>
        <w:tc>
          <w:tcPr>
            <w:tcW w:w="5526" w:type="dxa"/>
            <w:tcBorders>
              <w:top w:val="single" w:sz="4" w:space="0" w:color="000000"/>
              <w:left w:val="single" w:sz="4" w:space="0" w:color="000000"/>
              <w:bottom w:val="single" w:sz="4" w:space="0" w:color="000000"/>
              <w:right w:val="single" w:sz="4" w:space="0" w:color="000000"/>
            </w:tcBorders>
          </w:tcPr>
          <w:p w14:paraId="693FC7EE" w14:textId="77777777" w:rsidR="00D00AB2" w:rsidRPr="001350FD" w:rsidRDefault="00D00AB2" w:rsidP="00F36332">
            <w:pPr>
              <w:numPr>
                <w:ilvl w:val="0"/>
                <w:numId w:val="218"/>
              </w:numPr>
              <w:spacing w:after="160"/>
              <w:contextualSpacing/>
              <w:rPr>
                <w:rFonts w:cstheme="majorBidi"/>
                <w:color w:val="1F1F1F"/>
                <w:sz w:val="22"/>
              </w:rPr>
            </w:pPr>
            <w:r w:rsidRPr="00D00AB2">
              <w:rPr>
                <w:rFonts w:cstheme="majorBidi"/>
                <w:sz w:val="22"/>
              </w:rPr>
              <w:t>Le conseil d’administration assure une supervision stratégique distincte de la gestion opérationnelle, conformément au principe de séparation des pouvoirs.</w:t>
            </w:r>
          </w:p>
        </w:tc>
        <w:tc>
          <w:tcPr>
            <w:tcW w:w="708" w:type="dxa"/>
            <w:tcBorders>
              <w:top w:val="single" w:sz="4" w:space="0" w:color="000000"/>
              <w:left w:val="single" w:sz="4" w:space="0" w:color="000000"/>
              <w:bottom w:val="single" w:sz="4" w:space="0" w:color="000000"/>
              <w:right w:val="single" w:sz="4" w:space="0" w:color="000000"/>
            </w:tcBorders>
          </w:tcPr>
          <w:p w14:paraId="4EE5D811"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29EDF83"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3F18E8B"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4F617D3"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FFCF5BC" w14:textId="77777777" w:rsidR="00D00AB2" w:rsidRPr="00D00AB2" w:rsidRDefault="00D00AB2" w:rsidP="001350FD">
            <w:pPr>
              <w:spacing w:after="160"/>
              <w:rPr>
                <w:rFonts w:cstheme="majorBidi"/>
                <w:sz w:val="22"/>
              </w:rPr>
            </w:pPr>
          </w:p>
        </w:tc>
      </w:tr>
      <w:tr w:rsidR="00D00AB2" w:rsidRPr="00D00AB2" w14:paraId="4368BA2A" w14:textId="77777777" w:rsidTr="00D00AB2">
        <w:trPr>
          <w:trHeight w:val="516"/>
        </w:trPr>
        <w:tc>
          <w:tcPr>
            <w:tcW w:w="5526" w:type="dxa"/>
            <w:tcBorders>
              <w:top w:val="single" w:sz="4" w:space="0" w:color="000000"/>
              <w:left w:val="single" w:sz="4" w:space="0" w:color="000000"/>
              <w:bottom w:val="single" w:sz="4" w:space="0" w:color="000000"/>
              <w:right w:val="single" w:sz="4" w:space="0" w:color="000000"/>
            </w:tcBorders>
          </w:tcPr>
          <w:p w14:paraId="682FA8D6"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L’indépendance des membres du conseil d’administration renforce l’objectivité du processus décisionnel.</w:t>
            </w:r>
          </w:p>
        </w:tc>
        <w:tc>
          <w:tcPr>
            <w:tcW w:w="708" w:type="dxa"/>
            <w:tcBorders>
              <w:top w:val="single" w:sz="4" w:space="0" w:color="000000"/>
              <w:left w:val="single" w:sz="4" w:space="0" w:color="000000"/>
              <w:bottom w:val="single" w:sz="4" w:space="0" w:color="000000"/>
              <w:right w:val="single" w:sz="4" w:space="0" w:color="000000"/>
            </w:tcBorders>
          </w:tcPr>
          <w:p w14:paraId="076CF9B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AB52231"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11EDB8E6"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7DB163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AEFFA78" w14:textId="77777777" w:rsidR="00D00AB2" w:rsidRPr="00D00AB2" w:rsidRDefault="00D00AB2" w:rsidP="001350FD">
            <w:pPr>
              <w:spacing w:after="160"/>
              <w:rPr>
                <w:rFonts w:cstheme="majorBidi"/>
                <w:sz w:val="22"/>
              </w:rPr>
            </w:pPr>
          </w:p>
        </w:tc>
      </w:tr>
      <w:tr w:rsidR="00D00AB2" w:rsidRPr="00D00AB2" w14:paraId="79000949" w14:textId="77777777" w:rsidTr="00D00AB2">
        <w:trPr>
          <w:trHeight w:val="516"/>
        </w:trPr>
        <w:tc>
          <w:tcPr>
            <w:tcW w:w="5526" w:type="dxa"/>
            <w:tcBorders>
              <w:top w:val="single" w:sz="4" w:space="0" w:color="000000"/>
              <w:left w:val="single" w:sz="4" w:space="0" w:color="000000"/>
              <w:bottom w:val="single" w:sz="4" w:space="0" w:color="000000"/>
              <w:right w:val="single" w:sz="4" w:space="0" w:color="000000"/>
            </w:tcBorders>
          </w:tcPr>
          <w:p w14:paraId="23BABEAB"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 conseil d’administration veille rigoureusement à la conformité de TAYAL avec l’ensemble du cadre réglementaire applicable, notamment en matière fiscale, sociale, environnementale et concurrentielle.</w:t>
            </w:r>
          </w:p>
        </w:tc>
        <w:tc>
          <w:tcPr>
            <w:tcW w:w="708" w:type="dxa"/>
            <w:tcBorders>
              <w:top w:val="single" w:sz="4" w:space="0" w:color="000000"/>
              <w:left w:val="single" w:sz="4" w:space="0" w:color="000000"/>
              <w:bottom w:val="single" w:sz="4" w:space="0" w:color="000000"/>
              <w:right w:val="single" w:sz="4" w:space="0" w:color="000000"/>
            </w:tcBorders>
          </w:tcPr>
          <w:p w14:paraId="4E315EB1"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70A8B75"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A94FB91"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083D160"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C0438B3" w14:textId="77777777" w:rsidR="00D00AB2" w:rsidRPr="00D00AB2" w:rsidRDefault="00D00AB2" w:rsidP="001350FD">
            <w:pPr>
              <w:spacing w:after="160"/>
              <w:rPr>
                <w:rFonts w:cstheme="majorBidi"/>
                <w:sz w:val="22"/>
              </w:rPr>
            </w:pPr>
          </w:p>
        </w:tc>
      </w:tr>
      <w:tr w:rsidR="00D00AB2" w:rsidRPr="00D00AB2" w14:paraId="509DB34B" w14:textId="77777777" w:rsidTr="00D00AB2">
        <w:trPr>
          <w:trHeight w:val="1022"/>
        </w:trPr>
        <w:tc>
          <w:tcPr>
            <w:tcW w:w="5526" w:type="dxa"/>
            <w:tcBorders>
              <w:top w:val="single" w:sz="4" w:space="0" w:color="000000"/>
              <w:left w:val="single" w:sz="4" w:space="0" w:color="000000"/>
              <w:bottom w:val="single" w:sz="4" w:space="0" w:color="000000"/>
              <w:right w:val="single" w:sz="4" w:space="0" w:color="000000"/>
            </w:tcBorders>
          </w:tcPr>
          <w:p w14:paraId="117122D8"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sz w:val="22"/>
              </w:rPr>
              <w:t>Le conseil d’administration met en place des mécanismes formalisés permettant d’identifier, de prévenir et de gérer efficacement les situations de conflits d’intérêts.</w:t>
            </w:r>
          </w:p>
        </w:tc>
        <w:tc>
          <w:tcPr>
            <w:tcW w:w="708" w:type="dxa"/>
            <w:tcBorders>
              <w:top w:val="single" w:sz="4" w:space="0" w:color="000000"/>
              <w:left w:val="single" w:sz="4" w:space="0" w:color="000000"/>
              <w:bottom w:val="single" w:sz="4" w:space="0" w:color="000000"/>
              <w:right w:val="single" w:sz="4" w:space="0" w:color="000000"/>
            </w:tcBorders>
          </w:tcPr>
          <w:p w14:paraId="3C526C8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11AF38D"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1FE4702"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2F6E8F3"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5538838" w14:textId="77777777" w:rsidR="00D00AB2" w:rsidRPr="00D00AB2" w:rsidRDefault="00D00AB2" w:rsidP="001350FD">
            <w:pPr>
              <w:spacing w:after="160"/>
              <w:rPr>
                <w:rFonts w:cstheme="majorBidi"/>
                <w:sz w:val="22"/>
              </w:rPr>
            </w:pPr>
          </w:p>
        </w:tc>
      </w:tr>
      <w:tr w:rsidR="00D00AB2" w:rsidRPr="00D00AB2" w14:paraId="0D17C1F5" w14:textId="77777777" w:rsidTr="00D00AB2">
        <w:trPr>
          <w:trHeight w:val="1022"/>
        </w:trPr>
        <w:tc>
          <w:tcPr>
            <w:tcW w:w="5526" w:type="dxa"/>
            <w:tcBorders>
              <w:top w:val="single" w:sz="4" w:space="0" w:color="000000"/>
              <w:left w:val="single" w:sz="4" w:space="0" w:color="000000"/>
              <w:bottom w:val="single" w:sz="4" w:space="0" w:color="000000"/>
              <w:right w:val="single" w:sz="4" w:space="0" w:color="000000"/>
            </w:tcBorders>
          </w:tcPr>
          <w:p w14:paraId="4CF4341D" w14:textId="77777777" w:rsidR="00D00AB2" w:rsidRPr="001350FD" w:rsidRDefault="00D00AB2" w:rsidP="00F36332">
            <w:pPr>
              <w:numPr>
                <w:ilvl w:val="0"/>
                <w:numId w:val="218"/>
              </w:numPr>
              <w:spacing w:after="160"/>
              <w:contextualSpacing/>
              <w:rPr>
                <w:rFonts w:cstheme="majorBidi"/>
                <w:color w:val="1F1F1F"/>
                <w:sz w:val="22"/>
              </w:rPr>
            </w:pPr>
            <w:r w:rsidRPr="00D00AB2">
              <w:rPr>
                <w:rFonts w:cstheme="majorBidi"/>
                <w:sz w:val="22"/>
              </w:rPr>
              <w:t>La responsabilité du conseil s’inscrit dans une logique de gouvernance durable conciliant performance économique et responsabilité sociétale.</w:t>
            </w:r>
          </w:p>
        </w:tc>
        <w:tc>
          <w:tcPr>
            <w:tcW w:w="708" w:type="dxa"/>
            <w:tcBorders>
              <w:top w:val="single" w:sz="4" w:space="0" w:color="000000"/>
              <w:left w:val="single" w:sz="4" w:space="0" w:color="000000"/>
              <w:bottom w:val="single" w:sz="4" w:space="0" w:color="000000"/>
              <w:right w:val="single" w:sz="4" w:space="0" w:color="000000"/>
            </w:tcBorders>
          </w:tcPr>
          <w:p w14:paraId="4F801DA4"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0FE0602"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2C391DA5"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6330F2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FD8D95F" w14:textId="77777777" w:rsidR="00D00AB2" w:rsidRPr="00D00AB2" w:rsidRDefault="00D00AB2" w:rsidP="001350FD">
            <w:pPr>
              <w:spacing w:after="160"/>
              <w:rPr>
                <w:rFonts w:cstheme="majorBidi"/>
                <w:sz w:val="22"/>
              </w:rPr>
            </w:pPr>
          </w:p>
        </w:tc>
      </w:tr>
    </w:tbl>
    <w:p w14:paraId="637884D1" w14:textId="77777777" w:rsidR="00D00AB2" w:rsidRPr="00D00AB2" w:rsidRDefault="00D00AB2" w:rsidP="00D00AB2">
      <w:pPr>
        <w:spacing w:before="0" w:beforeAutospacing="0" w:line="276" w:lineRule="auto"/>
        <w:ind w:firstLine="0"/>
        <w:jc w:val="left"/>
        <w:rPr>
          <w:rFonts w:eastAsia="Calibri" w:cstheme="majorBidi"/>
          <w:b/>
          <w:bCs/>
          <w:sz w:val="22"/>
          <w:u w:val="single"/>
        </w:rPr>
      </w:pPr>
    </w:p>
    <w:p w14:paraId="218C3FF3" w14:textId="77777777" w:rsidR="001350FD" w:rsidRDefault="001350FD" w:rsidP="00D00AB2">
      <w:pPr>
        <w:spacing w:before="0" w:beforeAutospacing="0" w:line="276" w:lineRule="auto"/>
        <w:ind w:firstLine="0"/>
        <w:jc w:val="left"/>
        <w:rPr>
          <w:rFonts w:eastAsia="Calibri" w:cstheme="majorBidi"/>
          <w:b/>
          <w:bCs/>
          <w:sz w:val="22"/>
          <w:u w:val="single"/>
        </w:rPr>
      </w:pPr>
    </w:p>
    <w:p w14:paraId="1C7E0C5F" w14:textId="77777777" w:rsidR="00D00AB2" w:rsidRPr="00D00AB2" w:rsidRDefault="00D00AB2" w:rsidP="001350FD">
      <w:pPr>
        <w:spacing w:before="0" w:beforeAutospacing="0" w:line="240" w:lineRule="auto"/>
        <w:ind w:firstLine="0"/>
        <w:jc w:val="left"/>
        <w:rPr>
          <w:rFonts w:eastAsia="Calibri" w:cstheme="majorBidi"/>
          <w:sz w:val="22"/>
        </w:rPr>
      </w:pPr>
      <w:r w:rsidRPr="00D00AB2">
        <w:rPr>
          <w:rFonts w:eastAsia="Calibri" w:cstheme="majorBidi"/>
          <w:b/>
          <w:bCs/>
          <w:sz w:val="22"/>
          <w:u w:val="single"/>
        </w:rPr>
        <w:lastRenderedPageBreak/>
        <w:t>Partie 03 :</w:t>
      </w:r>
      <w:r w:rsidR="009D45CE">
        <w:rPr>
          <w:rFonts w:eastAsia="Calibri" w:cstheme="majorBidi"/>
          <w:b/>
          <w:bCs/>
          <w:sz w:val="22"/>
          <w:u w:val="single"/>
        </w:rPr>
        <w:t xml:space="preserve"> </w:t>
      </w:r>
      <w:r w:rsidRPr="00D00AB2">
        <w:rPr>
          <w:rFonts w:eastAsia="Calibri" w:cstheme="majorBidi"/>
          <w:sz w:val="22"/>
        </w:rPr>
        <w:t>la respons</w:t>
      </w:r>
      <w:r w:rsidR="001350FD">
        <w:rPr>
          <w:rFonts w:eastAsia="Calibri" w:cstheme="majorBidi"/>
          <w:sz w:val="22"/>
        </w:rPr>
        <w:t>abilité sociale des entreprises.</w:t>
      </w:r>
    </w:p>
    <w:tbl>
      <w:tblPr>
        <w:tblStyle w:val="TableGrid11"/>
        <w:tblW w:w="9079" w:type="dxa"/>
        <w:tblInd w:w="0" w:type="dxa"/>
        <w:tblCellMar>
          <w:left w:w="108" w:type="dxa"/>
          <w:right w:w="127" w:type="dxa"/>
        </w:tblCellMar>
        <w:tblLook w:val="04A0" w:firstRow="1" w:lastRow="0" w:firstColumn="1" w:lastColumn="0" w:noHBand="0" w:noVBand="1"/>
      </w:tblPr>
      <w:tblGrid>
        <w:gridCol w:w="5526"/>
        <w:gridCol w:w="708"/>
        <w:gridCol w:w="708"/>
        <w:gridCol w:w="710"/>
        <w:gridCol w:w="709"/>
        <w:gridCol w:w="718"/>
      </w:tblGrid>
      <w:tr w:rsidR="00D00AB2" w:rsidRPr="00D00AB2" w14:paraId="2B0C531A" w14:textId="77777777" w:rsidTr="001350FD">
        <w:trPr>
          <w:trHeight w:val="800"/>
        </w:trPr>
        <w:tc>
          <w:tcPr>
            <w:tcW w:w="5526" w:type="dxa"/>
            <w:tcBorders>
              <w:top w:val="single" w:sz="4" w:space="0" w:color="000000"/>
              <w:left w:val="single" w:sz="4" w:space="0" w:color="000000"/>
              <w:bottom w:val="single" w:sz="4" w:space="0" w:color="000000"/>
              <w:right w:val="single" w:sz="4" w:space="0" w:color="000000"/>
            </w:tcBorders>
          </w:tcPr>
          <w:p w14:paraId="2AAD49BE" w14:textId="77777777" w:rsidR="00D00AB2" w:rsidRPr="00AB5B0B" w:rsidRDefault="00D00AB2" w:rsidP="00F36332">
            <w:pPr>
              <w:numPr>
                <w:ilvl w:val="0"/>
                <w:numId w:val="218"/>
              </w:numPr>
              <w:spacing w:after="160"/>
              <w:contextualSpacing/>
              <w:rPr>
                <w:rFonts w:cstheme="majorBidi"/>
                <w:color w:val="1F1F1F"/>
                <w:sz w:val="22"/>
              </w:rPr>
            </w:pPr>
            <w:r w:rsidRPr="00D00AB2">
              <w:rPr>
                <w:rFonts w:cstheme="majorBidi"/>
                <w:sz w:val="22"/>
              </w:rPr>
              <w:t>La RSE est perçue ici comme un levier de croissance majeur et non comme une simple contrainte.</w:t>
            </w:r>
          </w:p>
        </w:tc>
        <w:tc>
          <w:tcPr>
            <w:tcW w:w="708" w:type="dxa"/>
            <w:tcBorders>
              <w:top w:val="single" w:sz="4" w:space="0" w:color="000000"/>
              <w:left w:val="single" w:sz="4" w:space="0" w:color="000000"/>
              <w:bottom w:val="single" w:sz="4" w:space="0" w:color="000000"/>
              <w:right w:val="single" w:sz="4" w:space="0" w:color="000000"/>
            </w:tcBorders>
          </w:tcPr>
          <w:p w14:paraId="54F2BE76"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F8196CB"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2982F976"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0A8E655"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A9902C7" w14:textId="77777777" w:rsidR="00D00AB2" w:rsidRPr="00D00AB2" w:rsidRDefault="00D00AB2" w:rsidP="001350FD">
            <w:pPr>
              <w:spacing w:after="160"/>
              <w:rPr>
                <w:rFonts w:cstheme="majorBidi"/>
                <w:sz w:val="22"/>
              </w:rPr>
            </w:pPr>
          </w:p>
        </w:tc>
      </w:tr>
      <w:tr w:rsidR="00D00AB2" w:rsidRPr="00D00AB2" w14:paraId="3EEB79BA"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12DCD8E0"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L’entreprise considère les piliers sociaux et environnementaux aussi importants que le pilier économique.</w:t>
            </w:r>
          </w:p>
        </w:tc>
        <w:tc>
          <w:tcPr>
            <w:tcW w:w="708" w:type="dxa"/>
            <w:tcBorders>
              <w:top w:val="single" w:sz="4" w:space="0" w:color="000000"/>
              <w:left w:val="single" w:sz="4" w:space="0" w:color="000000"/>
              <w:bottom w:val="single" w:sz="4" w:space="0" w:color="000000"/>
              <w:right w:val="single" w:sz="4" w:space="0" w:color="000000"/>
            </w:tcBorders>
          </w:tcPr>
          <w:p w14:paraId="3D78C757"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D8436C3"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435AEBB"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A7D1840"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C17FA55" w14:textId="77777777" w:rsidR="00D00AB2" w:rsidRPr="00D00AB2" w:rsidRDefault="00D00AB2" w:rsidP="001350FD">
            <w:pPr>
              <w:spacing w:after="160"/>
              <w:rPr>
                <w:rFonts w:cstheme="majorBidi"/>
                <w:sz w:val="22"/>
              </w:rPr>
            </w:pPr>
          </w:p>
        </w:tc>
      </w:tr>
      <w:tr w:rsidR="00D00AB2" w:rsidRPr="00D00AB2" w14:paraId="01A0625B" w14:textId="77777777" w:rsidTr="001350FD">
        <w:trPr>
          <w:trHeight w:val="516"/>
        </w:trPr>
        <w:tc>
          <w:tcPr>
            <w:tcW w:w="5526" w:type="dxa"/>
            <w:tcBorders>
              <w:top w:val="single" w:sz="4" w:space="0" w:color="000000"/>
              <w:left w:val="single" w:sz="4" w:space="0" w:color="000000"/>
              <w:bottom w:val="single" w:sz="4" w:space="0" w:color="000000"/>
              <w:right w:val="single" w:sz="4" w:space="0" w:color="000000"/>
            </w:tcBorders>
          </w:tcPr>
          <w:p w14:paraId="6AA9AF4E"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Notre engagement en faveur du développement durable va bien au-delà des simples obligations réglementaires.</w:t>
            </w:r>
          </w:p>
        </w:tc>
        <w:tc>
          <w:tcPr>
            <w:tcW w:w="708" w:type="dxa"/>
            <w:tcBorders>
              <w:top w:val="single" w:sz="4" w:space="0" w:color="000000"/>
              <w:left w:val="single" w:sz="4" w:space="0" w:color="000000"/>
              <w:bottom w:val="single" w:sz="4" w:space="0" w:color="000000"/>
              <w:right w:val="single" w:sz="4" w:space="0" w:color="000000"/>
            </w:tcBorders>
          </w:tcPr>
          <w:p w14:paraId="0AB74245"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3375F901"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4FDE6E15"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33209DA"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1B0AB17" w14:textId="77777777" w:rsidR="00D00AB2" w:rsidRPr="00D00AB2" w:rsidRDefault="00D00AB2" w:rsidP="001350FD">
            <w:pPr>
              <w:spacing w:after="160"/>
              <w:rPr>
                <w:rFonts w:cstheme="majorBidi"/>
                <w:sz w:val="22"/>
              </w:rPr>
            </w:pPr>
          </w:p>
        </w:tc>
      </w:tr>
      <w:tr w:rsidR="00D00AB2" w:rsidRPr="00D00AB2" w14:paraId="4CBD719A" w14:textId="77777777" w:rsidTr="001350FD">
        <w:trPr>
          <w:trHeight w:val="551"/>
        </w:trPr>
        <w:tc>
          <w:tcPr>
            <w:tcW w:w="5526" w:type="dxa"/>
            <w:tcBorders>
              <w:top w:val="single" w:sz="4" w:space="0" w:color="000000"/>
              <w:left w:val="single" w:sz="4" w:space="0" w:color="000000"/>
              <w:bottom w:val="single" w:sz="4" w:space="0" w:color="000000"/>
              <w:right w:val="single" w:sz="4" w:space="0" w:color="000000"/>
            </w:tcBorders>
          </w:tcPr>
          <w:p w14:paraId="00E9FE1A"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sz w:val="22"/>
              </w:rPr>
              <w:t>L’intégration des critères RSE dans nos métiers est traitée comme une priorité absolue et immédiate.</w:t>
            </w:r>
          </w:p>
        </w:tc>
        <w:tc>
          <w:tcPr>
            <w:tcW w:w="708" w:type="dxa"/>
            <w:tcBorders>
              <w:top w:val="single" w:sz="4" w:space="0" w:color="000000"/>
              <w:left w:val="single" w:sz="4" w:space="0" w:color="000000"/>
              <w:bottom w:val="single" w:sz="4" w:space="0" w:color="000000"/>
              <w:right w:val="single" w:sz="4" w:space="0" w:color="000000"/>
            </w:tcBorders>
          </w:tcPr>
          <w:p w14:paraId="2BC5D209"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F177726"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2242D020"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8371937"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4CF38A8" w14:textId="77777777" w:rsidR="00D00AB2" w:rsidRPr="00D00AB2" w:rsidRDefault="00D00AB2" w:rsidP="001350FD">
            <w:pPr>
              <w:spacing w:after="160"/>
              <w:rPr>
                <w:rFonts w:cstheme="majorBidi"/>
                <w:sz w:val="22"/>
              </w:rPr>
            </w:pPr>
          </w:p>
        </w:tc>
      </w:tr>
      <w:tr w:rsidR="00D00AB2" w:rsidRPr="00D00AB2" w14:paraId="04A365A2" w14:textId="77777777" w:rsidTr="001350FD">
        <w:trPr>
          <w:trHeight w:val="559"/>
        </w:trPr>
        <w:tc>
          <w:tcPr>
            <w:tcW w:w="5526" w:type="dxa"/>
            <w:tcBorders>
              <w:top w:val="single" w:sz="4" w:space="0" w:color="000000"/>
              <w:left w:val="single" w:sz="4" w:space="0" w:color="000000"/>
              <w:bottom w:val="single" w:sz="4" w:space="0" w:color="000000"/>
              <w:right w:val="single" w:sz="4" w:space="0" w:color="000000"/>
            </w:tcBorders>
          </w:tcPr>
          <w:p w14:paraId="1ABC026E" w14:textId="77777777" w:rsidR="00D00AB2" w:rsidRPr="001350FD" w:rsidRDefault="00D00AB2" w:rsidP="00F36332">
            <w:pPr>
              <w:numPr>
                <w:ilvl w:val="0"/>
                <w:numId w:val="218"/>
              </w:numPr>
              <w:spacing w:after="160"/>
              <w:contextualSpacing/>
              <w:rPr>
                <w:rFonts w:cstheme="majorBidi"/>
                <w:color w:val="1F1F1F"/>
                <w:sz w:val="22"/>
              </w:rPr>
            </w:pPr>
            <w:r w:rsidRPr="00D00AB2">
              <w:rPr>
                <w:rFonts w:cstheme="majorBidi"/>
                <w:sz w:val="22"/>
              </w:rPr>
              <w:t>Une entreprise ne peut rester viable sans g</w:t>
            </w:r>
            <w:r w:rsidR="001350FD">
              <w:rPr>
                <w:rFonts w:cstheme="majorBidi"/>
                <w:sz w:val="22"/>
              </w:rPr>
              <w:t>énérer un impact social positif.</w:t>
            </w:r>
          </w:p>
        </w:tc>
        <w:tc>
          <w:tcPr>
            <w:tcW w:w="708" w:type="dxa"/>
            <w:tcBorders>
              <w:top w:val="single" w:sz="4" w:space="0" w:color="000000"/>
              <w:left w:val="single" w:sz="4" w:space="0" w:color="000000"/>
              <w:bottom w:val="single" w:sz="4" w:space="0" w:color="000000"/>
              <w:right w:val="single" w:sz="4" w:space="0" w:color="000000"/>
            </w:tcBorders>
          </w:tcPr>
          <w:p w14:paraId="39B5F580"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4980A8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27D91E36"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F68BB6F"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FEB658A" w14:textId="77777777" w:rsidR="00D00AB2" w:rsidRPr="00D00AB2" w:rsidRDefault="00D00AB2" w:rsidP="001350FD">
            <w:pPr>
              <w:spacing w:after="160"/>
              <w:rPr>
                <w:rFonts w:cstheme="majorBidi"/>
                <w:sz w:val="22"/>
              </w:rPr>
            </w:pPr>
          </w:p>
        </w:tc>
      </w:tr>
      <w:tr w:rsidR="00D00AB2" w:rsidRPr="00D00AB2" w14:paraId="32FEE707" w14:textId="77777777" w:rsidTr="001350FD">
        <w:trPr>
          <w:trHeight w:val="850"/>
        </w:trPr>
        <w:tc>
          <w:tcPr>
            <w:tcW w:w="5526" w:type="dxa"/>
            <w:tcBorders>
              <w:top w:val="single" w:sz="4" w:space="0" w:color="000000"/>
              <w:left w:val="single" w:sz="4" w:space="0" w:color="000000"/>
              <w:bottom w:val="single" w:sz="4" w:space="0" w:color="000000"/>
              <w:right w:val="single" w:sz="4" w:space="0" w:color="000000"/>
            </w:tcBorders>
          </w:tcPr>
          <w:p w14:paraId="0B7EAD21"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 non-respect des normes éthiques ou de sécurité est un critère éliminatoire pour nos partenaires/fournisseurs.</w:t>
            </w:r>
          </w:p>
        </w:tc>
        <w:tc>
          <w:tcPr>
            <w:tcW w:w="708" w:type="dxa"/>
            <w:tcBorders>
              <w:top w:val="single" w:sz="4" w:space="0" w:color="000000"/>
              <w:left w:val="single" w:sz="4" w:space="0" w:color="000000"/>
              <w:bottom w:val="single" w:sz="4" w:space="0" w:color="000000"/>
              <w:right w:val="single" w:sz="4" w:space="0" w:color="000000"/>
            </w:tcBorders>
          </w:tcPr>
          <w:p w14:paraId="15C48416"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F0C0334"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AE3B91B"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D412B23"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1820879A" w14:textId="77777777" w:rsidR="00D00AB2" w:rsidRPr="00D00AB2" w:rsidRDefault="00D00AB2" w:rsidP="001350FD">
            <w:pPr>
              <w:spacing w:after="160"/>
              <w:rPr>
                <w:rFonts w:cstheme="majorBidi"/>
                <w:sz w:val="22"/>
              </w:rPr>
            </w:pPr>
          </w:p>
        </w:tc>
      </w:tr>
      <w:tr w:rsidR="00D00AB2" w:rsidRPr="00D00AB2" w14:paraId="2C2A5A0D" w14:textId="77777777" w:rsidTr="00AB5B0B">
        <w:trPr>
          <w:trHeight w:val="806"/>
        </w:trPr>
        <w:tc>
          <w:tcPr>
            <w:tcW w:w="5526" w:type="dxa"/>
            <w:tcBorders>
              <w:top w:val="single" w:sz="4" w:space="0" w:color="000000"/>
              <w:left w:val="single" w:sz="4" w:space="0" w:color="000000"/>
              <w:bottom w:val="single" w:sz="4" w:space="0" w:color="000000"/>
              <w:right w:val="single" w:sz="4" w:space="0" w:color="000000"/>
            </w:tcBorders>
          </w:tcPr>
          <w:p w14:paraId="77F1C757"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processus de tri, de réduction des déchets et de réutilisation sont appliqués rigoureusement dans TAYAL.</w:t>
            </w:r>
          </w:p>
        </w:tc>
        <w:tc>
          <w:tcPr>
            <w:tcW w:w="708" w:type="dxa"/>
            <w:tcBorders>
              <w:top w:val="single" w:sz="4" w:space="0" w:color="000000"/>
              <w:left w:val="single" w:sz="4" w:space="0" w:color="000000"/>
              <w:bottom w:val="single" w:sz="4" w:space="0" w:color="000000"/>
              <w:right w:val="single" w:sz="4" w:space="0" w:color="000000"/>
            </w:tcBorders>
          </w:tcPr>
          <w:p w14:paraId="11793F9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389DF78"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B4EE759"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D0DF268"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B197F02" w14:textId="77777777" w:rsidR="00D00AB2" w:rsidRPr="00D00AB2" w:rsidRDefault="00D00AB2" w:rsidP="001350FD">
            <w:pPr>
              <w:spacing w:after="160"/>
              <w:rPr>
                <w:rFonts w:cstheme="majorBidi"/>
                <w:sz w:val="22"/>
              </w:rPr>
            </w:pPr>
          </w:p>
        </w:tc>
      </w:tr>
      <w:tr w:rsidR="00D00AB2" w:rsidRPr="00D00AB2" w14:paraId="1172F3B6" w14:textId="77777777" w:rsidTr="00AB5B0B">
        <w:trPr>
          <w:trHeight w:val="846"/>
        </w:trPr>
        <w:tc>
          <w:tcPr>
            <w:tcW w:w="5526" w:type="dxa"/>
            <w:tcBorders>
              <w:top w:val="single" w:sz="4" w:space="0" w:color="000000"/>
              <w:left w:val="single" w:sz="4" w:space="0" w:color="000000"/>
              <w:bottom w:val="single" w:sz="4" w:space="0" w:color="000000"/>
              <w:right w:val="single" w:sz="4" w:space="0" w:color="000000"/>
            </w:tcBorders>
          </w:tcPr>
          <w:p w14:paraId="6FCD74E5"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TAYAL communique de manière honnête sur ses impacts, en partageant ses réussites comme ses points de progrès.</w:t>
            </w:r>
          </w:p>
        </w:tc>
        <w:tc>
          <w:tcPr>
            <w:tcW w:w="708" w:type="dxa"/>
            <w:tcBorders>
              <w:top w:val="single" w:sz="4" w:space="0" w:color="000000"/>
              <w:left w:val="single" w:sz="4" w:space="0" w:color="000000"/>
              <w:bottom w:val="single" w:sz="4" w:space="0" w:color="000000"/>
              <w:right w:val="single" w:sz="4" w:space="0" w:color="000000"/>
            </w:tcBorders>
          </w:tcPr>
          <w:p w14:paraId="380A5CA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091E01F"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74FAA20"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63E758D"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5308533" w14:textId="77777777" w:rsidR="00D00AB2" w:rsidRPr="00D00AB2" w:rsidRDefault="00D00AB2" w:rsidP="001350FD">
            <w:pPr>
              <w:spacing w:after="160"/>
              <w:rPr>
                <w:rFonts w:cstheme="majorBidi"/>
                <w:sz w:val="22"/>
              </w:rPr>
            </w:pPr>
          </w:p>
        </w:tc>
      </w:tr>
      <w:tr w:rsidR="00D00AB2" w:rsidRPr="00D00AB2" w14:paraId="0AD665F7" w14:textId="77777777" w:rsidTr="001350FD">
        <w:trPr>
          <w:trHeight w:val="750"/>
        </w:trPr>
        <w:tc>
          <w:tcPr>
            <w:tcW w:w="5526" w:type="dxa"/>
            <w:tcBorders>
              <w:top w:val="single" w:sz="4" w:space="0" w:color="000000"/>
              <w:left w:val="single" w:sz="4" w:space="0" w:color="000000"/>
              <w:bottom w:val="single" w:sz="4" w:space="0" w:color="000000"/>
              <w:right w:val="single" w:sz="4" w:space="0" w:color="000000"/>
            </w:tcBorders>
          </w:tcPr>
          <w:p w14:paraId="01FC3C1A"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objectifs RSE sont inclus dans les entretiens annuels d'évaluation.</w:t>
            </w:r>
          </w:p>
        </w:tc>
        <w:tc>
          <w:tcPr>
            <w:tcW w:w="708" w:type="dxa"/>
            <w:tcBorders>
              <w:top w:val="single" w:sz="4" w:space="0" w:color="000000"/>
              <w:left w:val="single" w:sz="4" w:space="0" w:color="000000"/>
              <w:bottom w:val="single" w:sz="4" w:space="0" w:color="000000"/>
              <w:right w:val="single" w:sz="4" w:space="0" w:color="000000"/>
            </w:tcBorders>
          </w:tcPr>
          <w:p w14:paraId="449A60A6"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17AAAC7"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9F68969"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202310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91F8FA4" w14:textId="77777777" w:rsidR="00D00AB2" w:rsidRPr="00D00AB2" w:rsidRDefault="00D00AB2" w:rsidP="001350FD">
            <w:pPr>
              <w:spacing w:after="160"/>
              <w:rPr>
                <w:rFonts w:cstheme="majorBidi"/>
                <w:sz w:val="22"/>
              </w:rPr>
            </w:pPr>
          </w:p>
        </w:tc>
      </w:tr>
      <w:tr w:rsidR="00D00AB2" w:rsidRPr="00D00AB2" w14:paraId="5E986154"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5E1270F9"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TAYAL garantit une réelle égalité des chances (parité, diversité) dans ses processus de recrutement et de promotion.</w:t>
            </w:r>
          </w:p>
        </w:tc>
        <w:tc>
          <w:tcPr>
            <w:tcW w:w="708" w:type="dxa"/>
            <w:tcBorders>
              <w:top w:val="single" w:sz="4" w:space="0" w:color="000000"/>
              <w:left w:val="single" w:sz="4" w:space="0" w:color="000000"/>
              <w:bottom w:val="single" w:sz="4" w:space="0" w:color="000000"/>
              <w:right w:val="single" w:sz="4" w:space="0" w:color="000000"/>
            </w:tcBorders>
          </w:tcPr>
          <w:p w14:paraId="0484DBCC"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7F0E4B1"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F82545B"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5EB233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8B2CE12" w14:textId="77777777" w:rsidR="00D00AB2" w:rsidRPr="00D00AB2" w:rsidRDefault="00D00AB2" w:rsidP="001350FD">
            <w:pPr>
              <w:spacing w:after="160"/>
              <w:rPr>
                <w:rFonts w:cstheme="majorBidi"/>
                <w:sz w:val="22"/>
              </w:rPr>
            </w:pPr>
          </w:p>
        </w:tc>
      </w:tr>
      <w:tr w:rsidR="00D00AB2" w:rsidRPr="00D00AB2" w14:paraId="4170B971"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16DAB6B9"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 système de rémunération et d'avantages sociaux est perçu comme juste et transparent par l'ensemble des collaborateurs.</w:t>
            </w:r>
          </w:p>
        </w:tc>
        <w:tc>
          <w:tcPr>
            <w:tcW w:w="708" w:type="dxa"/>
            <w:tcBorders>
              <w:top w:val="single" w:sz="4" w:space="0" w:color="000000"/>
              <w:left w:val="single" w:sz="4" w:space="0" w:color="000000"/>
              <w:bottom w:val="single" w:sz="4" w:space="0" w:color="000000"/>
              <w:right w:val="single" w:sz="4" w:space="0" w:color="000000"/>
            </w:tcBorders>
          </w:tcPr>
          <w:p w14:paraId="5FA09D90"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FC98CA8"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225DFB9"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62049C1D"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5E5F18E" w14:textId="77777777" w:rsidR="00D00AB2" w:rsidRPr="00D00AB2" w:rsidRDefault="00D00AB2" w:rsidP="001350FD">
            <w:pPr>
              <w:spacing w:after="160"/>
              <w:rPr>
                <w:rFonts w:cstheme="majorBidi"/>
                <w:sz w:val="22"/>
              </w:rPr>
            </w:pPr>
          </w:p>
        </w:tc>
      </w:tr>
      <w:tr w:rsidR="00D00AB2" w:rsidRPr="00D00AB2" w14:paraId="46D47AFD"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1C86EA43"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L’environnement de travail est exempt de toute forme de harcèlement ou de discrimination, soutenu par des procédures d'alerte claires.</w:t>
            </w:r>
          </w:p>
        </w:tc>
        <w:tc>
          <w:tcPr>
            <w:tcW w:w="708" w:type="dxa"/>
            <w:tcBorders>
              <w:top w:val="single" w:sz="4" w:space="0" w:color="000000"/>
              <w:left w:val="single" w:sz="4" w:space="0" w:color="000000"/>
              <w:bottom w:val="single" w:sz="4" w:space="0" w:color="000000"/>
              <w:right w:val="single" w:sz="4" w:space="0" w:color="000000"/>
            </w:tcBorders>
          </w:tcPr>
          <w:p w14:paraId="7ED5C761"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A4ED989"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DFC3C00"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096C709"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35E61A3" w14:textId="77777777" w:rsidR="00D00AB2" w:rsidRPr="00D00AB2" w:rsidRDefault="00D00AB2" w:rsidP="001350FD">
            <w:pPr>
              <w:spacing w:after="160"/>
              <w:rPr>
                <w:rFonts w:cstheme="majorBidi"/>
                <w:sz w:val="22"/>
              </w:rPr>
            </w:pPr>
          </w:p>
        </w:tc>
      </w:tr>
      <w:tr w:rsidR="00D00AB2" w:rsidRPr="00D00AB2" w14:paraId="79DAF205" w14:textId="77777777" w:rsidTr="00AB5B0B">
        <w:trPr>
          <w:trHeight w:val="672"/>
        </w:trPr>
        <w:tc>
          <w:tcPr>
            <w:tcW w:w="5526" w:type="dxa"/>
            <w:tcBorders>
              <w:top w:val="single" w:sz="4" w:space="0" w:color="000000"/>
              <w:left w:val="single" w:sz="4" w:space="0" w:color="000000"/>
              <w:bottom w:val="single" w:sz="4" w:space="0" w:color="000000"/>
              <w:right w:val="single" w:sz="4" w:space="0" w:color="000000"/>
            </w:tcBorders>
          </w:tcPr>
          <w:p w14:paraId="607F19E8" w14:textId="77777777" w:rsidR="00D00AB2" w:rsidRPr="00D00AB2" w:rsidRDefault="00D00AB2" w:rsidP="00F36332">
            <w:pPr>
              <w:numPr>
                <w:ilvl w:val="0"/>
                <w:numId w:val="218"/>
              </w:numPr>
              <w:spacing w:after="160"/>
              <w:contextualSpacing/>
              <w:rPr>
                <w:rFonts w:cstheme="majorBidi"/>
                <w:sz w:val="22"/>
              </w:rPr>
            </w:pPr>
            <w:r w:rsidRPr="00D00AB2">
              <w:rPr>
                <w:rFonts w:cstheme="majorBidi"/>
                <w:sz w:val="22"/>
              </w:rPr>
              <w:t>Les salariés participent activement à la Co-construction de la démarche RSE.</w:t>
            </w:r>
          </w:p>
        </w:tc>
        <w:tc>
          <w:tcPr>
            <w:tcW w:w="708" w:type="dxa"/>
            <w:tcBorders>
              <w:top w:val="single" w:sz="4" w:space="0" w:color="000000"/>
              <w:left w:val="single" w:sz="4" w:space="0" w:color="000000"/>
              <w:bottom w:val="single" w:sz="4" w:space="0" w:color="000000"/>
              <w:right w:val="single" w:sz="4" w:space="0" w:color="000000"/>
            </w:tcBorders>
          </w:tcPr>
          <w:p w14:paraId="0711C149"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4F30C57E"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1D15408D"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35A2987"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44F804BF" w14:textId="77777777" w:rsidR="00D00AB2" w:rsidRPr="00D00AB2" w:rsidRDefault="00D00AB2" w:rsidP="001350FD">
            <w:pPr>
              <w:spacing w:after="160"/>
              <w:rPr>
                <w:rFonts w:cstheme="majorBidi"/>
                <w:sz w:val="22"/>
              </w:rPr>
            </w:pPr>
          </w:p>
        </w:tc>
      </w:tr>
      <w:tr w:rsidR="00D00AB2" w:rsidRPr="00D00AB2" w14:paraId="23D24A0F" w14:textId="77777777" w:rsidTr="00AB5B0B">
        <w:trPr>
          <w:trHeight w:val="838"/>
        </w:trPr>
        <w:tc>
          <w:tcPr>
            <w:tcW w:w="5526" w:type="dxa"/>
            <w:tcBorders>
              <w:top w:val="single" w:sz="4" w:space="0" w:color="000000"/>
              <w:left w:val="single" w:sz="4" w:space="0" w:color="000000"/>
              <w:bottom w:val="single" w:sz="4" w:space="0" w:color="000000"/>
              <w:right w:val="single" w:sz="4" w:space="0" w:color="000000"/>
            </w:tcBorders>
          </w:tcPr>
          <w:p w14:paraId="5F839377"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Le manque de budget et de temps constitue un frein majeur à l'approfondissement de notre démarche RSE.</w:t>
            </w:r>
          </w:p>
        </w:tc>
        <w:tc>
          <w:tcPr>
            <w:tcW w:w="708" w:type="dxa"/>
            <w:tcBorders>
              <w:top w:val="single" w:sz="4" w:space="0" w:color="000000"/>
              <w:left w:val="single" w:sz="4" w:space="0" w:color="000000"/>
              <w:bottom w:val="single" w:sz="4" w:space="0" w:color="000000"/>
              <w:right w:val="single" w:sz="4" w:space="0" w:color="000000"/>
            </w:tcBorders>
          </w:tcPr>
          <w:p w14:paraId="55BD1A90"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2B0FA73"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A84FC72"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AD5861F"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C870B89" w14:textId="77777777" w:rsidR="00D00AB2" w:rsidRPr="00D00AB2" w:rsidRDefault="00D00AB2" w:rsidP="001350FD">
            <w:pPr>
              <w:spacing w:after="160"/>
              <w:rPr>
                <w:rFonts w:cstheme="majorBidi"/>
                <w:sz w:val="22"/>
              </w:rPr>
            </w:pPr>
          </w:p>
        </w:tc>
      </w:tr>
      <w:tr w:rsidR="00D00AB2" w:rsidRPr="00D00AB2" w14:paraId="1B20C022" w14:textId="77777777" w:rsidTr="00AB5B0B">
        <w:trPr>
          <w:trHeight w:val="668"/>
        </w:trPr>
        <w:tc>
          <w:tcPr>
            <w:tcW w:w="5526" w:type="dxa"/>
            <w:tcBorders>
              <w:top w:val="single" w:sz="4" w:space="0" w:color="000000"/>
              <w:left w:val="single" w:sz="4" w:space="0" w:color="000000"/>
              <w:bottom w:val="single" w:sz="4" w:space="0" w:color="000000"/>
              <w:right w:val="single" w:sz="4" w:space="0" w:color="000000"/>
            </w:tcBorders>
          </w:tcPr>
          <w:p w14:paraId="556FD945"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La complexité des normes et le manque de compétences internes ralentissent notre transition.</w:t>
            </w:r>
          </w:p>
        </w:tc>
        <w:tc>
          <w:tcPr>
            <w:tcW w:w="708" w:type="dxa"/>
            <w:tcBorders>
              <w:top w:val="single" w:sz="4" w:space="0" w:color="000000"/>
              <w:left w:val="single" w:sz="4" w:space="0" w:color="000000"/>
              <w:bottom w:val="single" w:sz="4" w:space="0" w:color="000000"/>
              <w:right w:val="single" w:sz="4" w:space="0" w:color="000000"/>
            </w:tcBorders>
          </w:tcPr>
          <w:p w14:paraId="3EEF1245"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49CB19D"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A56B7FD"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BDD4ABD"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38908BA" w14:textId="77777777" w:rsidR="00D00AB2" w:rsidRPr="00D00AB2" w:rsidRDefault="00D00AB2" w:rsidP="001350FD">
            <w:pPr>
              <w:spacing w:after="160"/>
              <w:rPr>
                <w:rFonts w:cstheme="majorBidi"/>
                <w:sz w:val="22"/>
              </w:rPr>
            </w:pPr>
          </w:p>
        </w:tc>
      </w:tr>
      <w:tr w:rsidR="00D00AB2" w:rsidRPr="00D00AB2" w14:paraId="6207C47D" w14:textId="77777777" w:rsidTr="001350FD">
        <w:trPr>
          <w:trHeight w:val="795"/>
        </w:trPr>
        <w:tc>
          <w:tcPr>
            <w:tcW w:w="5526" w:type="dxa"/>
            <w:tcBorders>
              <w:top w:val="single" w:sz="4" w:space="0" w:color="000000"/>
              <w:left w:val="single" w:sz="4" w:space="0" w:color="000000"/>
              <w:bottom w:val="single" w:sz="4" w:space="0" w:color="000000"/>
              <w:right w:val="single" w:sz="4" w:space="0" w:color="000000"/>
            </w:tcBorders>
          </w:tcPr>
          <w:p w14:paraId="527795CB"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Un accompagnement extérieur (conseil) ou des aides fiscales faciliteraient grandement notre démarche.</w:t>
            </w:r>
          </w:p>
        </w:tc>
        <w:tc>
          <w:tcPr>
            <w:tcW w:w="708" w:type="dxa"/>
            <w:tcBorders>
              <w:top w:val="single" w:sz="4" w:space="0" w:color="000000"/>
              <w:left w:val="single" w:sz="4" w:space="0" w:color="000000"/>
              <w:bottom w:val="single" w:sz="4" w:space="0" w:color="000000"/>
              <w:right w:val="single" w:sz="4" w:space="0" w:color="000000"/>
            </w:tcBorders>
          </w:tcPr>
          <w:p w14:paraId="50BA647D"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9ADDDC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E2241B6"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33FA6DA"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BF0DAD3" w14:textId="77777777" w:rsidR="00D00AB2" w:rsidRPr="00D00AB2" w:rsidRDefault="00D00AB2" w:rsidP="001350FD">
            <w:pPr>
              <w:spacing w:after="160"/>
              <w:rPr>
                <w:rFonts w:cstheme="majorBidi"/>
                <w:sz w:val="22"/>
              </w:rPr>
            </w:pPr>
          </w:p>
        </w:tc>
      </w:tr>
      <w:tr w:rsidR="00D00AB2" w:rsidRPr="00D00AB2" w14:paraId="65BED789" w14:textId="77777777" w:rsidTr="001350FD">
        <w:trPr>
          <w:trHeight w:val="894"/>
        </w:trPr>
        <w:tc>
          <w:tcPr>
            <w:tcW w:w="5526" w:type="dxa"/>
            <w:tcBorders>
              <w:top w:val="single" w:sz="4" w:space="0" w:color="000000"/>
              <w:left w:val="single" w:sz="4" w:space="0" w:color="000000"/>
              <w:bottom w:val="single" w:sz="4" w:space="0" w:color="000000"/>
              <w:right w:val="single" w:sz="4" w:space="0" w:color="000000"/>
            </w:tcBorders>
          </w:tcPr>
          <w:p w14:paraId="5F09E8B8"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lastRenderedPageBreak/>
              <w:t>L’intégration d'indicateurs RSE dans l'évaluation des dirigeants est l'action la plus efficace pour transformer l'entreprise.</w:t>
            </w:r>
          </w:p>
        </w:tc>
        <w:tc>
          <w:tcPr>
            <w:tcW w:w="708" w:type="dxa"/>
            <w:tcBorders>
              <w:top w:val="single" w:sz="4" w:space="0" w:color="000000"/>
              <w:left w:val="single" w:sz="4" w:space="0" w:color="000000"/>
              <w:bottom w:val="single" w:sz="4" w:space="0" w:color="000000"/>
              <w:right w:val="single" w:sz="4" w:space="0" w:color="000000"/>
            </w:tcBorders>
          </w:tcPr>
          <w:p w14:paraId="1A31B79C"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05D8A35"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1F8BBF04"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F2BB2ED"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A7C1858" w14:textId="77777777" w:rsidR="00D00AB2" w:rsidRPr="00D00AB2" w:rsidRDefault="00D00AB2" w:rsidP="001350FD">
            <w:pPr>
              <w:spacing w:after="160"/>
              <w:rPr>
                <w:rFonts w:cstheme="majorBidi"/>
                <w:sz w:val="22"/>
              </w:rPr>
            </w:pPr>
          </w:p>
        </w:tc>
      </w:tr>
      <w:tr w:rsidR="00D00AB2" w:rsidRPr="00D00AB2" w14:paraId="26A6D82A"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655F8E5D"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Une gouvernance éthique et une performance durable sont les priorités absolues pour améliorer nos pratiques actuelles.</w:t>
            </w:r>
          </w:p>
        </w:tc>
        <w:tc>
          <w:tcPr>
            <w:tcW w:w="708" w:type="dxa"/>
            <w:tcBorders>
              <w:top w:val="single" w:sz="4" w:space="0" w:color="000000"/>
              <w:left w:val="single" w:sz="4" w:space="0" w:color="000000"/>
              <w:bottom w:val="single" w:sz="4" w:space="0" w:color="000000"/>
              <w:right w:val="single" w:sz="4" w:space="0" w:color="000000"/>
            </w:tcBorders>
          </w:tcPr>
          <w:p w14:paraId="1DE57FB2"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8609773"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C9ECAB3"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2D33082"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AF8D241" w14:textId="77777777" w:rsidR="00D00AB2" w:rsidRPr="00D00AB2" w:rsidRDefault="00D00AB2" w:rsidP="001350FD">
            <w:pPr>
              <w:spacing w:after="160"/>
              <w:rPr>
                <w:rFonts w:cstheme="majorBidi"/>
                <w:sz w:val="22"/>
              </w:rPr>
            </w:pPr>
          </w:p>
        </w:tc>
      </w:tr>
      <w:tr w:rsidR="00D00AB2" w:rsidRPr="00D00AB2" w14:paraId="779BB574" w14:textId="77777777" w:rsidTr="001350FD">
        <w:trPr>
          <w:trHeight w:val="811"/>
        </w:trPr>
        <w:tc>
          <w:tcPr>
            <w:tcW w:w="5526" w:type="dxa"/>
            <w:tcBorders>
              <w:top w:val="single" w:sz="4" w:space="0" w:color="000000"/>
              <w:left w:val="single" w:sz="4" w:space="0" w:color="000000"/>
              <w:bottom w:val="single" w:sz="4" w:space="0" w:color="000000"/>
              <w:right w:val="single" w:sz="4" w:space="0" w:color="000000"/>
            </w:tcBorders>
          </w:tcPr>
          <w:p w14:paraId="69BF80D9"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L’absence de stratégie RSE fait peser un risque réel sur notre capacité à recruter et à conserver nos clients.</w:t>
            </w:r>
          </w:p>
        </w:tc>
        <w:tc>
          <w:tcPr>
            <w:tcW w:w="708" w:type="dxa"/>
            <w:tcBorders>
              <w:top w:val="single" w:sz="4" w:space="0" w:color="000000"/>
              <w:left w:val="single" w:sz="4" w:space="0" w:color="000000"/>
              <w:bottom w:val="single" w:sz="4" w:space="0" w:color="000000"/>
              <w:right w:val="single" w:sz="4" w:space="0" w:color="000000"/>
            </w:tcBorders>
          </w:tcPr>
          <w:p w14:paraId="72BEEA82"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213769B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5DFB8A5"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2BB74FF"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C84396B" w14:textId="77777777" w:rsidR="00D00AB2" w:rsidRPr="00D00AB2" w:rsidRDefault="00D00AB2" w:rsidP="001350FD">
            <w:pPr>
              <w:spacing w:after="160"/>
              <w:rPr>
                <w:rFonts w:cstheme="majorBidi"/>
                <w:sz w:val="22"/>
              </w:rPr>
            </w:pPr>
          </w:p>
        </w:tc>
      </w:tr>
      <w:tr w:rsidR="00D00AB2" w:rsidRPr="00D00AB2" w14:paraId="4C83808D" w14:textId="77777777" w:rsidTr="001350FD">
        <w:trPr>
          <w:trHeight w:val="694"/>
        </w:trPr>
        <w:tc>
          <w:tcPr>
            <w:tcW w:w="5526" w:type="dxa"/>
            <w:tcBorders>
              <w:top w:val="single" w:sz="4" w:space="0" w:color="000000"/>
              <w:left w:val="single" w:sz="4" w:space="0" w:color="000000"/>
              <w:bottom w:val="single" w:sz="4" w:space="0" w:color="000000"/>
              <w:right w:val="single" w:sz="4" w:space="0" w:color="000000"/>
            </w:tcBorders>
          </w:tcPr>
          <w:p w14:paraId="2B8D1F73" w14:textId="77777777" w:rsidR="00D00AB2" w:rsidRPr="00D00AB2" w:rsidRDefault="00D00AB2" w:rsidP="00F36332">
            <w:pPr>
              <w:numPr>
                <w:ilvl w:val="0"/>
                <w:numId w:val="218"/>
              </w:numPr>
              <w:spacing w:after="160"/>
              <w:contextualSpacing/>
              <w:rPr>
                <w:rFonts w:cstheme="majorBidi"/>
                <w:sz w:val="22"/>
              </w:rPr>
            </w:pPr>
            <w:r w:rsidRPr="00D00AB2">
              <w:rPr>
                <w:rFonts w:cstheme="majorBidi"/>
                <w:color w:val="1F1F1F"/>
                <w:sz w:val="22"/>
              </w:rPr>
              <w:t>Le risque de sanctions réglementaires est une préoccupation majeure qui guide nos décisions.</w:t>
            </w:r>
          </w:p>
        </w:tc>
        <w:tc>
          <w:tcPr>
            <w:tcW w:w="708" w:type="dxa"/>
            <w:tcBorders>
              <w:top w:val="single" w:sz="4" w:space="0" w:color="000000"/>
              <w:left w:val="single" w:sz="4" w:space="0" w:color="000000"/>
              <w:bottom w:val="single" w:sz="4" w:space="0" w:color="000000"/>
              <w:right w:val="single" w:sz="4" w:space="0" w:color="000000"/>
            </w:tcBorders>
          </w:tcPr>
          <w:p w14:paraId="5FFC3F70"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B1AA285"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7D9CBAA"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96722A1"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4A86DA8" w14:textId="77777777" w:rsidR="00D00AB2" w:rsidRPr="00D00AB2" w:rsidRDefault="00D00AB2" w:rsidP="001350FD">
            <w:pPr>
              <w:spacing w:after="160"/>
              <w:rPr>
                <w:rFonts w:cstheme="majorBidi"/>
                <w:sz w:val="22"/>
              </w:rPr>
            </w:pPr>
          </w:p>
        </w:tc>
      </w:tr>
      <w:tr w:rsidR="00D00AB2" w:rsidRPr="00D00AB2" w14:paraId="39276CFE" w14:textId="77777777" w:rsidTr="001350FD">
        <w:trPr>
          <w:trHeight w:val="704"/>
        </w:trPr>
        <w:tc>
          <w:tcPr>
            <w:tcW w:w="5526" w:type="dxa"/>
            <w:tcBorders>
              <w:top w:val="single" w:sz="4" w:space="0" w:color="000000"/>
              <w:left w:val="single" w:sz="4" w:space="0" w:color="000000"/>
              <w:bottom w:val="single" w:sz="4" w:space="0" w:color="000000"/>
              <w:right w:val="single" w:sz="4" w:space="0" w:color="000000"/>
            </w:tcBorders>
          </w:tcPr>
          <w:p w14:paraId="6BE775BD"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TAYAL a pour ambition de devenir un leader incontesté de l'économie durable et inclusive de demain.</w:t>
            </w:r>
          </w:p>
        </w:tc>
        <w:tc>
          <w:tcPr>
            <w:tcW w:w="708" w:type="dxa"/>
            <w:tcBorders>
              <w:top w:val="single" w:sz="4" w:space="0" w:color="000000"/>
              <w:left w:val="single" w:sz="4" w:space="0" w:color="000000"/>
              <w:bottom w:val="single" w:sz="4" w:space="0" w:color="000000"/>
              <w:right w:val="single" w:sz="4" w:space="0" w:color="000000"/>
            </w:tcBorders>
          </w:tcPr>
          <w:p w14:paraId="299CCFA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FD79E45"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DDFC464"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5C7DE59A"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4DE2467" w14:textId="77777777" w:rsidR="00D00AB2" w:rsidRPr="00D00AB2" w:rsidRDefault="00D00AB2" w:rsidP="001350FD">
            <w:pPr>
              <w:spacing w:after="160"/>
              <w:rPr>
                <w:rFonts w:cstheme="majorBidi"/>
                <w:sz w:val="22"/>
              </w:rPr>
            </w:pPr>
          </w:p>
        </w:tc>
      </w:tr>
      <w:tr w:rsidR="00D00AB2" w:rsidRPr="00D00AB2" w14:paraId="75CE0BAB" w14:textId="77777777" w:rsidTr="001350FD">
        <w:trPr>
          <w:trHeight w:val="900"/>
        </w:trPr>
        <w:tc>
          <w:tcPr>
            <w:tcW w:w="5526" w:type="dxa"/>
            <w:tcBorders>
              <w:top w:val="single" w:sz="4" w:space="0" w:color="000000"/>
              <w:left w:val="single" w:sz="4" w:space="0" w:color="000000"/>
              <w:bottom w:val="single" w:sz="4" w:space="0" w:color="000000"/>
              <w:right w:val="single" w:sz="4" w:space="0" w:color="000000"/>
            </w:tcBorders>
          </w:tcPr>
          <w:p w14:paraId="388D237E"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Les décisions du conseil d’administration tiennent systématiquement compte des impacts éthiques, sociaux et environnementaux.</w:t>
            </w:r>
          </w:p>
        </w:tc>
        <w:tc>
          <w:tcPr>
            <w:tcW w:w="708" w:type="dxa"/>
            <w:tcBorders>
              <w:top w:val="single" w:sz="4" w:space="0" w:color="000000"/>
              <w:left w:val="single" w:sz="4" w:space="0" w:color="000000"/>
              <w:bottom w:val="single" w:sz="4" w:space="0" w:color="000000"/>
              <w:right w:val="single" w:sz="4" w:space="0" w:color="000000"/>
            </w:tcBorders>
          </w:tcPr>
          <w:p w14:paraId="19975CBC"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ECD6878"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92DAB13"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808A57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3EC06421" w14:textId="77777777" w:rsidR="00D00AB2" w:rsidRPr="00D00AB2" w:rsidRDefault="00D00AB2" w:rsidP="001350FD">
            <w:pPr>
              <w:spacing w:after="160"/>
              <w:rPr>
                <w:rFonts w:cstheme="majorBidi"/>
                <w:sz w:val="22"/>
              </w:rPr>
            </w:pPr>
          </w:p>
        </w:tc>
      </w:tr>
      <w:tr w:rsidR="00D00AB2" w:rsidRPr="00D00AB2" w14:paraId="6D3C7BA0" w14:textId="77777777" w:rsidTr="001350FD">
        <w:trPr>
          <w:trHeight w:val="856"/>
        </w:trPr>
        <w:tc>
          <w:tcPr>
            <w:tcW w:w="5526" w:type="dxa"/>
            <w:tcBorders>
              <w:top w:val="single" w:sz="4" w:space="0" w:color="000000"/>
              <w:left w:val="single" w:sz="4" w:space="0" w:color="000000"/>
              <w:bottom w:val="single" w:sz="4" w:space="0" w:color="000000"/>
              <w:right w:val="single" w:sz="4" w:space="0" w:color="000000"/>
            </w:tcBorders>
          </w:tcPr>
          <w:p w14:paraId="7CA29C79"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Le conseil d'Administration intègre formellement les intérêts des générations futures dans ses délibérations à long terme.</w:t>
            </w:r>
          </w:p>
        </w:tc>
        <w:tc>
          <w:tcPr>
            <w:tcW w:w="708" w:type="dxa"/>
            <w:tcBorders>
              <w:top w:val="single" w:sz="4" w:space="0" w:color="000000"/>
              <w:left w:val="single" w:sz="4" w:space="0" w:color="000000"/>
              <w:bottom w:val="single" w:sz="4" w:space="0" w:color="000000"/>
              <w:right w:val="single" w:sz="4" w:space="0" w:color="000000"/>
            </w:tcBorders>
          </w:tcPr>
          <w:p w14:paraId="0559C9D1"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0A01424"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8319246"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20C58889"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5513A20C" w14:textId="77777777" w:rsidR="00D00AB2" w:rsidRPr="00D00AB2" w:rsidRDefault="00D00AB2" w:rsidP="001350FD">
            <w:pPr>
              <w:spacing w:after="160"/>
              <w:rPr>
                <w:rFonts w:cstheme="majorBidi"/>
                <w:sz w:val="22"/>
              </w:rPr>
            </w:pPr>
          </w:p>
        </w:tc>
      </w:tr>
      <w:tr w:rsidR="00D00AB2" w:rsidRPr="00D00AB2" w14:paraId="27584967" w14:textId="77777777" w:rsidTr="001350FD">
        <w:trPr>
          <w:trHeight w:val="826"/>
        </w:trPr>
        <w:tc>
          <w:tcPr>
            <w:tcW w:w="5526" w:type="dxa"/>
            <w:tcBorders>
              <w:top w:val="single" w:sz="4" w:space="0" w:color="000000"/>
              <w:left w:val="single" w:sz="4" w:space="0" w:color="000000"/>
              <w:bottom w:val="single" w:sz="4" w:space="0" w:color="000000"/>
              <w:right w:val="single" w:sz="4" w:space="0" w:color="000000"/>
            </w:tcBorders>
          </w:tcPr>
          <w:p w14:paraId="445F9E17"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Votre gouvernance a modifié ses statuts (ex : Raison d'être) pour protéger sa mission sociale/environnemental.</w:t>
            </w:r>
          </w:p>
        </w:tc>
        <w:tc>
          <w:tcPr>
            <w:tcW w:w="708" w:type="dxa"/>
            <w:tcBorders>
              <w:top w:val="single" w:sz="4" w:space="0" w:color="000000"/>
              <w:left w:val="single" w:sz="4" w:space="0" w:color="000000"/>
              <w:bottom w:val="single" w:sz="4" w:space="0" w:color="000000"/>
              <w:right w:val="single" w:sz="4" w:space="0" w:color="000000"/>
            </w:tcBorders>
          </w:tcPr>
          <w:p w14:paraId="2340A0AA"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0160581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82095B7"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451C7721"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701316A2" w14:textId="77777777" w:rsidR="00D00AB2" w:rsidRPr="00D00AB2" w:rsidRDefault="00D00AB2" w:rsidP="001350FD">
            <w:pPr>
              <w:spacing w:after="160"/>
              <w:rPr>
                <w:rFonts w:cstheme="majorBidi"/>
                <w:sz w:val="22"/>
              </w:rPr>
            </w:pPr>
          </w:p>
        </w:tc>
      </w:tr>
      <w:tr w:rsidR="00D00AB2" w:rsidRPr="00D00AB2" w14:paraId="163DF96E"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0104B456"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Les mécanismes de contrôle interne intègrent l'audit des données RSE dans leur processus de vérification, garantissant ainsi une transparence accrue et une gouvernance responsable.</w:t>
            </w:r>
          </w:p>
        </w:tc>
        <w:tc>
          <w:tcPr>
            <w:tcW w:w="708" w:type="dxa"/>
            <w:tcBorders>
              <w:top w:val="single" w:sz="4" w:space="0" w:color="000000"/>
              <w:left w:val="single" w:sz="4" w:space="0" w:color="000000"/>
              <w:bottom w:val="single" w:sz="4" w:space="0" w:color="000000"/>
              <w:right w:val="single" w:sz="4" w:space="0" w:color="000000"/>
            </w:tcBorders>
          </w:tcPr>
          <w:p w14:paraId="2C86F866"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0F41A86"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3FAA783C"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9D3670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E2400C3" w14:textId="77777777" w:rsidR="00D00AB2" w:rsidRPr="00D00AB2" w:rsidRDefault="00D00AB2" w:rsidP="001350FD">
            <w:pPr>
              <w:spacing w:after="160"/>
              <w:rPr>
                <w:rFonts w:cstheme="majorBidi"/>
                <w:sz w:val="22"/>
              </w:rPr>
            </w:pPr>
          </w:p>
        </w:tc>
      </w:tr>
      <w:tr w:rsidR="00D00AB2" w:rsidRPr="00D00AB2" w14:paraId="16B59861" w14:textId="77777777" w:rsidTr="001350FD">
        <w:trPr>
          <w:trHeight w:val="796"/>
        </w:trPr>
        <w:tc>
          <w:tcPr>
            <w:tcW w:w="5526" w:type="dxa"/>
            <w:tcBorders>
              <w:top w:val="single" w:sz="4" w:space="0" w:color="000000"/>
              <w:left w:val="single" w:sz="4" w:space="0" w:color="000000"/>
              <w:bottom w:val="single" w:sz="4" w:space="0" w:color="000000"/>
              <w:right w:val="single" w:sz="4" w:space="0" w:color="000000"/>
            </w:tcBorders>
          </w:tcPr>
          <w:p w14:paraId="6296BA77"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La gouvernance saisit les réglementations RSE à venir comme des leviers d'innovation et de création de valeur partagée.</w:t>
            </w:r>
          </w:p>
        </w:tc>
        <w:tc>
          <w:tcPr>
            <w:tcW w:w="708" w:type="dxa"/>
            <w:tcBorders>
              <w:top w:val="single" w:sz="4" w:space="0" w:color="000000"/>
              <w:left w:val="single" w:sz="4" w:space="0" w:color="000000"/>
              <w:bottom w:val="single" w:sz="4" w:space="0" w:color="000000"/>
              <w:right w:val="single" w:sz="4" w:space="0" w:color="000000"/>
            </w:tcBorders>
          </w:tcPr>
          <w:p w14:paraId="4B7C4856"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9EFF4A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58A0D68"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1C30F4C6"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1D2B06EE" w14:textId="77777777" w:rsidR="00D00AB2" w:rsidRPr="00D00AB2" w:rsidRDefault="00D00AB2" w:rsidP="001350FD">
            <w:pPr>
              <w:spacing w:after="160"/>
              <w:rPr>
                <w:rFonts w:cstheme="majorBidi"/>
                <w:sz w:val="22"/>
              </w:rPr>
            </w:pPr>
          </w:p>
        </w:tc>
      </w:tr>
      <w:tr w:rsidR="00D00AB2" w:rsidRPr="00D00AB2" w14:paraId="512DD954" w14:textId="77777777" w:rsidTr="001350FD">
        <w:trPr>
          <w:trHeight w:val="835"/>
        </w:trPr>
        <w:tc>
          <w:tcPr>
            <w:tcW w:w="5526" w:type="dxa"/>
            <w:tcBorders>
              <w:top w:val="single" w:sz="4" w:space="0" w:color="000000"/>
              <w:left w:val="single" w:sz="4" w:space="0" w:color="000000"/>
              <w:bottom w:val="single" w:sz="4" w:space="0" w:color="000000"/>
              <w:right w:val="single" w:sz="4" w:space="0" w:color="000000"/>
            </w:tcBorders>
          </w:tcPr>
          <w:p w14:paraId="4FA37264"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La gouvernance anticipe les réglementations futures comme des opportunités de marché plutôt que comme des contraintes de conformité.</w:t>
            </w:r>
          </w:p>
        </w:tc>
        <w:tc>
          <w:tcPr>
            <w:tcW w:w="708" w:type="dxa"/>
            <w:tcBorders>
              <w:top w:val="single" w:sz="4" w:space="0" w:color="000000"/>
              <w:left w:val="single" w:sz="4" w:space="0" w:color="000000"/>
              <w:bottom w:val="single" w:sz="4" w:space="0" w:color="000000"/>
              <w:right w:val="single" w:sz="4" w:space="0" w:color="000000"/>
            </w:tcBorders>
          </w:tcPr>
          <w:p w14:paraId="4C684629"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575878F2"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7824C4E3"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5A224AA"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28654C53" w14:textId="77777777" w:rsidR="00D00AB2" w:rsidRPr="00D00AB2" w:rsidRDefault="00D00AB2" w:rsidP="001350FD">
            <w:pPr>
              <w:spacing w:after="160"/>
              <w:rPr>
                <w:rFonts w:cstheme="majorBidi"/>
                <w:sz w:val="22"/>
              </w:rPr>
            </w:pPr>
          </w:p>
        </w:tc>
      </w:tr>
      <w:tr w:rsidR="00D00AB2" w:rsidRPr="00D00AB2" w14:paraId="4C54453D" w14:textId="77777777" w:rsidTr="001350FD">
        <w:trPr>
          <w:trHeight w:val="848"/>
        </w:trPr>
        <w:tc>
          <w:tcPr>
            <w:tcW w:w="5526" w:type="dxa"/>
            <w:tcBorders>
              <w:top w:val="single" w:sz="4" w:space="0" w:color="000000"/>
              <w:left w:val="single" w:sz="4" w:space="0" w:color="000000"/>
              <w:bottom w:val="single" w:sz="4" w:space="0" w:color="000000"/>
              <w:right w:val="single" w:sz="4" w:space="0" w:color="000000"/>
            </w:tcBorders>
          </w:tcPr>
          <w:p w14:paraId="66F748CD"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La gouvernance intègre les risques RSE dans son "radar" stratégique, au même niveau que les risques financiers, pour une prise de décision éclairée.</w:t>
            </w:r>
          </w:p>
        </w:tc>
        <w:tc>
          <w:tcPr>
            <w:tcW w:w="708" w:type="dxa"/>
            <w:tcBorders>
              <w:top w:val="single" w:sz="4" w:space="0" w:color="000000"/>
              <w:left w:val="single" w:sz="4" w:space="0" w:color="000000"/>
              <w:bottom w:val="single" w:sz="4" w:space="0" w:color="000000"/>
              <w:right w:val="single" w:sz="4" w:space="0" w:color="000000"/>
            </w:tcBorders>
          </w:tcPr>
          <w:p w14:paraId="37B0BFC8"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12BA374C"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0CE817B5"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3EE23DF7"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87003F3" w14:textId="77777777" w:rsidR="00D00AB2" w:rsidRPr="00D00AB2" w:rsidRDefault="00D00AB2" w:rsidP="001350FD">
            <w:pPr>
              <w:spacing w:after="160"/>
              <w:rPr>
                <w:rFonts w:cstheme="majorBidi"/>
                <w:sz w:val="22"/>
              </w:rPr>
            </w:pPr>
          </w:p>
        </w:tc>
      </w:tr>
      <w:tr w:rsidR="00D00AB2" w:rsidRPr="00D00AB2" w14:paraId="525F155C" w14:textId="77777777" w:rsidTr="001350FD">
        <w:trPr>
          <w:trHeight w:val="653"/>
        </w:trPr>
        <w:tc>
          <w:tcPr>
            <w:tcW w:w="5526" w:type="dxa"/>
            <w:tcBorders>
              <w:top w:val="single" w:sz="4" w:space="0" w:color="000000"/>
              <w:left w:val="single" w:sz="4" w:space="0" w:color="000000"/>
              <w:bottom w:val="single" w:sz="4" w:space="0" w:color="000000"/>
              <w:right w:val="single" w:sz="4" w:space="0" w:color="000000"/>
            </w:tcBorders>
          </w:tcPr>
          <w:p w14:paraId="57F10555"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sz w:val="22"/>
              </w:rPr>
              <w:t>Le coût réel de la pollution est intégré dans le calcul de rentabilité de chaque nouveau projet.</w:t>
            </w:r>
          </w:p>
        </w:tc>
        <w:tc>
          <w:tcPr>
            <w:tcW w:w="708" w:type="dxa"/>
            <w:tcBorders>
              <w:top w:val="single" w:sz="4" w:space="0" w:color="000000"/>
              <w:left w:val="single" w:sz="4" w:space="0" w:color="000000"/>
              <w:bottom w:val="single" w:sz="4" w:space="0" w:color="000000"/>
              <w:right w:val="single" w:sz="4" w:space="0" w:color="000000"/>
            </w:tcBorders>
          </w:tcPr>
          <w:p w14:paraId="5466755B"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79B0F7FA"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15261C72"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721E072B"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050600F3" w14:textId="77777777" w:rsidR="00D00AB2" w:rsidRPr="00D00AB2" w:rsidRDefault="00D00AB2" w:rsidP="001350FD">
            <w:pPr>
              <w:spacing w:after="160"/>
              <w:rPr>
                <w:rFonts w:cstheme="majorBidi"/>
                <w:sz w:val="22"/>
              </w:rPr>
            </w:pPr>
          </w:p>
        </w:tc>
      </w:tr>
      <w:tr w:rsidR="00D00AB2" w:rsidRPr="00D00AB2" w14:paraId="68964597" w14:textId="77777777" w:rsidTr="001350FD">
        <w:trPr>
          <w:trHeight w:val="1022"/>
        </w:trPr>
        <w:tc>
          <w:tcPr>
            <w:tcW w:w="5526" w:type="dxa"/>
            <w:tcBorders>
              <w:top w:val="single" w:sz="4" w:space="0" w:color="000000"/>
              <w:left w:val="single" w:sz="4" w:space="0" w:color="000000"/>
              <w:bottom w:val="single" w:sz="4" w:space="0" w:color="000000"/>
              <w:right w:val="single" w:sz="4" w:space="0" w:color="000000"/>
            </w:tcBorders>
          </w:tcPr>
          <w:p w14:paraId="24C35546" w14:textId="77777777" w:rsidR="00D00AB2" w:rsidRPr="00D00AB2" w:rsidRDefault="00D00AB2" w:rsidP="00F36332">
            <w:pPr>
              <w:numPr>
                <w:ilvl w:val="0"/>
                <w:numId w:val="218"/>
              </w:numPr>
              <w:spacing w:after="160"/>
              <w:contextualSpacing/>
              <w:rPr>
                <w:rFonts w:cstheme="majorBidi"/>
                <w:color w:val="1F1F1F"/>
                <w:sz w:val="22"/>
              </w:rPr>
            </w:pPr>
            <w:r w:rsidRPr="00D00AB2">
              <w:rPr>
                <w:rFonts w:cstheme="majorBidi"/>
                <w:color w:val="1F1F1F"/>
                <w:sz w:val="22"/>
              </w:rPr>
              <w:t>En période de récession économique, les investissements liés à la transition écologique sont protégés par la gouvernance.</w:t>
            </w:r>
          </w:p>
        </w:tc>
        <w:tc>
          <w:tcPr>
            <w:tcW w:w="708" w:type="dxa"/>
            <w:tcBorders>
              <w:top w:val="single" w:sz="4" w:space="0" w:color="000000"/>
              <w:left w:val="single" w:sz="4" w:space="0" w:color="000000"/>
              <w:bottom w:val="single" w:sz="4" w:space="0" w:color="000000"/>
              <w:right w:val="single" w:sz="4" w:space="0" w:color="000000"/>
            </w:tcBorders>
          </w:tcPr>
          <w:p w14:paraId="74AB12A7" w14:textId="77777777" w:rsidR="00D00AB2" w:rsidRPr="00D00AB2" w:rsidRDefault="00D00AB2" w:rsidP="001350FD">
            <w:pPr>
              <w:spacing w:after="160"/>
              <w:rPr>
                <w:rFonts w:cstheme="majorBidi"/>
                <w:sz w:val="22"/>
              </w:rPr>
            </w:pPr>
          </w:p>
        </w:tc>
        <w:tc>
          <w:tcPr>
            <w:tcW w:w="708" w:type="dxa"/>
            <w:tcBorders>
              <w:top w:val="single" w:sz="4" w:space="0" w:color="000000"/>
              <w:left w:val="single" w:sz="4" w:space="0" w:color="000000"/>
              <w:bottom w:val="single" w:sz="4" w:space="0" w:color="000000"/>
              <w:right w:val="single" w:sz="4" w:space="0" w:color="000000"/>
            </w:tcBorders>
          </w:tcPr>
          <w:p w14:paraId="61F781A8" w14:textId="77777777" w:rsidR="00D00AB2" w:rsidRPr="00D00AB2" w:rsidRDefault="00D00AB2" w:rsidP="001350FD">
            <w:pPr>
              <w:spacing w:after="160"/>
              <w:rPr>
                <w:rFonts w:cstheme="majorBidi"/>
                <w:sz w:val="22"/>
              </w:rPr>
            </w:pPr>
          </w:p>
        </w:tc>
        <w:tc>
          <w:tcPr>
            <w:tcW w:w="710" w:type="dxa"/>
            <w:tcBorders>
              <w:top w:val="single" w:sz="4" w:space="0" w:color="000000"/>
              <w:left w:val="single" w:sz="4" w:space="0" w:color="000000"/>
              <w:bottom w:val="single" w:sz="4" w:space="0" w:color="000000"/>
              <w:right w:val="single" w:sz="4" w:space="0" w:color="000000"/>
            </w:tcBorders>
          </w:tcPr>
          <w:p w14:paraId="6F3606EF" w14:textId="77777777" w:rsidR="00D00AB2" w:rsidRPr="00D00AB2" w:rsidRDefault="00D00AB2" w:rsidP="001350FD">
            <w:pPr>
              <w:spacing w:after="160"/>
              <w:rPr>
                <w:rFonts w:cstheme="majorBidi"/>
                <w:sz w:val="22"/>
              </w:rPr>
            </w:pPr>
          </w:p>
        </w:tc>
        <w:tc>
          <w:tcPr>
            <w:tcW w:w="709" w:type="dxa"/>
            <w:tcBorders>
              <w:top w:val="single" w:sz="4" w:space="0" w:color="000000"/>
              <w:left w:val="single" w:sz="4" w:space="0" w:color="000000"/>
              <w:bottom w:val="single" w:sz="4" w:space="0" w:color="000000"/>
              <w:right w:val="single" w:sz="4" w:space="0" w:color="000000"/>
            </w:tcBorders>
          </w:tcPr>
          <w:p w14:paraId="06B4F72A" w14:textId="77777777" w:rsidR="00D00AB2" w:rsidRPr="00D00AB2" w:rsidRDefault="00D00AB2" w:rsidP="001350FD">
            <w:pPr>
              <w:spacing w:after="160"/>
              <w:rPr>
                <w:rFonts w:cstheme="majorBidi"/>
                <w:sz w:val="22"/>
              </w:rPr>
            </w:pPr>
          </w:p>
        </w:tc>
        <w:tc>
          <w:tcPr>
            <w:tcW w:w="718" w:type="dxa"/>
            <w:tcBorders>
              <w:top w:val="single" w:sz="4" w:space="0" w:color="000000"/>
              <w:left w:val="single" w:sz="4" w:space="0" w:color="000000"/>
              <w:bottom w:val="single" w:sz="4" w:space="0" w:color="000000"/>
              <w:right w:val="single" w:sz="4" w:space="0" w:color="000000"/>
            </w:tcBorders>
          </w:tcPr>
          <w:p w14:paraId="677AAEF1" w14:textId="77777777" w:rsidR="00D00AB2" w:rsidRPr="00D00AB2" w:rsidRDefault="00D00AB2" w:rsidP="001350FD">
            <w:pPr>
              <w:spacing w:after="160"/>
              <w:rPr>
                <w:rFonts w:cstheme="majorBidi"/>
                <w:sz w:val="22"/>
              </w:rPr>
            </w:pPr>
          </w:p>
        </w:tc>
      </w:tr>
    </w:tbl>
    <w:p w14:paraId="67F89D3A" w14:textId="77777777" w:rsidR="00D00AB2" w:rsidRDefault="00D00AB2" w:rsidP="001350FD">
      <w:pPr>
        <w:spacing w:before="0" w:beforeAutospacing="0" w:line="240" w:lineRule="auto"/>
        <w:ind w:firstLine="0"/>
        <w:jc w:val="left"/>
        <w:rPr>
          <w:rFonts w:eastAsia="Calibri" w:cstheme="majorBidi"/>
          <w:sz w:val="22"/>
        </w:rPr>
      </w:pPr>
    </w:p>
    <w:p w14:paraId="47B49F13" w14:textId="77777777" w:rsidR="009D45CE" w:rsidRDefault="009D45CE" w:rsidP="00D00AB2">
      <w:pPr>
        <w:spacing w:before="0" w:beforeAutospacing="0" w:line="259" w:lineRule="auto"/>
        <w:ind w:firstLine="0"/>
        <w:jc w:val="left"/>
        <w:rPr>
          <w:rFonts w:eastAsia="Calibri" w:cstheme="majorBidi"/>
          <w:sz w:val="22"/>
        </w:rPr>
      </w:pPr>
    </w:p>
    <w:p w14:paraId="7747700B" w14:textId="77777777" w:rsidR="009D45CE" w:rsidRPr="009D45CE" w:rsidRDefault="009D45CE" w:rsidP="009D45CE">
      <w:pPr>
        <w:spacing w:before="0" w:beforeAutospacing="0" w:line="259" w:lineRule="auto"/>
        <w:ind w:firstLine="0"/>
        <w:jc w:val="right"/>
        <w:rPr>
          <w:rFonts w:eastAsia="Calibri" w:cstheme="majorBidi"/>
          <w:b/>
          <w:bCs/>
          <w:sz w:val="22"/>
        </w:rPr>
      </w:pPr>
      <w:r w:rsidRPr="009D45CE">
        <w:rPr>
          <w:b/>
          <w:bCs/>
        </w:rPr>
        <w:t>Merci pour votre aimable coopération.</w:t>
      </w:r>
    </w:p>
    <w:p w14:paraId="0AA25587" w14:textId="77777777" w:rsidR="009D45CE" w:rsidRDefault="009D45CE" w:rsidP="00D00AB2">
      <w:pPr>
        <w:spacing w:before="0" w:beforeAutospacing="0" w:line="259" w:lineRule="auto"/>
        <w:ind w:firstLine="0"/>
        <w:jc w:val="left"/>
        <w:rPr>
          <w:rFonts w:eastAsia="Calibri" w:cstheme="majorBidi"/>
          <w:sz w:val="22"/>
        </w:rPr>
      </w:pPr>
    </w:p>
    <w:p w14:paraId="10B7D584" w14:textId="77777777" w:rsidR="009D45CE" w:rsidRPr="00D00AB2" w:rsidRDefault="009D45CE" w:rsidP="00D00AB2">
      <w:pPr>
        <w:spacing w:before="0" w:beforeAutospacing="0" w:line="259" w:lineRule="auto"/>
        <w:ind w:firstLine="0"/>
        <w:jc w:val="left"/>
        <w:rPr>
          <w:rFonts w:eastAsia="Calibri" w:cstheme="majorBidi"/>
          <w:sz w:val="22"/>
        </w:rPr>
      </w:pPr>
    </w:p>
    <w:p w14:paraId="7786E8A4" w14:textId="77777777" w:rsidR="00D00AB2" w:rsidRPr="00D00AB2" w:rsidRDefault="00D00AB2" w:rsidP="00D00AB2">
      <w:pPr>
        <w:spacing w:before="0" w:beforeAutospacing="0" w:line="259" w:lineRule="auto"/>
        <w:ind w:firstLine="0"/>
        <w:jc w:val="left"/>
        <w:rPr>
          <w:rFonts w:eastAsia="Calibri" w:cstheme="majorBidi"/>
          <w:b/>
          <w:bCs/>
          <w:sz w:val="22"/>
        </w:rPr>
      </w:pPr>
      <w:r w:rsidRPr="00D00AB2">
        <w:rPr>
          <w:rFonts w:eastAsia="Calibri" w:cstheme="majorBidi"/>
          <w:b/>
          <w:bCs/>
          <w:sz w:val="22"/>
          <w:u w:val="single"/>
        </w:rPr>
        <w:lastRenderedPageBreak/>
        <w:t>Annexe 02 :</w:t>
      </w:r>
      <w:r w:rsidRPr="00D00AB2">
        <w:rPr>
          <w:rFonts w:eastAsia="Calibri" w:cstheme="majorBidi"/>
          <w:b/>
          <w:bCs/>
          <w:sz w:val="22"/>
        </w:rPr>
        <w:t xml:space="preserve"> Résultat SPSS</w:t>
      </w:r>
    </w:p>
    <w:p w14:paraId="0D97C48E" w14:textId="77777777" w:rsidR="00D00AB2" w:rsidRPr="00D00AB2" w:rsidRDefault="00D00AB2" w:rsidP="00D00AB2">
      <w:pPr>
        <w:spacing w:before="0" w:beforeAutospacing="0" w:line="259" w:lineRule="auto"/>
        <w:ind w:firstLine="0"/>
        <w:jc w:val="left"/>
        <w:rPr>
          <w:rFonts w:eastAsia="Calibri" w:cstheme="majorBidi"/>
          <w:b/>
          <w:bCs/>
          <w:sz w:val="22"/>
        </w:rPr>
      </w:pPr>
      <w:r w:rsidRPr="00D00AB2">
        <w:rPr>
          <w:rFonts w:eastAsia="Calibri" w:cstheme="majorBidi"/>
          <w:b/>
          <w:bCs/>
          <w:sz w:val="22"/>
        </w:rPr>
        <w:t>Sexe :</w:t>
      </w:r>
    </w:p>
    <w:p w14:paraId="125C417F"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noProof/>
          <w:sz w:val="22"/>
          <w:lang w:eastAsia="fr-FR"/>
        </w:rPr>
        <w:drawing>
          <wp:inline distT="0" distB="0" distL="0" distR="0" wp14:anchorId="1909CBD7" wp14:editId="27DDC016">
            <wp:extent cx="3181350" cy="1990725"/>
            <wp:effectExtent l="0" t="0" r="0" b="9525"/>
            <wp:docPr id="49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tbl>
      <w:tblPr>
        <w:tblStyle w:val="Grilledutableau3"/>
        <w:tblW w:w="9072" w:type="dxa"/>
        <w:jc w:val="center"/>
        <w:tblLook w:val="04A0" w:firstRow="1" w:lastRow="0" w:firstColumn="1" w:lastColumn="0" w:noHBand="0" w:noVBand="1"/>
      </w:tblPr>
      <w:tblGrid>
        <w:gridCol w:w="2081"/>
        <w:gridCol w:w="3350"/>
        <w:gridCol w:w="3641"/>
      </w:tblGrid>
      <w:tr w:rsidR="00D00AB2" w:rsidRPr="00D00AB2" w14:paraId="7D17FF67" w14:textId="77777777" w:rsidTr="00AB5B0B">
        <w:trPr>
          <w:trHeight w:val="518"/>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8496AAB"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Sexe</w:t>
            </w:r>
          </w:p>
        </w:tc>
        <w:tc>
          <w:tcPr>
            <w:tcW w:w="354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38E118A"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Effectifs</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C43B8DE"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Pourcentage</w:t>
            </w:r>
          </w:p>
        </w:tc>
      </w:tr>
      <w:tr w:rsidR="00D00AB2" w:rsidRPr="00D00AB2" w14:paraId="34D3FCF5" w14:textId="77777777" w:rsidTr="00AB5B0B">
        <w:trPr>
          <w:trHeight w:val="261"/>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CADFBD8"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Homme</w:t>
            </w:r>
          </w:p>
        </w:tc>
        <w:tc>
          <w:tcPr>
            <w:tcW w:w="3544" w:type="dxa"/>
            <w:tcBorders>
              <w:top w:val="single" w:sz="4" w:space="0" w:color="auto"/>
              <w:left w:val="single" w:sz="4" w:space="0" w:color="auto"/>
              <w:bottom w:val="single" w:sz="4" w:space="0" w:color="auto"/>
              <w:right w:val="single" w:sz="4" w:space="0" w:color="auto"/>
            </w:tcBorders>
            <w:hideMark/>
          </w:tcPr>
          <w:p w14:paraId="59A356D3"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207</w:t>
            </w:r>
          </w:p>
        </w:tc>
        <w:tc>
          <w:tcPr>
            <w:tcW w:w="3827" w:type="dxa"/>
            <w:tcBorders>
              <w:top w:val="single" w:sz="4" w:space="0" w:color="auto"/>
              <w:left w:val="single" w:sz="4" w:space="0" w:color="auto"/>
              <w:bottom w:val="single" w:sz="4" w:space="0" w:color="auto"/>
              <w:right w:val="single" w:sz="4" w:space="0" w:color="auto"/>
            </w:tcBorders>
            <w:hideMark/>
          </w:tcPr>
          <w:p w14:paraId="6A46AFD2"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69,0 %</w:t>
            </w:r>
          </w:p>
        </w:tc>
      </w:tr>
      <w:tr w:rsidR="00D00AB2" w:rsidRPr="00D00AB2" w14:paraId="0AEE2CFC" w14:textId="77777777" w:rsidTr="00AB5B0B">
        <w:trPr>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39C0B89"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Femme</w:t>
            </w:r>
          </w:p>
        </w:tc>
        <w:tc>
          <w:tcPr>
            <w:tcW w:w="3544" w:type="dxa"/>
            <w:tcBorders>
              <w:top w:val="single" w:sz="4" w:space="0" w:color="auto"/>
              <w:left w:val="single" w:sz="4" w:space="0" w:color="auto"/>
              <w:bottom w:val="single" w:sz="4" w:space="0" w:color="auto"/>
              <w:right w:val="single" w:sz="4" w:space="0" w:color="auto"/>
            </w:tcBorders>
            <w:hideMark/>
          </w:tcPr>
          <w:p w14:paraId="54735A04"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93</w:t>
            </w:r>
          </w:p>
        </w:tc>
        <w:tc>
          <w:tcPr>
            <w:tcW w:w="3827" w:type="dxa"/>
            <w:tcBorders>
              <w:top w:val="single" w:sz="4" w:space="0" w:color="auto"/>
              <w:left w:val="single" w:sz="4" w:space="0" w:color="auto"/>
              <w:bottom w:val="single" w:sz="4" w:space="0" w:color="auto"/>
              <w:right w:val="single" w:sz="4" w:space="0" w:color="auto"/>
            </w:tcBorders>
            <w:hideMark/>
          </w:tcPr>
          <w:p w14:paraId="68511DB9"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31,0 %</w:t>
            </w:r>
          </w:p>
        </w:tc>
      </w:tr>
      <w:tr w:rsidR="00D00AB2" w:rsidRPr="00D00AB2" w14:paraId="5B8309C2" w14:textId="77777777" w:rsidTr="00AB5B0B">
        <w:trPr>
          <w:jc w:val="center"/>
        </w:trPr>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406CCD" w14:textId="77777777" w:rsidR="00D00AB2" w:rsidRPr="00D00AB2" w:rsidRDefault="00D00AB2" w:rsidP="00D00AB2">
            <w:pPr>
              <w:spacing w:line="360" w:lineRule="auto"/>
              <w:jc w:val="center"/>
              <w:rPr>
                <w:rFonts w:eastAsia="Calibri" w:cstheme="majorBidi"/>
                <w:b/>
                <w:bCs/>
                <w:color w:val="000000"/>
                <w:sz w:val="22"/>
              </w:rPr>
            </w:pPr>
            <w:r w:rsidRPr="00D00AB2">
              <w:rPr>
                <w:rFonts w:eastAsia="Calibri" w:cstheme="majorBidi"/>
                <w:b/>
                <w:bCs/>
                <w:color w:val="000000"/>
                <w:sz w:val="22"/>
              </w:rPr>
              <w:t>Total</w:t>
            </w:r>
          </w:p>
        </w:tc>
        <w:tc>
          <w:tcPr>
            <w:tcW w:w="3544" w:type="dxa"/>
            <w:tcBorders>
              <w:top w:val="single" w:sz="4" w:space="0" w:color="auto"/>
              <w:left w:val="single" w:sz="4" w:space="0" w:color="auto"/>
              <w:bottom w:val="single" w:sz="4" w:space="0" w:color="auto"/>
              <w:right w:val="single" w:sz="4" w:space="0" w:color="auto"/>
            </w:tcBorders>
            <w:hideMark/>
          </w:tcPr>
          <w:p w14:paraId="389AE996"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300</w:t>
            </w:r>
          </w:p>
        </w:tc>
        <w:tc>
          <w:tcPr>
            <w:tcW w:w="3827" w:type="dxa"/>
            <w:tcBorders>
              <w:top w:val="single" w:sz="4" w:space="0" w:color="auto"/>
              <w:left w:val="single" w:sz="4" w:space="0" w:color="auto"/>
              <w:bottom w:val="single" w:sz="4" w:space="0" w:color="auto"/>
              <w:right w:val="single" w:sz="4" w:space="0" w:color="auto"/>
            </w:tcBorders>
            <w:hideMark/>
          </w:tcPr>
          <w:p w14:paraId="29FFF5BC" w14:textId="77777777" w:rsidR="00D00AB2" w:rsidRPr="00D00AB2" w:rsidRDefault="00D00AB2" w:rsidP="00D00AB2">
            <w:pPr>
              <w:spacing w:line="360" w:lineRule="auto"/>
              <w:jc w:val="center"/>
              <w:rPr>
                <w:rFonts w:eastAsia="Calibri" w:cstheme="majorBidi"/>
                <w:color w:val="000000"/>
                <w:sz w:val="22"/>
              </w:rPr>
            </w:pPr>
            <w:r w:rsidRPr="00D00AB2">
              <w:rPr>
                <w:rFonts w:eastAsia="Calibri" w:cstheme="majorBidi"/>
                <w:color w:val="000000"/>
                <w:sz w:val="22"/>
              </w:rPr>
              <w:t>100,0 %</w:t>
            </w:r>
          </w:p>
        </w:tc>
      </w:tr>
    </w:tbl>
    <w:p w14:paraId="4D1A36DC" w14:textId="77777777" w:rsidR="00D00AB2" w:rsidRPr="00D00AB2" w:rsidRDefault="00D00AB2" w:rsidP="00D00AB2">
      <w:pPr>
        <w:spacing w:before="0" w:beforeAutospacing="0" w:line="259" w:lineRule="auto"/>
        <w:ind w:firstLine="0"/>
        <w:jc w:val="left"/>
        <w:rPr>
          <w:rFonts w:eastAsia="Calibri" w:cstheme="majorBidi"/>
          <w:sz w:val="22"/>
        </w:rPr>
      </w:pPr>
    </w:p>
    <w:p w14:paraId="01B77888" w14:textId="77777777" w:rsidR="00D00AB2" w:rsidRPr="00D00AB2" w:rsidRDefault="00D00AB2" w:rsidP="00D00AB2">
      <w:pPr>
        <w:spacing w:before="0" w:beforeAutospacing="0" w:line="259" w:lineRule="auto"/>
        <w:ind w:firstLine="0"/>
        <w:jc w:val="left"/>
        <w:rPr>
          <w:rFonts w:eastAsia="Calibri" w:cstheme="majorBidi"/>
          <w:noProof/>
          <w:color w:val="000000"/>
          <w:sz w:val="22"/>
          <w:lang w:eastAsia="fr-FR"/>
        </w:rPr>
      </w:pPr>
      <w:r w:rsidRPr="00D00AB2">
        <w:rPr>
          <w:rFonts w:eastAsia="Calibri" w:cstheme="majorBidi"/>
          <w:b/>
          <w:bCs/>
          <w:sz w:val="22"/>
        </w:rPr>
        <w:t>Âge</w:t>
      </w:r>
      <w:r w:rsidRPr="00D00AB2">
        <w:rPr>
          <w:rFonts w:eastAsia="Calibri" w:cstheme="majorBidi"/>
          <w:noProof/>
          <w:color w:val="000000"/>
          <w:sz w:val="22"/>
          <w:lang w:eastAsia="fr-FR"/>
        </w:rPr>
        <w:t xml:space="preserve"> </w:t>
      </w:r>
    </w:p>
    <w:p w14:paraId="7697AE61" w14:textId="77777777" w:rsidR="00D00AB2" w:rsidRPr="00D00AB2" w:rsidRDefault="00D00AB2" w:rsidP="00D00AB2">
      <w:pPr>
        <w:spacing w:before="0" w:beforeAutospacing="0" w:line="259" w:lineRule="auto"/>
        <w:ind w:firstLine="0"/>
        <w:jc w:val="center"/>
        <w:rPr>
          <w:rFonts w:eastAsia="Calibri" w:cstheme="majorBidi"/>
          <w:b/>
          <w:bCs/>
          <w:sz w:val="22"/>
        </w:rPr>
      </w:pPr>
      <w:r w:rsidRPr="00D00AB2">
        <w:rPr>
          <w:rFonts w:eastAsia="Calibri" w:cstheme="majorBidi"/>
          <w:noProof/>
          <w:color w:val="000000"/>
          <w:sz w:val="22"/>
          <w:lang w:eastAsia="fr-FR"/>
        </w:rPr>
        <w:drawing>
          <wp:inline distT="0" distB="0" distL="0" distR="0" wp14:anchorId="011EE2B0" wp14:editId="18EB337C">
            <wp:extent cx="3402635" cy="1858060"/>
            <wp:effectExtent l="0" t="0" r="0" b="0"/>
            <wp:docPr id="496"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tbl>
      <w:tblPr>
        <w:tblStyle w:val="Grilledutableau3"/>
        <w:tblW w:w="0" w:type="auto"/>
        <w:jc w:val="center"/>
        <w:tblLook w:val="04A0" w:firstRow="1" w:lastRow="0" w:firstColumn="1" w:lastColumn="0" w:noHBand="0" w:noVBand="1"/>
      </w:tblPr>
      <w:tblGrid>
        <w:gridCol w:w="3116"/>
        <w:gridCol w:w="2837"/>
        <w:gridCol w:w="2853"/>
      </w:tblGrid>
      <w:tr w:rsidR="00D00AB2" w:rsidRPr="00D00AB2" w14:paraId="673F9AE8" w14:textId="77777777" w:rsidTr="00AB5B0B">
        <w:trPr>
          <w:trHeight w:val="256"/>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409A931"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Âge</w:t>
            </w:r>
          </w:p>
        </w:tc>
        <w:tc>
          <w:tcPr>
            <w:tcW w:w="283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1AC8135"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Effectifs</w:t>
            </w:r>
          </w:p>
        </w:tc>
        <w:tc>
          <w:tcPr>
            <w:tcW w:w="285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E5C83E"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Pourcentage</w:t>
            </w:r>
          </w:p>
        </w:tc>
      </w:tr>
      <w:tr w:rsidR="00D00AB2" w:rsidRPr="00D00AB2" w14:paraId="30894E99" w14:textId="77777777" w:rsidTr="00AB5B0B">
        <w:trPr>
          <w:trHeight w:val="256"/>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26B2D1"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Moins de 30 ans</w:t>
            </w:r>
          </w:p>
        </w:tc>
        <w:tc>
          <w:tcPr>
            <w:tcW w:w="2837" w:type="dxa"/>
            <w:tcBorders>
              <w:top w:val="single" w:sz="4" w:space="0" w:color="auto"/>
              <w:left w:val="single" w:sz="4" w:space="0" w:color="auto"/>
              <w:bottom w:val="single" w:sz="4" w:space="0" w:color="auto"/>
              <w:right w:val="single" w:sz="4" w:space="0" w:color="auto"/>
            </w:tcBorders>
            <w:hideMark/>
          </w:tcPr>
          <w:p w14:paraId="7DA6C20E"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28</w:t>
            </w:r>
          </w:p>
        </w:tc>
        <w:tc>
          <w:tcPr>
            <w:tcW w:w="2853" w:type="dxa"/>
            <w:tcBorders>
              <w:top w:val="single" w:sz="4" w:space="0" w:color="auto"/>
              <w:left w:val="single" w:sz="4" w:space="0" w:color="auto"/>
              <w:bottom w:val="single" w:sz="4" w:space="0" w:color="auto"/>
              <w:right w:val="single" w:sz="4" w:space="0" w:color="auto"/>
            </w:tcBorders>
            <w:hideMark/>
          </w:tcPr>
          <w:p w14:paraId="016F93E4"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9,3 %</w:t>
            </w:r>
          </w:p>
        </w:tc>
      </w:tr>
      <w:tr w:rsidR="00D00AB2" w:rsidRPr="00D00AB2" w14:paraId="71291562" w14:textId="77777777" w:rsidTr="00AB5B0B">
        <w:trPr>
          <w:trHeight w:val="256"/>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9902FA"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De 30 à 45 ans</w:t>
            </w:r>
          </w:p>
        </w:tc>
        <w:tc>
          <w:tcPr>
            <w:tcW w:w="2837" w:type="dxa"/>
            <w:tcBorders>
              <w:top w:val="single" w:sz="4" w:space="0" w:color="auto"/>
              <w:left w:val="single" w:sz="4" w:space="0" w:color="auto"/>
              <w:bottom w:val="single" w:sz="4" w:space="0" w:color="auto"/>
              <w:right w:val="single" w:sz="4" w:space="0" w:color="auto"/>
            </w:tcBorders>
            <w:hideMark/>
          </w:tcPr>
          <w:p w14:paraId="6F13E30F"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166</w:t>
            </w:r>
          </w:p>
        </w:tc>
        <w:tc>
          <w:tcPr>
            <w:tcW w:w="2853" w:type="dxa"/>
            <w:tcBorders>
              <w:top w:val="single" w:sz="4" w:space="0" w:color="auto"/>
              <w:left w:val="single" w:sz="4" w:space="0" w:color="auto"/>
              <w:bottom w:val="single" w:sz="4" w:space="0" w:color="auto"/>
              <w:right w:val="single" w:sz="4" w:space="0" w:color="auto"/>
            </w:tcBorders>
            <w:hideMark/>
          </w:tcPr>
          <w:p w14:paraId="68FA9B6A"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55,3 %</w:t>
            </w:r>
          </w:p>
        </w:tc>
      </w:tr>
      <w:tr w:rsidR="00D00AB2" w:rsidRPr="00D00AB2" w14:paraId="6E381CCD" w14:textId="77777777" w:rsidTr="00AB5B0B">
        <w:trPr>
          <w:trHeight w:val="246"/>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02655AC"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De 45 à 55 ans</w:t>
            </w:r>
          </w:p>
        </w:tc>
        <w:tc>
          <w:tcPr>
            <w:tcW w:w="2837" w:type="dxa"/>
            <w:tcBorders>
              <w:top w:val="single" w:sz="4" w:space="0" w:color="auto"/>
              <w:left w:val="single" w:sz="4" w:space="0" w:color="auto"/>
              <w:bottom w:val="single" w:sz="4" w:space="0" w:color="auto"/>
              <w:right w:val="single" w:sz="4" w:space="0" w:color="auto"/>
            </w:tcBorders>
            <w:hideMark/>
          </w:tcPr>
          <w:p w14:paraId="69B19819"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94</w:t>
            </w:r>
          </w:p>
        </w:tc>
        <w:tc>
          <w:tcPr>
            <w:tcW w:w="2853" w:type="dxa"/>
            <w:tcBorders>
              <w:top w:val="single" w:sz="4" w:space="0" w:color="auto"/>
              <w:left w:val="single" w:sz="4" w:space="0" w:color="auto"/>
              <w:bottom w:val="single" w:sz="4" w:space="0" w:color="auto"/>
              <w:right w:val="single" w:sz="4" w:space="0" w:color="auto"/>
            </w:tcBorders>
            <w:hideMark/>
          </w:tcPr>
          <w:p w14:paraId="5D24F782"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31,3 %</w:t>
            </w:r>
          </w:p>
        </w:tc>
      </w:tr>
      <w:tr w:rsidR="00D00AB2" w:rsidRPr="00D00AB2" w14:paraId="3402282D" w14:textId="77777777" w:rsidTr="00AB5B0B">
        <w:trPr>
          <w:trHeight w:val="256"/>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9B5D7DC"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Plus de 55 ans</w:t>
            </w:r>
          </w:p>
        </w:tc>
        <w:tc>
          <w:tcPr>
            <w:tcW w:w="2837" w:type="dxa"/>
            <w:tcBorders>
              <w:top w:val="single" w:sz="4" w:space="0" w:color="auto"/>
              <w:left w:val="single" w:sz="4" w:space="0" w:color="auto"/>
              <w:bottom w:val="single" w:sz="4" w:space="0" w:color="auto"/>
              <w:right w:val="single" w:sz="4" w:space="0" w:color="auto"/>
            </w:tcBorders>
            <w:hideMark/>
          </w:tcPr>
          <w:p w14:paraId="502708A2"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12</w:t>
            </w:r>
          </w:p>
        </w:tc>
        <w:tc>
          <w:tcPr>
            <w:tcW w:w="2853" w:type="dxa"/>
            <w:tcBorders>
              <w:top w:val="single" w:sz="4" w:space="0" w:color="auto"/>
              <w:left w:val="single" w:sz="4" w:space="0" w:color="auto"/>
              <w:bottom w:val="single" w:sz="4" w:space="0" w:color="auto"/>
              <w:right w:val="single" w:sz="4" w:space="0" w:color="auto"/>
            </w:tcBorders>
            <w:hideMark/>
          </w:tcPr>
          <w:p w14:paraId="0483167B"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4,0 %</w:t>
            </w:r>
          </w:p>
        </w:tc>
      </w:tr>
      <w:tr w:rsidR="00D00AB2" w:rsidRPr="00D00AB2" w14:paraId="27DB13A8" w14:textId="77777777" w:rsidTr="00AB5B0B">
        <w:trPr>
          <w:trHeight w:val="159"/>
          <w:jc w:val="center"/>
        </w:trPr>
        <w:tc>
          <w:tcPr>
            <w:tcW w:w="311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CC28BA" w14:textId="77777777" w:rsidR="00D00AB2" w:rsidRPr="00D00AB2" w:rsidRDefault="00D00AB2" w:rsidP="00D00AB2">
            <w:pPr>
              <w:spacing w:line="259" w:lineRule="auto"/>
              <w:jc w:val="center"/>
              <w:rPr>
                <w:rFonts w:eastAsia="Calibri" w:cstheme="majorBidi"/>
                <w:b/>
                <w:bCs/>
                <w:sz w:val="22"/>
              </w:rPr>
            </w:pPr>
            <w:r w:rsidRPr="00D00AB2">
              <w:rPr>
                <w:rFonts w:eastAsia="Calibri" w:cstheme="majorBidi"/>
                <w:b/>
                <w:bCs/>
                <w:sz w:val="22"/>
              </w:rPr>
              <w:t>Total</w:t>
            </w:r>
          </w:p>
        </w:tc>
        <w:tc>
          <w:tcPr>
            <w:tcW w:w="2837" w:type="dxa"/>
            <w:tcBorders>
              <w:top w:val="single" w:sz="4" w:space="0" w:color="auto"/>
              <w:left w:val="single" w:sz="4" w:space="0" w:color="auto"/>
              <w:bottom w:val="single" w:sz="4" w:space="0" w:color="auto"/>
              <w:right w:val="single" w:sz="4" w:space="0" w:color="auto"/>
            </w:tcBorders>
            <w:hideMark/>
          </w:tcPr>
          <w:p w14:paraId="2043545E"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300</w:t>
            </w:r>
          </w:p>
        </w:tc>
        <w:tc>
          <w:tcPr>
            <w:tcW w:w="2853" w:type="dxa"/>
            <w:tcBorders>
              <w:top w:val="single" w:sz="4" w:space="0" w:color="auto"/>
              <w:left w:val="single" w:sz="4" w:space="0" w:color="auto"/>
              <w:bottom w:val="single" w:sz="4" w:space="0" w:color="auto"/>
              <w:right w:val="single" w:sz="4" w:space="0" w:color="auto"/>
            </w:tcBorders>
            <w:hideMark/>
          </w:tcPr>
          <w:p w14:paraId="52086A19" w14:textId="77777777" w:rsidR="00D00AB2" w:rsidRPr="00D00AB2" w:rsidRDefault="00D00AB2" w:rsidP="00D00AB2">
            <w:pPr>
              <w:spacing w:line="259" w:lineRule="auto"/>
              <w:jc w:val="center"/>
              <w:rPr>
                <w:rFonts w:eastAsia="Calibri" w:cstheme="majorBidi"/>
                <w:sz w:val="22"/>
              </w:rPr>
            </w:pPr>
            <w:r w:rsidRPr="00D00AB2">
              <w:rPr>
                <w:rFonts w:eastAsia="Calibri" w:cstheme="majorBidi"/>
                <w:sz w:val="22"/>
              </w:rPr>
              <w:t>100,0 %</w:t>
            </w:r>
          </w:p>
        </w:tc>
      </w:tr>
    </w:tbl>
    <w:p w14:paraId="1A8DCDF4" w14:textId="77777777" w:rsidR="00D00AB2" w:rsidRPr="00D00AB2" w:rsidRDefault="00D00AB2" w:rsidP="00D00AB2">
      <w:pPr>
        <w:spacing w:before="0" w:beforeAutospacing="0" w:line="259" w:lineRule="auto"/>
        <w:ind w:firstLine="0"/>
        <w:jc w:val="left"/>
        <w:rPr>
          <w:rFonts w:eastAsia="Calibri" w:cstheme="majorBidi"/>
          <w:b/>
          <w:bCs/>
          <w:sz w:val="22"/>
        </w:rPr>
      </w:pPr>
    </w:p>
    <w:p w14:paraId="4D22CCC7" w14:textId="77777777" w:rsidR="00D00AB2" w:rsidRPr="00D00AB2" w:rsidRDefault="00D00AB2" w:rsidP="00D00AB2">
      <w:pPr>
        <w:spacing w:before="0" w:beforeAutospacing="0" w:line="259" w:lineRule="auto"/>
        <w:ind w:firstLine="0"/>
        <w:jc w:val="left"/>
        <w:rPr>
          <w:rFonts w:eastAsia="Calibri" w:cstheme="majorBidi"/>
          <w:b/>
          <w:bCs/>
          <w:sz w:val="22"/>
        </w:rPr>
      </w:pPr>
      <w:r w:rsidRPr="00D00AB2">
        <w:rPr>
          <w:rFonts w:eastAsia="Calibri" w:cstheme="majorBidi"/>
          <w:b/>
          <w:bCs/>
          <w:sz w:val="22"/>
        </w:rPr>
        <w:t>Niveau d’étude :</w:t>
      </w:r>
    </w:p>
    <w:p w14:paraId="4B16BE8A" w14:textId="77777777" w:rsidR="00D00AB2" w:rsidRPr="00D00AB2" w:rsidRDefault="00D00AB2" w:rsidP="00D00AB2">
      <w:pPr>
        <w:spacing w:before="0" w:beforeAutospacing="0" w:line="259" w:lineRule="auto"/>
        <w:ind w:firstLine="0"/>
        <w:jc w:val="center"/>
        <w:rPr>
          <w:rFonts w:eastAsia="Calibri" w:cstheme="majorBidi"/>
          <w:sz w:val="22"/>
        </w:rPr>
      </w:pPr>
      <w:r w:rsidRPr="00D00AB2">
        <w:rPr>
          <w:rFonts w:eastAsia="Calibri" w:cstheme="majorBidi"/>
          <w:noProof/>
          <w:color w:val="000000"/>
          <w:sz w:val="22"/>
          <w:lang w:eastAsia="fr-FR"/>
        </w:rPr>
        <w:lastRenderedPageBreak/>
        <w:drawing>
          <wp:inline distT="0" distB="0" distL="0" distR="0" wp14:anchorId="1222E2B5" wp14:editId="5F6003BE">
            <wp:extent cx="4074465" cy="2311603"/>
            <wp:effectExtent l="0" t="0" r="0" b="0"/>
            <wp:docPr id="497"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tbl>
      <w:tblPr>
        <w:tblStyle w:val="Grilledutableau3"/>
        <w:tblW w:w="9072" w:type="dxa"/>
        <w:jc w:val="center"/>
        <w:tblLook w:val="04A0" w:firstRow="1" w:lastRow="0" w:firstColumn="1" w:lastColumn="0" w:noHBand="0" w:noVBand="1"/>
      </w:tblPr>
      <w:tblGrid>
        <w:gridCol w:w="3212"/>
        <w:gridCol w:w="2914"/>
        <w:gridCol w:w="2946"/>
      </w:tblGrid>
      <w:tr w:rsidR="00D00AB2" w:rsidRPr="00D00AB2" w14:paraId="0D47B13A"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98A294"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Niveau d'étude</w:t>
            </w:r>
          </w:p>
        </w:tc>
        <w:tc>
          <w:tcPr>
            <w:tcW w:w="29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4A1D790"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Effectifs</w:t>
            </w:r>
          </w:p>
        </w:tc>
        <w:tc>
          <w:tcPr>
            <w:tcW w:w="300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D79A4E"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Pourcentage</w:t>
            </w:r>
          </w:p>
        </w:tc>
      </w:tr>
      <w:tr w:rsidR="00D00AB2" w:rsidRPr="00D00AB2" w14:paraId="66E6BBE3"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66C089"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Licence</w:t>
            </w:r>
          </w:p>
        </w:tc>
        <w:tc>
          <w:tcPr>
            <w:tcW w:w="2988" w:type="dxa"/>
            <w:tcBorders>
              <w:top w:val="single" w:sz="4" w:space="0" w:color="auto"/>
              <w:left w:val="single" w:sz="4" w:space="0" w:color="auto"/>
              <w:bottom w:val="single" w:sz="4" w:space="0" w:color="auto"/>
              <w:right w:val="single" w:sz="4" w:space="0" w:color="auto"/>
            </w:tcBorders>
            <w:hideMark/>
          </w:tcPr>
          <w:p w14:paraId="0AF4FFAB"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57</w:t>
            </w:r>
          </w:p>
        </w:tc>
        <w:tc>
          <w:tcPr>
            <w:tcW w:w="3006" w:type="dxa"/>
            <w:tcBorders>
              <w:top w:val="single" w:sz="4" w:space="0" w:color="auto"/>
              <w:left w:val="single" w:sz="4" w:space="0" w:color="auto"/>
              <w:bottom w:val="single" w:sz="4" w:space="0" w:color="auto"/>
              <w:right w:val="single" w:sz="4" w:space="0" w:color="auto"/>
            </w:tcBorders>
            <w:hideMark/>
          </w:tcPr>
          <w:p w14:paraId="740109ED"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19,0 %</w:t>
            </w:r>
          </w:p>
        </w:tc>
      </w:tr>
      <w:tr w:rsidR="00D00AB2" w:rsidRPr="00D00AB2" w14:paraId="63660A82"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C2D7CB"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Master</w:t>
            </w:r>
          </w:p>
        </w:tc>
        <w:tc>
          <w:tcPr>
            <w:tcW w:w="2988" w:type="dxa"/>
            <w:tcBorders>
              <w:top w:val="single" w:sz="4" w:space="0" w:color="auto"/>
              <w:left w:val="single" w:sz="4" w:space="0" w:color="auto"/>
              <w:bottom w:val="single" w:sz="4" w:space="0" w:color="auto"/>
              <w:right w:val="single" w:sz="4" w:space="0" w:color="auto"/>
            </w:tcBorders>
            <w:hideMark/>
          </w:tcPr>
          <w:p w14:paraId="19DD68E8"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148</w:t>
            </w:r>
          </w:p>
        </w:tc>
        <w:tc>
          <w:tcPr>
            <w:tcW w:w="3006" w:type="dxa"/>
            <w:tcBorders>
              <w:top w:val="single" w:sz="4" w:space="0" w:color="auto"/>
              <w:left w:val="single" w:sz="4" w:space="0" w:color="auto"/>
              <w:bottom w:val="single" w:sz="4" w:space="0" w:color="auto"/>
              <w:right w:val="single" w:sz="4" w:space="0" w:color="auto"/>
            </w:tcBorders>
            <w:hideMark/>
          </w:tcPr>
          <w:p w14:paraId="5E0E3DCF"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49,3 %</w:t>
            </w:r>
          </w:p>
        </w:tc>
      </w:tr>
      <w:tr w:rsidR="00D00AB2" w:rsidRPr="00D00AB2" w14:paraId="24D8A80A"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AE1509"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Magister</w:t>
            </w:r>
          </w:p>
        </w:tc>
        <w:tc>
          <w:tcPr>
            <w:tcW w:w="2988" w:type="dxa"/>
            <w:tcBorders>
              <w:top w:val="single" w:sz="4" w:space="0" w:color="auto"/>
              <w:left w:val="single" w:sz="4" w:space="0" w:color="auto"/>
              <w:bottom w:val="single" w:sz="4" w:space="0" w:color="auto"/>
              <w:right w:val="single" w:sz="4" w:space="0" w:color="auto"/>
            </w:tcBorders>
            <w:hideMark/>
          </w:tcPr>
          <w:p w14:paraId="1D69E51F"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61</w:t>
            </w:r>
          </w:p>
        </w:tc>
        <w:tc>
          <w:tcPr>
            <w:tcW w:w="3006" w:type="dxa"/>
            <w:tcBorders>
              <w:top w:val="single" w:sz="4" w:space="0" w:color="auto"/>
              <w:left w:val="single" w:sz="4" w:space="0" w:color="auto"/>
              <w:bottom w:val="single" w:sz="4" w:space="0" w:color="auto"/>
              <w:right w:val="single" w:sz="4" w:space="0" w:color="auto"/>
            </w:tcBorders>
            <w:hideMark/>
          </w:tcPr>
          <w:p w14:paraId="02878A7E"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20,3 %</w:t>
            </w:r>
          </w:p>
        </w:tc>
      </w:tr>
      <w:tr w:rsidR="00D00AB2" w:rsidRPr="00D00AB2" w14:paraId="6BE2DE79"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B35E2E"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Doctorat</w:t>
            </w:r>
          </w:p>
        </w:tc>
        <w:tc>
          <w:tcPr>
            <w:tcW w:w="2988" w:type="dxa"/>
            <w:tcBorders>
              <w:top w:val="single" w:sz="4" w:space="0" w:color="auto"/>
              <w:left w:val="single" w:sz="4" w:space="0" w:color="auto"/>
              <w:bottom w:val="single" w:sz="4" w:space="0" w:color="auto"/>
              <w:right w:val="single" w:sz="4" w:space="0" w:color="auto"/>
            </w:tcBorders>
            <w:hideMark/>
          </w:tcPr>
          <w:p w14:paraId="4A30CD52"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34</w:t>
            </w:r>
          </w:p>
        </w:tc>
        <w:tc>
          <w:tcPr>
            <w:tcW w:w="3006" w:type="dxa"/>
            <w:tcBorders>
              <w:top w:val="single" w:sz="4" w:space="0" w:color="auto"/>
              <w:left w:val="single" w:sz="4" w:space="0" w:color="auto"/>
              <w:bottom w:val="single" w:sz="4" w:space="0" w:color="auto"/>
              <w:right w:val="single" w:sz="4" w:space="0" w:color="auto"/>
            </w:tcBorders>
            <w:hideMark/>
          </w:tcPr>
          <w:p w14:paraId="4D41AEFC"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11,3 %</w:t>
            </w:r>
          </w:p>
        </w:tc>
      </w:tr>
      <w:tr w:rsidR="00D00AB2" w:rsidRPr="00D00AB2" w14:paraId="0EFBEDCA" w14:textId="77777777" w:rsidTr="00AB5B0B">
        <w:trPr>
          <w:jc w:val="center"/>
        </w:trPr>
        <w:tc>
          <w:tcPr>
            <w:tcW w:w="32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97DBB7E" w14:textId="77777777" w:rsidR="00D00AB2" w:rsidRPr="00D00AB2" w:rsidRDefault="00D00AB2" w:rsidP="00AB5B0B">
            <w:pPr>
              <w:spacing w:after="160" w:line="259" w:lineRule="auto"/>
              <w:jc w:val="center"/>
              <w:rPr>
                <w:rFonts w:eastAsia="Calibri" w:cstheme="majorBidi"/>
                <w:b/>
                <w:bCs/>
                <w:sz w:val="22"/>
              </w:rPr>
            </w:pPr>
            <w:r w:rsidRPr="00D00AB2">
              <w:rPr>
                <w:rFonts w:eastAsia="Calibri" w:cstheme="majorBidi"/>
                <w:b/>
                <w:bCs/>
                <w:sz w:val="22"/>
              </w:rPr>
              <w:t>Total</w:t>
            </w:r>
          </w:p>
        </w:tc>
        <w:tc>
          <w:tcPr>
            <w:tcW w:w="2988" w:type="dxa"/>
            <w:tcBorders>
              <w:top w:val="single" w:sz="4" w:space="0" w:color="auto"/>
              <w:left w:val="single" w:sz="4" w:space="0" w:color="auto"/>
              <w:bottom w:val="single" w:sz="4" w:space="0" w:color="auto"/>
              <w:right w:val="single" w:sz="4" w:space="0" w:color="auto"/>
            </w:tcBorders>
            <w:hideMark/>
          </w:tcPr>
          <w:p w14:paraId="678ED492"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300</w:t>
            </w:r>
          </w:p>
        </w:tc>
        <w:tc>
          <w:tcPr>
            <w:tcW w:w="3006" w:type="dxa"/>
            <w:tcBorders>
              <w:top w:val="single" w:sz="4" w:space="0" w:color="auto"/>
              <w:left w:val="single" w:sz="4" w:space="0" w:color="auto"/>
              <w:bottom w:val="single" w:sz="4" w:space="0" w:color="auto"/>
              <w:right w:val="single" w:sz="4" w:space="0" w:color="auto"/>
            </w:tcBorders>
            <w:hideMark/>
          </w:tcPr>
          <w:p w14:paraId="6D7DD25B" w14:textId="77777777" w:rsidR="00D00AB2" w:rsidRPr="00D00AB2" w:rsidRDefault="00D00AB2" w:rsidP="00AB5B0B">
            <w:pPr>
              <w:spacing w:after="160" w:line="259" w:lineRule="auto"/>
              <w:jc w:val="center"/>
              <w:rPr>
                <w:rFonts w:eastAsia="Calibri" w:cstheme="majorBidi"/>
                <w:sz w:val="22"/>
              </w:rPr>
            </w:pPr>
            <w:r w:rsidRPr="00D00AB2">
              <w:rPr>
                <w:rFonts w:eastAsia="Calibri" w:cstheme="majorBidi"/>
                <w:sz w:val="22"/>
              </w:rPr>
              <w:t>100,0 %</w:t>
            </w:r>
          </w:p>
        </w:tc>
      </w:tr>
    </w:tbl>
    <w:p w14:paraId="71DE1441" w14:textId="77777777" w:rsidR="00AB5B0B" w:rsidRDefault="00AB5B0B" w:rsidP="00D00AB2">
      <w:pPr>
        <w:spacing w:before="0" w:beforeAutospacing="0" w:line="259" w:lineRule="auto"/>
        <w:ind w:firstLine="0"/>
        <w:jc w:val="left"/>
        <w:rPr>
          <w:rFonts w:eastAsia="Calibri" w:cstheme="majorBidi"/>
          <w:b/>
          <w:bCs/>
          <w:sz w:val="22"/>
        </w:rPr>
      </w:pPr>
    </w:p>
    <w:p w14:paraId="6FBBF274"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t>Domaine d'étude</w:t>
      </w:r>
    </w:p>
    <w:p w14:paraId="18513B43"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noProof/>
          <w:color w:val="000000"/>
          <w:sz w:val="22"/>
          <w:lang w:eastAsia="fr-FR"/>
        </w:rPr>
        <w:drawing>
          <wp:inline distT="0" distB="0" distL="0" distR="0" wp14:anchorId="017C8B3F" wp14:editId="21F6AB62">
            <wp:extent cx="5715000" cy="4019550"/>
            <wp:effectExtent l="0" t="0" r="0" b="0"/>
            <wp:docPr id="498"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tbl>
      <w:tblPr>
        <w:tblStyle w:val="Grilledutableau3"/>
        <w:tblW w:w="9072" w:type="dxa"/>
        <w:jc w:val="center"/>
        <w:tblLook w:val="04A0" w:firstRow="1" w:lastRow="0" w:firstColumn="1" w:lastColumn="0" w:noHBand="0" w:noVBand="1"/>
      </w:tblPr>
      <w:tblGrid>
        <w:gridCol w:w="3234"/>
        <w:gridCol w:w="2902"/>
        <w:gridCol w:w="2936"/>
      </w:tblGrid>
      <w:tr w:rsidR="00D00AB2" w:rsidRPr="00D00AB2" w14:paraId="437D4A5B"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5B3B3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lastRenderedPageBreak/>
              <w:t>Domain d'étude</w:t>
            </w:r>
          </w:p>
        </w:tc>
        <w:tc>
          <w:tcPr>
            <w:tcW w:w="298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9FB06C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Effectifs</w:t>
            </w:r>
          </w:p>
        </w:tc>
        <w:tc>
          <w:tcPr>
            <w:tcW w:w="300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3F752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Pourcentage</w:t>
            </w:r>
          </w:p>
        </w:tc>
      </w:tr>
      <w:tr w:rsidR="00D00AB2" w:rsidRPr="00D00AB2" w14:paraId="2D4D909A"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9A56F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Économie</w:t>
            </w:r>
          </w:p>
        </w:tc>
        <w:tc>
          <w:tcPr>
            <w:tcW w:w="2981" w:type="dxa"/>
            <w:tcBorders>
              <w:top w:val="single" w:sz="4" w:space="0" w:color="auto"/>
              <w:left w:val="single" w:sz="4" w:space="0" w:color="auto"/>
              <w:bottom w:val="single" w:sz="4" w:space="0" w:color="auto"/>
              <w:right w:val="single" w:sz="4" w:space="0" w:color="auto"/>
            </w:tcBorders>
            <w:hideMark/>
          </w:tcPr>
          <w:p w14:paraId="1406BCF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25</w:t>
            </w:r>
          </w:p>
        </w:tc>
        <w:tc>
          <w:tcPr>
            <w:tcW w:w="3000" w:type="dxa"/>
            <w:tcBorders>
              <w:top w:val="single" w:sz="4" w:space="0" w:color="auto"/>
              <w:left w:val="single" w:sz="4" w:space="0" w:color="auto"/>
              <w:bottom w:val="single" w:sz="4" w:space="0" w:color="auto"/>
              <w:right w:val="single" w:sz="4" w:space="0" w:color="auto"/>
            </w:tcBorders>
            <w:hideMark/>
          </w:tcPr>
          <w:p w14:paraId="618B050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8.3%</w:t>
            </w:r>
          </w:p>
        </w:tc>
      </w:tr>
      <w:tr w:rsidR="00D00AB2" w:rsidRPr="00D00AB2" w14:paraId="5665566C"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3B1255C"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Gestion</w:t>
            </w:r>
          </w:p>
        </w:tc>
        <w:tc>
          <w:tcPr>
            <w:tcW w:w="2981" w:type="dxa"/>
            <w:tcBorders>
              <w:top w:val="single" w:sz="4" w:space="0" w:color="auto"/>
              <w:left w:val="single" w:sz="4" w:space="0" w:color="auto"/>
              <w:bottom w:val="single" w:sz="4" w:space="0" w:color="auto"/>
              <w:right w:val="single" w:sz="4" w:space="0" w:color="auto"/>
            </w:tcBorders>
            <w:hideMark/>
          </w:tcPr>
          <w:p w14:paraId="0DF303D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71</w:t>
            </w:r>
          </w:p>
        </w:tc>
        <w:tc>
          <w:tcPr>
            <w:tcW w:w="3000" w:type="dxa"/>
            <w:tcBorders>
              <w:top w:val="single" w:sz="4" w:space="0" w:color="auto"/>
              <w:left w:val="single" w:sz="4" w:space="0" w:color="auto"/>
              <w:bottom w:val="single" w:sz="4" w:space="0" w:color="auto"/>
              <w:right w:val="single" w:sz="4" w:space="0" w:color="auto"/>
            </w:tcBorders>
            <w:hideMark/>
          </w:tcPr>
          <w:p w14:paraId="3EE79C5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23.7%</w:t>
            </w:r>
          </w:p>
        </w:tc>
      </w:tr>
      <w:tr w:rsidR="00D00AB2" w:rsidRPr="00D00AB2" w14:paraId="291510F7"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8B15C8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Commerce</w:t>
            </w:r>
          </w:p>
        </w:tc>
        <w:tc>
          <w:tcPr>
            <w:tcW w:w="2981" w:type="dxa"/>
            <w:tcBorders>
              <w:top w:val="single" w:sz="4" w:space="0" w:color="auto"/>
              <w:left w:val="single" w:sz="4" w:space="0" w:color="auto"/>
              <w:bottom w:val="single" w:sz="4" w:space="0" w:color="auto"/>
              <w:right w:val="single" w:sz="4" w:space="0" w:color="auto"/>
            </w:tcBorders>
            <w:hideMark/>
          </w:tcPr>
          <w:p w14:paraId="1736909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67</w:t>
            </w:r>
          </w:p>
        </w:tc>
        <w:tc>
          <w:tcPr>
            <w:tcW w:w="3000" w:type="dxa"/>
            <w:tcBorders>
              <w:top w:val="single" w:sz="4" w:space="0" w:color="auto"/>
              <w:left w:val="single" w:sz="4" w:space="0" w:color="auto"/>
              <w:bottom w:val="single" w:sz="4" w:space="0" w:color="auto"/>
              <w:right w:val="single" w:sz="4" w:space="0" w:color="auto"/>
            </w:tcBorders>
            <w:hideMark/>
          </w:tcPr>
          <w:p w14:paraId="2355AE8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22.3%</w:t>
            </w:r>
          </w:p>
        </w:tc>
      </w:tr>
      <w:tr w:rsidR="00D00AB2" w:rsidRPr="00D00AB2" w14:paraId="356D0EF9"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3895B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Finance</w:t>
            </w:r>
          </w:p>
        </w:tc>
        <w:tc>
          <w:tcPr>
            <w:tcW w:w="2981" w:type="dxa"/>
            <w:tcBorders>
              <w:top w:val="single" w:sz="4" w:space="0" w:color="auto"/>
              <w:left w:val="single" w:sz="4" w:space="0" w:color="auto"/>
              <w:bottom w:val="single" w:sz="4" w:space="0" w:color="auto"/>
              <w:right w:val="single" w:sz="4" w:space="0" w:color="auto"/>
            </w:tcBorders>
            <w:hideMark/>
          </w:tcPr>
          <w:p w14:paraId="1DD574D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42</w:t>
            </w:r>
          </w:p>
        </w:tc>
        <w:tc>
          <w:tcPr>
            <w:tcW w:w="3000" w:type="dxa"/>
            <w:tcBorders>
              <w:top w:val="single" w:sz="4" w:space="0" w:color="auto"/>
              <w:left w:val="single" w:sz="4" w:space="0" w:color="auto"/>
              <w:bottom w:val="single" w:sz="4" w:space="0" w:color="auto"/>
              <w:right w:val="single" w:sz="4" w:space="0" w:color="auto"/>
            </w:tcBorders>
            <w:hideMark/>
          </w:tcPr>
          <w:p w14:paraId="20F0154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14.0%</w:t>
            </w:r>
          </w:p>
        </w:tc>
      </w:tr>
      <w:tr w:rsidR="00D00AB2" w:rsidRPr="00D00AB2" w14:paraId="11ADAAD7"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3E4398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Stratégie</w:t>
            </w:r>
          </w:p>
        </w:tc>
        <w:tc>
          <w:tcPr>
            <w:tcW w:w="2981" w:type="dxa"/>
            <w:tcBorders>
              <w:top w:val="single" w:sz="4" w:space="0" w:color="auto"/>
              <w:left w:val="single" w:sz="4" w:space="0" w:color="auto"/>
              <w:bottom w:val="single" w:sz="4" w:space="0" w:color="auto"/>
              <w:right w:val="single" w:sz="4" w:space="0" w:color="auto"/>
            </w:tcBorders>
            <w:hideMark/>
          </w:tcPr>
          <w:p w14:paraId="5580C0E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35</w:t>
            </w:r>
          </w:p>
        </w:tc>
        <w:tc>
          <w:tcPr>
            <w:tcW w:w="3000" w:type="dxa"/>
            <w:tcBorders>
              <w:top w:val="single" w:sz="4" w:space="0" w:color="auto"/>
              <w:left w:val="single" w:sz="4" w:space="0" w:color="auto"/>
              <w:bottom w:val="single" w:sz="4" w:space="0" w:color="auto"/>
              <w:right w:val="single" w:sz="4" w:space="0" w:color="auto"/>
            </w:tcBorders>
            <w:hideMark/>
          </w:tcPr>
          <w:p w14:paraId="4775EA6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11.7%</w:t>
            </w:r>
          </w:p>
        </w:tc>
      </w:tr>
      <w:tr w:rsidR="00D00AB2" w:rsidRPr="00D00AB2" w14:paraId="79FE1C8F"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7FA98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Droit</w:t>
            </w:r>
          </w:p>
        </w:tc>
        <w:tc>
          <w:tcPr>
            <w:tcW w:w="2981" w:type="dxa"/>
            <w:tcBorders>
              <w:top w:val="single" w:sz="4" w:space="0" w:color="auto"/>
              <w:left w:val="single" w:sz="4" w:space="0" w:color="auto"/>
              <w:bottom w:val="single" w:sz="4" w:space="0" w:color="auto"/>
              <w:right w:val="single" w:sz="4" w:space="0" w:color="auto"/>
            </w:tcBorders>
            <w:hideMark/>
          </w:tcPr>
          <w:p w14:paraId="1297C5C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14</w:t>
            </w:r>
          </w:p>
        </w:tc>
        <w:tc>
          <w:tcPr>
            <w:tcW w:w="3000" w:type="dxa"/>
            <w:tcBorders>
              <w:top w:val="single" w:sz="4" w:space="0" w:color="auto"/>
              <w:left w:val="single" w:sz="4" w:space="0" w:color="auto"/>
              <w:bottom w:val="single" w:sz="4" w:space="0" w:color="auto"/>
              <w:right w:val="single" w:sz="4" w:space="0" w:color="auto"/>
            </w:tcBorders>
            <w:hideMark/>
          </w:tcPr>
          <w:p w14:paraId="638B81C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4.7%</w:t>
            </w:r>
          </w:p>
        </w:tc>
      </w:tr>
      <w:tr w:rsidR="00D00AB2" w:rsidRPr="00D00AB2" w14:paraId="717255AB"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9A8A6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Génie industriel</w:t>
            </w:r>
          </w:p>
        </w:tc>
        <w:tc>
          <w:tcPr>
            <w:tcW w:w="2981" w:type="dxa"/>
            <w:tcBorders>
              <w:top w:val="single" w:sz="4" w:space="0" w:color="auto"/>
              <w:left w:val="single" w:sz="4" w:space="0" w:color="auto"/>
              <w:bottom w:val="single" w:sz="4" w:space="0" w:color="auto"/>
              <w:right w:val="single" w:sz="4" w:space="0" w:color="auto"/>
            </w:tcBorders>
            <w:hideMark/>
          </w:tcPr>
          <w:p w14:paraId="57BCF71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12</w:t>
            </w:r>
          </w:p>
        </w:tc>
        <w:tc>
          <w:tcPr>
            <w:tcW w:w="3000" w:type="dxa"/>
            <w:tcBorders>
              <w:top w:val="single" w:sz="4" w:space="0" w:color="auto"/>
              <w:left w:val="single" w:sz="4" w:space="0" w:color="auto"/>
              <w:bottom w:val="single" w:sz="4" w:space="0" w:color="auto"/>
              <w:right w:val="single" w:sz="4" w:space="0" w:color="auto"/>
            </w:tcBorders>
            <w:hideMark/>
          </w:tcPr>
          <w:p w14:paraId="075F635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4.0%</w:t>
            </w:r>
          </w:p>
        </w:tc>
      </w:tr>
      <w:tr w:rsidR="00D00AB2" w:rsidRPr="00D00AB2" w14:paraId="277695B1"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4D7E4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Informatique</w:t>
            </w:r>
          </w:p>
        </w:tc>
        <w:tc>
          <w:tcPr>
            <w:tcW w:w="2981" w:type="dxa"/>
            <w:tcBorders>
              <w:top w:val="single" w:sz="4" w:space="0" w:color="auto"/>
              <w:left w:val="single" w:sz="4" w:space="0" w:color="auto"/>
              <w:bottom w:val="single" w:sz="4" w:space="0" w:color="auto"/>
              <w:right w:val="single" w:sz="4" w:space="0" w:color="auto"/>
            </w:tcBorders>
            <w:hideMark/>
          </w:tcPr>
          <w:p w14:paraId="19F1444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3000" w:type="dxa"/>
            <w:tcBorders>
              <w:top w:val="single" w:sz="4" w:space="0" w:color="auto"/>
              <w:left w:val="single" w:sz="4" w:space="0" w:color="auto"/>
              <w:bottom w:val="single" w:sz="4" w:space="0" w:color="auto"/>
              <w:right w:val="single" w:sz="4" w:space="0" w:color="auto"/>
            </w:tcBorders>
            <w:hideMark/>
          </w:tcPr>
          <w:p w14:paraId="57D5284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w:t>
            </w:r>
          </w:p>
        </w:tc>
      </w:tr>
      <w:tr w:rsidR="00D00AB2" w:rsidRPr="00D00AB2" w14:paraId="425B34AE"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596ABD"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Automatique</w:t>
            </w:r>
          </w:p>
        </w:tc>
        <w:tc>
          <w:tcPr>
            <w:tcW w:w="2981" w:type="dxa"/>
            <w:tcBorders>
              <w:top w:val="single" w:sz="4" w:space="0" w:color="auto"/>
              <w:left w:val="single" w:sz="4" w:space="0" w:color="auto"/>
              <w:bottom w:val="single" w:sz="4" w:space="0" w:color="auto"/>
              <w:right w:val="single" w:sz="4" w:space="0" w:color="auto"/>
            </w:tcBorders>
            <w:hideMark/>
          </w:tcPr>
          <w:p w14:paraId="00609A6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1510D8D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05CD96C8"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00BC2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Comptabilité et audit</w:t>
            </w:r>
          </w:p>
        </w:tc>
        <w:tc>
          <w:tcPr>
            <w:tcW w:w="2981" w:type="dxa"/>
            <w:tcBorders>
              <w:top w:val="single" w:sz="4" w:space="0" w:color="auto"/>
              <w:left w:val="single" w:sz="4" w:space="0" w:color="auto"/>
              <w:bottom w:val="single" w:sz="4" w:space="0" w:color="auto"/>
              <w:right w:val="single" w:sz="4" w:space="0" w:color="auto"/>
            </w:tcBorders>
            <w:hideMark/>
          </w:tcPr>
          <w:p w14:paraId="773DFD8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2033FF1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5A90FD1A"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1E3B7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Génie électrique</w:t>
            </w:r>
          </w:p>
        </w:tc>
        <w:tc>
          <w:tcPr>
            <w:tcW w:w="2981" w:type="dxa"/>
            <w:tcBorders>
              <w:top w:val="single" w:sz="4" w:space="0" w:color="auto"/>
              <w:left w:val="single" w:sz="4" w:space="0" w:color="auto"/>
              <w:bottom w:val="single" w:sz="4" w:space="0" w:color="auto"/>
              <w:right w:val="single" w:sz="4" w:space="0" w:color="auto"/>
            </w:tcBorders>
            <w:hideMark/>
          </w:tcPr>
          <w:p w14:paraId="11DB2E2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2086485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408F296F"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4AB8B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Assurance</w:t>
            </w:r>
          </w:p>
        </w:tc>
        <w:tc>
          <w:tcPr>
            <w:tcW w:w="2981" w:type="dxa"/>
            <w:tcBorders>
              <w:top w:val="single" w:sz="4" w:space="0" w:color="auto"/>
              <w:left w:val="single" w:sz="4" w:space="0" w:color="auto"/>
              <w:bottom w:val="single" w:sz="4" w:space="0" w:color="auto"/>
              <w:right w:val="single" w:sz="4" w:space="0" w:color="auto"/>
            </w:tcBorders>
            <w:hideMark/>
          </w:tcPr>
          <w:p w14:paraId="589C4DD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7F64293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0C33C0C3"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354F2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Ressources humaines</w:t>
            </w:r>
          </w:p>
        </w:tc>
        <w:tc>
          <w:tcPr>
            <w:tcW w:w="2981" w:type="dxa"/>
            <w:tcBorders>
              <w:top w:val="single" w:sz="4" w:space="0" w:color="auto"/>
              <w:left w:val="single" w:sz="4" w:space="0" w:color="auto"/>
              <w:bottom w:val="single" w:sz="4" w:space="0" w:color="auto"/>
              <w:right w:val="single" w:sz="4" w:space="0" w:color="auto"/>
            </w:tcBorders>
            <w:hideMark/>
          </w:tcPr>
          <w:p w14:paraId="4B2B78F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w:t>
            </w:r>
          </w:p>
        </w:tc>
        <w:tc>
          <w:tcPr>
            <w:tcW w:w="3000" w:type="dxa"/>
            <w:tcBorders>
              <w:top w:val="single" w:sz="4" w:space="0" w:color="auto"/>
              <w:left w:val="single" w:sz="4" w:space="0" w:color="auto"/>
              <w:bottom w:val="single" w:sz="4" w:space="0" w:color="auto"/>
              <w:right w:val="single" w:sz="4" w:space="0" w:color="auto"/>
            </w:tcBorders>
            <w:hideMark/>
          </w:tcPr>
          <w:p w14:paraId="5DCC931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w:t>
            </w:r>
          </w:p>
        </w:tc>
      </w:tr>
      <w:tr w:rsidR="00D00AB2" w:rsidRPr="00D00AB2" w14:paraId="429AFE4E"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769F6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Marketing</w:t>
            </w:r>
          </w:p>
        </w:tc>
        <w:tc>
          <w:tcPr>
            <w:tcW w:w="2981" w:type="dxa"/>
            <w:tcBorders>
              <w:top w:val="single" w:sz="4" w:space="0" w:color="auto"/>
              <w:left w:val="single" w:sz="4" w:space="0" w:color="auto"/>
              <w:bottom w:val="single" w:sz="4" w:space="0" w:color="auto"/>
              <w:right w:val="single" w:sz="4" w:space="0" w:color="auto"/>
            </w:tcBorders>
            <w:hideMark/>
          </w:tcPr>
          <w:p w14:paraId="39CF075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5659804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4DD12047"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F1AE05C"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Anglais</w:t>
            </w:r>
          </w:p>
        </w:tc>
        <w:tc>
          <w:tcPr>
            <w:tcW w:w="2981" w:type="dxa"/>
            <w:tcBorders>
              <w:top w:val="single" w:sz="4" w:space="0" w:color="auto"/>
              <w:left w:val="single" w:sz="4" w:space="0" w:color="auto"/>
              <w:bottom w:val="single" w:sz="4" w:space="0" w:color="auto"/>
              <w:right w:val="single" w:sz="4" w:space="0" w:color="auto"/>
            </w:tcBorders>
            <w:hideMark/>
          </w:tcPr>
          <w:p w14:paraId="551E041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3000" w:type="dxa"/>
            <w:tcBorders>
              <w:top w:val="single" w:sz="4" w:space="0" w:color="auto"/>
              <w:left w:val="single" w:sz="4" w:space="0" w:color="auto"/>
              <w:bottom w:val="single" w:sz="4" w:space="0" w:color="auto"/>
              <w:right w:val="single" w:sz="4" w:space="0" w:color="auto"/>
            </w:tcBorders>
            <w:hideMark/>
          </w:tcPr>
          <w:p w14:paraId="7B8F919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w:t>
            </w:r>
          </w:p>
        </w:tc>
      </w:tr>
      <w:tr w:rsidR="00D00AB2" w:rsidRPr="00D00AB2" w14:paraId="3E20CB3B"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D0162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Génie de production</w:t>
            </w:r>
          </w:p>
        </w:tc>
        <w:tc>
          <w:tcPr>
            <w:tcW w:w="2981" w:type="dxa"/>
            <w:tcBorders>
              <w:top w:val="single" w:sz="4" w:space="0" w:color="auto"/>
              <w:left w:val="single" w:sz="4" w:space="0" w:color="auto"/>
              <w:bottom w:val="single" w:sz="4" w:space="0" w:color="auto"/>
              <w:right w:val="single" w:sz="4" w:space="0" w:color="auto"/>
            </w:tcBorders>
            <w:hideMark/>
          </w:tcPr>
          <w:p w14:paraId="4BEE2E7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0B790E2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57D49332"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2160D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Management</w:t>
            </w:r>
          </w:p>
        </w:tc>
        <w:tc>
          <w:tcPr>
            <w:tcW w:w="2981" w:type="dxa"/>
            <w:tcBorders>
              <w:top w:val="single" w:sz="4" w:space="0" w:color="auto"/>
              <w:left w:val="single" w:sz="4" w:space="0" w:color="auto"/>
              <w:bottom w:val="single" w:sz="4" w:space="0" w:color="auto"/>
              <w:right w:val="single" w:sz="4" w:space="0" w:color="auto"/>
            </w:tcBorders>
            <w:hideMark/>
          </w:tcPr>
          <w:p w14:paraId="1A8CD9B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3000" w:type="dxa"/>
            <w:tcBorders>
              <w:top w:val="single" w:sz="4" w:space="0" w:color="auto"/>
              <w:left w:val="single" w:sz="4" w:space="0" w:color="auto"/>
              <w:bottom w:val="single" w:sz="4" w:space="0" w:color="auto"/>
              <w:right w:val="single" w:sz="4" w:space="0" w:color="auto"/>
            </w:tcBorders>
            <w:hideMark/>
          </w:tcPr>
          <w:p w14:paraId="288A2C5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w:t>
            </w:r>
          </w:p>
        </w:tc>
      </w:tr>
      <w:tr w:rsidR="00D00AB2" w:rsidRPr="00D00AB2" w14:paraId="07B6D6FE"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1FD3D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Logistique</w:t>
            </w:r>
          </w:p>
        </w:tc>
        <w:tc>
          <w:tcPr>
            <w:tcW w:w="2981" w:type="dxa"/>
            <w:tcBorders>
              <w:top w:val="single" w:sz="4" w:space="0" w:color="auto"/>
              <w:left w:val="single" w:sz="4" w:space="0" w:color="auto"/>
              <w:bottom w:val="single" w:sz="4" w:space="0" w:color="auto"/>
              <w:right w:val="single" w:sz="4" w:space="0" w:color="auto"/>
            </w:tcBorders>
            <w:hideMark/>
          </w:tcPr>
          <w:p w14:paraId="0D0E771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3000" w:type="dxa"/>
            <w:tcBorders>
              <w:top w:val="single" w:sz="4" w:space="0" w:color="auto"/>
              <w:left w:val="single" w:sz="4" w:space="0" w:color="auto"/>
              <w:bottom w:val="single" w:sz="4" w:space="0" w:color="auto"/>
              <w:right w:val="single" w:sz="4" w:space="0" w:color="auto"/>
            </w:tcBorders>
            <w:hideMark/>
          </w:tcPr>
          <w:p w14:paraId="7EFB3F4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w:t>
            </w:r>
          </w:p>
        </w:tc>
      </w:tr>
      <w:tr w:rsidR="00D00AB2" w:rsidRPr="00D00AB2" w14:paraId="409A9084"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C62864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Didactique du Fos et fle</w:t>
            </w:r>
          </w:p>
        </w:tc>
        <w:tc>
          <w:tcPr>
            <w:tcW w:w="2981" w:type="dxa"/>
            <w:tcBorders>
              <w:top w:val="single" w:sz="4" w:space="0" w:color="auto"/>
              <w:left w:val="single" w:sz="4" w:space="0" w:color="auto"/>
              <w:bottom w:val="single" w:sz="4" w:space="0" w:color="auto"/>
              <w:right w:val="single" w:sz="4" w:space="0" w:color="auto"/>
            </w:tcBorders>
            <w:hideMark/>
          </w:tcPr>
          <w:p w14:paraId="3AC4ECA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3000" w:type="dxa"/>
            <w:tcBorders>
              <w:top w:val="single" w:sz="4" w:space="0" w:color="auto"/>
              <w:left w:val="single" w:sz="4" w:space="0" w:color="auto"/>
              <w:bottom w:val="single" w:sz="4" w:space="0" w:color="auto"/>
              <w:right w:val="single" w:sz="4" w:space="0" w:color="auto"/>
            </w:tcBorders>
            <w:hideMark/>
          </w:tcPr>
          <w:p w14:paraId="2FB7FE1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w:t>
            </w:r>
          </w:p>
        </w:tc>
      </w:tr>
      <w:tr w:rsidR="00D00AB2" w:rsidRPr="00D00AB2" w14:paraId="7BBB998A"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4A6F69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Analyse et sciences de données</w:t>
            </w:r>
          </w:p>
        </w:tc>
        <w:tc>
          <w:tcPr>
            <w:tcW w:w="2981" w:type="dxa"/>
            <w:tcBorders>
              <w:top w:val="single" w:sz="4" w:space="0" w:color="auto"/>
              <w:left w:val="single" w:sz="4" w:space="0" w:color="auto"/>
              <w:bottom w:val="single" w:sz="4" w:space="0" w:color="auto"/>
              <w:right w:val="single" w:sz="4" w:space="0" w:color="auto"/>
            </w:tcBorders>
            <w:hideMark/>
          </w:tcPr>
          <w:p w14:paraId="144EC22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3000" w:type="dxa"/>
            <w:tcBorders>
              <w:top w:val="single" w:sz="4" w:space="0" w:color="auto"/>
              <w:left w:val="single" w:sz="4" w:space="0" w:color="auto"/>
              <w:bottom w:val="single" w:sz="4" w:space="0" w:color="auto"/>
              <w:right w:val="single" w:sz="4" w:space="0" w:color="auto"/>
            </w:tcBorders>
            <w:hideMark/>
          </w:tcPr>
          <w:p w14:paraId="2C7ABD4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w:t>
            </w:r>
          </w:p>
        </w:tc>
      </w:tr>
      <w:tr w:rsidR="00D00AB2" w:rsidRPr="00D00AB2" w14:paraId="5AF14D07"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FE3A0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Analyse et sciences de données</w:t>
            </w:r>
          </w:p>
        </w:tc>
        <w:tc>
          <w:tcPr>
            <w:tcW w:w="2981" w:type="dxa"/>
            <w:tcBorders>
              <w:top w:val="single" w:sz="4" w:space="0" w:color="auto"/>
              <w:left w:val="single" w:sz="4" w:space="0" w:color="auto"/>
              <w:bottom w:val="single" w:sz="4" w:space="0" w:color="auto"/>
              <w:right w:val="single" w:sz="4" w:space="0" w:color="auto"/>
            </w:tcBorders>
            <w:hideMark/>
          </w:tcPr>
          <w:p w14:paraId="42059C0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3000" w:type="dxa"/>
            <w:tcBorders>
              <w:top w:val="single" w:sz="4" w:space="0" w:color="auto"/>
              <w:left w:val="single" w:sz="4" w:space="0" w:color="auto"/>
              <w:bottom w:val="single" w:sz="4" w:space="0" w:color="auto"/>
              <w:right w:val="single" w:sz="4" w:space="0" w:color="auto"/>
            </w:tcBorders>
            <w:hideMark/>
          </w:tcPr>
          <w:p w14:paraId="6C3F7ED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w:t>
            </w:r>
          </w:p>
        </w:tc>
      </w:tr>
      <w:tr w:rsidR="00D00AB2" w:rsidRPr="00D00AB2" w14:paraId="575C8B6D" w14:textId="77777777" w:rsidTr="00AB5B0B">
        <w:trPr>
          <w:jc w:val="center"/>
        </w:trPr>
        <w:tc>
          <w:tcPr>
            <w:tcW w:w="33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24E06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Total</w:t>
            </w:r>
          </w:p>
        </w:tc>
        <w:tc>
          <w:tcPr>
            <w:tcW w:w="2981" w:type="dxa"/>
            <w:tcBorders>
              <w:top w:val="single" w:sz="4" w:space="0" w:color="auto"/>
              <w:left w:val="single" w:sz="4" w:space="0" w:color="auto"/>
              <w:bottom w:val="single" w:sz="4" w:space="0" w:color="auto"/>
              <w:right w:val="single" w:sz="4" w:space="0" w:color="auto"/>
            </w:tcBorders>
            <w:hideMark/>
          </w:tcPr>
          <w:p w14:paraId="7FC2C27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300</w:t>
            </w:r>
          </w:p>
        </w:tc>
        <w:tc>
          <w:tcPr>
            <w:tcW w:w="3000" w:type="dxa"/>
            <w:tcBorders>
              <w:top w:val="single" w:sz="4" w:space="0" w:color="auto"/>
              <w:left w:val="single" w:sz="4" w:space="0" w:color="auto"/>
              <w:bottom w:val="single" w:sz="4" w:space="0" w:color="auto"/>
              <w:right w:val="single" w:sz="4" w:space="0" w:color="auto"/>
            </w:tcBorders>
            <w:hideMark/>
          </w:tcPr>
          <w:p w14:paraId="6DAB154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100,0 %</w:t>
            </w:r>
          </w:p>
        </w:tc>
      </w:tr>
    </w:tbl>
    <w:p w14:paraId="145DC2D2" w14:textId="77777777" w:rsidR="00D00AB2" w:rsidRPr="00D00AB2" w:rsidRDefault="00D00AB2" w:rsidP="00D00AB2">
      <w:pPr>
        <w:spacing w:before="0" w:beforeAutospacing="0" w:line="259" w:lineRule="auto"/>
        <w:ind w:firstLine="0"/>
        <w:jc w:val="left"/>
        <w:rPr>
          <w:rFonts w:eastAsia="Calibri" w:cstheme="majorBidi"/>
          <w:b/>
          <w:bCs/>
          <w:sz w:val="22"/>
        </w:rPr>
      </w:pPr>
    </w:p>
    <w:p w14:paraId="6C07AD2E"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t>Poste occupé :</w:t>
      </w:r>
    </w:p>
    <w:p w14:paraId="7D8BB511"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noProof/>
          <w:color w:val="000000"/>
          <w:sz w:val="22"/>
          <w:lang w:eastAsia="fr-FR"/>
        </w:rPr>
        <w:lastRenderedPageBreak/>
        <w:drawing>
          <wp:inline distT="0" distB="0" distL="0" distR="0" wp14:anchorId="0F198AA0" wp14:editId="61E7C7B2">
            <wp:extent cx="5760720" cy="6566547"/>
            <wp:effectExtent l="0" t="0" r="0" b="0"/>
            <wp:docPr id="499" name="Graphique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73AE5B03" w14:textId="77777777" w:rsidR="00D00AB2" w:rsidRPr="00D00AB2" w:rsidRDefault="00D00AB2" w:rsidP="00D00AB2">
      <w:pPr>
        <w:spacing w:before="0" w:beforeAutospacing="0" w:line="259" w:lineRule="auto"/>
        <w:ind w:firstLine="0"/>
        <w:jc w:val="center"/>
        <w:rPr>
          <w:rFonts w:eastAsia="Calibri" w:cstheme="majorBidi"/>
          <w:sz w:val="22"/>
        </w:rPr>
      </w:pPr>
    </w:p>
    <w:tbl>
      <w:tblPr>
        <w:tblStyle w:val="Grilledutableau3"/>
        <w:tblW w:w="9072" w:type="dxa"/>
        <w:jc w:val="center"/>
        <w:tblLook w:val="04A0" w:firstRow="1" w:lastRow="0" w:firstColumn="1" w:lastColumn="0" w:noHBand="0" w:noVBand="1"/>
      </w:tblPr>
      <w:tblGrid>
        <w:gridCol w:w="5901"/>
        <w:gridCol w:w="1370"/>
        <w:gridCol w:w="1801"/>
      </w:tblGrid>
      <w:tr w:rsidR="00D00AB2" w:rsidRPr="00D00AB2" w14:paraId="4F4F702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E67C7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Poste occupé</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F41131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Effectifs</w:t>
            </w:r>
          </w:p>
        </w:tc>
        <w:tc>
          <w:tcPr>
            <w:tcW w:w="185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E85D52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Pourcentage</w:t>
            </w:r>
          </w:p>
        </w:tc>
      </w:tr>
      <w:tr w:rsidR="00D00AB2" w:rsidRPr="00D00AB2" w14:paraId="70BE58F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58E04A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DIRECTEUR GENERAL</w:t>
            </w:r>
          </w:p>
        </w:tc>
        <w:tc>
          <w:tcPr>
            <w:tcW w:w="1418" w:type="dxa"/>
            <w:tcBorders>
              <w:top w:val="single" w:sz="4" w:space="0" w:color="auto"/>
              <w:left w:val="single" w:sz="4" w:space="0" w:color="auto"/>
              <w:bottom w:val="single" w:sz="4" w:space="0" w:color="auto"/>
              <w:right w:val="single" w:sz="4" w:space="0" w:color="auto"/>
            </w:tcBorders>
            <w:hideMark/>
          </w:tcPr>
          <w:p w14:paraId="2455198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6FC196AD"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207039A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168E2B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DIRECTEUR COMMERCIAL CONFECTION</w:t>
            </w:r>
          </w:p>
        </w:tc>
        <w:tc>
          <w:tcPr>
            <w:tcW w:w="1418" w:type="dxa"/>
            <w:tcBorders>
              <w:top w:val="single" w:sz="4" w:space="0" w:color="auto"/>
              <w:left w:val="single" w:sz="4" w:space="0" w:color="auto"/>
              <w:bottom w:val="single" w:sz="4" w:space="0" w:color="auto"/>
              <w:right w:val="single" w:sz="4" w:space="0" w:color="auto"/>
            </w:tcBorders>
            <w:hideMark/>
          </w:tcPr>
          <w:p w14:paraId="3FCE433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66F6ADA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C63D45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C619E88"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DIRECTEUR COMMERCIAL TEXTILE</w:t>
            </w:r>
          </w:p>
        </w:tc>
        <w:tc>
          <w:tcPr>
            <w:tcW w:w="1418" w:type="dxa"/>
            <w:tcBorders>
              <w:top w:val="single" w:sz="4" w:space="0" w:color="auto"/>
              <w:left w:val="single" w:sz="4" w:space="0" w:color="auto"/>
              <w:bottom w:val="single" w:sz="4" w:space="0" w:color="auto"/>
              <w:right w:val="single" w:sz="4" w:space="0" w:color="auto"/>
            </w:tcBorders>
            <w:hideMark/>
          </w:tcPr>
          <w:p w14:paraId="180B847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CE5F13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293BC16"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D54BF8"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DIRECTEUR FINANCES ET DE LA COMPTABILITE</w:t>
            </w:r>
          </w:p>
        </w:tc>
        <w:tc>
          <w:tcPr>
            <w:tcW w:w="1418" w:type="dxa"/>
            <w:tcBorders>
              <w:top w:val="single" w:sz="4" w:space="0" w:color="auto"/>
              <w:left w:val="single" w:sz="4" w:space="0" w:color="auto"/>
              <w:bottom w:val="single" w:sz="4" w:space="0" w:color="auto"/>
              <w:right w:val="single" w:sz="4" w:space="0" w:color="auto"/>
            </w:tcBorders>
            <w:hideMark/>
          </w:tcPr>
          <w:p w14:paraId="2DD03E7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28F8244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3CD9B85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8A3761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DIRECTEUR JURIDIQUE ET SECRETAIRE GENERALE</w:t>
            </w:r>
          </w:p>
        </w:tc>
        <w:tc>
          <w:tcPr>
            <w:tcW w:w="1418" w:type="dxa"/>
            <w:tcBorders>
              <w:top w:val="single" w:sz="4" w:space="0" w:color="auto"/>
              <w:left w:val="single" w:sz="4" w:space="0" w:color="auto"/>
              <w:bottom w:val="single" w:sz="4" w:space="0" w:color="auto"/>
              <w:right w:val="single" w:sz="4" w:space="0" w:color="auto"/>
            </w:tcBorders>
            <w:hideMark/>
          </w:tcPr>
          <w:p w14:paraId="01F6A2A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6DCBC1E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31FAEDD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80FBA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lastRenderedPageBreak/>
              <w:t>DIRECTEUR TEINTURE FINISSAGE</w:t>
            </w:r>
          </w:p>
        </w:tc>
        <w:tc>
          <w:tcPr>
            <w:tcW w:w="1418" w:type="dxa"/>
            <w:tcBorders>
              <w:top w:val="single" w:sz="4" w:space="0" w:color="auto"/>
              <w:left w:val="single" w:sz="4" w:space="0" w:color="auto"/>
              <w:bottom w:val="single" w:sz="4" w:space="0" w:color="auto"/>
              <w:right w:val="single" w:sz="4" w:space="0" w:color="auto"/>
            </w:tcBorders>
            <w:hideMark/>
          </w:tcPr>
          <w:p w14:paraId="7A42212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55FEFB4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54C6EFC"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82640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ACHATS</w:t>
            </w:r>
          </w:p>
        </w:tc>
        <w:tc>
          <w:tcPr>
            <w:tcW w:w="1418" w:type="dxa"/>
            <w:tcBorders>
              <w:top w:val="single" w:sz="4" w:space="0" w:color="auto"/>
              <w:left w:val="single" w:sz="4" w:space="0" w:color="auto"/>
              <w:bottom w:val="single" w:sz="4" w:space="0" w:color="auto"/>
              <w:right w:val="single" w:sz="4" w:space="0" w:color="auto"/>
            </w:tcBorders>
            <w:hideMark/>
          </w:tcPr>
          <w:p w14:paraId="5F438EF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3DCFBB2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3F4340B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4A97E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AUDIT</w:t>
            </w:r>
          </w:p>
        </w:tc>
        <w:tc>
          <w:tcPr>
            <w:tcW w:w="1418" w:type="dxa"/>
            <w:tcBorders>
              <w:top w:val="single" w:sz="4" w:space="0" w:color="auto"/>
              <w:left w:val="single" w:sz="4" w:space="0" w:color="auto"/>
              <w:bottom w:val="single" w:sz="4" w:space="0" w:color="auto"/>
              <w:right w:val="single" w:sz="4" w:space="0" w:color="auto"/>
            </w:tcBorders>
            <w:hideMark/>
          </w:tcPr>
          <w:p w14:paraId="08B186E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1D902E0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47B658F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15F1AA"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COMPTABILITE</w:t>
            </w:r>
          </w:p>
        </w:tc>
        <w:tc>
          <w:tcPr>
            <w:tcW w:w="1418" w:type="dxa"/>
            <w:tcBorders>
              <w:top w:val="single" w:sz="4" w:space="0" w:color="auto"/>
              <w:left w:val="single" w:sz="4" w:space="0" w:color="auto"/>
              <w:bottom w:val="single" w:sz="4" w:space="0" w:color="auto"/>
              <w:right w:val="single" w:sz="4" w:space="0" w:color="auto"/>
            </w:tcBorders>
            <w:hideMark/>
          </w:tcPr>
          <w:p w14:paraId="6EE4CA0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5A27E62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1613010"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980B96D"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IT &amp; SECURITE DES SYSTEMES D'INFORMATION</w:t>
            </w:r>
          </w:p>
        </w:tc>
        <w:tc>
          <w:tcPr>
            <w:tcW w:w="1418" w:type="dxa"/>
            <w:tcBorders>
              <w:top w:val="single" w:sz="4" w:space="0" w:color="auto"/>
              <w:left w:val="single" w:sz="4" w:space="0" w:color="auto"/>
              <w:bottom w:val="single" w:sz="4" w:space="0" w:color="auto"/>
              <w:right w:val="single" w:sz="4" w:space="0" w:color="auto"/>
            </w:tcBorders>
            <w:hideMark/>
          </w:tcPr>
          <w:p w14:paraId="1A566A6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03DE40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9594E8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7DC20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LOGISTIQUE ET ENTREPOT</w:t>
            </w:r>
          </w:p>
        </w:tc>
        <w:tc>
          <w:tcPr>
            <w:tcW w:w="1418" w:type="dxa"/>
            <w:tcBorders>
              <w:top w:val="single" w:sz="4" w:space="0" w:color="auto"/>
              <w:left w:val="single" w:sz="4" w:space="0" w:color="auto"/>
              <w:bottom w:val="single" w:sz="4" w:space="0" w:color="auto"/>
              <w:right w:val="single" w:sz="4" w:space="0" w:color="auto"/>
            </w:tcBorders>
            <w:hideMark/>
          </w:tcPr>
          <w:p w14:paraId="3B88BA0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756006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D84BB1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272B5F"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MARKETING - COMMUNICATION &amp; RP</w:t>
            </w:r>
          </w:p>
        </w:tc>
        <w:tc>
          <w:tcPr>
            <w:tcW w:w="1418" w:type="dxa"/>
            <w:tcBorders>
              <w:top w:val="single" w:sz="4" w:space="0" w:color="auto"/>
              <w:left w:val="single" w:sz="4" w:space="0" w:color="auto"/>
              <w:bottom w:val="single" w:sz="4" w:space="0" w:color="auto"/>
              <w:right w:val="single" w:sz="4" w:space="0" w:color="auto"/>
            </w:tcBorders>
            <w:hideMark/>
          </w:tcPr>
          <w:p w14:paraId="73B7C58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6C21F36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435683C"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80981F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OPERATIONS EXPORT</w:t>
            </w:r>
          </w:p>
        </w:tc>
        <w:tc>
          <w:tcPr>
            <w:tcW w:w="1418" w:type="dxa"/>
            <w:tcBorders>
              <w:top w:val="single" w:sz="4" w:space="0" w:color="auto"/>
              <w:left w:val="single" w:sz="4" w:space="0" w:color="auto"/>
              <w:bottom w:val="single" w:sz="4" w:space="0" w:color="auto"/>
              <w:right w:val="single" w:sz="4" w:space="0" w:color="auto"/>
            </w:tcBorders>
            <w:hideMark/>
          </w:tcPr>
          <w:p w14:paraId="3FCBFE9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FF34F4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41C26CE7"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FEC689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OPERATIONS IMPORT ET EXPORT</w:t>
            </w:r>
          </w:p>
        </w:tc>
        <w:tc>
          <w:tcPr>
            <w:tcW w:w="1418" w:type="dxa"/>
            <w:tcBorders>
              <w:top w:val="single" w:sz="4" w:space="0" w:color="auto"/>
              <w:left w:val="single" w:sz="4" w:space="0" w:color="auto"/>
              <w:bottom w:val="single" w:sz="4" w:space="0" w:color="auto"/>
              <w:right w:val="single" w:sz="4" w:space="0" w:color="auto"/>
            </w:tcBorders>
            <w:hideMark/>
          </w:tcPr>
          <w:p w14:paraId="7B7440F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35EC353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255CC70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AD89F4D"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Q.H.S.E.</w:t>
            </w:r>
          </w:p>
        </w:tc>
        <w:tc>
          <w:tcPr>
            <w:tcW w:w="1418" w:type="dxa"/>
            <w:tcBorders>
              <w:top w:val="single" w:sz="4" w:space="0" w:color="auto"/>
              <w:left w:val="single" w:sz="4" w:space="0" w:color="auto"/>
              <w:bottom w:val="single" w:sz="4" w:space="0" w:color="auto"/>
              <w:right w:val="single" w:sz="4" w:space="0" w:color="auto"/>
            </w:tcBorders>
            <w:hideMark/>
          </w:tcPr>
          <w:p w14:paraId="43642E7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7556FE0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17CA724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34C726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MANAGER RESSOURCES HUMAINES</w:t>
            </w:r>
          </w:p>
        </w:tc>
        <w:tc>
          <w:tcPr>
            <w:tcW w:w="1418" w:type="dxa"/>
            <w:tcBorders>
              <w:top w:val="single" w:sz="4" w:space="0" w:color="auto"/>
              <w:left w:val="single" w:sz="4" w:space="0" w:color="auto"/>
              <w:bottom w:val="single" w:sz="4" w:space="0" w:color="auto"/>
              <w:right w:val="single" w:sz="4" w:space="0" w:color="auto"/>
            </w:tcBorders>
            <w:hideMark/>
          </w:tcPr>
          <w:p w14:paraId="56CE5E0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5F9B61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47604F8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8E1DC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AGENT EMPLOYES ASSURANCE ET QUALITE</w:t>
            </w:r>
          </w:p>
        </w:tc>
        <w:tc>
          <w:tcPr>
            <w:tcW w:w="1418" w:type="dxa"/>
            <w:tcBorders>
              <w:top w:val="single" w:sz="4" w:space="0" w:color="auto"/>
              <w:left w:val="single" w:sz="4" w:space="0" w:color="auto"/>
              <w:bottom w:val="single" w:sz="4" w:space="0" w:color="auto"/>
              <w:right w:val="single" w:sz="4" w:space="0" w:color="auto"/>
            </w:tcBorders>
            <w:hideMark/>
          </w:tcPr>
          <w:p w14:paraId="03191FE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75EAAF9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EFEEB4F"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4D742F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ASSISTANTE EXECUTIVE DU DIRECTEUR GENERAL</w:t>
            </w:r>
          </w:p>
        </w:tc>
        <w:tc>
          <w:tcPr>
            <w:tcW w:w="1418" w:type="dxa"/>
            <w:tcBorders>
              <w:top w:val="single" w:sz="4" w:space="0" w:color="auto"/>
              <w:left w:val="single" w:sz="4" w:space="0" w:color="auto"/>
              <w:bottom w:val="single" w:sz="4" w:space="0" w:color="auto"/>
              <w:right w:val="single" w:sz="4" w:space="0" w:color="auto"/>
            </w:tcBorders>
            <w:hideMark/>
          </w:tcPr>
          <w:p w14:paraId="6130A03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217E8D4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2B2035C"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95FB9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AUDITEUR QUALITE INTERNE SENIOR</w:t>
            </w:r>
          </w:p>
        </w:tc>
        <w:tc>
          <w:tcPr>
            <w:tcW w:w="1418" w:type="dxa"/>
            <w:tcBorders>
              <w:top w:val="single" w:sz="4" w:space="0" w:color="auto"/>
              <w:left w:val="single" w:sz="4" w:space="0" w:color="auto"/>
              <w:bottom w:val="single" w:sz="4" w:space="0" w:color="auto"/>
              <w:right w:val="single" w:sz="4" w:space="0" w:color="auto"/>
            </w:tcBorders>
            <w:hideMark/>
          </w:tcPr>
          <w:p w14:paraId="68E2553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DEB9B4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49C15C2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237BC3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INSPECTEUR PREVENTION HSE JUNIOR</w:t>
            </w:r>
          </w:p>
        </w:tc>
        <w:tc>
          <w:tcPr>
            <w:tcW w:w="1418" w:type="dxa"/>
            <w:tcBorders>
              <w:top w:val="single" w:sz="4" w:space="0" w:color="auto"/>
              <w:left w:val="single" w:sz="4" w:space="0" w:color="auto"/>
              <w:bottom w:val="single" w:sz="4" w:space="0" w:color="auto"/>
              <w:right w:val="single" w:sz="4" w:space="0" w:color="auto"/>
            </w:tcBorders>
            <w:hideMark/>
          </w:tcPr>
          <w:p w14:paraId="0F3C2AA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123D03A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1714B1E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FA33F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INSTRUCTEUR D'APPLICATION</w:t>
            </w:r>
          </w:p>
        </w:tc>
        <w:tc>
          <w:tcPr>
            <w:tcW w:w="1418" w:type="dxa"/>
            <w:tcBorders>
              <w:top w:val="single" w:sz="4" w:space="0" w:color="auto"/>
              <w:left w:val="single" w:sz="4" w:space="0" w:color="auto"/>
              <w:bottom w:val="single" w:sz="4" w:space="0" w:color="auto"/>
              <w:right w:val="single" w:sz="4" w:space="0" w:color="auto"/>
            </w:tcBorders>
            <w:hideMark/>
          </w:tcPr>
          <w:p w14:paraId="2EA9649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33852CC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7BCE4A5B"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FF9C74F"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MARCHANDISER</w:t>
            </w:r>
          </w:p>
        </w:tc>
        <w:tc>
          <w:tcPr>
            <w:tcW w:w="1418" w:type="dxa"/>
            <w:tcBorders>
              <w:top w:val="single" w:sz="4" w:space="0" w:color="auto"/>
              <w:left w:val="single" w:sz="4" w:space="0" w:color="auto"/>
              <w:bottom w:val="single" w:sz="4" w:space="0" w:color="auto"/>
              <w:right w:val="single" w:sz="4" w:space="0" w:color="auto"/>
            </w:tcBorders>
            <w:hideMark/>
          </w:tcPr>
          <w:p w14:paraId="7C5FD3B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034B537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5B926466"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407798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MODELISTE JUNIOR</w:t>
            </w:r>
          </w:p>
        </w:tc>
        <w:tc>
          <w:tcPr>
            <w:tcW w:w="1418" w:type="dxa"/>
            <w:tcBorders>
              <w:top w:val="single" w:sz="4" w:space="0" w:color="auto"/>
              <w:left w:val="single" w:sz="4" w:space="0" w:color="auto"/>
              <w:bottom w:val="single" w:sz="4" w:space="0" w:color="auto"/>
              <w:right w:val="single" w:sz="4" w:space="0" w:color="auto"/>
            </w:tcBorders>
            <w:hideMark/>
          </w:tcPr>
          <w:p w14:paraId="1DCCF86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5B620CD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5987EB8C"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2278E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ACHATS</w:t>
            </w:r>
          </w:p>
        </w:tc>
        <w:tc>
          <w:tcPr>
            <w:tcW w:w="1418" w:type="dxa"/>
            <w:tcBorders>
              <w:top w:val="single" w:sz="4" w:space="0" w:color="auto"/>
              <w:left w:val="single" w:sz="4" w:space="0" w:color="auto"/>
              <w:bottom w:val="single" w:sz="4" w:space="0" w:color="auto"/>
              <w:right w:val="single" w:sz="4" w:space="0" w:color="auto"/>
            </w:tcBorders>
            <w:hideMark/>
          </w:tcPr>
          <w:p w14:paraId="37859D5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1BF322B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2B9BD61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64399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ACHATS INTERNATIONAUX</w:t>
            </w:r>
          </w:p>
        </w:tc>
        <w:tc>
          <w:tcPr>
            <w:tcW w:w="1418" w:type="dxa"/>
            <w:tcBorders>
              <w:top w:val="single" w:sz="4" w:space="0" w:color="auto"/>
              <w:left w:val="single" w:sz="4" w:space="0" w:color="auto"/>
              <w:bottom w:val="single" w:sz="4" w:space="0" w:color="auto"/>
              <w:right w:val="single" w:sz="4" w:space="0" w:color="auto"/>
            </w:tcBorders>
            <w:hideMark/>
          </w:tcPr>
          <w:p w14:paraId="7603417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1854" w:type="dxa"/>
            <w:tcBorders>
              <w:top w:val="single" w:sz="4" w:space="0" w:color="auto"/>
              <w:left w:val="single" w:sz="4" w:space="0" w:color="auto"/>
              <w:bottom w:val="single" w:sz="4" w:space="0" w:color="auto"/>
              <w:right w:val="single" w:sz="4" w:space="0" w:color="auto"/>
            </w:tcBorders>
            <w:hideMark/>
          </w:tcPr>
          <w:p w14:paraId="75F3F8C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0,7 %</w:t>
            </w:r>
          </w:p>
        </w:tc>
      </w:tr>
      <w:tr w:rsidR="00D00AB2" w:rsidRPr="00D00AB2" w14:paraId="65BF554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471FF1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ACHATS INTERNATIONAUX SENIOR</w:t>
            </w:r>
          </w:p>
        </w:tc>
        <w:tc>
          <w:tcPr>
            <w:tcW w:w="1418" w:type="dxa"/>
            <w:tcBorders>
              <w:top w:val="single" w:sz="4" w:space="0" w:color="auto"/>
              <w:left w:val="single" w:sz="4" w:space="0" w:color="auto"/>
              <w:bottom w:val="single" w:sz="4" w:space="0" w:color="auto"/>
              <w:right w:val="single" w:sz="4" w:space="0" w:color="auto"/>
            </w:tcBorders>
            <w:hideMark/>
          </w:tcPr>
          <w:p w14:paraId="7452CB3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274A3AD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3F1AA17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837F14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ACHATS JUNIOR</w:t>
            </w:r>
          </w:p>
        </w:tc>
        <w:tc>
          <w:tcPr>
            <w:tcW w:w="1418" w:type="dxa"/>
            <w:tcBorders>
              <w:top w:val="single" w:sz="4" w:space="0" w:color="auto"/>
              <w:left w:val="single" w:sz="4" w:space="0" w:color="auto"/>
              <w:bottom w:val="single" w:sz="4" w:space="0" w:color="auto"/>
              <w:right w:val="single" w:sz="4" w:space="0" w:color="auto"/>
            </w:tcBorders>
            <w:hideMark/>
          </w:tcPr>
          <w:p w14:paraId="152FA17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5F50F02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26EA1C1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B08DF8"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ACHATS SENIOR</w:t>
            </w:r>
          </w:p>
        </w:tc>
        <w:tc>
          <w:tcPr>
            <w:tcW w:w="1418" w:type="dxa"/>
            <w:tcBorders>
              <w:top w:val="single" w:sz="4" w:space="0" w:color="auto"/>
              <w:left w:val="single" w:sz="4" w:space="0" w:color="auto"/>
              <w:bottom w:val="single" w:sz="4" w:space="0" w:color="auto"/>
              <w:right w:val="single" w:sz="4" w:space="0" w:color="auto"/>
            </w:tcBorders>
            <w:hideMark/>
          </w:tcPr>
          <w:p w14:paraId="3F43511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8</w:t>
            </w:r>
          </w:p>
        </w:tc>
        <w:tc>
          <w:tcPr>
            <w:tcW w:w="1854" w:type="dxa"/>
            <w:tcBorders>
              <w:top w:val="single" w:sz="4" w:space="0" w:color="auto"/>
              <w:left w:val="single" w:sz="4" w:space="0" w:color="auto"/>
              <w:bottom w:val="single" w:sz="4" w:space="0" w:color="auto"/>
              <w:right w:val="single" w:sz="4" w:space="0" w:color="auto"/>
            </w:tcBorders>
            <w:hideMark/>
          </w:tcPr>
          <w:p w14:paraId="148AABB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2,7 %</w:t>
            </w:r>
          </w:p>
        </w:tc>
      </w:tr>
      <w:tr w:rsidR="00D00AB2" w:rsidRPr="00D00AB2" w14:paraId="6BDF152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456ACF"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BACK OFFICE</w:t>
            </w:r>
          </w:p>
        </w:tc>
        <w:tc>
          <w:tcPr>
            <w:tcW w:w="1418" w:type="dxa"/>
            <w:tcBorders>
              <w:top w:val="single" w:sz="4" w:space="0" w:color="auto"/>
              <w:left w:val="single" w:sz="4" w:space="0" w:color="auto"/>
              <w:bottom w:val="single" w:sz="4" w:space="0" w:color="auto"/>
              <w:right w:val="single" w:sz="4" w:space="0" w:color="auto"/>
            </w:tcBorders>
            <w:hideMark/>
          </w:tcPr>
          <w:p w14:paraId="481F851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1854" w:type="dxa"/>
            <w:tcBorders>
              <w:top w:val="single" w:sz="4" w:space="0" w:color="auto"/>
              <w:left w:val="single" w:sz="4" w:space="0" w:color="auto"/>
              <w:bottom w:val="single" w:sz="4" w:space="0" w:color="auto"/>
              <w:right w:val="single" w:sz="4" w:space="0" w:color="auto"/>
            </w:tcBorders>
            <w:hideMark/>
          </w:tcPr>
          <w:p w14:paraId="7C41301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0,7 %</w:t>
            </w:r>
          </w:p>
        </w:tc>
      </w:tr>
      <w:tr w:rsidR="00D00AB2" w:rsidRPr="00D00AB2" w14:paraId="4EC9B6D0"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3AA27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COMMERCIAL</w:t>
            </w:r>
          </w:p>
        </w:tc>
        <w:tc>
          <w:tcPr>
            <w:tcW w:w="1418" w:type="dxa"/>
            <w:tcBorders>
              <w:top w:val="single" w:sz="4" w:space="0" w:color="auto"/>
              <w:left w:val="single" w:sz="4" w:space="0" w:color="auto"/>
              <w:bottom w:val="single" w:sz="4" w:space="0" w:color="auto"/>
              <w:right w:val="single" w:sz="4" w:space="0" w:color="auto"/>
            </w:tcBorders>
            <w:hideMark/>
          </w:tcPr>
          <w:p w14:paraId="2C77F62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112B8CE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373CEBE5"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77202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COMMERCIAL EXPORT SENIOR</w:t>
            </w:r>
          </w:p>
        </w:tc>
        <w:tc>
          <w:tcPr>
            <w:tcW w:w="1418" w:type="dxa"/>
            <w:tcBorders>
              <w:top w:val="single" w:sz="4" w:space="0" w:color="auto"/>
              <w:left w:val="single" w:sz="4" w:space="0" w:color="auto"/>
              <w:bottom w:val="single" w:sz="4" w:space="0" w:color="auto"/>
              <w:right w:val="single" w:sz="4" w:space="0" w:color="auto"/>
            </w:tcBorders>
            <w:hideMark/>
          </w:tcPr>
          <w:p w14:paraId="141A5DA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w:t>
            </w:r>
          </w:p>
        </w:tc>
        <w:tc>
          <w:tcPr>
            <w:tcW w:w="1854" w:type="dxa"/>
            <w:tcBorders>
              <w:top w:val="single" w:sz="4" w:space="0" w:color="auto"/>
              <w:left w:val="single" w:sz="4" w:space="0" w:color="auto"/>
              <w:bottom w:val="single" w:sz="4" w:space="0" w:color="auto"/>
              <w:right w:val="single" w:sz="4" w:space="0" w:color="auto"/>
            </w:tcBorders>
            <w:hideMark/>
          </w:tcPr>
          <w:p w14:paraId="52879A7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1,3 %</w:t>
            </w:r>
          </w:p>
        </w:tc>
      </w:tr>
      <w:tr w:rsidR="00D00AB2" w:rsidRPr="00D00AB2" w14:paraId="4580D22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73279EC"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COMMERCIAL JUNIOR</w:t>
            </w:r>
          </w:p>
        </w:tc>
        <w:tc>
          <w:tcPr>
            <w:tcW w:w="1418" w:type="dxa"/>
            <w:tcBorders>
              <w:top w:val="single" w:sz="4" w:space="0" w:color="auto"/>
              <w:left w:val="single" w:sz="4" w:space="0" w:color="auto"/>
              <w:bottom w:val="single" w:sz="4" w:space="0" w:color="auto"/>
              <w:right w:val="single" w:sz="4" w:space="0" w:color="auto"/>
            </w:tcBorders>
            <w:hideMark/>
          </w:tcPr>
          <w:p w14:paraId="267C226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33FE6A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79FA79C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A0B56E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COMMERCIAL LOCAL</w:t>
            </w:r>
          </w:p>
        </w:tc>
        <w:tc>
          <w:tcPr>
            <w:tcW w:w="1418" w:type="dxa"/>
            <w:tcBorders>
              <w:top w:val="single" w:sz="4" w:space="0" w:color="auto"/>
              <w:left w:val="single" w:sz="4" w:space="0" w:color="auto"/>
              <w:bottom w:val="single" w:sz="4" w:space="0" w:color="auto"/>
              <w:right w:val="single" w:sz="4" w:space="0" w:color="auto"/>
            </w:tcBorders>
            <w:hideMark/>
          </w:tcPr>
          <w:p w14:paraId="20118488"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5B161A4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55D7326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1E56F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COMMERCIAL LOCAL SENIOR</w:t>
            </w:r>
          </w:p>
        </w:tc>
        <w:tc>
          <w:tcPr>
            <w:tcW w:w="1418" w:type="dxa"/>
            <w:tcBorders>
              <w:top w:val="single" w:sz="4" w:space="0" w:color="auto"/>
              <w:left w:val="single" w:sz="4" w:space="0" w:color="auto"/>
              <w:bottom w:val="single" w:sz="4" w:space="0" w:color="auto"/>
              <w:right w:val="single" w:sz="4" w:space="0" w:color="auto"/>
            </w:tcBorders>
            <w:hideMark/>
          </w:tcPr>
          <w:p w14:paraId="3BFAA72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19EA8AB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14A2E97B"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B5FA5A"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COMMUNICATION INTERNE</w:t>
            </w:r>
          </w:p>
        </w:tc>
        <w:tc>
          <w:tcPr>
            <w:tcW w:w="1418" w:type="dxa"/>
            <w:tcBorders>
              <w:top w:val="single" w:sz="4" w:space="0" w:color="auto"/>
              <w:left w:val="single" w:sz="4" w:space="0" w:color="auto"/>
              <w:bottom w:val="single" w:sz="4" w:space="0" w:color="auto"/>
              <w:right w:val="single" w:sz="4" w:space="0" w:color="auto"/>
            </w:tcBorders>
            <w:hideMark/>
          </w:tcPr>
          <w:p w14:paraId="4F52337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1F8D8E9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18CAE42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E3CBE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COMPTABILITE</w:t>
            </w:r>
          </w:p>
        </w:tc>
        <w:tc>
          <w:tcPr>
            <w:tcW w:w="1418" w:type="dxa"/>
            <w:tcBorders>
              <w:top w:val="single" w:sz="4" w:space="0" w:color="auto"/>
              <w:left w:val="single" w:sz="4" w:space="0" w:color="auto"/>
              <w:bottom w:val="single" w:sz="4" w:space="0" w:color="auto"/>
              <w:right w:val="single" w:sz="4" w:space="0" w:color="auto"/>
            </w:tcBorders>
            <w:hideMark/>
          </w:tcPr>
          <w:p w14:paraId="6611596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42A0402D"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3D70B8E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A0666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lastRenderedPageBreak/>
              <w:t>SPECIALISTE COMPTABILITE JUNIOR</w:t>
            </w:r>
          </w:p>
        </w:tc>
        <w:tc>
          <w:tcPr>
            <w:tcW w:w="1418" w:type="dxa"/>
            <w:tcBorders>
              <w:top w:val="single" w:sz="4" w:space="0" w:color="auto"/>
              <w:left w:val="single" w:sz="4" w:space="0" w:color="auto"/>
              <w:bottom w:val="single" w:sz="4" w:space="0" w:color="auto"/>
              <w:right w:val="single" w:sz="4" w:space="0" w:color="auto"/>
            </w:tcBorders>
            <w:hideMark/>
          </w:tcPr>
          <w:p w14:paraId="3685E91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A4B14F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EC4DA4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8732A7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COMPTABILITE SENIOR</w:t>
            </w:r>
          </w:p>
        </w:tc>
        <w:tc>
          <w:tcPr>
            <w:tcW w:w="1418" w:type="dxa"/>
            <w:tcBorders>
              <w:top w:val="single" w:sz="4" w:space="0" w:color="auto"/>
              <w:left w:val="single" w:sz="4" w:space="0" w:color="auto"/>
              <w:bottom w:val="single" w:sz="4" w:space="0" w:color="auto"/>
              <w:right w:val="single" w:sz="4" w:space="0" w:color="auto"/>
            </w:tcBorders>
            <w:hideMark/>
          </w:tcPr>
          <w:p w14:paraId="65313DA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2D16CD0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44AA50DC"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F6302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CONFECTION</w:t>
            </w:r>
          </w:p>
        </w:tc>
        <w:tc>
          <w:tcPr>
            <w:tcW w:w="1418" w:type="dxa"/>
            <w:tcBorders>
              <w:top w:val="single" w:sz="4" w:space="0" w:color="auto"/>
              <w:left w:val="single" w:sz="4" w:space="0" w:color="auto"/>
              <w:bottom w:val="single" w:sz="4" w:space="0" w:color="auto"/>
              <w:right w:val="single" w:sz="4" w:space="0" w:color="auto"/>
            </w:tcBorders>
            <w:hideMark/>
          </w:tcPr>
          <w:p w14:paraId="3FA3278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w:t>
            </w:r>
          </w:p>
        </w:tc>
        <w:tc>
          <w:tcPr>
            <w:tcW w:w="1854" w:type="dxa"/>
            <w:tcBorders>
              <w:top w:val="single" w:sz="4" w:space="0" w:color="auto"/>
              <w:left w:val="single" w:sz="4" w:space="0" w:color="auto"/>
              <w:bottom w:val="single" w:sz="4" w:space="0" w:color="auto"/>
              <w:right w:val="single" w:sz="4" w:space="0" w:color="auto"/>
            </w:tcBorders>
            <w:hideMark/>
          </w:tcPr>
          <w:p w14:paraId="712F750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1,3 %</w:t>
            </w:r>
          </w:p>
        </w:tc>
      </w:tr>
      <w:tr w:rsidR="00D00AB2" w:rsidRPr="00D00AB2" w14:paraId="5583E5B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4ECD95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CONFECTION SENIOR</w:t>
            </w:r>
          </w:p>
        </w:tc>
        <w:tc>
          <w:tcPr>
            <w:tcW w:w="1418" w:type="dxa"/>
            <w:tcBorders>
              <w:top w:val="single" w:sz="4" w:space="0" w:color="auto"/>
              <w:left w:val="single" w:sz="4" w:space="0" w:color="auto"/>
              <w:bottom w:val="single" w:sz="4" w:space="0" w:color="auto"/>
              <w:right w:val="single" w:sz="4" w:space="0" w:color="auto"/>
            </w:tcBorders>
            <w:hideMark/>
          </w:tcPr>
          <w:p w14:paraId="1D5BD60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672D723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30AE380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0FDA9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CONTROLE DE GESTION INDUSTRIEL JUNIOR</w:t>
            </w:r>
          </w:p>
        </w:tc>
        <w:tc>
          <w:tcPr>
            <w:tcW w:w="1418" w:type="dxa"/>
            <w:tcBorders>
              <w:top w:val="single" w:sz="4" w:space="0" w:color="auto"/>
              <w:left w:val="single" w:sz="4" w:space="0" w:color="auto"/>
              <w:bottom w:val="single" w:sz="4" w:space="0" w:color="auto"/>
              <w:right w:val="single" w:sz="4" w:space="0" w:color="auto"/>
            </w:tcBorders>
            <w:hideMark/>
          </w:tcPr>
          <w:p w14:paraId="3B40E50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39E72FD"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17032A01"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A7BEB5"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DEVELOPPEMENT COMMERCIAL</w:t>
            </w:r>
          </w:p>
        </w:tc>
        <w:tc>
          <w:tcPr>
            <w:tcW w:w="1418" w:type="dxa"/>
            <w:tcBorders>
              <w:top w:val="single" w:sz="4" w:space="0" w:color="auto"/>
              <w:left w:val="single" w:sz="4" w:space="0" w:color="auto"/>
              <w:bottom w:val="single" w:sz="4" w:space="0" w:color="auto"/>
              <w:right w:val="single" w:sz="4" w:space="0" w:color="auto"/>
            </w:tcBorders>
            <w:hideMark/>
          </w:tcPr>
          <w:p w14:paraId="0C4BE3A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9</w:t>
            </w:r>
          </w:p>
        </w:tc>
        <w:tc>
          <w:tcPr>
            <w:tcW w:w="1854" w:type="dxa"/>
            <w:tcBorders>
              <w:top w:val="single" w:sz="4" w:space="0" w:color="auto"/>
              <w:left w:val="single" w:sz="4" w:space="0" w:color="auto"/>
              <w:bottom w:val="single" w:sz="4" w:space="0" w:color="auto"/>
              <w:right w:val="single" w:sz="4" w:space="0" w:color="auto"/>
            </w:tcBorders>
            <w:hideMark/>
          </w:tcPr>
          <w:p w14:paraId="56690C2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3,0 %</w:t>
            </w:r>
          </w:p>
        </w:tc>
      </w:tr>
      <w:tr w:rsidR="00D00AB2" w:rsidRPr="00D00AB2" w14:paraId="33AC443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F6F1DEF"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DEVELOPPEMENT IT</w:t>
            </w:r>
          </w:p>
        </w:tc>
        <w:tc>
          <w:tcPr>
            <w:tcW w:w="1418" w:type="dxa"/>
            <w:tcBorders>
              <w:top w:val="single" w:sz="4" w:space="0" w:color="auto"/>
              <w:left w:val="single" w:sz="4" w:space="0" w:color="auto"/>
              <w:bottom w:val="single" w:sz="4" w:space="0" w:color="auto"/>
              <w:right w:val="single" w:sz="4" w:space="0" w:color="auto"/>
            </w:tcBorders>
            <w:hideMark/>
          </w:tcPr>
          <w:p w14:paraId="14DC552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63BBB8C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68A83EB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C1EC5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DEVELOPPEMENT IT JUNIOR</w:t>
            </w:r>
          </w:p>
        </w:tc>
        <w:tc>
          <w:tcPr>
            <w:tcW w:w="1418" w:type="dxa"/>
            <w:tcBorders>
              <w:top w:val="single" w:sz="4" w:space="0" w:color="auto"/>
              <w:left w:val="single" w:sz="4" w:space="0" w:color="auto"/>
              <w:bottom w:val="single" w:sz="4" w:space="0" w:color="auto"/>
              <w:right w:val="single" w:sz="4" w:space="0" w:color="auto"/>
            </w:tcBorders>
            <w:hideMark/>
          </w:tcPr>
          <w:p w14:paraId="149490D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2285234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D4EDC4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7A514A"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DEVELOPPEMENT IT SENIOR</w:t>
            </w:r>
          </w:p>
        </w:tc>
        <w:tc>
          <w:tcPr>
            <w:tcW w:w="1418" w:type="dxa"/>
            <w:tcBorders>
              <w:top w:val="single" w:sz="4" w:space="0" w:color="auto"/>
              <w:left w:val="single" w:sz="4" w:space="0" w:color="auto"/>
              <w:bottom w:val="single" w:sz="4" w:space="0" w:color="auto"/>
              <w:right w:val="single" w:sz="4" w:space="0" w:color="auto"/>
            </w:tcBorders>
            <w:hideMark/>
          </w:tcPr>
          <w:p w14:paraId="048D4BD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3BA252C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435563E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564B7C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DEVELOPPEMENT RESSOURCES HUMAINES ET FORMATION SENIOR</w:t>
            </w:r>
          </w:p>
        </w:tc>
        <w:tc>
          <w:tcPr>
            <w:tcW w:w="1418" w:type="dxa"/>
            <w:tcBorders>
              <w:top w:val="single" w:sz="4" w:space="0" w:color="auto"/>
              <w:left w:val="single" w:sz="4" w:space="0" w:color="auto"/>
              <w:bottom w:val="single" w:sz="4" w:space="0" w:color="auto"/>
              <w:right w:val="single" w:sz="4" w:space="0" w:color="auto"/>
            </w:tcBorders>
          </w:tcPr>
          <w:p w14:paraId="73EA308A" w14:textId="77777777" w:rsidR="00D00AB2" w:rsidRPr="00D00AB2" w:rsidRDefault="00D00AB2" w:rsidP="00D00AB2">
            <w:pPr>
              <w:spacing w:after="160" w:line="259" w:lineRule="auto"/>
              <w:jc w:val="center"/>
              <w:rPr>
                <w:rFonts w:eastAsia="Calibri" w:cstheme="majorBidi"/>
                <w:sz w:val="22"/>
              </w:rPr>
            </w:pPr>
          </w:p>
          <w:p w14:paraId="7A551EA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w:t>
            </w:r>
          </w:p>
        </w:tc>
        <w:tc>
          <w:tcPr>
            <w:tcW w:w="1854" w:type="dxa"/>
            <w:tcBorders>
              <w:top w:val="single" w:sz="4" w:space="0" w:color="auto"/>
              <w:left w:val="single" w:sz="4" w:space="0" w:color="auto"/>
              <w:bottom w:val="single" w:sz="4" w:space="0" w:color="auto"/>
              <w:right w:val="single" w:sz="4" w:space="0" w:color="auto"/>
            </w:tcBorders>
            <w:hideMark/>
          </w:tcPr>
          <w:p w14:paraId="2E851A7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1,0 %</w:t>
            </w:r>
          </w:p>
        </w:tc>
      </w:tr>
      <w:tr w:rsidR="00D00AB2" w:rsidRPr="00D00AB2" w14:paraId="4CD0F98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E68DDA"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D'INFOGRAPHIE SENIOR</w:t>
            </w:r>
          </w:p>
        </w:tc>
        <w:tc>
          <w:tcPr>
            <w:tcW w:w="1418" w:type="dxa"/>
            <w:tcBorders>
              <w:top w:val="single" w:sz="4" w:space="0" w:color="auto"/>
              <w:left w:val="single" w:sz="4" w:space="0" w:color="auto"/>
              <w:bottom w:val="single" w:sz="4" w:space="0" w:color="auto"/>
              <w:right w:val="single" w:sz="4" w:space="0" w:color="auto"/>
            </w:tcBorders>
            <w:hideMark/>
          </w:tcPr>
          <w:p w14:paraId="50DCC47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406A65D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2B6E746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801EB38"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ENTREPOTS ET EXPEDITION SENIOR</w:t>
            </w:r>
          </w:p>
        </w:tc>
        <w:tc>
          <w:tcPr>
            <w:tcW w:w="1418" w:type="dxa"/>
            <w:tcBorders>
              <w:top w:val="single" w:sz="4" w:space="0" w:color="auto"/>
              <w:left w:val="single" w:sz="4" w:space="0" w:color="auto"/>
              <w:bottom w:val="single" w:sz="4" w:space="0" w:color="auto"/>
              <w:right w:val="single" w:sz="4" w:space="0" w:color="auto"/>
            </w:tcBorders>
            <w:hideMark/>
          </w:tcPr>
          <w:p w14:paraId="4CA96CC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1ABEF94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7F27AE0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74A288"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ENVIRENNEMENT SENIOR</w:t>
            </w:r>
          </w:p>
        </w:tc>
        <w:tc>
          <w:tcPr>
            <w:tcW w:w="1418" w:type="dxa"/>
            <w:tcBorders>
              <w:top w:val="single" w:sz="4" w:space="0" w:color="auto"/>
              <w:left w:val="single" w:sz="4" w:space="0" w:color="auto"/>
              <w:bottom w:val="single" w:sz="4" w:space="0" w:color="auto"/>
              <w:right w:val="single" w:sz="4" w:space="0" w:color="auto"/>
            </w:tcBorders>
            <w:hideMark/>
          </w:tcPr>
          <w:p w14:paraId="608C12B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78B627F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4150803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04D370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ERP</w:t>
            </w:r>
          </w:p>
        </w:tc>
        <w:tc>
          <w:tcPr>
            <w:tcW w:w="1418" w:type="dxa"/>
            <w:tcBorders>
              <w:top w:val="single" w:sz="4" w:space="0" w:color="auto"/>
              <w:left w:val="single" w:sz="4" w:space="0" w:color="auto"/>
              <w:bottom w:val="single" w:sz="4" w:space="0" w:color="auto"/>
              <w:right w:val="single" w:sz="4" w:space="0" w:color="auto"/>
            </w:tcBorders>
            <w:hideMark/>
          </w:tcPr>
          <w:p w14:paraId="1D44458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8</w:t>
            </w:r>
          </w:p>
        </w:tc>
        <w:tc>
          <w:tcPr>
            <w:tcW w:w="1854" w:type="dxa"/>
            <w:tcBorders>
              <w:top w:val="single" w:sz="4" w:space="0" w:color="auto"/>
              <w:left w:val="single" w:sz="4" w:space="0" w:color="auto"/>
              <w:bottom w:val="single" w:sz="4" w:space="0" w:color="auto"/>
              <w:right w:val="single" w:sz="4" w:space="0" w:color="auto"/>
            </w:tcBorders>
            <w:hideMark/>
          </w:tcPr>
          <w:p w14:paraId="5F2C4B4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2,7 %</w:t>
            </w:r>
          </w:p>
        </w:tc>
      </w:tr>
      <w:tr w:rsidR="00D00AB2" w:rsidRPr="00D00AB2" w14:paraId="25FD69B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548CC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ERP SENIOR</w:t>
            </w:r>
          </w:p>
        </w:tc>
        <w:tc>
          <w:tcPr>
            <w:tcW w:w="1418" w:type="dxa"/>
            <w:tcBorders>
              <w:top w:val="single" w:sz="4" w:space="0" w:color="auto"/>
              <w:left w:val="single" w:sz="4" w:space="0" w:color="auto"/>
              <w:bottom w:val="single" w:sz="4" w:space="0" w:color="auto"/>
              <w:right w:val="single" w:sz="4" w:space="0" w:color="auto"/>
            </w:tcBorders>
            <w:hideMark/>
          </w:tcPr>
          <w:p w14:paraId="6EA8DE3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w:t>
            </w:r>
          </w:p>
        </w:tc>
        <w:tc>
          <w:tcPr>
            <w:tcW w:w="1854" w:type="dxa"/>
            <w:tcBorders>
              <w:top w:val="single" w:sz="4" w:space="0" w:color="auto"/>
              <w:left w:val="single" w:sz="4" w:space="0" w:color="auto"/>
              <w:bottom w:val="single" w:sz="4" w:space="0" w:color="auto"/>
              <w:right w:val="single" w:sz="4" w:space="0" w:color="auto"/>
            </w:tcBorders>
            <w:hideMark/>
          </w:tcPr>
          <w:p w14:paraId="5F60F75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2,0 %</w:t>
            </w:r>
          </w:p>
        </w:tc>
      </w:tr>
      <w:tr w:rsidR="00D00AB2" w:rsidRPr="00D00AB2" w14:paraId="2C1243FF"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CCA823"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FINANCES</w:t>
            </w:r>
          </w:p>
        </w:tc>
        <w:tc>
          <w:tcPr>
            <w:tcW w:w="1418" w:type="dxa"/>
            <w:tcBorders>
              <w:top w:val="single" w:sz="4" w:space="0" w:color="auto"/>
              <w:left w:val="single" w:sz="4" w:space="0" w:color="auto"/>
              <w:bottom w:val="single" w:sz="4" w:space="0" w:color="auto"/>
              <w:right w:val="single" w:sz="4" w:space="0" w:color="auto"/>
            </w:tcBorders>
            <w:hideMark/>
          </w:tcPr>
          <w:p w14:paraId="175AEB5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1603D51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3465A87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C75E6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FINANCES JUNIOR</w:t>
            </w:r>
          </w:p>
        </w:tc>
        <w:tc>
          <w:tcPr>
            <w:tcW w:w="1418" w:type="dxa"/>
            <w:tcBorders>
              <w:top w:val="single" w:sz="4" w:space="0" w:color="auto"/>
              <w:left w:val="single" w:sz="4" w:space="0" w:color="auto"/>
              <w:bottom w:val="single" w:sz="4" w:space="0" w:color="auto"/>
              <w:right w:val="single" w:sz="4" w:space="0" w:color="auto"/>
            </w:tcBorders>
            <w:hideMark/>
          </w:tcPr>
          <w:p w14:paraId="227DB4A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B87D0E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ED194B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FC13A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FORMATION ET DÉVELOPPEMENT RH</w:t>
            </w:r>
          </w:p>
        </w:tc>
        <w:tc>
          <w:tcPr>
            <w:tcW w:w="1418" w:type="dxa"/>
            <w:tcBorders>
              <w:top w:val="single" w:sz="4" w:space="0" w:color="auto"/>
              <w:left w:val="single" w:sz="4" w:space="0" w:color="auto"/>
              <w:bottom w:val="single" w:sz="4" w:space="0" w:color="auto"/>
              <w:right w:val="single" w:sz="4" w:space="0" w:color="auto"/>
            </w:tcBorders>
            <w:hideMark/>
          </w:tcPr>
          <w:p w14:paraId="738AB94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1854" w:type="dxa"/>
            <w:tcBorders>
              <w:top w:val="single" w:sz="4" w:space="0" w:color="auto"/>
              <w:left w:val="single" w:sz="4" w:space="0" w:color="auto"/>
              <w:bottom w:val="single" w:sz="4" w:space="0" w:color="auto"/>
              <w:right w:val="single" w:sz="4" w:space="0" w:color="auto"/>
            </w:tcBorders>
            <w:hideMark/>
          </w:tcPr>
          <w:p w14:paraId="2BF2707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0,7 %</w:t>
            </w:r>
          </w:p>
        </w:tc>
      </w:tr>
      <w:tr w:rsidR="00D00AB2" w:rsidRPr="00D00AB2" w14:paraId="1B9D869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9432A9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GESTION DE STOCK</w:t>
            </w:r>
          </w:p>
        </w:tc>
        <w:tc>
          <w:tcPr>
            <w:tcW w:w="1418" w:type="dxa"/>
            <w:tcBorders>
              <w:top w:val="single" w:sz="4" w:space="0" w:color="auto"/>
              <w:left w:val="single" w:sz="4" w:space="0" w:color="auto"/>
              <w:bottom w:val="single" w:sz="4" w:space="0" w:color="auto"/>
              <w:right w:val="single" w:sz="4" w:space="0" w:color="auto"/>
            </w:tcBorders>
            <w:hideMark/>
          </w:tcPr>
          <w:p w14:paraId="40C6A5B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w:t>
            </w:r>
          </w:p>
        </w:tc>
        <w:tc>
          <w:tcPr>
            <w:tcW w:w="1854" w:type="dxa"/>
            <w:tcBorders>
              <w:top w:val="single" w:sz="4" w:space="0" w:color="auto"/>
              <w:left w:val="single" w:sz="4" w:space="0" w:color="auto"/>
              <w:bottom w:val="single" w:sz="4" w:space="0" w:color="auto"/>
              <w:right w:val="single" w:sz="4" w:space="0" w:color="auto"/>
            </w:tcBorders>
            <w:hideMark/>
          </w:tcPr>
          <w:p w14:paraId="1FD0782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3,3 %</w:t>
            </w:r>
          </w:p>
        </w:tc>
      </w:tr>
      <w:tr w:rsidR="00D00AB2" w:rsidRPr="00D00AB2" w14:paraId="470375FD" w14:textId="77777777" w:rsidTr="00AB5B0B">
        <w:trPr>
          <w:trHeight w:val="567"/>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4151AF"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GESTION DE STOCK JUNIOR</w:t>
            </w:r>
          </w:p>
        </w:tc>
        <w:tc>
          <w:tcPr>
            <w:tcW w:w="1418" w:type="dxa"/>
            <w:tcBorders>
              <w:top w:val="single" w:sz="4" w:space="0" w:color="auto"/>
              <w:left w:val="single" w:sz="4" w:space="0" w:color="auto"/>
              <w:bottom w:val="single" w:sz="4" w:space="0" w:color="auto"/>
              <w:right w:val="single" w:sz="4" w:space="0" w:color="auto"/>
            </w:tcBorders>
            <w:hideMark/>
          </w:tcPr>
          <w:p w14:paraId="35E75F98"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w:t>
            </w:r>
          </w:p>
        </w:tc>
        <w:tc>
          <w:tcPr>
            <w:tcW w:w="1854" w:type="dxa"/>
            <w:tcBorders>
              <w:top w:val="single" w:sz="4" w:space="0" w:color="auto"/>
              <w:left w:val="single" w:sz="4" w:space="0" w:color="auto"/>
              <w:bottom w:val="single" w:sz="4" w:space="0" w:color="auto"/>
              <w:right w:val="single" w:sz="4" w:space="0" w:color="auto"/>
            </w:tcBorders>
            <w:hideMark/>
          </w:tcPr>
          <w:p w14:paraId="084B2CD4"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0,3 %</w:t>
            </w:r>
          </w:p>
        </w:tc>
      </w:tr>
      <w:tr w:rsidR="00D00AB2" w:rsidRPr="00D00AB2" w14:paraId="2158CED1"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D254DB"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HSE</w:t>
            </w:r>
          </w:p>
        </w:tc>
        <w:tc>
          <w:tcPr>
            <w:tcW w:w="1418" w:type="dxa"/>
            <w:tcBorders>
              <w:top w:val="single" w:sz="4" w:space="0" w:color="auto"/>
              <w:left w:val="single" w:sz="4" w:space="0" w:color="auto"/>
              <w:bottom w:val="single" w:sz="4" w:space="0" w:color="auto"/>
              <w:right w:val="single" w:sz="4" w:space="0" w:color="auto"/>
            </w:tcBorders>
            <w:hideMark/>
          </w:tcPr>
          <w:p w14:paraId="220E4F9E"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8</w:t>
            </w:r>
          </w:p>
        </w:tc>
        <w:tc>
          <w:tcPr>
            <w:tcW w:w="1854" w:type="dxa"/>
            <w:tcBorders>
              <w:top w:val="single" w:sz="4" w:space="0" w:color="auto"/>
              <w:left w:val="single" w:sz="4" w:space="0" w:color="auto"/>
              <w:bottom w:val="single" w:sz="4" w:space="0" w:color="auto"/>
              <w:right w:val="single" w:sz="4" w:space="0" w:color="auto"/>
            </w:tcBorders>
            <w:hideMark/>
          </w:tcPr>
          <w:p w14:paraId="1A113632"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2,7 %</w:t>
            </w:r>
          </w:p>
        </w:tc>
      </w:tr>
      <w:tr w:rsidR="00D00AB2" w:rsidRPr="00D00AB2" w14:paraId="72F78E9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702F9AC"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IMPORT-EXPORT JUNIOR</w:t>
            </w:r>
          </w:p>
        </w:tc>
        <w:tc>
          <w:tcPr>
            <w:tcW w:w="1418" w:type="dxa"/>
            <w:tcBorders>
              <w:top w:val="single" w:sz="4" w:space="0" w:color="auto"/>
              <w:left w:val="single" w:sz="4" w:space="0" w:color="auto"/>
              <w:bottom w:val="single" w:sz="4" w:space="0" w:color="auto"/>
              <w:right w:val="single" w:sz="4" w:space="0" w:color="auto"/>
            </w:tcBorders>
            <w:hideMark/>
          </w:tcPr>
          <w:p w14:paraId="78311BD7"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0F05F793"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1,7 %</w:t>
            </w:r>
          </w:p>
        </w:tc>
      </w:tr>
      <w:tr w:rsidR="00D00AB2" w:rsidRPr="00D00AB2" w14:paraId="5CBEB22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269FBC"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IMPRESSION</w:t>
            </w:r>
          </w:p>
        </w:tc>
        <w:tc>
          <w:tcPr>
            <w:tcW w:w="1418" w:type="dxa"/>
            <w:tcBorders>
              <w:top w:val="single" w:sz="4" w:space="0" w:color="auto"/>
              <w:left w:val="single" w:sz="4" w:space="0" w:color="auto"/>
              <w:bottom w:val="single" w:sz="4" w:space="0" w:color="auto"/>
              <w:right w:val="single" w:sz="4" w:space="0" w:color="auto"/>
            </w:tcBorders>
            <w:hideMark/>
          </w:tcPr>
          <w:p w14:paraId="4ACAB774"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5DECB3E8"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1,7 %</w:t>
            </w:r>
          </w:p>
        </w:tc>
      </w:tr>
      <w:tr w:rsidR="00D00AB2" w:rsidRPr="00D00AB2" w14:paraId="291AF837"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C5916F"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INTERVENTION HSE SENIOR</w:t>
            </w:r>
          </w:p>
        </w:tc>
        <w:tc>
          <w:tcPr>
            <w:tcW w:w="1418" w:type="dxa"/>
            <w:tcBorders>
              <w:top w:val="single" w:sz="4" w:space="0" w:color="auto"/>
              <w:left w:val="single" w:sz="4" w:space="0" w:color="auto"/>
              <w:bottom w:val="single" w:sz="4" w:space="0" w:color="auto"/>
              <w:right w:val="single" w:sz="4" w:space="0" w:color="auto"/>
            </w:tcBorders>
            <w:hideMark/>
          </w:tcPr>
          <w:p w14:paraId="28690E31"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10</w:t>
            </w:r>
          </w:p>
        </w:tc>
        <w:tc>
          <w:tcPr>
            <w:tcW w:w="1854" w:type="dxa"/>
            <w:tcBorders>
              <w:top w:val="single" w:sz="4" w:space="0" w:color="auto"/>
              <w:left w:val="single" w:sz="4" w:space="0" w:color="auto"/>
              <w:bottom w:val="single" w:sz="4" w:space="0" w:color="auto"/>
              <w:right w:val="single" w:sz="4" w:space="0" w:color="auto"/>
            </w:tcBorders>
            <w:hideMark/>
          </w:tcPr>
          <w:p w14:paraId="6152307C"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3,3 %</w:t>
            </w:r>
          </w:p>
        </w:tc>
      </w:tr>
      <w:tr w:rsidR="00D00AB2" w:rsidRPr="00D00AB2" w14:paraId="552DF5B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AB1106E"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IT</w:t>
            </w:r>
          </w:p>
        </w:tc>
        <w:tc>
          <w:tcPr>
            <w:tcW w:w="1418" w:type="dxa"/>
            <w:tcBorders>
              <w:top w:val="single" w:sz="4" w:space="0" w:color="auto"/>
              <w:left w:val="single" w:sz="4" w:space="0" w:color="auto"/>
              <w:bottom w:val="single" w:sz="4" w:space="0" w:color="auto"/>
              <w:right w:val="single" w:sz="4" w:space="0" w:color="auto"/>
            </w:tcBorders>
            <w:hideMark/>
          </w:tcPr>
          <w:p w14:paraId="45CFF326"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55AFD291"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1,3 %</w:t>
            </w:r>
          </w:p>
        </w:tc>
      </w:tr>
      <w:tr w:rsidR="00D00AB2" w:rsidRPr="00D00AB2" w14:paraId="1892E0DB"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F395788"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IT SENIOR</w:t>
            </w:r>
          </w:p>
        </w:tc>
        <w:tc>
          <w:tcPr>
            <w:tcW w:w="1418" w:type="dxa"/>
            <w:tcBorders>
              <w:top w:val="single" w:sz="4" w:space="0" w:color="auto"/>
              <w:left w:val="single" w:sz="4" w:space="0" w:color="auto"/>
              <w:bottom w:val="single" w:sz="4" w:space="0" w:color="auto"/>
              <w:right w:val="single" w:sz="4" w:space="0" w:color="auto"/>
            </w:tcBorders>
            <w:hideMark/>
          </w:tcPr>
          <w:p w14:paraId="35DFF09F"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6B1ED30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1,7 %</w:t>
            </w:r>
          </w:p>
        </w:tc>
      </w:tr>
      <w:tr w:rsidR="00D00AB2" w:rsidRPr="00D00AB2" w14:paraId="0F51AAF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5C8EA47"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JURIDIQUE</w:t>
            </w:r>
          </w:p>
        </w:tc>
        <w:tc>
          <w:tcPr>
            <w:tcW w:w="1418" w:type="dxa"/>
            <w:tcBorders>
              <w:top w:val="single" w:sz="4" w:space="0" w:color="auto"/>
              <w:left w:val="single" w:sz="4" w:space="0" w:color="auto"/>
              <w:bottom w:val="single" w:sz="4" w:space="0" w:color="auto"/>
              <w:right w:val="single" w:sz="4" w:space="0" w:color="auto"/>
            </w:tcBorders>
            <w:hideMark/>
          </w:tcPr>
          <w:p w14:paraId="17D092E4"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2</w:t>
            </w:r>
          </w:p>
        </w:tc>
        <w:tc>
          <w:tcPr>
            <w:tcW w:w="1854" w:type="dxa"/>
            <w:tcBorders>
              <w:top w:val="single" w:sz="4" w:space="0" w:color="auto"/>
              <w:left w:val="single" w:sz="4" w:space="0" w:color="auto"/>
              <w:bottom w:val="single" w:sz="4" w:space="0" w:color="auto"/>
              <w:right w:val="single" w:sz="4" w:space="0" w:color="auto"/>
            </w:tcBorders>
            <w:hideMark/>
          </w:tcPr>
          <w:p w14:paraId="379FFA4A"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0,7 %</w:t>
            </w:r>
          </w:p>
        </w:tc>
      </w:tr>
      <w:tr w:rsidR="00D00AB2" w:rsidRPr="00D00AB2" w14:paraId="5DE206C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B18CDE0"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JURIDIQUE SENIOR</w:t>
            </w:r>
          </w:p>
        </w:tc>
        <w:tc>
          <w:tcPr>
            <w:tcW w:w="1418" w:type="dxa"/>
            <w:tcBorders>
              <w:top w:val="single" w:sz="4" w:space="0" w:color="auto"/>
              <w:left w:val="single" w:sz="4" w:space="0" w:color="auto"/>
              <w:bottom w:val="single" w:sz="4" w:space="0" w:color="auto"/>
              <w:right w:val="single" w:sz="4" w:space="0" w:color="auto"/>
            </w:tcBorders>
            <w:hideMark/>
          </w:tcPr>
          <w:p w14:paraId="119EE5CA"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17E240F0"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1,3 %</w:t>
            </w:r>
          </w:p>
        </w:tc>
      </w:tr>
      <w:tr w:rsidR="00D00AB2" w:rsidRPr="00D00AB2" w14:paraId="7B0AC4DB"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32A3CEF"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MARKETING</w:t>
            </w:r>
          </w:p>
        </w:tc>
        <w:tc>
          <w:tcPr>
            <w:tcW w:w="1418" w:type="dxa"/>
            <w:tcBorders>
              <w:top w:val="single" w:sz="4" w:space="0" w:color="auto"/>
              <w:left w:val="single" w:sz="4" w:space="0" w:color="auto"/>
              <w:bottom w:val="single" w:sz="4" w:space="0" w:color="auto"/>
              <w:right w:val="single" w:sz="4" w:space="0" w:color="auto"/>
            </w:tcBorders>
            <w:hideMark/>
          </w:tcPr>
          <w:p w14:paraId="46706B5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6</w:t>
            </w:r>
          </w:p>
        </w:tc>
        <w:tc>
          <w:tcPr>
            <w:tcW w:w="1854" w:type="dxa"/>
            <w:tcBorders>
              <w:top w:val="single" w:sz="4" w:space="0" w:color="auto"/>
              <w:left w:val="single" w:sz="4" w:space="0" w:color="auto"/>
              <w:bottom w:val="single" w:sz="4" w:space="0" w:color="auto"/>
              <w:right w:val="single" w:sz="4" w:space="0" w:color="auto"/>
            </w:tcBorders>
            <w:hideMark/>
          </w:tcPr>
          <w:p w14:paraId="61D31CF5"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2,0 %</w:t>
            </w:r>
          </w:p>
        </w:tc>
      </w:tr>
      <w:tr w:rsidR="00D00AB2" w:rsidRPr="00D00AB2" w14:paraId="6093D16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72F0E4D"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lastRenderedPageBreak/>
              <w:t>SPECIALISTE MOYENS GENERAUX</w:t>
            </w:r>
          </w:p>
        </w:tc>
        <w:tc>
          <w:tcPr>
            <w:tcW w:w="1418" w:type="dxa"/>
            <w:tcBorders>
              <w:top w:val="single" w:sz="4" w:space="0" w:color="auto"/>
              <w:left w:val="single" w:sz="4" w:space="0" w:color="auto"/>
              <w:bottom w:val="single" w:sz="4" w:space="0" w:color="auto"/>
              <w:right w:val="single" w:sz="4" w:space="0" w:color="auto"/>
            </w:tcBorders>
            <w:hideMark/>
          </w:tcPr>
          <w:p w14:paraId="13448CD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47DC1163"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1,3 %</w:t>
            </w:r>
          </w:p>
        </w:tc>
      </w:tr>
      <w:tr w:rsidR="00D00AB2" w:rsidRPr="00D00AB2" w14:paraId="582294C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1D5B02B"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MOYENS GENERAUX SENIOR</w:t>
            </w:r>
          </w:p>
        </w:tc>
        <w:tc>
          <w:tcPr>
            <w:tcW w:w="1418" w:type="dxa"/>
            <w:tcBorders>
              <w:top w:val="single" w:sz="4" w:space="0" w:color="auto"/>
              <w:left w:val="single" w:sz="4" w:space="0" w:color="auto"/>
              <w:bottom w:val="single" w:sz="4" w:space="0" w:color="auto"/>
              <w:right w:val="single" w:sz="4" w:space="0" w:color="auto"/>
            </w:tcBorders>
            <w:hideMark/>
          </w:tcPr>
          <w:p w14:paraId="1DD4213D"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6E0BDCCD"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1,7 %</w:t>
            </w:r>
          </w:p>
        </w:tc>
      </w:tr>
      <w:tr w:rsidR="00D00AB2" w:rsidRPr="00D00AB2" w14:paraId="2F1850EA"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B2EE03"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OPERATIONS EXPORT</w:t>
            </w:r>
          </w:p>
        </w:tc>
        <w:tc>
          <w:tcPr>
            <w:tcW w:w="1418" w:type="dxa"/>
            <w:tcBorders>
              <w:top w:val="single" w:sz="4" w:space="0" w:color="auto"/>
              <w:left w:val="single" w:sz="4" w:space="0" w:color="auto"/>
              <w:bottom w:val="single" w:sz="4" w:space="0" w:color="auto"/>
              <w:right w:val="single" w:sz="4" w:space="0" w:color="auto"/>
            </w:tcBorders>
            <w:hideMark/>
          </w:tcPr>
          <w:p w14:paraId="0861C0C2"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3</w:t>
            </w:r>
          </w:p>
        </w:tc>
        <w:tc>
          <w:tcPr>
            <w:tcW w:w="1854" w:type="dxa"/>
            <w:tcBorders>
              <w:top w:val="single" w:sz="4" w:space="0" w:color="auto"/>
              <w:left w:val="single" w:sz="4" w:space="0" w:color="auto"/>
              <w:bottom w:val="single" w:sz="4" w:space="0" w:color="auto"/>
              <w:right w:val="single" w:sz="4" w:space="0" w:color="auto"/>
            </w:tcBorders>
            <w:hideMark/>
          </w:tcPr>
          <w:p w14:paraId="292C99E3"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1,0 %</w:t>
            </w:r>
          </w:p>
        </w:tc>
      </w:tr>
      <w:tr w:rsidR="00D00AB2" w:rsidRPr="00D00AB2" w14:paraId="680CAD0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E4E45E"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OPERATIONS IMPORT &amp; EXPORT</w:t>
            </w:r>
          </w:p>
        </w:tc>
        <w:tc>
          <w:tcPr>
            <w:tcW w:w="1418" w:type="dxa"/>
            <w:tcBorders>
              <w:top w:val="single" w:sz="4" w:space="0" w:color="auto"/>
              <w:left w:val="single" w:sz="4" w:space="0" w:color="auto"/>
              <w:bottom w:val="single" w:sz="4" w:space="0" w:color="auto"/>
              <w:right w:val="single" w:sz="4" w:space="0" w:color="auto"/>
            </w:tcBorders>
            <w:hideMark/>
          </w:tcPr>
          <w:p w14:paraId="3219CF4E"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5</w:t>
            </w:r>
          </w:p>
        </w:tc>
        <w:tc>
          <w:tcPr>
            <w:tcW w:w="1854" w:type="dxa"/>
            <w:tcBorders>
              <w:top w:val="single" w:sz="4" w:space="0" w:color="auto"/>
              <w:left w:val="single" w:sz="4" w:space="0" w:color="auto"/>
              <w:bottom w:val="single" w:sz="4" w:space="0" w:color="auto"/>
              <w:right w:val="single" w:sz="4" w:space="0" w:color="auto"/>
            </w:tcBorders>
            <w:hideMark/>
          </w:tcPr>
          <w:p w14:paraId="23329F0E"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1,7 %</w:t>
            </w:r>
          </w:p>
        </w:tc>
      </w:tr>
      <w:tr w:rsidR="00D00AB2" w:rsidRPr="00D00AB2" w14:paraId="0743134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560629"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PATRIMOINE ET ASSURANCE</w:t>
            </w:r>
          </w:p>
        </w:tc>
        <w:tc>
          <w:tcPr>
            <w:tcW w:w="1418" w:type="dxa"/>
            <w:tcBorders>
              <w:top w:val="single" w:sz="4" w:space="0" w:color="auto"/>
              <w:left w:val="single" w:sz="4" w:space="0" w:color="auto"/>
              <w:bottom w:val="single" w:sz="4" w:space="0" w:color="auto"/>
              <w:right w:val="single" w:sz="4" w:space="0" w:color="auto"/>
            </w:tcBorders>
            <w:hideMark/>
          </w:tcPr>
          <w:p w14:paraId="043723F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3</w:t>
            </w:r>
          </w:p>
        </w:tc>
        <w:tc>
          <w:tcPr>
            <w:tcW w:w="1854" w:type="dxa"/>
            <w:tcBorders>
              <w:top w:val="single" w:sz="4" w:space="0" w:color="auto"/>
              <w:left w:val="single" w:sz="4" w:space="0" w:color="auto"/>
              <w:bottom w:val="single" w:sz="4" w:space="0" w:color="auto"/>
              <w:right w:val="single" w:sz="4" w:space="0" w:color="auto"/>
            </w:tcBorders>
            <w:hideMark/>
          </w:tcPr>
          <w:p w14:paraId="526BA91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1,0 %</w:t>
            </w:r>
          </w:p>
        </w:tc>
      </w:tr>
      <w:tr w:rsidR="00D00AB2" w:rsidRPr="00D00AB2" w14:paraId="36BF548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347538D"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PLANIFICATION</w:t>
            </w:r>
          </w:p>
        </w:tc>
        <w:tc>
          <w:tcPr>
            <w:tcW w:w="1418" w:type="dxa"/>
            <w:tcBorders>
              <w:top w:val="single" w:sz="4" w:space="0" w:color="auto"/>
              <w:left w:val="single" w:sz="4" w:space="0" w:color="auto"/>
              <w:bottom w:val="single" w:sz="4" w:space="0" w:color="auto"/>
              <w:right w:val="single" w:sz="4" w:space="0" w:color="auto"/>
            </w:tcBorders>
            <w:hideMark/>
          </w:tcPr>
          <w:p w14:paraId="525D0A02"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5655DAFF"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1,3 %</w:t>
            </w:r>
          </w:p>
        </w:tc>
      </w:tr>
      <w:tr w:rsidR="00D00AB2" w:rsidRPr="00D00AB2" w14:paraId="7FE36A3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1AD4D3" w14:textId="77777777" w:rsidR="00D00AB2" w:rsidRPr="00D00AB2" w:rsidRDefault="00D00AB2" w:rsidP="00D00AB2">
            <w:pPr>
              <w:spacing w:after="160" w:line="259" w:lineRule="auto"/>
              <w:jc w:val="center"/>
              <w:rPr>
                <w:rFonts w:eastAsia="Calibri" w:cstheme="majorBidi"/>
                <w:b/>
                <w:bCs/>
                <w:sz w:val="22"/>
                <w:lang w:val="en-US"/>
              </w:rPr>
            </w:pPr>
            <w:r w:rsidRPr="00D00AB2">
              <w:rPr>
                <w:rFonts w:eastAsia="Calibri" w:cstheme="majorBidi"/>
                <w:b/>
                <w:bCs/>
                <w:sz w:val="22"/>
                <w:lang w:val="en-US"/>
              </w:rPr>
              <w:t>SPECIALISTE PLANIFICATION SENIOR</w:t>
            </w:r>
          </w:p>
        </w:tc>
        <w:tc>
          <w:tcPr>
            <w:tcW w:w="1418" w:type="dxa"/>
            <w:tcBorders>
              <w:top w:val="single" w:sz="4" w:space="0" w:color="auto"/>
              <w:left w:val="single" w:sz="4" w:space="0" w:color="auto"/>
              <w:bottom w:val="single" w:sz="4" w:space="0" w:color="auto"/>
              <w:right w:val="single" w:sz="4" w:space="0" w:color="auto"/>
            </w:tcBorders>
            <w:hideMark/>
          </w:tcPr>
          <w:p w14:paraId="51638050"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4</w:t>
            </w:r>
          </w:p>
        </w:tc>
        <w:tc>
          <w:tcPr>
            <w:tcW w:w="1854" w:type="dxa"/>
            <w:tcBorders>
              <w:top w:val="single" w:sz="4" w:space="0" w:color="auto"/>
              <w:left w:val="single" w:sz="4" w:space="0" w:color="auto"/>
              <w:bottom w:val="single" w:sz="4" w:space="0" w:color="auto"/>
              <w:right w:val="single" w:sz="4" w:space="0" w:color="auto"/>
            </w:tcBorders>
            <w:hideMark/>
          </w:tcPr>
          <w:p w14:paraId="713E58D9" w14:textId="77777777" w:rsidR="00D00AB2" w:rsidRPr="00D00AB2" w:rsidRDefault="00D00AB2" w:rsidP="00D00AB2">
            <w:pPr>
              <w:spacing w:after="160" w:line="259" w:lineRule="auto"/>
              <w:jc w:val="center"/>
              <w:rPr>
                <w:rFonts w:eastAsia="Calibri" w:cstheme="majorBidi"/>
                <w:sz w:val="22"/>
                <w:lang w:val="en-US"/>
              </w:rPr>
            </w:pPr>
            <w:r w:rsidRPr="00D00AB2">
              <w:rPr>
                <w:rFonts w:eastAsia="Calibri" w:cstheme="majorBidi"/>
                <w:sz w:val="22"/>
                <w:lang w:val="en-US"/>
              </w:rPr>
              <w:t>1,3 %</w:t>
            </w:r>
          </w:p>
        </w:tc>
      </w:tr>
      <w:tr w:rsidR="00D00AB2" w:rsidRPr="00D00AB2" w14:paraId="7C8F4251"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6F146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PROJETS ET METHODES SENIOR</w:t>
            </w:r>
          </w:p>
        </w:tc>
        <w:tc>
          <w:tcPr>
            <w:tcW w:w="1418" w:type="dxa"/>
            <w:tcBorders>
              <w:top w:val="single" w:sz="4" w:space="0" w:color="auto"/>
              <w:left w:val="single" w:sz="4" w:space="0" w:color="auto"/>
              <w:bottom w:val="single" w:sz="4" w:space="0" w:color="auto"/>
              <w:right w:val="single" w:sz="4" w:space="0" w:color="auto"/>
            </w:tcBorders>
            <w:hideMark/>
          </w:tcPr>
          <w:p w14:paraId="0A6E8B7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w:t>
            </w:r>
          </w:p>
        </w:tc>
        <w:tc>
          <w:tcPr>
            <w:tcW w:w="1854" w:type="dxa"/>
            <w:tcBorders>
              <w:top w:val="single" w:sz="4" w:space="0" w:color="auto"/>
              <w:left w:val="single" w:sz="4" w:space="0" w:color="auto"/>
              <w:bottom w:val="single" w:sz="4" w:space="0" w:color="auto"/>
              <w:right w:val="single" w:sz="4" w:space="0" w:color="auto"/>
            </w:tcBorders>
            <w:hideMark/>
          </w:tcPr>
          <w:p w14:paraId="4DE8F1C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1,0 %</w:t>
            </w:r>
          </w:p>
        </w:tc>
      </w:tr>
      <w:tr w:rsidR="00D00AB2" w:rsidRPr="00D00AB2" w14:paraId="74BC702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F0090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RESSOURCES HUMAINES</w:t>
            </w:r>
          </w:p>
        </w:tc>
        <w:tc>
          <w:tcPr>
            <w:tcW w:w="1418" w:type="dxa"/>
            <w:tcBorders>
              <w:top w:val="single" w:sz="4" w:space="0" w:color="auto"/>
              <w:left w:val="single" w:sz="4" w:space="0" w:color="auto"/>
              <w:bottom w:val="single" w:sz="4" w:space="0" w:color="auto"/>
              <w:right w:val="single" w:sz="4" w:space="0" w:color="auto"/>
            </w:tcBorders>
            <w:hideMark/>
          </w:tcPr>
          <w:p w14:paraId="7996FEB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30B6ED5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E41EB39"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C26AB6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RESSOURCES HUMAINES SENIOR</w:t>
            </w:r>
          </w:p>
        </w:tc>
        <w:tc>
          <w:tcPr>
            <w:tcW w:w="1418" w:type="dxa"/>
            <w:tcBorders>
              <w:top w:val="single" w:sz="4" w:space="0" w:color="auto"/>
              <w:left w:val="single" w:sz="4" w:space="0" w:color="auto"/>
              <w:bottom w:val="single" w:sz="4" w:space="0" w:color="auto"/>
              <w:right w:val="single" w:sz="4" w:space="0" w:color="auto"/>
            </w:tcBorders>
            <w:hideMark/>
          </w:tcPr>
          <w:p w14:paraId="728A93B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7</w:t>
            </w:r>
          </w:p>
        </w:tc>
        <w:tc>
          <w:tcPr>
            <w:tcW w:w="1854" w:type="dxa"/>
            <w:tcBorders>
              <w:top w:val="single" w:sz="4" w:space="0" w:color="auto"/>
              <w:left w:val="single" w:sz="4" w:space="0" w:color="auto"/>
              <w:bottom w:val="single" w:sz="4" w:space="0" w:color="auto"/>
              <w:right w:val="single" w:sz="4" w:space="0" w:color="auto"/>
            </w:tcBorders>
            <w:hideMark/>
          </w:tcPr>
          <w:p w14:paraId="4951B2B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2,3 %</w:t>
            </w:r>
          </w:p>
        </w:tc>
      </w:tr>
      <w:tr w:rsidR="00D00AB2" w:rsidRPr="00D00AB2" w14:paraId="3C614A8D"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1E9D44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SPECIALISTE SMQ SENIOR</w:t>
            </w:r>
          </w:p>
        </w:tc>
        <w:tc>
          <w:tcPr>
            <w:tcW w:w="1418" w:type="dxa"/>
            <w:tcBorders>
              <w:top w:val="single" w:sz="4" w:space="0" w:color="auto"/>
              <w:left w:val="single" w:sz="4" w:space="0" w:color="auto"/>
              <w:bottom w:val="single" w:sz="4" w:space="0" w:color="auto"/>
              <w:right w:val="single" w:sz="4" w:space="0" w:color="auto"/>
            </w:tcBorders>
            <w:hideMark/>
          </w:tcPr>
          <w:p w14:paraId="2280A6B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w:t>
            </w:r>
          </w:p>
        </w:tc>
        <w:tc>
          <w:tcPr>
            <w:tcW w:w="1854" w:type="dxa"/>
            <w:tcBorders>
              <w:top w:val="single" w:sz="4" w:space="0" w:color="auto"/>
              <w:left w:val="single" w:sz="4" w:space="0" w:color="auto"/>
              <w:bottom w:val="single" w:sz="4" w:space="0" w:color="auto"/>
              <w:right w:val="single" w:sz="4" w:space="0" w:color="auto"/>
            </w:tcBorders>
            <w:hideMark/>
          </w:tcPr>
          <w:p w14:paraId="3C87AF6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1,7 %</w:t>
            </w:r>
          </w:p>
        </w:tc>
      </w:tr>
      <w:tr w:rsidR="00D00AB2" w:rsidRPr="00D00AB2" w14:paraId="5A1FEDB0"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75E34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EXPERT SYSTEM &amp; METHODOLOGIE</w:t>
            </w:r>
          </w:p>
        </w:tc>
        <w:tc>
          <w:tcPr>
            <w:tcW w:w="1418" w:type="dxa"/>
            <w:tcBorders>
              <w:top w:val="single" w:sz="4" w:space="0" w:color="auto"/>
              <w:left w:val="single" w:sz="4" w:space="0" w:color="auto"/>
              <w:bottom w:val="single" w:sz="4" w:space="0" w:color="auto"/>
              <w:right w:val="single" w:sz="4" w:space="0" w:color="auto"/>
            </w:tcBorders>
            <w:hideMark/>
          </w:tcPr>
          <w:p w14:paraId="749D15B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958437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16EF6AC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5EE562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GESTIONNAIRE DE STOCK</w:t>
            </w:r>
          </w:p>
        </w:tc>
        <w:tc>
          <w:tcPr>
            <w:tcW w:w="1418" w:type="dxa"/>
            <w:tcBorders>
              <w:top w:val="single" w:sz="4" w:space="0" w:color="auto"/>
              <w:left w:val="single" w:sz="4" w:space="0" w:color="auto"/>
              <w:bottom w:val="single" w:sz="4" w:space="0" w:color="auto"/>
              <w:right w:val="single" w:sz="4" w:space="0" w:color="auto"/>
            </w:tcBorders>
            <w:hideMark/>
          </w:tcPr>
          <w:p w14:paraId="736BC82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4</w:t>
            </w:r>
          </w:p>
        </w:tc>
        <w:tc>
          <w:tcPr>
            <w:tcW w:w="1854" w:type="dxa"/>
            <w:tcBorders>
              <w:top w:val="single" w:sz="4" w:space="0" w:color="auto"/>
              <w:left w:val="single" w:sz="4" w:space="0" w:color="auto"/>
              <w:bottom w:val="single" w:sz="4" w:space="0" w:color="auto"/>
              <w:right w:val="single" w:sz="4" w:space="0" w:color="auto"/>
            </w:tcBorders>
            <w:hideMark/>
          </w:tcPr>
          <w:p w14:paraId="08EA133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1,3 %</w:t>
            </w:r>
          </w:p>
        </w:tc>
      </w:tr>
      <w:tr w:rsidR="00D00AB2" w:rsidRPr="00D00AB2" w14:paraId="338E54E1"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9DF8F8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EXPERTS / SPECIALISTE MARQUE ET IMAGE</w:t>
            </w:r>
          </w:p>
        </w:tc>
        <w:tc>
          <w:tcPr>
            <w:tcW w:w="1418" w:type="dxa"/>
            <w:tcBorders>
              <w:top w:val="single" w:sz="4" w:space="0" w:color="auto"/>
              <w:left w:val="single" w:sz="4" w:space="0" w:color="auto"/>
              <w:bottom w:val="single" w:sz="4" w:space="0" w:color="auto"/>
              <w:right w:val="single" w:sz="4" w:space="0" w:color="auto"/>
            </w:tcBorders>
            <w:hideMark/>
          </w:tcPr>
          <w:p w14:paraId="109151C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w:t>
            </w:r>
          </w:p>
        </w:tc>
        <w:tc>
          <w:tcPr>
            <w:tcW w:w="1854" w:type="dxa"/>
            <w:tcBorders>
              <w:top w:val="single" w:sz="4" w:space="0" w:color="auto"/>
              <w:left w:val="single" w:sz="4" w:space="0" w:color="auto"/>
              <w:bottom w:val="single" w:sz="4" w:space="0" w:color="auto"/>
              <w:right w:val="single" w:sz="4" w:space="0" w:color="auto"/>
            </w:tcBorders>
            <w:hideMark/>
          </w:tcPr>
          <w:p w14:paraId="31FC351D"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0,7 %</w:t>
            </w:r>
          </w:p>
        </w:tc>
      </w:tr>
      <w:tr w:rsidR="00D00AB2" w:rsidRPr="00D00AB2" w14:paraId="1A5B78A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5B102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AUDITEUR QUALITE INTERNE JUNIOR</w:t>
            </w:r>
          </w:p>
        </w:tc>
        <w:tc>
          <w:tcPr>
            <w:tcW w:w="1418" w:type="dxa"/>
            <w:tcBorders>
              <w:top w:val="single" w:sz="4" w:space="0" w:color="auto"/>
              <w:left w:val="single" w:sz="4" w:space="0" w:color="auto"/>
              <w:bottom w:val="single" w:sz="4" w:space="0" w:color="auto"/>
              <w:right w:val="single" w:sz="4" w:space="0" w:color="auto"/>
            </w:tcBorders>
            <w:hideMark/>
          </w:tcPr>
          <w:p w14:paraId="1E88A9C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7BE4FA1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240E224E"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2FB9E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BACK OFFICE</w:t>
            </w:r>
          </w:p>
        </w:tc>
        <w:tc>
          <w:tcPr>
            <w:tcW w:w="1418" w:type="dxa"/>
            <w:tcBorders>
              <w:top w:val="single" w:sz="4" w:space="0" w:color="auto"/>
              <w:left w:val="single" w:sz="4" w:space="0" w:color="auto"/>
              <w:bottom w:val="single" w:sz="4" w:space="0" w:color="auto"/>
              <w:right w:val="single" w:sz="4" w:space="0" w:color="auto"/>
            </w:tcBorders>
            <w:hideMark/>
          </w:tcPr>
          <w:p w14:paraId="3BFB2DE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2E1CDB1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453C1B1"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46C41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COMMERCIAL LOCAL</w:t>
            </w:r>
          </w:p>
        </w:tc>
        <w:tc>
          <w:tcPr>
            <w:tcW w:w="1418" w:type="dxa"/>
            <w:tcBorders>
              <w:top w:val="single" w:sz="4" w:space="0" w:color="auto"/>
              <w:left w:val="single" w:sz="4" w:space="0" w:color="auto"/>
              <w:bottom w:val="single" w:sz="4" w:space="0" w:color="auto"/>
              <w:right w:val="single" w:sz="4" w:space="0" w:color="auto"/>
            </w:tcBorders>
            <w:hideMark/>
          </w:tcPr>
          <w:p w14:paraId="2EDE1B5F"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19CCE401"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E7B6CD3"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C3AA08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COMPTABILITE GENERALE</w:t>
            </w:r>
          </w:p>
        </w:tc>
        <w:tc>
          <w:tcPr>
            <w:tcW w:w="1418" w:type="dxa"/>
            <w:tcBorders>
              <w:top w:val="single" w:sz="4" w:space="0" w:color="auto"/>
              <w:left w:val="single" w:sz="4" w:space="0" w:color="auto"/>
              <w:bottom w:val="single" w:sz="4" w:space="0" w:color="auto"/>
              <w:right w:val="single" w:sz="4" w:space="0" w:color="auto"/>
            </w:tcBorders>
            <w:hideMark/>
          </w:tcPr>
          <w:p w14:paraId="702C62B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71D39EA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6CFB0E85"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0ABEF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CONTROLE DE GESTION</w:t>
            </w:r>
          </w:p>
        </w:tc>
        <w:tc>
          <w:tcPr>
            <w:tcW w:w="1418" w:type="dxa"/>
            <w:tcBorders>
              <w:top w:val="single" w:sz="4" w:space="0" w:color="auto"/>
              <w:left w:val="single" w:sz="4" w:space="0" w:color="auto"/>
              <w:bottom w:val="single" w:sz="4" w:space="0" w:color="auto"/>
              <w:right w:val="single" w:sz="4" w:space="0" w:color="auto"/>
            </w:tcBorders>
            <w:hideMark/>
          </w:tcPr>
          <w:p w14:paraId="774D855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7401327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5A4CE04F"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69032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CONTROLE QUALITE</w:t>
            </w:r>
          </w:p>
        </w:tc>
        <w:tc>
          <w:tcPr>
            <w:tcW w:w="1418" w:type="dxa"/>
            <w:tcBorders>
              <w:top w:val="single" w:sz="4" w:space="0" w:color="auto"/>
              <w:left w:val="single" w:sz="4" w:space="0" w:color="auto"/>
              <w:bottom w:val="single" w:sz="4" w:space="0" w:color="auto"/>
              <w:right w:val="single" w:sz="4" w:space="0" w:color="auto"/>
            </w:tcBorders>
            <w:hideMark/>
          </w:tcPr>
          <w:p w14:paraId="35AB766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DE9B83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4D371C4"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4617BB"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DES ACHATS</w:t>
            </w:r>
          </w:p>
        </w:tc>
        <w:tc>
          <w:tcPr>
            <w:tcW w:w="1418" w:type="dxa"/>
            <w:tcBorders>
              <w:top w:val="single" w:sz="4" w:space="0" w:color="auto"/>
              <w:left w:val="single" w:sz="4" w:space="0" w:color="auto"/>
              <w:bottom w:val="single" w:sz="4" w:space="0" w:color="auto"/>
              <w:right w:val="single" w:sz="4" w:space="0" w:color="auto"/>
            </w:tcBorders>
            <w:hideMark/>
          </w:tcPr>
          <w:p w14:paraId="6609436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0C6B20B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3DAAF758"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EC018C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FINANCES</w:t>
            </w:r>
          </w:p>
        </w:tc>
        <w:tc>
          <w:tcPr>
            <w:tcW w:w="1418" w:type="dxa"/>
            <w:tcBorders>
              <w:top w:val="single" w:sz="4" w:space="0" w:color="auto"/>
              <w:left w:val="single" w:sz="4" w:space="0" w:color="auto"/>
              <w:bottom w:val="single" w:sz="4" w:space="0" w:color="auto"/>
              <w:right w:val="single" w:sz="4" w:space="0" w:color="auto"/>
            </w:tcBorders>
            <w:hideMark/>
          </w:tcPr>
          <w:p w14:paraId="6A83B3C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5994D48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04D753C2"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2DFC7C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MOYENS GENERAUX</w:t>
            </w:r>
          </w:p>
        </w:tc>
        <w:tc>
          <w:tcPr>
            <w:tcW w:w="1418" w:type="dxa"/>
            <w:tcBorders>
              <w:top w:val="single" w:sz="4" w:space="0" w:color="auto"/>
              <w:left w:val="single" w:sz="4" w:space="0" w:color="auto"/>
              <w:bottom w:val="single" w:sz="4" w:space="0" w:color="auto"/>
              <w:right w:val="single" w:sz="4" w:space="0" w:color="auto"/>
            </w:tcBorders>
            <w:hideMark/>
          </w:tcPr>
          <w:p w14:paraId="3E0105B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4844720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4CFA384F" w14:textId="77777777" w:rsidTr="00AB5B0B">
        <w:trPr>
          <w:trHeight w:val="462"/>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3B4EB7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CHEF DEPARTEMENT PATRIMOINES ET PROJETS</w:t>
            </w:r>
          </w:p>
        </w:tc>
        <w:tc>
          <w:tcPr>
            <w:tcW w:w="1418" w:type="dxa"/>
            <w:tcBorders>
              <w:top w:val="single" w:sz="4" w:space="0" w:color="auto"/>
              <w:left w:val="single" w:sz="4" w:space="0" w:color="auto"/>
              <w:bottom w:val="single" w:sz="4" w:space="0" w:color="auto"/>
              <w:right w:val="single" w:sz="4" w:space="0" w:color="auto"/>
            </w:tcBorders>
            <w:hideMark/>
          </w:tcPr>
          <w:p w14:paraId="5EB9A0E6"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w:t>
            </w:r>
          </w:p>
        </w:tc>
        <w:tc>
          <w:tcPr>
            <w:tcW w:w="1854" w:type="dxa"/>
            <w:tcBorders>
              <w:top w:val="single" w:sz="4" w:space="0" w:color="auto"/>
              <w:left w:val="single" w:sz="4" w:space="0" w:color="auto"/>
              <w:bottom w:val="single" w:sz="4" w:space="0" w:color="auto"/>
              <w:right w:val="single" w:sz="4" w:space="0" w:color="auto"/>
            </w:tcBorders>
            <w:hideMark/>
          </w:tcPr>
          <w:p w14:paraId="125E76A4"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0,3 %</w:t>
            </w:r>
          </w:p>
        </w:tc>
      </w:tr>
      <w:tr w:rsidR="00D00AB2" w:rsidRPr="00D00AB2" w14:paraId="3DAD66F6" w14:textId="77777777" w:rsidTr="00AB5B0B">
        <w:trPr>
          <w:jc w:val="center"/>
        </w:trPr>
        <w:tc>
          <w:tcPr>
            <w:tcW w:w="63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64F1A86"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Total</w:t>
            </w:r>
          </w:p>
        </w:tc>
        <w:tc>
          <w:tcPr>
            <w:tcW w:w="1418" w:type="dxa"/>
            <w:tcBorders>
              <w:top w:val="single" w:sz="4" w:space="0" w:color="auto"/>
              <w:left w:val="single" w:sz="4" w:space="0" w:color="auto"/>
              <w:bottom w:val="single" w:sz="4" w:space="0" w:color="auto"/>
              <w:right w:val="single" w:sz="4" w:space="0" w:color="auto"/>
            </w:tcBorders>
            <w:hideMark/>
          </w:tcPr>
          <w:p w14:paraId="13B948C5"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300</w:t>
            </w:r>
          </w:p>
        </w:tc>
        <w:tc>
          <w:tcPr>
            <w:tcW w:w="1854" w:type="dxa"/>
            <w:tcBorders>
              <w:top w:val="single" w:sz="4" w:space="0" w:color="auto"/>
              <w:left w:val="single" w:sz="4" w:space="0" w:color="auto"/>
              <w:bottom w:val="single" w:sz="4" w:space="0" w:color="auto"/>
              <w:right w:val="single" w:sz="4" w:space="0" w:color="auto"/>
            </w:tcBorders>
            <w:hideMark/>
          </w:tcPr>
          <w:p w14:paraId="462968FC"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100,0 %</w:t>
            </w:r>
          </w:p>
        </w:tc>
      </w:tr>
    </w:tbl>
    <w:p w14:paraId="4053B5EC" w14:textId="77777777" w:rsidR="00D00AB2" w:rsidRPr="00D00AB2" w:rsidRDefault="00D00AB2" w:rsidP="00D00AB2">
      <w:pPr>
        <w:spacing w:before="0" w:beforeAutospacing="0" w:line="259" w:lineRule="auto"/>
        <w:ind w:firstLine="0"/>
        <w:jc w:val="left"/>
        <w:rPr>
          <w:rFonts w:eastAsia="Calibri" w:cstheme="majorBidi"/>
          <w:sz w:val="22"/>
        </w:rPr>
      </w:pPr>
    </w:p>
    <w:p w14:paraId="6676EE4E" w14:textId="77777777" w:rsidR="00AB5B0B" w:rsidRDefault="00AB5B0B" w:rsidP="00D00AB2">
      <w:pPr>
        <w:spacing w:before="0" w:beforeAutospacing="0" w:line="259" w:lineRule="auto"/>
        <w:ind w:firstLine="0"/>
        <w:jc w:val="left"/>
        <w:rPr>
          <w:rFonts w:eastAsia="Calibri" w:cstheme="majorBidi"/>
          <w:b/>
          <w:bCs/>
          <w:sz w:val="22"/>
        </w:rPr>
      </w:pPr>
    </w:p>
    <w:p w14:paraId="7BA122CA" w14:textId="77777777" w:rsidR="00AB5B0B" w:rsidRDefault="00AB5B0B" w:rsidP="00D00AB2">
      <w:pPr>
        <w:spacing w:before="0" w:beforeAutospacing="0" w:line="259" w:lineRule="auto"/>
        <w:ind w:firstLine="0"/>
        <w:jc w:val="left"/>
        <w:rPr>
          <w:rFonts w:eastAsia="Calibri" w:cstheme="majorBidi"/>
          <w:b/>
          <w:bCs/>
          <w:sz w:val="22"/>
        </w:rPr>
      </w:pPr>
    </w:p>
    <w:p w14:paraId="6FC09445" w14:textId="77777777" w:rsidR="00AB5B0B" w:rsidRDefault="00AB5B0B" w:rsidP="00D00AB2">
      <w:pPr>
        <w:spacing w:before="0" w:beforeAutospacing="0" w:line="259" w:lineRule="auto"/>
        <w:ind w:firstLine="0"/>
        <w:jc w:val="left"/>
        <w:rPr>
          <w:rFonts w:eastAsia="Calibri" w:cstheme="majorBidi"/>
          <w:b/>
          <w:bCs/>
          <w:sz w:val="22"/>
        </w:rPr>
      </w:pPr>
    </w:p>
    <w:p w14:paraId="4A0502B1" w14:textId="77777777" w:rsidR="00AB5B0B" w:rsidRDefault="00AB5B0B" w:rsidP="00D00AB2">
      <w:pPr>
        <w:spacing w:before="0" w:beforeAutospacing="0" w:line="259" w:lineRule="auto"/>
        <w:ind w:firstLine="0"/>
        <w:jc w:val="left"/>
        <w:rPr>
          <w:rFonts w:eastAsia="Calibri" w:cstheme="majorBidi"/>
          <w:b/>
          <w:bCs/>
          <w:sz w:val="22"/>
        </w:rPr>
      </w:pPr>
    </w:p>
    <w:p w14:paraId="3D45223C" w14:textId="77777777" w:rsidR="00AB5B0B" w:rsidRDefault="00AB5B0B" w:rsidP="00D00AB2">
      <w:pPr>
        <w:spacing w:before="0" w:beforeAutospacing="0" w:line="259" w:lineRule="auto"/>
        <w:ind w:firstLine="0"/>
        <w:jc w:val="left"/>
        <w:rPr>
          <w:rFonts w:eastAsia="Calibri" w:cstheme="majorBidi"/>
          <w:b/>
          <w:bCs/>
          <w:sz w:val="22"/>
        </w:rPr>
      </w:pPr>
    </w:p>
    <w:p w14:paraId="203F1AC9" w14:textId="77777777" w:rsidR="00AB5B0B" w:rsidRDefault="00AB5B0B" w:rsidP="00D00AB2">
      <w:pPr>
        <w:spacing w:before="0" w:beforeAutospacing="0" w:line="259" w:lineRule="auto"/>
        <w:ind w:firstLine="0"/>
        <w:jc w:val="left"/>
        <w:rPr>
          <w:rFonts w:eastAsia="Calibri" w:cstheme="majorBidi"/>
          <w:b/>
          <w:bCs/>
          <w:sz w:val="22"/>
        </w:rPr>
      </w:pPr>
    </w:p>
    <w:p w14:paraId="2FF35355" w14:textId="77777777" w:rsidR="00D00AB2" w:rsidRPr="00D00AB2" w:rsidRDefault="00D00AB2" w:rsidP="00D00AB2">
      <w:pPr>
        <w:spacing w:before="0" w:beforeAutospacing="0" w:line="259" w:lineRule="auto"/>
        <w:ind w:firstLine="0"/>
        <w:jc w:val="left"/>
        <w:rPr>
          <w:rFonts w:eastAsia="Calibri" w:cstheme="majorBidi"/>
          <w:sz w:val="22"/>
        </w:rPr>
      </w:pPr>
      <w:r w:rsidRPr="00D00AB2">
        <w:rPr>
          <w:rFonts w:eastAsia="Calibri" w:cstheme="majorBidi"/>
          <w:b/>
          <w:bCs/>
          <w:sz w:val="22"/>
        </w:rPr>
        <w:lastRenderedPageBreak/>
        <w:t>Expérience professionnelle :</w:t>
      </w:r>
    </w:p>
    <w:p w14:paraId="24D0B434" w14:textId="77777777" w:rsidR="00D00AB2" w:rsidRPr="00D00AB2" w:rsidRDefault="00D00AB2" w:rsidP="00D00AB2">
      <w:pPr>
        <w:spacing w:before="0" w:beforeAutospacing="0" w:line="259" w:lineRule="auto"/>
        <w:ind w:firstLine="0"/>
        <w:jc w:val="center"/>
        <w:rPr>
          <w:rFonts w:eastAsia="Calibri" w:cstheme="majorBidi"/>
          <w:sz w:val="22"/>
        </w:rPr>
      </w:pPr>
      <w:r w:rsidRPr="00D00AB2">
        <w:rPr>
          <w:rFonts w:eastAsia="Calibri" w:cstheme="majorBidi"/>
          <w:noProof/>
          <w:color w:val="000000"/>
          <w:sz w:val="22"/>
          <w:lang w:eastAsia="fr-FR"/>
        </w:rPr>
        <w:drawing>
          <wp:inline distT="0" distB="0" distL="0" distR="0" wp14:anchorId="13E4D644" wp14:editId="4CFC9B5C">
            <wp:extent cx="3924300" cy="2228850"/>
            <wp:effectExtent l="0" t="0" r="0" b="0"/>
            <wp:docPr id="505"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tbl>
      <w:tblPr>
        <w:tblStyle w:val="Grilledutableau3"/>
        <w:tblW w:w="9072" w:type="dxa"/>
        <w:jc w:val="center"/>
        <w:tblLook w:val="04A0" w:firstRow="1" w:lastRow="0" w:firstColumn="1" w:lastColumn="0" w:noHBand="0" w:noVBand="1"/>
      </w:tblPr>
      <w:tblGrid>
        <w:gridCol w:w="3242"/>
        <w:gridCol w:w="2899"/>
        <w:gridCol w:w="2931"/>
      </w:tblGrid>
      <w:tr w:rsidR="00D00AB2" w:rsidRPr="00D00AB2" w14:paraId="344F21CC"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9DFDF0"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Expérience professionnelle</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23D23A"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Effectifs</w:t>
            </w:r>
          </w:p>
        </w:tc>
        <w:tc>
          <w:tcPr>
            <w:tcW w:w="30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44E697"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Pourcentage</w:t>
            </w:r>
          </w:p>
        </w:tc>
      </w:tr>
      <w:tr w:rsidR="00D00AB2" w:rsidRPr="00D00AB2" w14:paraId="73AC7B09"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AD05B29"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Moins de 5 ans</w:t>
            </w:r>
          </w:p>
        </w:tc>
        <w:tc>
          <w:tcPr>
            <w:tcW w:w="3071" w:type="dxa"/>
            <w:tcBorders>
              <w:top w:val="single" w:sz="4" w:space="0" w:color="auto"/>
              <w:left w:val="single" w:sz="4" w:space="0" w:color="auto"/>
              <w:bottom w:val="single" w:sz="4" w:space="0" w:color="auto"/>
              <w:right w:val="single" w:sz="4" w:space="0" w:color="auto"/>
            </w:tcBorders>
            <w:hideMark/>
          </w:tcPr>
          <w:p w14:paraId="06461BC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18</w:t>
            </w:r>
          </w:p>
        </w:tc>
        <w:tc>
          <w:tcPr>
            <w:tcW w:w="3071" w:type="dxa"/>
            <w:tcBorders>
              <w:top w:val="single" w:sz="4" w:space="0" w:color="auto"/>
              <w:left w:val="single" w:sz="4" w:space="0" w:color="auto"/>
              <w:bottom w:val="single" w:sz="4" w:space="0" w:color="auto"/>
              <w:right w:val="single" w:sz="4" w:space="0" w:color="auto"/>
            </w:tcBorders>
            <w:hideMark/>
          </w:tcPr>
          <w:p w14:paraId="4AA33EC9"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6,0 %</w:t>
            </w:r>
          </w:p>
        </w:tc>
      </w:tr>
      <w:tr w:rsidR="00D00AB2" w:rsidRPr="00D00AB2" w14:paraId="7CEDE687"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F8F631"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De 5 à 10 ans</w:t>
            </w:r>
          </w:p>
        </w:tc>
        <w:tc>
          <w:tcPr>
            <w:tcW w:w="3071" w:type="dxa"/>
            <w:tcBorders>
              <w:top w:val="single" w:sz="4" w:space="0" w:color="auto"/>
              <w:left w:val="single" w:sz="4" w:space="0" w:color="auto"/>
              <w:bottom w:val="single" w:sz="4" w:space="0" w:color="auto"/>
              <w:right w:val="single" w:sz="4" w:space="0" w:color="auto"/>
            </w:tcBorders>
            <w:hideMark/>
          </w:tcPr>
          <w:p w14:paraId="7C097B42"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150</w:t>
            </w:r>
          </w:p>
        </w:tc>
        <w:tc>
          <w:tcPr>
            <w:tcW w:w="3071" w:type="dxa"/>
            <w:tcBorders>
              <w:top w:val="single" w:sz="4" w:space="0" w:color="auto"/>
              <w:left w:val="single" w:sz="4" w:space="0" w:color="auto"/>
              <w:bottom w:val="single" w:sz="4" w:space="0" w:color="auto"/>
              <w:right w:val="single" w:sz="4" w:space="0" w:color="auto"/>
            </w:tcBorders>
            <w:hideMark/>
          </w:tcPr>
          <w:p w14:paraId="12CA7B6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50,0 %</w:t>
            </w:r>
          </w:p>
        </w:tc>
      </w:tr>
      <w:tr w:rsidR="00D00AB2" w:rsidRPr="00D00AB2" w14:paraId="016DA7C6"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B1B264"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De 11 à 15 ans</w:t>
            </w:r>
          </w:p>
        </w:tc>
        <w:tc>
          <w:tcPr>
            <w:tcW w:w="3071" w:type="dxa"/>
            <w:tcBorders>
              <w:top w:val="single" w:sz="4" w:space="0" w:color="auto"/>
              <w:left w:val="single" w:sz="4" w:space="0" w:color="auto"/>
              <w:bottom w:val="single" w:sz="4" w:space="0" w:color="auto"/>
              <w:right w:val="single" w:sz="4" w:space="0" w:color="auto"/>
            </w:tcBorders>
            <w:hideMark/>
          </w:tcPr>
          <w:p w14:paraId="35158F27"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107</w:t>
            </w:r>
          </w:p>
        </w:tc>
        <w:tc>
          <w:tcPr>
            <w:tcW w:w="3071" w:type="dxa"/>
            <w:tcBorders>
              <w:top w:val="single" w:sz="4" w:space="0" w:color="auto"/>
              <w:left w:val="single" w:sz="4" w:space="0" w:color="auto"/>
              <w:bottom w:val="single" w:sz="4" w:space="0" w:color="auto"/>
              <w:right w:val="single" w:sz="4" w:space="0" w:color="auto"/>
            </w:tcBorders>
            <w:hideMark/>
          </w:tcPr>
          <w:p w14:paraId="1721A96E"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35,7 %</w:t>
            </w:r>
          </w:p>
        </w:tc>
      </w:tr>
      <w:tr w:rsidR="00D00AB2" w:rsidRPr="00D00AB2" w14:paraId="575467A0"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C9FCFE"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Plus de 15 ans</w:t>
            </w:r>
          </w:p>
        </w:tc>
        <w:tc>
          <w:tcPr>
            <w:tcW w:w="3071" w:type="dxa"/>
            <w:tcBorders>
              <w:top w:val="single" w:sz="4" w:space="0" w:color="auto"/>
              <w:left w:val="single" w:sz="4" w:space="0" w:color="auto"/>
              <w:bottom w:val="single" w:sz="4" w:space="0" w:color="auto"/>
              <w:right w:val="single" w:sz="4" w:space="0" w:color="auto"/>
            </w:tcBorders>
            <w:hideMark/>
          </w:tcPr>
          <w:p w14:paraId="6DFB809A"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25</w:t>
            </w:r>
          </w:p>
        </w:tc>
        <w:tc>
          <w:tcPr>
            <w:tcW w:w="3071" w:type="dxa"/>
            <w:tcBorders>
              <w:top w:val="single" w:sz="4" w:space="0" w:color="auto"/>
              <w:left w:val="single" w:sz="4" w:space="0" w:color="auto"/>
              <w:bottom w:val="single" w:sz="4" w:space="0" w:color="auto"/>
              <w:right w:val="single" w:sz="4" w:space="0" w:color="auto"/>
            </w:tcBorders>
            <w:hideMark/>
          </w:tcPr>
          <w:p w14:paraId="64818190"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8,3 %</w:t>
            </w:r>
          </w:p>
        </w:tc>
      </w:tr>
      <w:tr w:rsidR="00D00AB2" w:rsidRPr="00D00AB2" w14:paraId="4D820AC1" w14:textId="77777777" w:rsidTr="00AB5B0B">
        <w:trPr>
          <w:jc w:val="center"/>
        </w:trPr>
        <w:tc>
          <w:tcPr>
            <w:tcW w:w="3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1837B2" w14:textId="77777777" w:rsidR="00D00AB2" w:rsidRPr="00D00AB2" w:rsidRDefault="00D00AB2" w:rsidP="00D00AB2">
            <w:pPr>
              <w:spacing w:after="160" w:line="259" w:lineRule="auto"/>
              <w:jc w:val="center"/>
              <w:rPr>
                <w:rFonts w:eastAsia="Calibri" w:cstheme="majorBidi"/>
                <w:b/>
                <w:bCs/>
                <w:sz w:val="22"/>
              </w:rPr>
            </w:pPr>
            <w:r w:rsidRPr="00D00AB2">
              <w:rPr>
                <w:rFonts w:eastAsia="Calibri" w:cstheme="majorBidi"/>
                <w:b/>
                <w:bCs/>
                <w:sz w:val="22"/>
              </w:rPr>
              <w:t>Total</w:t>
            </w:r>
          </w:p>
        </w:tc>
        <w:tc>
          <w:tcPr>
            <w:tcW w:w="3071" w:type="dxa"/>
            <w:tcBorders>
              <w:top w:val="single" w:sz="4" w:space="0" w:color="auto"/>
              <w:left w:val="single" w:sz="4" w:space="0" w:color="auto"/>
              <w:bottom w:val="single" w:sz="4" w:space="0" w:color="auto"/>
              <w:right w:val="single" w:sz="4" w:space="0" w:color="auto"/>
            </w:tcBorders>
            <w:hideMark/>
          </w:tcPr>
          <w:p w14:paraId="281D87F3"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300</w:t>
            </w:r>
          </w:p>
        </w:tc>
        <w:tc>
          <w:tcPr>
            <w:tcW w:w="3071" w:type="dxa"/>
            <w:tcBorders>
              <w:top w:val="single" w:sz="4" w:space="0" w:color="auto"/>
              <w:left w:val="single" w:sz="4" w:space="0" w:color="auto"/>
              <w:bottom w:val="single" w:sz="4" w:space="0" w:color="auto"/>
              <w:right w:val="single" w:sz="4" w:space="0" w:color="auto"/>
            </w:tcBorders>
            <w:hideMark/>
          </w:tcPr>
          <w:p w14:paraId="0FF5386B" w14:textId="77777777" w:rsidR="00D00AB2" w:rsidRPr="00D00AB2" w:rsidRDefault="00D00AB2" w:rsidP="00D00AB2">
            <w:pPr>
              <w:spacing w:after="160" w:line="259" w:lineRule="auto"/>
              <w:jc w:val="center"/>
              <w:rPr>
                <w:rFonts w:eastAsia="Calibri" w:cstheme="majorBidi"/>
                <w:sz w:val="22"/>
              </w:rPr>
            </w:pPr>
            <w:r w:rsidRPr="00D00AB2">
              <w:rPr>
                <w:rFonts w:eastAsia="Calibri" w:cstheme="majorBidi"/>
                <w:sz w:val="22"/>
              </w:rPr>
              <w:t>100,0 %</w:t>
            </w:r>
          </w:p>
        </w:tc>
      </w:tr>
    </w:tbl>
    <w:p w14:paraId="10E37C90" w14:textId="77777777" w:rsidR="00D00AB2" w:rsidRPr="00D00AB2" w:rsidRDefault="00D00AB2" w:rsidP="00D00AB2">
      <w:pPr>
        <w:spacing w:before="0" w:beforeAutospacing="0" w:line="259" w:lineRule="auto"/>
        <w:ind w:firstLine="0"/>
        <w:jc w:val="left"/>
        <w:rPr>
          <w:rFonts w:eastAsia="Calibri" w:cstheme="majorBidi"/>
          <w:sz w:val="22"/>
        </w:rPr>
      </w:pPr>
    </w:p>
    <w:tbl>
      <w:tblPr>
        <w:tblStyle w:val="Grilledutableau"/>
        <w:tblW w:w="9072" w:type="dxa"/>
        <w:jc w:val="center"/>
        <w:tblLook w:val="04A0" w:firstRow="1" w:lastRow="0" w:firstColumn="1" w:lastColumn="0" w:noHBand="0" w:noVBand="1"/>
      </w:tblPr>
      <w:tblGrid>
        <w:gridCol w:w="3478"/>
        <w:gridCol w:w="1877"/>
        <w:gridCol w:w="1491"/>
        <w:gridCol w:w="2226"/>
      </w:tblGrid>
      <w:tr w:rsidR="00AB5B0B" w:rsidRPr="00E2052F" w14:paraId="655EB989" w14:textId="77777777" w:rsidTr="00456526">
        <w:trPr>
          <w:trHeight w:val="756"/>
          <w:jc w:val="center"/>
        </w:trPr>
        <w:tc>
          <w:tcPr>
            <w:tcW w:w="3823" w:type="dxa"/>
            <w:shd w:val="clear" w:color="auto" w:fill="D9E2F3" w:themeFill="accent1" w:themeFillTint="33"/>
          </w:tcPr>
          <w:p w14:paraId="022E49C0"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Axes</w:t>
            </w:r>
          </w:p>
        </w:tc>
        <w:tc>
          <w:tcPr>
            <w:tcW w:w="1984" w:type="dxa"/>
            <w:shd w:val="clear" w:color="auto" w:fill="D9E2F3" w:themeFill="accent1" w:themeFillTint="33"/>
          </w:tcPr>
          <w:p w14:paraId="44D00F62"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Nombres D’énoncées</w:t>
            </w:r>
          </w:p>
        </w:tc>
        <w:tc>
          <w:tcPr>
            <w:tcW w:w="1559" w:type="dxa"/>
            <w:shd w:val="clear" w:color="auto" w:fill="D9E2F3" w:themeFill="accent1" w:themeFillTint="33"/>
          </w:tcPr>
          <w:p w14:paraId="7CEB0B20"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Valeur alpha de Cronbach</w:t>
            </w:r>
          </w:p>
        </w:tc>
        <w:tc>
          <w:tcPr>
            <w:tcW w:w="2410" w:type="dxa"/>
            <w:shd w:val="clear" w:color="auto" w:fill="D9E2F3" w:themeFill="accent1" w:themeFillTint="33"/>
          </w:tcPr>
          <w:p w14:paraId="6016CA60"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Lors de la suppression de l'honnêteté</w:t>
            </w:r>
          </w:p>
        </w:tc>
      </w:tr>
      <w:tr w:rsidR="00AB5B0B" w:rsidRPr="00E2052F" w14:paraId="373022B1" w14:textId="77777777" w:rsidTr="00456526">
        <w:trPr>
          <w:trHeight w:val="398"/>
          <w:jc w:val="center"/>
        </w:trPr>
        <w:tc>
          <w:tcPr>
            <w:tcW w:w="3823" w:type="dxa"/>
            <w:shd w:val="clear" w:color="auto" w:fill="D9E2F3" w:themeFill="accent1" w:themeFillTint="33"/>
          </w:tcPr>
          <w:p w14:paraId="7E00B5DA"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1 : Cadre efficace de gouvernance</w:t>
            </w:r>
          </w:p>
        </w:tc>
        <w:tc>
          <w:tcPr>
            <w:tcW w:w="1984" w:type="dxa"/>
          </w:tcPr>
          <w:p w14:paraId="7C4D5A69"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3E9275D7"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0,963</w:t>
            </w:r>
          </w:p>
        </w:tc>
        <w:tc>
          <w:tcPr>
            <w:tcW w:w="2410" w:type="dxa"/>
          </w:tcPr>
          <w:p w14:paraId="13BF9126"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0,981</w:t>
            </w:r>
          </w:p>
        </w:tc>
      </w:tr>
      <w:tr w:rsidR="00AB5B0B" w:rsidRPr="00E2052F" w14:paraId="66B4FE2B" w14:textId="77777777" w:rsidTr="00456526">
        <w:trPr>
          <w:trHeight w:val="378"/>
          <w:jc w:val="center"/>
        </w:trPr>
        <w:tc>
          <w:tcPr>
            <w:tcW w:w="3823" w:type="dxa"/>
            <w:shd w:val="clear" w:color="auto" w:fill="D9E2F3" w:themeFill="accent1" w:themeFillTint="33"/>
          </w:tcPr>
          <w:p w14:paraId="4CAFA981"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2 : la préservation des droits des actionnaires</w:t>
            </w:r>
          </w:p>
        </w:tc>
        <w:tc>
          <w:tcPr>
            <w:tcW w:w="1984" w:type="dxa"/>
          </w:tcPr>
          <w:p w14:paraId="0A06A577"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3C06736A"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0,941</w:t>
            </w:r>
          </w:p>
        </w:tc>
        <w:tc>
          <w:tcPr>
            <w:tcW w:w="2410" w:type="dxa"/>
          </w:tcPr>
          <w:p w14:paraId="5E86714A"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0,970</w:t>
            </w:r>
          </w:p>
        </w:tc>
      </w:tr>
      <w:tr w:rsidR="00AB5B0B" w:rsidRPr="00E2052F" w14:paraId="7C6246B6" w14:textId="77777777" w:rsidTr="00456526">
        <w:trPr>
          <w:trHeight w:val="378"/>
          <w:jc w:val="center"/>
        </w:trPr>
        <w:tc>
          <w:tcPr>
            <w:tcW w:w="3823" w:type="dxa"/>
            <w:shd w:val="clear" w:color="auto" w:fill="D9E2F3" w:themeFill="accent1" w:themeFillTint="33"/>
          </w:tcPr>
          <w:p w14:paraId="4887B31A"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3 : Traitement équitable des actionnaires</w:t>
            </w:r>
          </w:p>
        </w:tc>
        <w:tc>
          <w:tcPr>
            <w:tcW w:w="1984" w:type="dxa"/>
          </w:tcPr>
          <w:p w14:paraId="18EED379"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1D33996F"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0,956</w:t>
            </w:r>
          </w:p>
        </w:tc>
        <w:tc>
          <w:tcPr>
            <w:tcW w:w="2410" w:type="dxa"/>
          </w:tcPr>
          <w:p w14:paraId="5F91EDF2"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0,978</w:t>
            </w:r>
          </w:p>
        </w:tc>
      </w:tr>
      <w:tr w:rsidR="00AB5B0B" w:rsidRPr="00E2052F" w14:paraId="1D0E5CF5" w14:textId="77777777" w:rsidTr="00456526">
        <w:trPr>
          <w:trHeight w:val="378"/>
          <w:jc w:val="center"/>
        </w:trPr>
        <w:tc>
          <w:tcPr>
            <w:tcW w:w="3823" w:type="dxa"/>
            <w:shd w:val="clear" w:color="auto" w:fill="D9E2F3" w:themeFill="accent1" w:themeFillTint="33"/>
          </w:tcPr>
          <w:p w14:paraId="613FA03D"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4 : Rôle des parties prenantes</w:t>
            </w:r>
          </w:p>
        </w:tc>
        <w:tc>
          <w:tcPr>
            <w:tcW w:w="1984" w:type="dxa"/>
          </w:tcPr>
          <w:p w14:paraId="60F32232"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6A73B06D"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0,944</w:t>
            </w:r>
          </w:p>
        </w:tc>
        <w:tc>
          <w:tcPr>
            <w:tcW w:w="2410" w:type="dxa"/>
          </w:tcPr>
          <w:p w14:paraId="734444C0"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0,972</w:t>
            </w:r>
          </w:p>
        </w:tc>
      </w:tr>
      <w:tr w:rsidR="00AB5B0B" w:rsidRPr="00E2052F" w14:paraId="4A92E71A" w14:textId="77777777" w:rsidTr="00456526">
        <w:trPr>
          <w:trHeight w:val="357"/>
          <w:jc w:val="center"/>
        </w:trPr>
        <w:tc>
          <w:tcPr>
            <w:tcW w:w="3823" w:type="dxa"/>
            <w:shd w:val="clear" w:color="auto" w:fill="D9E2F3" w:themeFill="accent1" w:themeFillTint="33"/>
          </w:tcPr>
          <w:p w14:paraId="4B10E95C"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5 : Transparence et divulgation</w:t>
            </w:r>
          </w:p>
        </w:tc>
        <w:tc>
          <w:tcPr>
            <w:tcW w:w="1984" w:type="dxa"/>
          </w:tcPr>
          <w:p w14:paraId="62D55DC3"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2E7AFEE6"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0,955</w:t>
            </w:r>
          </w:p>
        </w:tc>
        <w:tc>
          <w:tcPr>
            <w:tcW w:w="2410" w:type="dxa"/>
          </w:tcPr>
          <w:p w14:paraId="3F91771A"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0,977</w:t>
            </w:r>
          </w:p>
        </w:tc>
      </w:tr>
      <w:tr w:rsidR="00AB5B0B" w:rsidRPr="00E2052F" w14:paraId="194E2AC1" w14:textId="77777777" w:rsidTr="00456526">
        <w:trPr>
          <w:trHeight w:val="357"/>
          <w:jc w:val="center"/>
        </w:trPr>
        <w:tc>
          <w:tcPr>
            <w:tcW w:w="3823" w:type="dxa"/>
            <w:shd w:val="clear" w:color="auto" w:fill="D9E2F3" w:themeFill="accent1" w:themeFillTint="33"/>
          </w:tcPr>
          <w:p w14:paraId="00B8B54E" w14:textId="77777777" w:rsidR="00AB5B0B" w:rsidRPr="00E2052F" w:rsidRDefault="00AB5B0B" w:rsidP="00456526">
            <w:pPr>
              <w:spacing w:before="0" w:beforeAutospacing="0" w:after="160"/>
              <w:jc w:val="center"/>
              <w:rPr>
                <w:rFonts w:cstheme="majorBidi"/>
                <w:b/>
                <w:bCs/>
                <w:color w:val="000000"/>
                <w:sz w:val="22"/>
              </w:rPr>
            </w:pPr>
            <w:r w:rsidRPr="00E2052F">
              <w:rPr>
                <w:rFonts w:cstheme="majorBidi"/>
                <w:b/>
                <w:bCs/>
                <w:color w:val="000000"/>
                <w:sz w:val="22"/>
              </w:rPr>
              <w:t>Axe 6 : Responsabilité du conseil d'administration</w:t>
            </w:r>
          </w:p>
        </w:tc>
        <w:tc>
          <w:tcPr>
            <w:tcW w:w="1984" w:type="dxa"/>
          </w:tcPr>
          <w:p w14:paraId="4910112E"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5 énoncées</w:t>
            </w:r>
          </w:p>
        </w:tc>
        <w:tc>
          <w:tcPr>
            <w:tcW w:w="1559" w:type="dxa"/>
          </w:tcPr>
          <w:p w14:paraId="086FF31F"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0,955</w:t>
            </w:r>
          </w:p>
        </w:tc>
        <w:tc>
          <w:tcPr>
            <w:tcW w:w="2410" w:type="dxa"/>
          </w:tcPr>
          <w:p w14:paraId="49CEB04C" w14:textId="77777777" w:rsidR="00AB5B0B" w:rsidRPr="00E2052F" w:rsidRDefault="00AB5B0B" w:rsidP="00456526">
            <w:pPr>
              <w:spacing w:before="0" w:beforeAutospacing="0" w:after="160"/>
              <w:jc w:val="center"/>
              <w:rPr>
                <w:rFonts w:cstheme="majorBidi"/>
                <w:color w:val="000000"/>
                <w:sz w:val="22"/>
              </w:rPr>
            </w:pPr>
            <w:r w:rsidRPr="00E2052F">
              <w:rPr>
                <w:rFonts w:cstheme="majorBidi"/>
                <w:color w:val="000000"/>
                <w:sz w:val="22"/>
              </w:rPr>
              <w:t>0,977</w:t>
            </w:r>
          </w:p>
        </w:tc>
      </w:tr>
    </w:tbl>
    <w:p w14:paraId="66CAEB1A" w14:textId="77777777" w:rsidR="00D00AB2" w:rsidRPr="00D00AB2" w:rsidRDefault="00D00AB2" w:rsidP="00D00AB2">
      <w:pPr>
        <w:spacing w:before="0" w:beforeAutospacing="0" w:line="259" w:lineRule="auto"/>
        <w:ind w:firstLine="0"/>
        <w:jc w:val="left"/>
        <w:rPr>
          <w:rFonts w:eastAsia="Calibri" w:cstheme="majorBidi"/>
          <w:sz w:val="22"/>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58"/>
        <w:gridCol w:w="1024"/>
        <w:gridCol w:w="704"/>
        <w:gridCol w:w="1249"/>
        <w:gridCol w:w="1352"/>
        <w:gridCol w:w="1798"/>
      </w:tblGrid>
      <w:tr w:rsidR="003E31E5" w:rsidRPr="003E31E5" w14:paraId="2E294286" w14:textId="77777777" w:rsidTr="00456526">
        <w:trPr>
          <w:tblHeade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1AA3F1B"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Question</w:t>
            </w:r>
          </w:p>
        </w:tc>
        <w:tc>
          <w:tcPr>
            <w:tcW w:w="0" w:type="auto"/>
            <w:shd w:val="clear" w:color="auto" w:fill="D9E2F3" w:themeFill="accent1" w:themeFillTint="33"/>
            <w:tcMar>
              <w:top w:w="15" w:type="dxa"/>
              <w:left w:w="15" w:type="dxa"/>
              <w:bottom w:w="15" w:type="dxa"/>
              <w:right w:w="15" w:type="dxa"/>
            </w:tcMar>
            <w:vAlign w:val="center"/>
            <w:hideMark/>
          </w:tcPr>
          <w:p w14:paraId="4B43AF8C"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Moyenne</w:t>
            </w:r>
          </w:p>
        </w:tc>
        <w:tc>
          <w:tcPr>
            <w:tcW w:w="1028" w:type="dxa"/>
            <w:shd w:val="clear" w:color="auto" w:fill="D9E2F3" w:themeFill="accent1" w:themeFillTint="33"/>
            <w:tcMar>
              <w:top w:w="15" w:type="dxa"/>
              <w:left w:w="15" w:type="dxa"/>
              <w:bottom w:w="15" w:type="dxa"/>
              <w:right w:w="15" w:type="dxa"/>
            </w:tcMar>
            <w:vAlign w:val="center"/>
            <w:hideMark/>
          </w:tcPr>
          <w:p w14:paraId="7EB2654C"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Ecart type</w:t>
            </w:r>
          </w:p>
        </w:tc>
        <w:tc>
          <w:tcPr>
            <w:tcW w:w="994" w:type="dxa"/>
            <w:shd w:val="clear" w:color="auto" w:fill="D9E2F3" w:themeFill="accent1" w:themeFillTint="33"/>
            <w:tcMar>
              <w:top w:w="15" w:type="dxa"/>
              <w:left w:w="15" w:type="dxa"/>
              <w:bottom w:w="15" w:type="dxa"/>
              <w:right w:w="15" w:type="dxa"/>
            </w:tcMar>
            <w:vAlign w:val="center"/>
            <w:hideMark/>
          </w:tcPr>
          <w:p w14:paraId="1CE513D7"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Test T</w:t>
            </w:r>
          </w:p>
        </w:tc>
        <w:tc>
          <w:tcPr>
            <w:tcW w:w="674" w:type="dxa"/>
            <w:shd w:val="clear" w:color="auto" w:fill="D9E2F3" w:themeFill="accent1" w:themeFillTint="33"/>
            <w:tcMar>
              <w:top w:w="15" w:type="dxa"/>
              <w:left w:w="15" w:type="dxa"/>
              <w:bottom w:w="15" w:type="dxa"/>
              <w:right w:w="15" w:type="dxa"/>
            </w:tcMar>
            <w:vAlign w:val="center"/>
            <w:hideMark/>
          </w:tcPr>
          <w:p w14:paraId="1B36E311"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Ddl</w:t>
            </w:r>
          </w:p>
        </w:tc>
        <w:tc>
          <w:tcPr>
            <w:tcW w:w="1219" w:type="dxa"/>
            <w:shd w:val="clear" w:color="auto" w:fill="D9E2F3" w:themeFill="accent1" w:themeFillTint="33"/>
            <w:tcMar>
              <w:top w:w="15" w:type="dxa"/>
              <w:left w:w="15" w:type="dxa"/>
              <w:bottom w:w="15" w:type="dxa"/>
              <w:right w:w="15" w:type="dxa"/>
            </w:tcMar>
            <w:vAlign w:val="center"/>
            <w:hideMark/>
          </w:tcPr>
          <w:p w14:paraId="23B1D35A"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Sig. (Bilatérale)</w:t>
            </w:r>
          </w:p>
        </w:tc>
        <w:tc>
          <w:tcPr>
            <w:tcW w:w="0" w:type="auto"/>
            <w:shd w:val="clear" w:color="auto" w:fill="D9E2F3" w:themeFill="accent1" w:themeFillTint="33"/>
            <w:tcMar>
              <w:top w:w="15" w:type="dxa"/>
              <w:left w:w="15" w:type="dxa"/>
              <w:bottom w:w="15" w:type="dxa"/>
              <w:right w:w="15" w:type="dxa"/>
            </w:tcMar>
            <w:vAlign w:val="center"/>
            <w:hideMark/>
          </w:tcPr>
          <w:p w14:paraId="7805E4CE"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Classification</w:t>
            </w:r>
          </w:p>
        </w:tc>
        <w:tc>
          <w:tcPr>
            <w:tcW w:w="0" w:type="auto"/>
            <w:shd w:val="clear" w:color="auto" w:fill="D9E2F3" w:themeFill="accent1" w:themeFillTint="33"/>
            <w:tcMar>
              <w:top w:w="15" w:type="dxa"/>
              <w:left w:w="15" w:type="dxa"/>
              <w:bottom w:w="15" w:type="dxa"/>
              <w:right w:w="15" w:type="dxa"/>
            </w:tcMar>
            <w:vAlign w:val="center"/>
            <w:hideMark/>
          </w:tcPr>
          <w:p w14:paraId="1527AD1F"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Niveau d’accord</w:t>
            </w:r>
          </w:p>
        </w:tc>
      </w:tr>
      <w:tr w:rsidR="003E31E5" w:rsidRPr="003E31E5" w14:paraId="009D3AB4"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7FE9D45C"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Q1</w:t>
            </w:r>
          </w:p>
        </w:tc>
        <w:tc>
          <w:tcPr>
            <w:tcW w:w="0" w:type="auto"/>
            <w:tcMar>
              <w:top w:w="15" w:type="dxa"/>
              <w:left w:w="15" w:type="dxa"/>
              <w:bottom w:w="15" w:type="dxa"/>
              <w:right w:w="15" w:type="dxa"/>
            </w:tcMar>
            <w:vAlign w:val="center"/>
            <w:hideMark/>
          </w:tcPr>
          <w:p w14:paraId="4884CAC7"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4.32</w:t>
            </w:r>
          </w:p>
        </w:tc>
        <w:tc>
          <w:tcPr>
            <w:tcW w:w="1028" w:type="dxa"/>
            <w:tcMar>
              <w:top w:w="15" w:type="dxa"/>
              <w:left w:w="15" w:type="dxa"/>
              <w:bottom w:w="15" w:type="dxa"/>
              <w:right w:w="15" w:type="dxa"/>
            </w:tcMar>
            <w:vAlign w:val="center"/>
            <w:hideMark/>
          </w:tcPr>
          <w:p w14:paraId="296409C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0.872</w:t>
            </w:r>
          </w:p>
        </w:tc>
        <w:tc>
          <w:tcPr>
            <w:tcW w:w="994" w:type="dxa"/>
            <w:tcMar>
              <w:top w:w="15" w:type="dxa"/>
              <w:left w:w="15" w:type="dxa"/>
              <w:bottom w:w="15" w:type="dxa"/>
              <w:right w:w="15" w:type="dxa"/>
            </w:tcMar>
            <w:vAlign w:val="center"/>
            <w:hideMark/>
          </w:tcPr>
          <w:p w14:paraId="7DD84785"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26.223</w:t>
            </w:r>
          </w:p>
        </w:tc>
        <w:tc>
          <w:tcPr>
            <w:tcW w:w="674" w:type="dxa"/>
            <w:tcMar>
              <w:top w:w="15" w:type="dxa"/>
              <w:left w:w="15" w:type="dxa"/>
              <w:bottom w:w="15" w:type="dxa"/>
              <w:right w:w="15" w:type="dxa"/>
            </w:tcMar>
            <w:vAlign w:val="center"/>
            <w:hideMark/>
          </w:tcPr>
          <w:p w14:paraId="6D3CC1E9"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4EE7E694"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31859B00"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1</w:t>
            </w:r>
          </w:p>
        </w:tc>
        <w:tc>
          <w:tcPr>
            <w:tcW w:w="0" w:type="auto"/>
            <w:tcMar>
              <w:top w:w="15" w:type="dxa"/>
              <w:left w:w="15" w:type="dxa"/>
              <w:bottom w:w="15" w:type="dxa"/>
              <w:right w:w="15" w:type="dxa"/>
            </w:tcMar>
            <w:vAlign w:val="center"/>
            <w:hideMark/>
          </w:tcPr>
          <w:p w14:paraId="6D9823AB"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Tout à fait d’accord</w:t>
            </w:r>
          </w:p>
        </w:tc>
      </w:tr>
      <w:tr w:rsidR="003E31E5" w:rsidRPr="003E31E5" w14:paraId="48E1B868"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2AE1CE4E"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lastRenderedPageBreak/>
              <w:t>Q2</w:t>
            </w:r>
          </w:p>
        </w:tc>
        <w:tc>
          <w:tcPr>
            <w:tcW w:w="0" w:type="auto"/>
            <w:tcMar>
              <w:top w:w="15" w:type="dxa"/>
              <w:left w:w="15" w:type="dxa"/>
              <w:bottom w:w="15" w:type="dxa"/>
              <w:right w:w="15" w:type="dxa"/>
            </w:tcMar>
            <w:vAlign w:val="center"/>
            <w:hideMark/>
          </w:tcPr>
          <w:p w14:paraId="33B441AE"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4.04</w:t>
            </w:r>
          </w:p>
        </w:tc>
        <w:tc>
          <w:tcPr>
            <w:tcW w:w="1028" w:type="dxa"/>
            <w:tcMar>
              <w:top w:w="15" w:type="dxa"/>
              <w:left w:w="15" w:type="dxa"/>
              <w:bottom w:w="15" w:type="dxa"/>
              <w:right w:w="15" w:type="dxa"/>
            </w:tcMar>
            <w:vAlign w:val="center"/>
            <w:hideMark/>
          </w:tcPr>
          <w:p w14:paraId="25489029"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0.884</w:t>
            </w:r>
          </w:p>
        </w:tc>
        <w:tc>
          <w:tcPr>
            <w:tcW w:w="994" w:type="dxa"/>
            <w:tcMar>
              <w:top w:w="15" w:type="dxa"/>
              <w:left w:w="15" w:type="dxa"/>
              <w:bottom w:w="15" w:type="dxa"/>
              <w:right w:w="15" w:type="dxa"/>
            </w:tcMar>
            <w:vAlign w:val="center"/>
            <w:hideMark/>
          </w:tcPr>
          <w:p w14:paraId="6BCF2BD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20.383</w:t>
            </w:r>
          </w:p>
        </w:tc>
        <w:tc>
          <w:tcPr>
            <w:tcW w:w="674" w:type="dxa"/>
            <w:tcMar>
              <w:top w:w="15" w:type="dxa"/>
              <w:left w:w="15" w:type="dxa"/>
              <w:bottom w:w="15" w:type="dxa"/>
              <w:right w:w="15" w:type="dxa"/>
            </w:tcMar>
            <w:vAlign w:val="center"/>
            <w:hideMark/>
          </w:tcPr>
          <w:p w14:paraId="05D2402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6DF49E7D"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5C711EB0"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5</w:t>
            </w:r>
          </w:p>
        </w:tc>
        <w:tc>
          <w:tcPr>
            <w:tcW w:w="0" w:type="auto"/>
            <w:tcMar>
              <w:top w:w="15" w:type="dxa"/>
              <w:left w:w="15" w:type="dxa"/>
              <w:bottom w:w="15" w:type="dxa"/>
              <w:right w:w="15" w:type="dxa"/>
            </w:tcMar>
            <w:vAlign w:val="center"/>
            <w:hideMark/>
          </w:tcPr>
          <w:p w14:paraId="7AB33ABF"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D’accord</w:t>
            </w:r>
          </w:p>
        </w:tc>
      </w:tr>
      <w:tr w:rsidR="003E31E5" w:rsidRPr="003E31E5" w14:paraId="2AA87E78"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66C53E9"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Q3</w:t>
            </w:r>
          </w:p>
        </w:tc>
        <w:tc>
          <w:tcPr>
            <w:tcW w:w="0" w:type="auto"/>
            <w:tcMar>
              <w:top w:w="15" w:type="dxa"/>
              <w:left w:w="15" w:type="dxa"/>
              <w:bottom w:w="15" w:type="dxa"/>
              <w:right w:w="15" w:type="dxa"/>
            </w:tcMar>
            <w:vAlign w:val="center"/>
            <w:hideMark/>
          </w:tcPr>
          <w:p w14:paraId="54DBDB39"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4.04</w:t>
            </w:r>
          </w:p>
        </w:tc>
        <w:tc>
          <w:tcPr>
            <w:tcW w:w="1028" w:type="dxa"/>
            <w:tcMar>
              <w:top w:w="15" w:type="dxa"/>
              <w:left w:w="15" w:type="dxa"/>
              <w:bottom w:w="15" w:type="dxa"/>
              <w:right w:w="15" w:type="dxa"/>
            </w:tcMar>
            <w:vAlign w:val="center"/>
            <w:hideMark/>
          </w:tcPr>
          <w:p w14:paraId="117601C9"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0.851</w:t>
            </w:r>
          </w:p>
        </w:tc>
        <w:tc>
          <w:tcPr>
            <w:tcW w:w="994" w:type="dxa"/>
            <w:tcMar>
              <w:top w:w="15" w:type="dxa"/>
              <w:left w:w="15" w:type="dxa"/>
              <w:bottom w:w="15" w:type="dxa"/>
              <w:right w:w="15" w:type="dxa"/>
            </w:tcMar>
            <w:vAlign w:val="center"/>
            <w:hideMark/>
          </w:tcPr>
          <w:p w14:paraId="772F3AF5"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21.096</w:t>
            </w:r>
          </w:p>
        </w:tc>
        <w:tc>
          <w:tcPr>
            <w:tcW w:w="674" w:type="dxa"/>
            <w:tcMar>
              <w:top w:w="15" w:type="dxa"/>
              <w:left w:w="15" w:type="dxa"/>
              <w:bottom w:w="15" w:type="dxa"/>
              <w:right w:w="15" w:type="dxa"/>
            </w:tcMar>
            <w:vAlign w:val="center"/>
            <w:hideMark/>
          </w:tcPr>
          <w:p w14:paraId="69F5B905"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12C7E3F0"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19802FF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w:t>
            </w:r>
          </w:p>
        </w:tc>
        <w:tc>
          <w:tcPr>
            <w:tcW w:w="0" w:type="auto"/>
            <w:tcMar>
              <w:top w:w="15" w:type="dxa"/>
              <w:left w:w="15" w:type="dxa"/>
              <w:bottom w:w="15" w:type="dxa"/>
              <w:right w:w="15" w:type="dxa"/>
            </w:tcMar>
            <w:vAlign w:val="center"/>
            <w:hideMark/>
          </w:tcPr>
          <w:p w14:paraId="65BD4FB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D’accord</w:t>
            </w:r>
          </w:p>
        </w:tc>
      </w:tr>
      <w:tr w:rsidR="003E31E5" w:rsidRPr="003E31E5" w14:paraId="65541D2A"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D088AA7"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Q4</w:t>
            </w:r>
          </w:p>
        </w:tc>
        <w:tc>
          <w:tcPr>
            <w:tcW w:w="0" w:type="auto"/>
            <w:tcMar>
              <w:top w:w="15" w:type="dxa"/>
              <w:left w:w="15" w:type="dxa"/>
              <w:bottom w:w="15" w:type="dxa"/>
              <w:right w:w="15" w:type="dxa"/>
            </w:tcMar>
            <w:vAlign w:val="center"/>
            <w:hideMark/>
          </w:tcPr>
          <w:p w14:paraId="6BBBDFF6"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4.13</w:t>
            </w:r>
          </w:p>
        </w:tc>
        <w:tc>
          <w:tcPr>
            <w:tcW w:w="1028" w:type="dxa"/>
            <w:tcMar>
              <w:top w:w="15" w:type="dxa"/>
              <w:left w:w="15" w:type="dxa"/>
              <w:bottom w:w="15" w:type="dxa"/>
              <w:right w:w="15" w:type="dxa"/>
            </w:tcMar>
            <w:vAlign w:val="center"/>
            <w:hideMark/>
          </w:tcPr>
          <w:p w14:paraId="218BE285"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0.867</w:t>
            </w:r>
          </w:p>
        </w:tc>
        <w:tc>
          <w:tcPr>
            <w:tcW w:w="994" w:type="dxa"/>
            <w:tcMar>
              <w:top w:w="15" w:type="dxa"/>
              <w:left w:w="15" w:type="dxa"/>
              <w:bottom w:w="15" w:type="dxa"/>
              <w:right w:w="15" w:type="dxa"/>
            </w:tcMar>
            <w:vAlign w:val="center"/>
            <w:hideMark/>
          </w:tcPr>
          <w:p w14:paraId="0E7DCF6D"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22.646</w:t>
            </w:r>
          </w:p>
        </w:tc>
        <w:tc>
          <w:tcPr>
            <w:tcW w:w="674" w:type="dxa"/>
            <w:tcMar>
              <w:top w:w="15" w:type="dxa"/>
              <w:left w:w="15" w:type="dxa"/>
              <w:bottom w:w="15" w:type="dxa"/>
              <w:right w:w="15" w:type="dxa"/>
            </w:tcMar>
            <w:vAlign w:val="center"/>
            <w:hideMark/>
          </w:tcPr>
          <w:p w14:paraId="0B8B4A8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79B73D9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05C393B2"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3</w:t>
            </w:r>
          </w:p>
        </w:tc>
        <w:tc>
          <w:tcPr>
            <w:tcW w:w="0" w:type="auto"/>
            <w:tcMar>
              <w:top w:w="15" w:type="dxa"/>
              <w:left w:w="15" w:type="dxa"/>
              <w:bottom w:w="15" w:type="dxa"/>
              <w:right w:w="15" w:type="dxa"/>
            </w:tcMar>
            <w:vAlign w:val="center"/>
            <w:hideMark/>
          </w:tcPr>
          <w:p w14:paraId="3B05B741"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D’accord</w:t>
            </w:r>
          </w:p>
        </w:tc>
      </w:tr>
      <w:tr w:rsidR="003E31E5" w:rsidRPr="003E31E5" w14:paraId="1E251E0A"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66EFCB51" w14:textId="77777777" w:rsidR="003E31E5" w:rsidRPr="003E31E5" w:rsidRDefault="003E31E5" w:rsidP="003E31E5">
            <w:pPr>
              <w:spacing w:before="0" w:beforeAutospacing="0" w:line="240" w:lineRule="auto"/>
              <w:ind w:firstLine="0"/>
              <w:jc w:val="center"/>
              <w:rPr>
                <w:rFonts w:cstheme="majorBidi"/>
                <w:b/>
                <w:bCs/>
                <w:color w:val="000000"/>
                <w:sz w:val="22"/>
              </w:rPr>
            </w:pPr>
            <w:r w:rsidRPr="003E31E5">
              <w:rPr>
                <w:rFonts w:cstheme="majorBidi"/>
                <w:b/>
                <w:bCs/>
                <w:color w:val="000000"/>
                <w:sz w:val="22"/>
              </w:rPr>
              <w:t>Q5</w:t>
            </w:r>
          </w:p>
        </w:tc>
        <w:tc>
          <w:tcPr>
            <w:tcW w:w="0" w:type="auto"/>
            <w:tcMar>
              <w:top w:w="15" w:type="dxa"/>
              <w:left w:w="15" w:type="dxa"/>
              <w:bottom w:w="15" w:type="dxa"/>
              <w:right w:w="15" w:type="dxa"/>
            </w:tcMar>
            <w:vAlign w:val="center"/>
            <w:hideMark/>
          </w:tcPr>
          <w:p w14:paraId="1857D452"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4.14</w:t>
            </w:r>
          </w:p>
        </w:tc>
        <w:tc>
          <w:tcPr>
            <w:tcW w:w="1028" w:type="dxa"/>
            <w:tcMar>
              <w:top w:w="15" w:type="dxa"/>
              <w:left w:w="15" w:type="dxa"/>
              <w:bottom w:w="15" w:type="dxa"/>
              <w:right w:w="15" w:type="dxa"/>
            </w:tcMar>
            <w:vAlign w:val="center"/>
            <w:hideMark/>
          </w:tcPr>
          <w:p w14:paraId="7C7904D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0.716</w:t>
            </w:r>
          </w:p>
        </w:tc>
        <w:tc>
          <w:tcPr>
            <w:tcW w:w="994" w:type="dxa"/>
            <w:tcMar>
              <w:top w:w="15" w:type="dxa"/>
              <w:left w:w="15" w:type="dxa"/>
              <w:bottom w:w="15" w:type="dxa"/>
              <w:right w:w="15" w:type="dxa"/>
            </w:tcMar>
            <w:vAlign w:val="center"/>
            <w:hideMark/>
          </w:tcPr>
          <w:p w14:paraId="49BC592B"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27.487</w:t>
            </w:r>
          </w:p>
        </w:tc>
        <w:tc>
          <w:tcPr>
            <w:tcW w:w="674" w:type="dxa"/>
            <w:tcMar>
              <w:top w:w="15" w:type="dxa"/>
              <w:left w:w="15" w:type="dxa"/>
              <w:bottom w:w="15" w:type="dxa"/>
              <w:right w:w="15" w:type="dxa"/>
            </w:tcMar>
            <w:vAlign w:val="center"/>
            <w:hideMark/>
          </w:tcPr>
          <w:p w14:paraId="59B59A2A"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26E82B67"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33D5E8B5"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w:t>
            </w:r>
          </w:p>
        </w:tc>
        <w:tc>
          <w:tcPr>
            <w:tcW w:w="0" w:type="auto"/>
            <w:tcMar>
              <w:top w:w="15" w:type="dxa"/>
              <w:left w:w="15" w:type="dxa"/>
              <w:bottom w:w="15" w:type="dxa"/>
              <w:right w:w="15" w:type="dxa"/>
            </w:tcMar>
            <w:vAlign w:val="center"/>
            <w:hideMark/>
          </w:tcPr>
          <w:p w14:paraId="304D3CE0"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Tout à fait d’accord</w:t>
            </w:r>
          </w:p>
        </w:tc>
      </w:tr>
      <w:tr w:rsidR="003E31E5" w:rsidRPr="003E31E5" w14:paraId="763392CA" w14:textId="77777777" w:rsidTr="00456526">
        <w:trPr>
          <w:tblCellSpacing w:w="15" w:type="dxa"/>
        </w:trPr>
        <w:tc>
          <w:tcPr>
            <w:tcW w:w="0" w:type="auto"/>
            <w:shd w:val="clear" w:color="auto" w:fill="D9E2F3" w:themeFill="accent1" w:themeFillTint="33"/>
            <w:tcMar>
              <w:top w:w="15" w:type="dxa"/>
              <w:left w:w="15" w:type="dxa"/>
              <w:bottom w:w="15" w:type="dxa"/>
              <w:right w:w="15" w:type="dxa"/>
            </w:tcMar>
            <w:vAlign w:val="center"/>
            <w:hideMark/>
          </w:tcPr>
          <w:p w14:paraId="10FE361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b/>
                <w:bCs/>
                <w:color w:val="000000"/>
                <w:sz w:val="22"/>
              </w:rPr>
              <w:t>Total</w:t>
            </w:r>
          </w:p>
        </w:tc>
        <w:tc>
          <w:tcPr>
            <w:tcW w:w="0" w:type="auto"/>
            <w:tcMar>
              <w:top w:w="15" w:type="dxa"/>
              <w:left w:w="15" w:type="dxa"/>
              <w:bottom w:w="15" w:type="dxa"/>
              <w:right w:w="15" w:type="dxa"/>
            </w:tcMar>
            <w:vAlign w:val="center"/>
            <w:hideMark/>
          </w:tcPr>
          <w:p w14:paraId="036E86C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4.13</w:t>
            </w:r>
          </w:p>
        </w:tc>
        <w:tc>
          <w:tcPr>
            <w:tcW w:w="1028" w:type="dxa"/>
            <w:tcMar>
              <w:top w:w="15" w:type="dxa"/>
              <w:left w:w="15" w:type="dxa"/>
              <w:bottom w:w="15" w:type="dxa"/>
              <w:right w:w="15" w:type="dxa"/>
            </w:tcMar>
            <w:vAlign w:val="center"/>
            <w:hideMark/>
          </w:tcPr>
          <w:p w14:paraId="4236038C"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0.784</w:t>
            </w:r>
          </w:p>
        </w:tc>
        <w:tc>
          <w:tcPr>
            <w:tcW w:w="994" w:type="dxa"/>
            <w:tcMar>
              <w:top w:w="15" w:type="dxa"/>
              <w:left w:w="15" w:type="dxa"/>
              <w:bottom w:w="15" w:type="dxa"/>
              <w:right w:w="15" w:type="dxa"/>
            </w:tcMar>
            <w:vAlign w:val="center"/>
            <w:hideMark/>
          </w:tcPr>
          <w:p w14:paraId="2D32D79E"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25.591</w:t>
            </w:r>
          </w:p>
        </w:tc>
        <w:tc>
          <w:tcPr>
            <w:tcW w:w="674" w:type="dxa"/>
            <w:tcMar>
              <w:top w:w="15" w:type="dxa"/>
              <w:left w:w="15" w:type="dxa"/>
              <w:bottom w:w="15" w:type="dxa"/>
              <w:right w:w="15" w:type="dxa"/>
            </w:tcMar>
            <w:vAlign w:val="center"/>
            <w:hideMark/>
          </w:tcPr>
          <w:p w14:paraId="1286A65D"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299</w:t>
            </w:r>
          </w:p>
        </w:tc>
        <w:tc>
          <w:tcPr>
            <w:tcW w:w="1219" w:type="dxa"/>
            <w:tcMar>
              <w:top w:w="15" w:type="dxa"/>
              <w:left w:w="15" w:type="dxa"/>
              <w:bottom w:w="15" w:type="dxa"/>
              <w:right w:w="15" w:type="dxa"/>
            </w:tcMar>
            <w:vAlign w:val="center"/>
            <w:hideMark/>
          </w:tcPr>
          <w:p w14:paraId="52A8E8B8"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0.000</w:t>
            </w:r>
          </w:p>
        </w:tc>
        <w:tc>
          <w:tcPr>
            <w:tcW w:w="0" w:type="auto"/>
            <w:tcMar>
              <w:top w:w="15" w:type="dxa"/>
              <w:left w:w="15" w:type="dxa"/>
              <w:bottom w:w="15" w:type="dxa"/>
              <w:right w:w="15" w:type="dxa"/>
            </w:tcMar>
            <w:vAlign w:val="center"/>
            <w:hideMark/>
          </w:tcPr>
          <w:p w14:paraId="34F4B7C1" w14:textId="77777777" w:rsidR="003E31E5" w:rsidRPr="003E31E5" w:rsidRDefault="003E31E5" w:rsidP="003E31E5">
            <w:pPr>
              <w:spacing w:before="0" w:beforeAutospacing="0" w:line="240" w:lineRule="auto"/>
              <w:jc w:val="center"/>
              <w:rPr>
                <w:rFonts w:cstheme="majorBidi"/>
                <w:color w:val="000000"/>
                <w:sz w:val="22"/>
              </w:rPr>
            </w:pPr>
            <w:r w:rsidRPr="003E31E5">
              <w:rPr>
                <w:rFonts w:cstheme="majorBidi"/>
                <w:color w:val="000000"/>
                <w:sz w:val="22"/>
              </w:rPr>
              <w:t>—</w:t>
            </w:r>
          </w:p>
        </w:tc>
        <w:tc>
          <w:tcPr>
            <w:tcW w:w="0" w:type="auto"/>
            <w:tcMar>
              <w:top w:w="15" w:type="dxa"/>
              <w:left w:w="15" w:type="dxa"/>
              <w:bottom w:w="15" w:type="dxa"/>
              <w:right w:w="15" w:type="dxa"/>
            </w:tcMar>
            <w:vAlign w:val="center"/>
            <w:hideMark/>
          </w:tcPr>
          <w:p w14:paraId="2B3A49F2" w14:textId="77777777" w:rsidR="003E31E5" w:rsidRPr="003E31E5" w:rsidRDefault="003E31E5" w:rsidP="003E31E5">
            <w:pPr>
              <w:spacing w:before="0" w:beforeAutospacing="0" w:line="240" w:lineRule="auto"/>
              <w:ind w:firstLine="0"/>
              <w:jc w:val="center"/>
              <w:rPr>
                <w:rFonts w:cstheme="majorBidi"/>
                <w:color w:val="000000"/>
                <w:sz w:val="22"/>
              </w:rPr>
            </w:pPr>
            <w:r w:rsidRPr="003E31E5">
              <w:rPr>
                <w:rFonts w:cstheme="majorBidi"/>
                <w:color w:val="000000"/>
                <w:sz w:val="22"/>
              </w:rPr>
              <w:t>D’accord</w:t>
            </w:r>
          </w:p>
        </w:tc>
      </w:tr>
    </w:tbl>
    <w:p w14:paraId="33935355" w14:textId="77777777" w:rsidR="00D00AB2" w:rsidRPr="00D00AB2" w:rsidRDefault="00D00AB2" w:rsidP="00D00AB2">
      <w:pPr>
        <w:spacing w:before="0" w:beforeAutospacing="0" w:line="259" w:lineRule="auto"/>
        <w:ind w:firstLine="0"/>
        <w:jc w:val="left"/>
        <w:rPr>
          <w:rFonts w:eastAsia="Calibri" w:cstheme="majorBidi"/>
          <w:sz w:val="22"/>
        </w:rPr>
      </w:pP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961"/>
        <w:gridCol w:w="1078"/>
        <w:gridCol w:w="694"/>
        <w:gridCol w:w="878"/>
        <w:gridCol w:w="1526"/>
        <w:gridCol w:w="1370"/>
        <w:gridCol w:w="1614"/>
      </w:tblGrid>
      <w:tr w:rsidR="003E31E5" w:rsidRPr="00E2052F" w14:paraId="37F05965" w14:textId="77777777" w:rsidTr="0045652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5F0B8C6"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EED560C"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20B0D90"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D1402E4"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84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3BF9370"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496"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787E26B"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305D53A"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56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1D1C7F2"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4729A921"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AA2574D"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FBF61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1DD23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0.826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1732D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27.108</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075E2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B36FB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D14A6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20D8C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53D7D748"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44A387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65397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5B982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E9C46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26.895</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21476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BD81B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26A83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0FBD2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5B9BD0DA"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A6AD0C2"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D75B2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CF9A6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0.671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62B7E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28.142</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36278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96731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CA943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A5182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01B18349"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3A828BF"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2FC9E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627F2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0.662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6121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31.847</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E15C2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99A69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9938A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1EA52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009E786F"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206460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B8A74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F7070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D520B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21.047</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53B98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02709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A5982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5</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CA3D4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0DF22C90"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A7EFC6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A629E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A34FF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0.663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3FEC5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27.028</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5B444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578D9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DEE6D7" w14:textId="77777777" w:rsidR="003E31E5" w:rsidRPr="00E2052F" w:rsidRDefault="003E31E5" w:rsidP="00456526">
            <w:pPr>
              <w:spacing w:before="0" w:beforeAutospacing="0"/>
              <w:jc w:val="center"/>
              <w:rPr>
                <w:rFonts w:cstheme="majorBidi"/>
                <w:color w:val="000000"/>
                <w:sz w:val="22"/>
              </w:rPr>
            </w:pPr>
            <w:r w:rsidRPr="00E2052F">
              <w:rPr>
                <w:rFonts w:cstheme="majorBidi"/>
                <w:color w:val="000000"/>
                <w:sz w:val="22"/>
              </w:rPr>
              <w:t>—</w:t>
            </w:r>
          </w:p>
        </w:tc>
        <w:tc>
          <w:tcPr>
            <w:tcW w:w="15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4AA6E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bl>
    <w:p w14:paraId="1EA443B7" w14:textId="77777777" w:rsidR="00D00AB2" w:rsidRDefault="00D00AB2" w:rsidP="00AB5B0B">
      <w:pPr>
        <w:spacing w:before="0" w:beforeAutospacing="0" w:line="259" w:lineRule="auto"/>
        <w:ind w:firstLine="0"/>
        <w:jc w:val="left"/>
        <w:rPr>
          <w:rFonts w:cstheme="majorBidi"/>
          <w:b/>
          <w:bCs/>
          <w:sz w:val="22"/>
          <w:u w:val="single"/>
        </w:rPr>
      </w:pP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988"/>
        <w:gridCol w:w="685"/>
        <w:gridCol w:w="878"/>
        <w:gridCol w:w="1526"/>
        <w:gridCol w:w="1352"/>
        <w:gridCol w:w="1756"/>
      </w:tblGrid>
      <w:tr w:rsidR="003E31E5" w:rsidRPr="00E2052F" w14:paraId="709CF828" w14:textId="77777777" w:rsidTr="0045652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EC68E30"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2497E96"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88A0E58"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355153F"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84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21CCC1A"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496"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5CF06D2"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2457D2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71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EDE48D5"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60D14749"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0E9132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90024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B3379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0.778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68ED6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26.121</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6970A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145CE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D3C1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3762A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6DA9885A"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7A89D7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AD2E2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CF6A4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0.731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2DDC6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25.193</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6BFE8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06EF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DBF1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99D0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7D11AA20"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BE0E61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E81B3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69919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02D13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23.749</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217EA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04ABA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3AF1F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61CD6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3BE1F9F4"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9B8994C"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DDB2F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280DC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0.805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A4F61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22.088</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819AA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180C9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A878C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5</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2DC4C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5A9DC7E0"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73ED74F"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lastRenderedPageBreak/>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D6F17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F9BD5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E28AE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28.573</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F78BE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BEBC9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55369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1B552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1B58B308"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209C40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B115D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A0551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0.690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ED27C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25.145</w:t>
            </w:r>
          </w:p>
        </w:tc>
        <w:tc>
          <w:tcPr>
            <w:tcW w:w="8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1CB22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4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EB2B0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DD9EFA" w14:textId="77777777" w:rsidR="003E31E5" w:rsidRPr="00E2052F" w:rsidRDefault="003E31E5" w:rsidP="00456526">
            <w:pPr>
              <w:spacing w:before="0" w:beforeAutospacing="0"/>
              <w:jc w:val="center"/>
              <w:rPr>
                <w:rFonts w:cstheme="majorBidi"/>
                <w:color w:val="000000"/>
                <w:sz w:val="22"/>
              </w:rPr>
            </w:pPr>
            <w:r w:rsidRPr="00E2052F">
              <w:rPr>
                <w:rFonts w:cstheme="majorBidi"/>
                <w:color w:val="000000"/>
                <w:sz w:val="22"/>
              </w:rPr>
              <w:t>—</w:t>
            </w:r>
          </w:p>
        </w:tc>
        <w:tc>
          <w:tcPr>
            <w:tcW w:w="17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28BFF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bl>
    <w:p w14:paraId="34D90702" w14:textId="77777777" w:rsidR="003E31E5" w:rsidRDefault="003E31E5" w:rsidP="00AB5B0B">
      <w:pPr>
        <w:spacing w:before="0" w:beforeAutospacing="0" w:line="259" w:lineRule="auto"/>
        <w:ind w:firstLine="0"/>
        <w:jc w:val="left"/>
        <w:rPr>
          <w:rFonts w:cstheme="majorBidi"/>
          <w:b/>
          <w:bCs/>
          <w:sz w:val="22"/>
          <w:u w:val="single"/>
        </w:rPr>
      </w:pP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978"/>
        <w:gridCol w:w="1098"/>
        <w:gridCol w:w="706"/>
        <w:gridCol w:w="436"/>
        <w:gridCol w:w="1596"/>
        <w:gridCol w:w="1395"/>
        <w:gridCol w:w="1894"/>
      </w:tblGrid>
      <w:tr w:rsidR="003E31E5" w:rsidRPr="00E2052F" w14:paraId="4942BFB0" w14:textId="77777777" w:rsidTr="0045652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4EEAE0C"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397BF6D"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F9793DB"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51041E6"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BBD12D0"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F876B95"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93731E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582780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21F92359"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0C0B069"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3C6E1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57EF7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8AD89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30.857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A4C8F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BF767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3083E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420CF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512ACC45"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DCDD436"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53156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67E42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A8BC0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18.114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424F2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E3799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BD4BD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13157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2874BC3D"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1EB57B1"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901F5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0EC76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05D92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27.757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6848F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C4147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52A0F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F67F0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7182B7CB"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1663193"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889DD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1BCE8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CE8B8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34.647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CA766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2D438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838FE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40A7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59C9539C"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ED1DFE8"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87962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9946D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3E8D2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31.159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ADB9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877E2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FED15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B2D60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6B5A7FC6"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B9960B0" w14:textId="77777777" w:rsidR="003E31E5" w:rsidRPr="00E2052F" w:rsidRDefault="003E31E5" w:rsidP="00456526">
            <w:pPr>
              <w:spacing w:before="0" w:beforeAutospacing="0"/>
              <w:jc w:val="center"/>
              <w:rPr>
                <w:rFonts w:cstheme="majorBidi"/>
                <w:b/>
                <w:bCs/>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1F11A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F646E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0C08E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28.507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BF5E9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9C8F4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32BC57" w14:textId="77777777" w:rsidR="003E31E5" w:rsidRPr="00E2052F" w:rsidRDefault="003E31E5" w:rsidP="00456526">
            <w:pPr>
              <w:spacing w:before="0" w:beforeAutospacing="0"/>
              <w:jc w:val="center"/>
              <w:rPr>
                <w:rFonts w:cstheme="majorBidi"/>
                <w:color w:val="000000"/>
                <w:sz w:val="22"/>
              </w:rPr>
            </w:pPr>
            <w:r w:rsidRPr="00E2052F">
              <w:rPr>
                <w:rFonts w:cstheme="majorBidi"/>
                <w:color w:val="000000"/>
                <w:sz w:val="22"/>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702C2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bl>
    <w:p w14:paraId="09E4C459" w14:textId="77777777" w:rsidR="003E31E5" w:rsidRDefault="003E31E5" w:rsidP="00AB5B0B">
      <w:pPr>
        <w:spacing w:before="0" w:beforeAutospacing="0" w:line="259" w:lineRule="auto"/>
        <w:ind w:firstLine="0"/>
        <w:jc w:val="left"/>
        <w:rPr>
          <w:rFonts w:cstheme="majorBidi"/>
          <w:b/>
          <w:bCs/>
          <w:sz w:val="22"/>
          <w:u w:val="single"/>
        </w:rPr>
      </w:pP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76"/>
        <w:gridCol w:w="709"/>
        <w:gridCol w:w="565"/>
        <w:gridCol w:w="1552"/>
        <w:gridCol w:w="1352"/>
        <w:gridCol w:w="1931"/>
      </w:tblGrid>
      <w:tr w:rsidR="003E31E5" w:rsidRPr="00E2052F" w14:paraId="1C83899E" w14:textId="77777777" w:rsidTr="0045652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84D2FB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2C982F"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105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DD723F5"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18B4286"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3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683E45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CDB0F3B"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29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AE4246D"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89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D5622D7"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23CE6C36"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D434172"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32A47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DBE1A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0.800</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6D035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26.405</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25C62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2F535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DA2B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77824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11422C05"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11A1BD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AB319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996A6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0.693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94E73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27.984</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77CA8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A08B5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0D246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39461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5A52CDFD"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29F8732"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1258A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3.92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E040E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0.840</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25F0B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18.904</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91B6A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18709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A447E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5</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67CDE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2BA82E0E"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5B55028"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D0E1E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4.17</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78214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0.695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A28FD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29.168</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760C1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BAC36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E6C8E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B5AC84" w14:textId="77777777" w:rsidR="003E31E5" w:rsidRPr="00E2052F" w:rsidRDefault="003E31E5" w:rsidP="003E31E5">
            <w:pPr>
              <w:spacing w:before="0" w:beforeAutospacing="0"/>
              <w:ind w:firstLine="0"/>
              <w:rPr>
                <w:rFonts w:cstheme="majorBidi"/>
                <w:color w:val="000000"/>
                <w:sz w:val="22"/>
              </w:rPr>
            </w:pPr>
            <w:r w:rsidRPr="00E2052F">
              <w:rPr>
                <w:rFonts w:cstheme="majorBidi"/>
                <w:color w:val="000000"/>
                <w:sz w:val="22"/>
              </w:rPr>
              <w:t>Tout à fait d’accord</w:t>
            </w:r>
          </w:p>
        </w:tc>
      </w:tr>
      <w:tr w:rsidR="003E31E5" w:rsidRPr="00E2052F" w14:paraId="7F583C44"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DFB8A5A"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F7928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4.16</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BD64B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0.655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CD9D3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30.670</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16286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1962F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F7871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71908" w14:textId="77777777" w:rsidR="003E31E5" w:rsidRPr="00E2052F" w:rsidRDefault="003E31E5" w:rsidP="003E31E5">
            <w:pPr>
              <w:spacing w:before="0" w:beforeAutospacing="0"/>
              <w:ind w:firstLine="0"/>
              <w:rPr>
                <w:rFonts w:cstheme="majorBidi"/>
                <w:color w:val="000000"/>
                <w:sz w:val="22"/>
              </w:rPr>
            </w:pPr>
            <w:r w:rsidRPr="00E2052F">
              <w:rPr>
                <w:rFonts w:cstheme="majorBidi"/>
                <w:color w:val="000000"/>
                <w:sz w:val="22"/>
              </w:rPr>
              <w:t>Tout à fait d’accord</w:t>
            </w:r>
          </w:p>
        </w:tc>
      </w:tr>
      <w:tr w:rsidR="003E31E5" w:rsidRPr="00E2052F" w14:paraId="718D104C"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70D004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D07C2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4.12</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370430"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0.681</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A8652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26.646</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3C659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12963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2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1AA58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w:t>
            </w:r>
          </w:p>
        </w:tc>
        <w:tc>
          <w:tcPr>
            <w:tcW w:w="18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4C5607" w14:textId="77777777" w:rsidR="003E31E5" w:rsidRPr="00E2052F" w:rsidRDefault="003E31E5" w:rsidP="00456526">
            <w:pPr>
              <w:spacing w:before="0" w:beforeAutospacing="0"/>
              <w:jc w:val="center"/>
              <w:rPr>
                <w:rFonts w:cstheme="majorBidi"/>
                <w:color w:val="000000"/>
                <w:sz w:val="22"/>
              </w:rPr>
            </w:pPr>
            <w:r w:rsidRPr="00E2052F">
              <w:rPr>
                <w:rFonts w:cstheme="majorBidi"/>
                <w:color w:val="000000"/>
                <w:sz w:val="22"/>
              </w:rPr>
              <w:t>D’accord</w:t>
            </w:r>
          </w:p>
        </w:tc>
      </w:tr>
    </w:tbl>
    <w:p w14:paraId="4BB737EF" w14:textId="77777777" w:rsidR="003E31E5" w:rsidRDefault="003E31E5" w:rsidP="00AB5B0B">
      <w:pPr>
        <w:spacing w:before="0" w:beforeAutospacing="0" w:line="259" w:lineRule="auto"/>
        <w:ind w:firstLine="0"/>
        <w:jc w:val="left"/>
        <w:rPr>
          <w:rFonts w:cstheme="majorBidi"/>
          <w:b/>
          <w:bCs/>
          <w:sz w:val="22"/>
          <w:u w:val="single"/>
        </w:rPr>
      </w:pP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8"/>
        <w:gridCol w:w="1085"/>
        <w:gridCol w:w="709"/>
        <w:gridCol w:w="567"/>
        <w:gridCol w:w="1559"/>
        <w:gridCol w:w="1418"/>
        <w:gridCol w:w="1847"/>
      </w:tblGrid>
      <w:tr w:rsidR="003E31E5" w:rsidRPr="00E2052F" w14:paraId="0A8C4577" w14:textId="77777777" w:rsidTr="00456526">
        <w:trPr>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EE99D45"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Question</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3434AE9"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Moyenne</w:t>
            </w:r>
          </w:p>
        </w:tc>
        <w:tc>
          <w:tcPr>
            <w:tcW w:w="105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79DCD98"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BE53148"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Test T</w:t>
            </w:r>
          </w:p>
        </w:tc>
        <w:tc>
          <w:tcPr>
            <w:tcW w:w="53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22A09B1B"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66B2FB5"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Sig. (Bilatérale)</w:t>
            </w:r>
          </w:p>
        </w:tc>
        <w:tc>
          <w:tcPr>
            <w:tcW w:w="13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911DE8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Classification</w:t>
            </w:r>
          </w:p>
        </w:tc>
        <w:tc>
          <w:tcPr>
            <w:tcW w:w="180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D92246E"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4EA73312"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42518DDE"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BC5AD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4.28</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F6824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0.823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F0241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26.941</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A5B22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B0E25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E8828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E3EA7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6FDBD61C"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F5F10FA"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lastRenderedPageBreak/>
              <w:t>Q2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1B460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4.06</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5B24A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0.703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9B1DD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26.196</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D3EFB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A0CF1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35B6B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AF7302"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7FDD1898"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FB1EDD3"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FDA90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4.09</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49F7D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0.764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B5B07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24.708</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3FE2BB"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E9F26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063F46"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B64E0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0BAC26AF"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005712F"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D3FC8D"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4.24</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8C9D5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0.686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7BFC1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31.307</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8241F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296B23"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FFDF5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285E08"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Tout à fait d’accord</w:t>
            </w:r>
          </w:p>
        </w:tc>
      </w:tr>
      <w:tr w:rsidR="003E31E5" w:rsidRPr="00E2052F" w14:paraId="568DEB65"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654CFE1" w14:textId="77777777" w:rsidR="003E31E5" w:rsidRPr="00E2052F" w:rsidRDefault="003E31E5" w:rsidP="00456526">
            <w:pPr>
              <w:spacing w:before="0" w:beforeAutospacing="0"/>
              <w:ind w:firstLine="0"/>
              <w:jc w:val="center"/>
              <w:rPr>
                <w:rFonts w:cstheme="majorBidi"/>
                <w:b/>
                <w:bCs/>
                <w:color w:val="000000"/>
                <w:sz w:val="22"/>
              </w:rPr>
            </w:pPr>
            <w:r w:rsidRPr="00E2052F">
              <w:rPr>
                <w:rFonts w:cstheme="majorBidi"/>
                <w:b/>
                <w:bCs/>
                <w:color w:val="000000"/>
                <w:sz w:val="22"/>
              </w:rPr>
              <w:t>Q5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7CF7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4.15</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9E00AF"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0.725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8D233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27.572</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8D1FE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0D5407"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5D877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225119"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r w:rsidR="003E31E5" w:rsidRPr="00E2052F" w14:paraId="70FAF801" w14:textId="77777777" w:rsidTr="00456526">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D8C6E3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b/>
                <w:bCs/>
                <w:color w:val="000000"/>
                <w:sz w:val="22"/>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C18E1"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4.17</w:t>
            </w:r>
          </w:p>
        </w:tc>
        <w:tc>
          <w:tcPr>
            <w:tcW w:w="10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0349BA"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0.676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30442E"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27.345</w:t>
            </w:r>
          </w:p>
        </w:tc>
        <w:tc>
          <w:tcPr>
            <w:tcW w:w="5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B469DC"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4DEBE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5F9B44"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D448D5" w14:textId="77777777" w:rsidR="003E31E5" w:rsidRPr="00E2052F" w:rsidRDefault="003E31E5" w:rsidP="00456526">
            <w:pPr>
              <w:spacing w:before="0" w:beforeAutospacing="0"/>
              <w:ind w:firstLine="0"/>
              <w:jc w:val="center"/>
              <w:rPr>
                <w:rFonts w:cstheme="majorBidi"/>
                <w:color w:val="000000"/>
                <w:sz w:val="22"/>
              </w:rPr>
            </w:pPr>
            <w:r w:rsidRPr="00E2052F">
              <w:rPr>
                <w:rFonts w:cstheme="majorBidi"/>
                <w:color w:val="000000"/>
                <w:sz w:val="22"/>
              </w:rPr>
              <w:t>D’accord</w:t>
            </w:r>
          </w:p>
        </w:tc>
      </w:tr>
    </w:tbl>
    <w:p w14:paraId="67093C64" w14:textId="77777777" w:rsidR="003E31E5" w:rsidRDefault="003E31E5" w:rsidP="00AB5B0B">
      <w:pPr>
        <w:spacing w:before="0" w:beforeAutospacing="0" w:line="259" w:lineRule="auto"/>
        <w:ind w:firstLine="0"/>
        <w:jc w:val="left"/>
        <w:rPr>
          <w:rFonts w:cstheme="majorBidi"/>
          <w:b/>
          <w:bCs/>
          <w:sz w:val="22"/>
          <w:u w:val="single"/>
        </w:rPr>
      </w:pPr>
    </w:p>
    <w:p w14:paraId="685EB63F" w14:textId="77777777" w:rsidR="003E31E5" w:rsidRPr="003E31E5" w:rsidRDefault="003E31E5" w:rsidP="003E31E5">
      <w:pPr>
        <w:spacing w:before="0" w:beforeAutospacing="0" w:line="259" w:lineRule="auto"/>
        <w:ind w:firstLine="0"/>
        <w:jc w:val="left"/>
        <w:rPr>
          <w:b/>
          <w:bCs/>
          <w:sz w:val="22"/>
        </w:rPr>
      </w:pPr>
      <w:r w:rsidRPr="003E31E5">
        <w:rPr>
          <w:b/>
          <w:bCs/>
          <w:sz w:val="22"/>
          <w:szCs w:val="20"/>
        </w:rPr>
        <w:t>Analyse des données concernant la</w:t>
      </w:r>
      <w:r w:rsidRPr="00E2052F">
        <w:t xml:space="preserve"> </w:t>
      </w:r>
      <w:r w:rsidRPr="003E31E5">
        <w:rPr>
          <w:b/>
          <w:bCs/>
          <w:sz w:val="22"/>
        </w:rPr>
        <w:t>responsabilité sociale des entreprises :</w:t>
      </w:r>
    </w:p>
    <w:tbl>
      <w:tblPr>
        <w:tblW w:w="907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134"/>
        <w:gridCol w:w="709"/>
        <w:gridCol w:w="425"/>
        <w:gridCol w:w="1559"/>
        <w:gridCol w:w="1418"/>
        <w:gridCol w:w="1847"/>
      </w:tblGrid>
      <w:tr w:rsidR="003E31E5" w:rsidRPr="00E2052F" w14:paraId="6CFDC63B" w14:textId="77777777" w:rsidTr="00456526">
        <w:trPr>
          <w:tblHeade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4827AA3"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Question</w:t>
            </w:r>
          </w:p>
        </w:tc>
        <w:tc>
          <w:tcPr>
            <w:tcW w:w="96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CA77A55"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Moyenne</w:t>
            </w:r>
          </w:p>
        </w:tc>
        <w:tc>
          <w:tcPr>
            <w:tcW w:w="110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00CF4C7"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Ecart type</w:t>
            </w:r>
          </w:p>
        </w:tc>
        <w:tc>
          <w:tcPr>
            <w:tcW w:w="67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C1777B2"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Test T</w:t>
            </w:r>
          </w:p>
        </w:tc>
        <w:tc>
          <w:tcPr>
            <w:tcW w:w="39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B57B5D0"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Ddl</w:t>
            </w:r>
          </w:p>
        </w:tc>
        <w:tc>
          <w:tcPr>
            <w:tcW w:w="152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EE6D7B6"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Sig. (Bilatérale)</w:t>
            </w:r>
          </w:p>
        </w:tc>
        <w:tc>
          <w:tcPr>
            <w:tcW w:w="13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8EE315E"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Classification</w:t>
            </w:r>
          </w:p>
        </w:tc>
        <w:tc>
          <w:tcPr>
            <w:tcW w:w="180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4E8AB3C" w14:textId="77777777" w:rsidR="003E31E5" w:rsidRPr="00E2052F" w:rsidRDefault="003E31E5" w:rsidP="00456526">
            <w:pPr>
              <w:spacing w:before="0" w:beforeAutospacing="0" w:line="240" w:lineRule="auto"/>
              <w:ind w:firstLine="0"/>
              <w:jc w:val="center"/>
              <w:rPr>
                <w:rFonts w:cstheme="majorBidi"/>
                <w:b/>
                <w:bCs/>
                <w:color w:val="000000"/>
                <w:sz w:val="22"/>
              </w:rPr>
            </w:pPr>
            <w:r w:rsidRPr="00E2052F">
              <w:rPr>
                <w:rFonts w:cstheme="majorBidi"/>
                <w:b/>
                <w:bCs/>
                <w:color w:val="000000"/>
                <w:sz w:val="22"/>
              </w:rPr>
              <w:t>Niveau d’accord</w:t>
            </w:r>
          </w:p>
        </w:tc>
      </w:tr>
      <w:tr w:rsidR="003E31E5" w:rsidRPr="00E2052F" w14:paraId="1C18B6BA"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5EAAB06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3F547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4.52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9901C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0.765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E6C66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34.346</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56286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598A5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1CA3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AE41A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6455C3E3"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B26ACF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C7B20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4.39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05153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0.698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B25E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34.585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B93F9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C8902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4F8A1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70ED8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3C6D5509"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4948C5D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DB91E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4.00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8B32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0.729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7E3C3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23.831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D890F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3D8FF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C9FBA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C93E7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658E78BA"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496407E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8FBCE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4.11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4F96A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0.678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546F1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28.364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36DC6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B2892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4565C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5F5D6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60FC8ED"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25BA68A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4D211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3.15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FC1E9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1.283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2E649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2.025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D5D79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BD64F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0.044</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D679A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049D3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2CF0CE7C"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569C21A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C42A1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4.08</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8F51B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0.623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3F2E3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30.022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DC4E5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B73EF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F698B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4E67C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0D096B69"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2D2E28B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DCBAC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4.44</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F5B3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0.745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E91FC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33.482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758E4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E02A6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C7D83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BE4FD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604291F8"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D6A442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C48D8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4.23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76C20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0.703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FE205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30.397</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2AAFD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A8EB4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57D04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DEDFF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311D1951"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4E6BA8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8E81F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3.60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1BDDA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0.936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1441F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11.102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336DD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095AB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E9421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996DF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6C68A85A"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4460F7E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12B9E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3.99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727EC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0.767</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756F8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22.278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45725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3FCEE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F0DA8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FBE40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462A6618"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60F788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8FF2B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4.01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5F333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0.725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3DA66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24.144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2628F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FF751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3C8F0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481A6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20FA4905"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639B7DC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356FD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3.96</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118E6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0.777</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91282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21.330</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BE9AD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46094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DFFD2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00B3B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404FA23"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CD015B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DED41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3.92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7B6DC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0.838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2FCCC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19.010</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CED0F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329CA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B1344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2F275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02DE49ED"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DFD002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FAF61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3.73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BF8CD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0.868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8A449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14.571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6D2D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8438F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8AFE1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4219A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6D089BE5"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24C6B60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431EB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3.83</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FD9B0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0.819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30025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17.563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D6143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D3BCE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01F7A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869B8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0C9E63B"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7E519FF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71D5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3.88</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0D71C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0.816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D2AE1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18.758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6E920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E534A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215B7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BE76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4DBF432D"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0C9265D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5A8FA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3.72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45AE4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0.959</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3B542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12.945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19044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6385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6D2B7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2857D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215C3550"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3D80EE4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Q18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4257A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4.15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29D2E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0.655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8BA51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30.413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49CC7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35819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B86D8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4F4D7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6C0D5E69"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6975F86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lastRenderedPageBreak/>
              <w:t>Q19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C880E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4.04</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06222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0.658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59960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27.369</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DD4C2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C05F0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0B1D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6C6FE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7B94702"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tcPr>
          <w:p w14:paraId="57EBCEC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6903E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3.81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7C40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0.826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83E3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16.978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36F57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73558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A6107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D1691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14AA8837"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9E61CA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Q21</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E5EF2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4.35</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13DB9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0.758</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DC33C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30.758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BC3AA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230A2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4A8E0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37A46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Tout à fait d’accord</w:t>
            </w:r>
          </w:p>
        </w:tc>
      </w:tr>
      <w:tr w:rsidR="003E31E5" w:rsidRPr="00E2052F" w14:paraId="58EB7E9F"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6D38716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Q22</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6485C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4.20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6D87E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0.716</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03638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28.938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D741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2AF4C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FDB4D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0F4C3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1E6B8AC"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D656CC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Q23</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0B186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3.92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B35EB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0.804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464B2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19.893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BE16D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7F4A1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4A243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5CB70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1A75444E"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B47879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Q24</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2A3F8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3.82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D38E9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0.833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12C07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17.113</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6EDEF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6B762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9F9AC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0135B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336EDE82"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1FCA33F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Q25</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39279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4.11</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B1561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0.745</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3FFEE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25.869</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22C24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83056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7295A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E3638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2BDE3D25"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F5AE33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Q26</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CC75FA"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4.09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D6B0F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0.762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50CA7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24.691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73976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83833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E7F9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80D7A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7D0D039C"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07DC8A9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Q27</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BE582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4.10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4926C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0.704</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60E91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26.981</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DA366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65BF3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66A5B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EFF81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0289DD50"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7506A8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Q28</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13F52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3.80</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B04B2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0.843</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4018A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16.364</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FE46F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F611AD"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111BC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635392"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0991AE1E"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7DFBEE4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Q29</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F1C83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3.72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9A67B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0.732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89450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17.125</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2AC35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949C40"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3B0D3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76687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2A3BDB37"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34D15A2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Q30</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7BD51E"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4.12</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ABC90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0.852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4BBEF4"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22.708</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E94CF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3A6DA8"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8D9C4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B105E5"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D’accord</w:t>
            </w:r>
          </w:p>
        </w:tc>
      </w:tr>
      <w:tr w:rsidR="003E31E5" w:rsidRPr="00E2052F" w14:paraId="39F623B9" w14:textId="77777777" w:rsidTr="00456526">
        <w:trPr>
          <w:tblCellSpacing w:w="15" w:type="dxa"/>
          <w:jc w:val="center"/>
        </w:trPr>
        <w:tc>
          <w:tcPr>
            <w:tcW w:w="94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15" w:type="dxa"/>
              <w:right w:w="15" w:type="dxa"/>
            </w:tcMar>
            <w:vAlign w:val="center"/>
            <w:hideMark/>
          </w:tcPr>
          <w:p w14:paraId="55558939"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Total</w:t>
            </w:r>
          </w:p>
        </w:tc>
        <w:tc>
          <w:tcPr>
            <w:tcW w:w="9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7E2B0B"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3.99</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462EF1"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0.622</w:t>
            </w:r>
          </w:p>
        </w:tc>
        <w:tc>
          <w:tcPr>
            <w:tcW w:w="6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83CD9C"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25.972</w:t>
            </w:r>
          </w:p>
        </w:tc>
        <w:tc>
          <w:tcPr>
            <w:tcW w:w="3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73AF76"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299</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1F413F"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0.000</w:t>
            </w:r>
          </w:p>
        </w:tc>
        <w:tc>
          <w:tcPr>
            <w:tcW w:w="13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16DFA3"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color w:val="000000"/>
                <w:sz w:val="22"/>
              </w:rPr>
              <w:t>—</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8E2A37" w14:textId="77777777" w:rsidR="003E31E5" w:rsidRPr="00E2052F" w:rsidRDefault="003E31E5" w:rsidP="00456526">
            <w:pPr>
              <w:spacing w:before="0" w:beforeAutospacing="0" w:line="240" w:lineRule="auto"/>
              <w:ind w:firstLine="0"/>
              <w:jc w:val="center"/>
              <w:rPr>
                <w:rFonts w:cstheme="majorBidi"/>
                <w:color w:val="000000"/>
                <w:sz w:val="22"/>
              </w:rPr>
            </w:pPr>
            <w:r w:rsidRPr="00E2052F">
              <w:rPr>
                <w:rFonts w:cstheme="majorBidi"/>
                <w:b/>
                <w:bCs/>
                <w:color w:val="000000"/>
                <w:sz w:val="22"/>
              </w:rPr>
              <w:t>D’accord</w:t>
            </w:r>
          </w:p>
        </w:tc>
      </w:tr>
    </w:tbl>
    <w:p w14:paraId="32C53C56" w14:textId="77777777" w:rsidR="003E31E5" w:rsidRDefault="003E31E5"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1582"/>
        <w:gridCol w:w="1133"/>
        <w:gridCol w:w="1559"/>
        <w:gridCol w:w="3407"/>
      </w:tblGrid>
      <w:tr w:rsidR="005F1CF8" w:rsidRPr="00E2052F" w14:paraId="7B60E34C" w14:textId="77777777" w:rsidTr="00456526">
        <w:trPr>
          <w:cantSplit/>
          <w:trHeight w:val="814"/>
          <w:jc w:val="center"/>
        </w:trPr>
        <w:tc>
          <w:tcPr>
            <w:tcW w:w="1391" w:type="dxa"/>
            <w:shd w:val="clear" w:color="auto" w:fill="D9E2F3" w:themeFill="accent1" w:themeFillTint="33"/>
            <w:vAlign w:val="bottom"/>
          </w:tcPr>
          <w:p w14:paraId="53A877B2"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1582" w:type="dxa"/>
            <w:shd w:val="clear" w:color="auto" w:fill="D9E2F3" w:themeFill="accent1" w:themeFillTint="33"/>
            <w:vAlign w:val="bottom"/>
          </w:tcPr>
          <w:p w14:paraId="0104DA4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w:t>
            </w:r>
          </w:p>
        </w:tc>
        <w:tc>
          <w:tcPr>
            <w:tcW w:w="1133" w:type="dxa"/>
            <w:shd w:val="clear" w:color="auto" w:fill="D9E2F3" w:themeFill="accent1" w:themeFillTint="33"/>
            <w:vAlign w:val="bottom"/>
          </w:tcPr>
          <w:p w14:paraId="3237B8BB"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R-deux</w:t>
            </w:r>
          </w:p>
        </w:tc>
        <w:tc>
          <w:tcPr>
            <w:tcW w:w="1559" w:type="dxa"/>
            <w:shd w:val="clear" w:color="auto" w:fill="D9E2F3" w:themeFill="accent1" w:themeFillTint="33"/>
            <w:vAlign w:val="bottom"/>
          </w:tcPr>
          <w:p w14:paraId="1EB6A1F9"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R-deux ajusté</w:t>
            </w:r>
          </w:p>
        </w:tc>
        <w:tc>
          <w:tcPr>
            <w:tcW w:w="3407" w:type="dxa"/>
            <w:shd w:val="clear" w:color="auto" w:fill="D9E2F3" w:themeFill="accent1" w:themeFillTint="33"/>
            <w:vAlign w:val="bottom"/>
          </w:tcPr>
          <w:p w14:paraId="5F7089BC"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Erreur standard de l'estimation</w:t>
            </w:r>
          </w:p>
        </w:tc>
      </w:tr>
      <w:tr w:rsidR="005F1CF8" w:rsidRPr="00E2052F" w14:paraId="4134EDC3" w14:textId="77777777" w:rsidTr="00456526">
        <w:trPr>
          <w:cantSplit/>
          <w:trHeight w:val="401"/>
          <w:jc w:val="center"/>
        </w:trPr>
        <w:tc>
          <w:tcPr>
            <w:tcW w:w="1391" w:type="dxa"/>
            <w:shd w:val="clear" w:color="auto" w:fill="D9E2F3" w:themeFill="accent1" w:themeFillTint="33"/>
          </w:tcPr>
          <w:p w14:paraId="4EFCD5A4"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1</w:t>
            </w:r>
          </w:p>
        </w:tc>
        <w:tc>
          <w:tcPr>
            <w:tcW w:w="1582" w:type="dxa"/>
          </w:tcPr>
          <w:p w14:paraId="549CD84F"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0.548</w:t>
            </w:r>
            <w:r w:rsidRPr="00E2052F">
              <w:rPr>
                <w:rFonts w:cstheme="majorBidi"/>
                <w:kern w:val="2"/>
                <w:sz w:val="22"/>
                <w:vertAlign w:val="superscript"/>
                <w:lang w:bidi="ar-DZ"/>
              </w:rPr>
              <w:t>a</w:t>
            </w:r>
          </w:p>
        </w:tc>
        <w:tc>
          <w:tcPr>
            <w:tcW w:w="1133" w:type="dxa"/>
          </w:tcPr>
          <w:p w14:paraId="20231F79"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0.301</w:t>
            </w:r>
          </w:p>
        </w:tc>
        <w:tc>
          <w:tcPr>
            <w:tcW w:w="1559" w:type="dxa"/>
          </w:tcPr>
          <w:p w14:paraId="7E7B3773"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0.298</w:t>
            </w:r>
          </w:p>
        </w:tc>
        <w:tc>
          <w:tcPr>
            <w:tcW w:w="3407" w:type="dxa"/>
          </w:tcPr>
          <w:p w14:paraId="580B3674"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0.521</w:t>
            </w:r>
          </w:p>
        </w:tc>
      </w:tr>
      <w:tr w:rsidR="005F1CF8" w:rsidRPr="00E2052F" w14:paraId="4F243515" w14:textId="77777777" w:rsidTr="00456526">
        <w:trPr>
          <w:cantSplit/>
          <w:trHeight w:val="420"/>
          <w:jc w:val="center"/>
        </w:trPr>
        <w:tc>
          <w:tcPr>
            <w:tcW w:w="9072" w:type="dxa"/>
            <w:gridSpan w:val="5"/>
            <w:shd w:val="clear" w:color="auto" w:fill="FFFFFF"/>
          </w:tcPr>
          <w:p w14:paraId="269221B7" w14:textId="77777777" w:rsidR="005F1CF8" w:rsidRPr="00E2052F" w:rsidRDefault="005F1CF8" w:rsidP="00456526">
            <w:pPr>
              <w:spacing w:before="0" w:beforeAutospacing="0" w:line="240" w:lineRule="auto"/>
              <w:rPr>
                <w:rFonts w:cstheme="majorBidi"/>
                <w:b/>
                <w:bCs/>
                <w:kern w:val="2"/>
                <w:sz w:val="22"/>
                <w:lang w:bidi="ar-DZ"/>
              </w:rPr>
            </w:pPr>
            <w:r w:rsidRPr="00E2052F">
              <w:rPr>
                <w:rFonts w:cstheme="majorBidi"/>
                <w:b/>
                <w:bCs/>
                <w:kern w:val="2"/>
                <w:sz w:val="22"/>
                <w:lang w:bidi="ar-DZ"/>
              </w:rPr>
              <w:t xml:space="preserve">a. Prédicteurs : (Constante), la gouvernance d'entreprise </w:t>
            </w:r>
          </w:p>
        </w:tc>
      </w:tr>
    </w:tbl>
    <w:p w14:paraId="3B154B09" w14:textId="77777777" w:rsidR="003E31E5" w:rsidRDefault="003E31E5"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5"/>
        <w:gridCol w:w="1470"/>
        <w:gridCol w:w="2079"/>
        <w:gridCol w:w="770"/>
        <w:gridCol w:w="1573"/>
        <w:gridCol w:w="1170"/>
        <w:gridCol w:w="1175"/>
      </w:tblGrid>
      <w:tr w:rsidR="005F1CF8" w:rsidRPr="00E2052F" w14:paraId="186D15AE" w14:textId="77777777" w:rsidTr="00456526">
        <w:trPr>
          <w:cantSplit/>
          <w:trHeight w:val="421"/>
          <w:jc w:val="center"/>
        </w:trPr>
        <w:tc>
          <w:tcPr>
            <w:tcW w:w="8790" w:type="dxa"/>
            <w:gridSpan w:val="7"/>
            <w:shd w:val="clear" w:color="auto" w:fill="B4C6E7" w:themeFill="accent1" w:themeFillTint="66"/>
            <w:vAlign w:val="center"/>
          </w:tcPr>
          <w:p w14:paraId="3AEC5B08"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ANOVA</w:t>
            </w:r>
            <w:r w:rsidRPr="00E2052F">
              <w:rPr>
                <w:rFonts w:cstheme="majorBidi"/>
                <w:b/>
                <w:bCs/>
                <w:kern w:val="2"/>
                <w:sz w:val="22"/>
                <w:vertAlign w:val="superscript"/>
                <w:lang w:bidi="ar-DZ"/>
              </w:rPr>
              <w:t>a</w:t>
            </w:r>
          </w:p>
        </w:tc>
      </w:tr>
      <w:tr w:rsidR="005F1CF8" w:rsidRPr="00E2052F" w14:paraId="3CFDAE4E" w14:textId="77777777" w:rsidTr="00456526">
        <w:trPr>
          <w:cantSplit/>
          <w:trHeight w:val="843"/>
          <w:jc w:val="center"/>
        </w:trPr>
        <w:tc>
          <w:tcPr>
            <w:tcW w:w="2234" w:type="dxa"/>
            <w:gridSpan w:val="2"/>
            <w:shd w:val="clear" w:color="auto" w:fill="D9E2F3" w:themeFill="accent1" w:themeFillTint="33"/>
            <w:vAlign w:val="bottom"/>
          </w:tcPr>
          <w:p w14:paraId="2BE56A89"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2014" w:type="dxa"/>
            <w:shd w:val="clear" w:color="auto" w:fill="D9E2F3" w:themeFill="accent1" w:themeFillTint="33"/>
            <w:vAlign w:val="bottom"/>
          </w:tcPr>
          <w:p w14:paraId="1B34D7B3"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Somme des carrés</w:t>
            </w:r>
          </w:p>
        </w:tc>
        <w:tc>
          <w:tcPr>
            <w:tcW w:w="746" w:type="dxa"/>
            <w:shd w:val="clear" w:color="auto" w:fill="D9E2F3" w:themeFill="accent1" w:themeFillTint="33"/>
            <w:vAlign w:val="bottom"/>
          </w:tcPr>
          <w:p w14:paraId="55439DE8"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Ddl</w:t>
            </w:r>
          </w:p>
        </w:tc>
        <w:tc>
          <w:tcPr>
            <w:tcW w:w="1524" w:type="dxa"/>
            <w:shd w:val="clear" w:color="auto" w:fill="D9E2F3" w:themeFill="accent1" w:themeFillTint="33"/>
            <w:vAlign w:val="bottom"/>
          </w:tcPr>
          <w:p w14:paraId="1E0DA9B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Carré moyen</w:t>
            </w:r>
          </w:p>
        </w:tc>
        <w:tc>
          <w:tcPr>
            <w:tcW w:w="1134" w:type="dxa"/>
            <w:shd w:val="clear" w:color="auto" w:fill="D9E2F3" w:themeFill="accent1" w:themeFillTint="33"/>
            <w:vAlign w:val="bottom"/>
          </w:tcPr>
          <w:p w14:paraId="0D35BD69"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F</w:t>
            </w:r>
          </w:p>
        </w:tc>
        <w:tc>
          <w:tcPr>
            <w:tcW w:w="1138" w:type="dxa"/>
            <w:shd w:val="clear" w:color="auto" w:fill="D9E2F3" w:themeFill="accent1" w:themeFillTint="33"/>
            <w:vAlign w:val="bottom"/>
          </w:tcPr>
          <w:p w14:paraId="61B02163"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Sig.</w:t>
            </w:r>
          </w:p>
        </w:tc>
      </w:tr>
      <w:tr w:rsidR="005F1CF8" w:rsidRPr="00E2052F" w14:paraId="1EBD92DC" w14:textId="77777777" w:rsidTr="00456526">
        <w:trPr>
          <w:cantSplit/>
          <w:trHeight w:val="205"/>
          <w:jc w:val="center"/>
        </w:trPr>
        <w:tc>
          <w:tcPr>
            <w:tcW w:w="810" w:type="dxa"/>
            <w:vMerge w:val="restart"/>
            <w:shd w:val="clear" w:color="auto" w:fill="D9E2F3" w:themeFill="accent1" w:themeFillTint="33"/>
          </w:tcPr>
          <w:p w14:paraId="6B14A9EB" w14:textId="77777777" w:rsidR="005F1CF8" w:rsidRPr="00E2052F" w:rsidRDefault="005F1CF8" w:rsidP="00456526">
            <w:pPr>
              <w:spacing w:before="0" w:beforeAutospacing="0" w:line="240" w:lineRule="auto"/>
              <w:ind w:firstLine="0"/>
              <w:jc w:val="center"/>
              <w:rPr>
                <w:rFonts w:cstheme="majorBidi"/>
                <w:b/>
                <w:bCs/>
                <w:kern w:val="2"/>
                <w:sz w:val="22"/>
                <w:lang w:bidi="ar-DZ"/>
              </w:rPr>
            </w:pPr>
          </w:p>
          <w:p w14:paraId="12C7966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7530A6">
              <w:rPr>
                <w:rFonts w:cstheme="majorBidi"/>
                <w:b/>
                <w:bCs/>
                <w:kern w:val="2"/>
                <w:sz w:val="22"/>
                <w:shd w:val="clear" w:color="auto" w:fill="B4C6E7" w:themeFill="accent1" w:themeFillTint="66"/>
                <w:lang w:bidi="ar-DZ"/>
              </w:rPr>
              <w:t>1</w:t>
            </w:r>
          </w:p>
        </w:tc>
        <w:tc>
          <w:tcPr>
            <w:tcW w:w="1424" w:type="dxa"/>
            <w:shd w:val="clear" w:color="auto" w:fill="D9E2F3" w:themeFill="accent1" w:themeFillTint="33"/>
          </w:tcPr>
          <w:p w14:paraId="0DE2CFC2"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Régression</w:t>
            </w:r>
          </w:p>
        </w:tc>
        <w:tc>
          <w:tcPr>
            <w:tcW w:w="2014" w:type="dxa"/>
          </w:tcPr>
          <w:p w14:paraId="5148F821"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34.781</w:t>
            </w:r>
          </w:p>
        </w:tc>
        <w:tc>
          <w:tcPr>
            <w:tcW w:w="746" w:type="dxa"/>
          </w:tcPr>
          <w:p w14:paraId="7763DBBB"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1</w:t>
            </w:r>
          </w:p>
        </w:tc>
        <w:tc>
          <w:tcPr>
            <w:tcW w:w="1524" w:type="dxa"/>
          </w:tcPr>
          <w:p w14:paraId="4CF19BA7"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34.781</w:t>
            </w:r>
          </w:p>
        </w:tc>
        <w:tc>
          <w:tcPr>
            <w:tcW w:w="1134" w:type="dxa"/>
          </w:tcPr>
          <w:p w14:paraId="6BED4648"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128.052</w:t>
            </w:r>
          </w:p>
        </w:tc>
        <w:tc>
          <w:tcPr>
            <w:tcW w:w="1138" w:type="dxa"/>
          </w:tcPr>
          <w:p w14:paraId="08AE3896"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r w:rsidRPr="00E2052F">
              <w:rPr>
                <w:rFonts w:cstheme="majorBidi"/>
                <w:kern w:val="2"/>
                <w:sz w:val="22"/>
                <w:vertAlign w:val="superscript"/>
                <w:lang w:bidi="ar-DZ"/>
              </w:rPr>
              <w:t>b</w:t>
            </w:r>
          </w:p>
        </w:tc>
      </w:tr>
      <w:tr w:rsidR="005F1CF8" w:rsidRPr="00E2052F" w14:paraId="25E7AA9F" w14:textId="77777777" w:rsidTr="00456526">
        <w:trPr>
          <w:cantSplit/>
          <w:trHeight w:val="345"/>
          <w:jc w:val="center"/>
        </w:trPr>
        <w:tc>
          <w:tcPr>
            <w:tcW w:w="810" w:type="dxa"/>
            <w:vMerge/>
            <w:shd w:val="clear" w:color="auto" w:fill="D9E2F3" w:themeFill="accent1" w:themeFillTint="33"/>
          </w:tcPr>
          <w:p w14:paraId="69B7B685" w14:textId="77777777" w:rsidR="005F1CF8" w:rsidRPr="00E2052F" w:rsidRDefault="005F1CF8" w:rsidP="00456526">
            <w:pPr>
              <w:spacing w:before="0" w:beforeAutospacing="0" w:line="240" w:lineRule="auto"/>
              <w:rPr>
                <w:rFonts w:cstheme="majorBidi"/>
                <w:b/>
                <w:bCs/>
                <w:kern w:val="2"/>
                <w:sz w:val="22"/>
                <w:lang w:bidi="ar-DZ"/>
              </w:rPr>
            </w:pPr>
          </w:p>
        </w:tc>
        <w:tc>
          <w:tcPr>
            <w:tcW w:w="1424" w:type="dxa"/>
            <w:shd w:val="clear" w:color="auto" w:fill="D9E2F3" w:themeFill="accent1" w:themeFillTint="33"/>
          </w:tcPr>
          <w:p w14:paraId="47E1F9C9"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de Student</w:t>
            </w:r>
          </w:p>
        </w:tc>
        <w:tc>
          <w:tcPr>
            <w:tcW w:w="2014" w:type="dxa"/>
          </w:tcPr>
          <w:p w14:paraId="43387C52"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80.940</w:t>
            </w:r>
          </w:p>
        </w:tc>
        <w:tc>
          <w:tcPr>
            <w:tcW w:w="746" w:type="dxa"/>
          </w:tcPr>
          <w:p w14:paraId="690629A2"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298</w:t>
            </w:r>
          </w:p>
        </w:tc>
        <w:tc>
          <w:tcPr>
            <w:tcW w:w="1524" w:type="dxa"/>
          </w:tcPr>
          <w:p w14:paraId="2C780F82"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0.272</w:t>
            </w:r>
          </w:p>
        </w:tc>
        <w:tc>
          <w:tcPr>
            <w:tcW w:w="1134" w:type="dxa"/>
            <w:vAlign w:val="center"/>
          </w:tcPr>
          <w:p w14:paraId="14F7B809" w14:textId="77777777" w:rsidR="005F1CF8" w:rsidRPr="00E2052F" w:rsidRDefault="005F1CF8" w:rsidP="00456526">
            <w:pPr>
              <w:spacing w:before="0" w:beforeAutospacing="0" w:line="240" w:lineRule="auto"/>
              <w:jc w:val="center"/>
              <w:rPr>
                <w:rFonts w:cstheme="majorBidi"/>
                <w:kern w:val="2"/>
                <w:sz w:val="22"/>
                <w:lang w:bidi="ar-DZ"/>
              </w:rPr>
            </w:pPr>
          </w:p>
        </w:tc>
        <w:tc>
          <w:tcPr>
            <w:tcW w:w="1138" w:type="dxa"/>
            <w:vAlign w:val="center"/>
          </w:tcPr>
          <w:p w14:paraId="7E5BE185" w14:textId="77777777" w:rsidR="005F1CF8" w:rsidRPr="00E2052F" w:rsidRDefault="005F1CF8" w:rsidP="00456526">
            <w:pPr>
              <w:spacing w:before="0" w:beforeAutospacing="0" w:line="240" w:lineRule="auto"/>
              <w:rPr>
                <w:rFonts w:cstheme="majorBidi"/>
                <w:b/>
                <w:bCs/>
                <w:kern w:val="2"/>
                <w:sz w:val="22"/>
                <w:lang w:bidi="ar-DZ"/>
              </w:rPr>
            </w:pPr>
          </w:p>
        </w:tc>
      </w:tr>
      <w:tr w:rsidR="005F1CF8" w:rsidRPr="00E2052F" w14:paraId="2067C26C" w14:textId="77777777" w:rsidTr="00456526">
        <w:trPr>
          <w:cantSplit/>
          <w:trHeight w:val="329"/>
          <w:jc w:val="center"/>
        </w:trPr>
        <w:tc>
          <w:tcPr>
            <w:tcW w:w="810" w:type="dxa"/>
            <w:vMerge/>
            <w:shd w:val="clear" w:color="auto" w:fill="D9E2F3" w:themeFill="accent1" w:themeFillTint="33"/>
          </w:tcPr>
          <w:p w14:paraId="4389609D" w14:textId="77777777" w:rsidR="005F1CF8" w:rsidRPr="00E2052F" w:rsidRDefault="005F1CF8" w:rsidP="00456526">
            <w:pPr>
              <w:spacing w:before="0" w:beforeAutospacing="0" w:line="240" w:lineRule="auto"/>
              <w:rPr>
                <w:rFonts w:cstheme="majorBidi"/>
                <w:b/>
                <w:bCs/>
                <w:kern w:val="2"/>
                <w:sz w:val="22"/>
                <w:lang w:bidi="ar-DZ"/>
              </w:rPr>
            </w:pPr>
          </w:p>
        </w:tc>
        <w:tc>
          <w:tcPr>
            <w:tcW w:w="1424" w:type="dxa"/>
            <w:shd w:val="clear" w:color="auto" w:fill="D9E2F3" w:themeFill="accent1" w:themeFillTint="33"/>
          </w:tcPr>
          <w:p w14:paraId="084C527C"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Total</w:t>
            </w:r>
          </w:p>
        </w:tc>
        <w:tc>
          <w:tcPr>
            <w:tcW w:w="2014" w:type="dxa"/>
          </w:tcPr>
          <w:p w14:paraId="730524A7"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115.721</w:t>
            </w:r>
          </w:p>
        </w:tc>
        <w:tc>
          <w:tcPr>
            <w:tcW w:w="746" w:type="dxa"/>
          </w:tcPr>
          <w:p w14:paraId="275C110E"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299</w:t>
            </w:r>
          </w:p>
        </w:tc>
        <w:tc>
          <w:tcPr>
            <w:tcW w:w="1524" w:type="dxa"/>
            <w:vAlign w:val="center"/>
          </w:tcPr>
          <w:p w14:paraId="12071FA1" w14:textId="77777777" w:rsidR="005F1CF8" w:rsidRPr="00E2052F" w:rsidRDefault="005F1CF8" w:rsidP="00456526">
            <w:pPr>
              <w:spacing w:before="0" w:beforeAutospacing="0" w:line="240" w:lineRule="auto"/>
              <w:jc w:val="center"/>
              <w:rPr>
                <w:rFonts w:cstheme="majorBidi"/>
                <w:kern w:val="2"/>
                <w:sz w:val="22"/>
                <w:lang w:bidi="ar-DZ"/>
              </w:rPr>
            </w:pPr>
          </w:p>
        </w:tc>
        <w:tc>
          <w:tcPr>
            <w:tcW w:w="1134" w:type="dxa"/>
            <w:vAlign w:val="center"/>
          </w:tcPr>
          <w:p w14:paraId="3655194A" w14:textId="77777777" w:rsidR="005F1CF8" w:rsidRPr="00E2052F" w:rsidRDefault="005F1CF8" w:rsidP="00456526">
            <w:pPr>
              <w:spacing w:before="0" w:beforeAutospacing="0" w:line="240" w:lineRule="auto"/>
              <w:jc w:val="center"/>
              <w:rPr>
                <w:rFonts w:cstheme="majorBidi"/>
                <w:kern w:val="2"/>
                <w:sz w:val="22"/>
                <w:lang w:bidi="ar-DZ"/>
              </w:rPr>
            </w:pPr>
          </w:p>
        </w:tc>
        <w:tc>
          <w:tcPr>
            <w:tcW w:w="1138" w:type="dxa"/>
            <w:vAlign w:val="center"/>
          </w:tcPr>
          <w:p w14:paraId="79B7EF64" w14:textId="77777777" w:rsidR="005F1CF8" w:rsidRPr="00E2052F" w:rsidRDefault="005F1CF8" w:rsidP="00456526">
            <w:pPr>
              <w:spacing w:before="0" w:beforeAutospacing="0" w:line="240" w:lineRule="auto"/>
              <w:rPr>
                <w:rFonts w:cstheme="majorBidi"/>
                <w:b/>
                <w:bCs/>
                <w:kern w:val="2"/>
                <w:sz w:val="22"/>
                <w:lang w:bidi="ar-DZ"/>
              </w:rPr>
            </w:pPr>
          </w:p>
        </w:tc>
      </w:tr>
      <w:tr w:rsidR="005F1CF8" w:rsidRPr="00E2052F" w14:paraId="07E383CB" w14:textId="77777777" w:rsidTr="00456526">
        <w:trPr>
          <w:cantSplit/>
          <w:trHeight w:val="421"/>
          <w:jc w:val="center"/>
        </w:trPr>
        <w:tc>
          <w:tcPr>
            <w:tcW w:w="8790" w:type="dxa"/>
            <w:gridSpan w:val="7"/>
            <w:shd w:val="clear" w:color="auto" w:fill="FFFFFF"/>
          </w:tcPr>
          <w:p w14:paraId="479A5CB6" w14:textId="77777777" w:rsidR="005F1CF8" w:rsidRPr="00E2052F" w:rsidRDefault="005F1CF8" w:rsidP="00456526">
            <w:pPr>
              <w:spacing w:before="0" w:beforeAutospacing="0" w:line="240" w:lineRule="auto"/>
              <w:rPr>
                <w:rFonts w:cstheme="majorBidi"/>
                <w:b/>
                <w:bCs/>
                <w:kern w:val="2"/>
                <w:sz w:val="22"/>
                <w:lang w:bidi="ar-DZ"/>
              </w:rPr>
            </w:pPr>
            <w:r w:rsidRPr="00E2052F">
              <w:rPr>
                <w:rFonts w:cstheme="majorBidi"/>
                <w:b/>
                <w:bCs/>
                <w:kern w:val="2"/>
                <w:sz w:val="22"/>
                <w:lang w:bidi="ar-DZ"/>
              </w:rPr>
              <w:t>a. Variable dépendante : La responsabilité sociale des entreprises</w:t>
            </w:r>
          </w:p>
        </w:tc>
      </w:tr>
      <w:tr w:rsidR="005F1CF8" w:rsidRPr="00E2052F" w14:paraId="46A13B28" w14:textId="77777777" w:rsidTr="00456526">
        <w:trPr>
          <w:cantSplit/>
          <w:trHeight w:val="409"/>
          <w:jc w:val="center"/>
        </w:trPr>
        <w:tc>
          <w:tcPr>
            <w:tcW w:w="8790" w:type="dxa"/>
            <w:gridSpan w:val="7"/>
            <w:shd w:val="clear" w:color="auto" w:fill="FFFFFF"/>
          </w:tcPr>
          <w:p w14:paraId="3E43B5C6" w14:textId="77777777" w:rsidR="005F1CF8" w:rsidRPr="00E2052F" w:rsidRDefault="005F1CF8" w:rsidP="00456526">
            <w:pPr>
              <w:spacing w:before="0" w:beforeAutospacing="0" w:line="240" w:lineRule="auto"/>
              <w:rPr>
                <w:rFonts w:cstheme="majorBidi"/>
                <w:b/>
                <w:bCs/>
                <w:kern w:val="2"/>
                <w:sz w:val="22"/>
                <w:lang w:bidi="ar-DZ"/>
              </w:rPr>
            </w:pPr>
            <w:r w:rsidRPr="00E2052F">
              <w:rPr>
                <w:rFonts w:cstheme="majorBidi"/>
                <w:b/>
                <w:bCs/>
                <w:kern w:val="2"/>
                <w:sz w:val="22"/>
                <w:lang w:bidi="ar-DZ"/>
              </w:rPr>
              <w:t>b. Prédicteurs : (Constante), la gouvernance d'entreprise</w:t>
            </w:r>
          </w:p>
        </w:tc>
      </w:tr>
    </w:tbl>
    <w:p w14:paraId="32673949"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Layout w:type="fixed"/>
        <w:tblCellMar>
          <w:left w:w="0" w:type="dxa"/>
          <w:right w:w="0" w:type="dxa"/>
        </w:tblCellMar>
        <w:tblLook w:val="0000" w:firstRow="0" w:lastRow="0" w:firstColumn="0" w:lastColumn="0" w:noHBand="0" w:noVBand="0"/>
      </w:tblPr>
      <w:tblGrid>
        <w:gridCol w:w="748"/>
        <w:gridCol w:w="1657"/>
        <w:gridCol w:w="992"/>
        <w:gridCol w:w="1843"/>
        <w:gridCol w:w="2410"/>
        <w:gridCol w:w="709"/>
        <w:gridCol w:w="713"/>
      </w:tblGrid>
      <w:tr w:rsidR="005F1CF8" w:rsidRPr="00E2052F" w14:paraId="47C7F605" w14:textId="77777777" w:rsidTr="00456526">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D0D717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w:t>
            </w:r>
          </w:p>
        </w:tc>
      </w:tr>
      <w:tr w:rsidR="005F1CF8" w:rsidRPr="00E2052F" w14:paraId="0E91E0F7" w14:textId="77777777" w:rsidTr="00456526">
        <w:trPr>
          <w:cantSplit/>
          <w:jc w:val="center"/>
        </w:trPr>
        <w:tc>
          <w:tcPr>
            <w:tcW w:w="2405"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D35F256"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Modèle</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99EA2E2"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 non standardisés</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5DBA98B"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Coefficients standardisés</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70413A2"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T</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22721B66"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Sig.</w:t>
            </w:r>
          </w:p>
        </w:tc>
      </w:tr>
      <w:tr w:rsidR="005F1CF8" w:rsidRPr="00E2052F" w14:paraId="71380791" w14:textId="77777777" w:rsidTr="00456526">
        <w:trPr>
          <w:cantSplit/>
          <w:jc w:val="center"/>
        </w:trPr>
        <w:tc>
          <w:tcPr>
            <w:tcW w:w="240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14:paraId="0D700D18" w14:textId="77777777" w:rsidR="005F1CF8" w:rsidRPr="00E2052F" w:rsidRDefault="005F1CF8" w:rsidP="00456526">
            <w:pPr>
              <w:spacing w:before="0" w:beforeAutospacing="0" w:line="240" w:lineRule="auto"/>
              <w:jc w:val="center"/>
              <w:rPr>
                <w:rFonts w:cstheme="majorBidi"/>
                <w:b/>
                <w:bCs/>
                <w:kern w:val="2"/>
                <w:sz w:val="22"/>
                <w:lang w:bidi="ar-DZ"/>
              </w:rPr>
            </w:pP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EB30F63"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B</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6620F3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Erreur standard</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AEFCC44"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Bêta</w:t>
            </w:r>
          </w:p>
        </w:tc>
        <w:tc>
          <w:tcPr>
            <w:tcW w:w="709"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2C7C0128" w14:textId="77777777" w:rsidR="005F1CF8" w:rsidRPr="00E2052F" w:rsidRDefault="005F1CF8" w:rsidP="00456526">
            <w:pPr>
              <w:spacing w:before="0" w:beforeAutospacing="0" w:line="240" w:lineRule="auto"/>
              <w:jc w:val="center"/>
              <w:rPr>
                <w:rFonts w:cstheme="majorBidi"/>
                <w:b/>
                <w:bCs/>
                <w:kern w:val="2"/>
                <w:sz w:val="22"/>
                <w:lang w:bidi="ar-DZ"/>
              </w:rPr>
            </w:pPr>
          </w:p>
        </w:tc>
        <w:tc>
          <w:tcPr>
            <w:tcW w:w="713"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2C4514B4" w14:textId="77777777" w:rsidR="005F1CF8" w:rsidRPr="00E2052F" w:rsidRDefault="005F1CF8" w:rsidP="00456526">
            <w:pPr>
              <w:spacing w:before="0" w:beforeAutospacing="0" w:line="240" w:lineRule="auto"/>
              <w:jc w:val="center"/>
              <w:rPr>
                <w:rFonts w:cstheme="majorBidi"/>
                <w:b/>
                <w:bCs/>
                <w:kern w:val="2"/>
                <w:sz w:val="22"/>
                <w:lang w:bidi="ar-DZ"/>
              </w:rPr>
            </w:pPr>
          </w:p>
        </w:tc>
      </w:tr>
      <w:tr w:rsidR="005F1CF8" w:rsidRPr="00E2052F" w14:paraId="57B3720C" w14:textId="77777777" w:rsidTr="00456526">
        <w:trPr>
          <w:cantSplit/>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873F23" w14:textId="77777777" w:rsidR="005F1CF8" w:rsidRPr="00E2052F" w:rsidRDefault="005F1CF8" w:rsidP="00456526">
            <w:pPr>
              <w:spacing w:before="0" w:beforeAutospacing="0" w:line="240" w:lineRule="auto"/>
              <w:jc w:val="center"/>
              <w:rPr>
                <w:rFonts w:cstheme="majorBidi"/>
                <w:b/>
                <w:bCs/>
                <w:kern w:val="2"/>
                <w:sz w:val="22"/>
                <w:lang w:bidi="ar-DZ"/>
              </w:rPr>
            </w:pPr>
          </w:p>
          <w:p w14:paraId="188DE621" w14:textId="77777777" w:rsidR="005F1CF8" w:rsidRPr="00E2052F" w:rsidRDefault="005F1CF8" w:rsidP="00456526">
            <w:pPr>
              <w:spacing w:before="0" w:beforeAutospacing="0" w:line="240" w:lineRule="auto"/>
              <w:jc w:val="center"/>
              <w:rPr>
                <w:rFonts w:cstheme="majorBidi"/>
                <w:b/>
                <w:bCs/>
                <w:kern w:val="2"/>
                <w:sz w:val="22"/>
                <w:lang w:bidi="ar-DZ"/>
              </w:rPr>
            </w:pPr>
            <w:r w:rsidRPr="00E2052F">
              <w:rPr>
                <w:rFonts w:cstheme="majorBidi"/>
                <w:b/>
                <w:bCs/>
                <w:kern w:val="2"/>
                <w:sz w:val="22"/>
                <w:lang w:bidi="ar-DZ"/>
              </w:rPr>
              <w:t>1</w:t>
            </w:r>
          </w:p>
        </w:tc>
        <w:tc>
          <w:tcPr>
            <w:tcW w:w="165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C22D3F"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(Constante)</w:t>
            </w:r>
          </w:p>
        </w:tc>
        <w:tc>
          <w:tcPr>
            <w:tcW w:w="992" w:type="dxa"/>
            <w:tcBorders>
              <w:top w:val="single" w:sz="4" w:space="0" w:color="auto"/>
              <w:left w:val="single" w:sz="4" w:space="0" w:color="auto"/>
              <w:bottom w:val="single" w:sz="4" w:space="0" w:color="auto"/>
              <w:right w:val="single" w:sz="4" w:space="0" w:color="auto"/>
            </w:tcBorders>
          </w:tcPr>
          <w:p w14:paraId="324E98A3"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1.660</w:t>
            </w:r>
          </w:p>
        </w:tc>
        <w:tc>
          <w:tcPr>
            <w:tcW w:w="1843" w:type="dxa"/>
            <w:tcBorders>
              <w:top w:val="single" w:sz="4" w:space="0" w:color="auto"/>
              <w:left w:val="single" w:sz="4" w:space="0" w:color="auto"/>
              <w:bottom w:val="single" w:sz="4" w:space="0" w:color="auto"/>
              <w:right w:val="single" w:sz="4" w:space="0" w:color="auto"/>
            </w:tcBorders>
          </w:tcPr>
          <w:p w14:paraId="0C427B63"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0.208</w:t>
            </w:r>
          </w:p>
        </w:tc>
        <w:tc>
          <w:tcPr>
            <w:tcW w:w="2410" w:type="dxa"/>
            <w:tcBorders>
              <w:top w:val="single" w:sz="4" w:space="0" w:color="auto"/>
              <w:left w:val="single" w:sz="4" w:space="0" w:color="auto"/>
              <w:bottom w:val="single" w:sz="4" w:space="0" w:color="auto"/>
              <w:right w:val="single" w:sz="4" w:space="0" w:color="auto"/>
            </w:tcBorders>
            <w:vAlign w:val="center"/>
          </w:tcPr>
          <w:p w14:paraId="6D843418" w14:textId="77777777" w:rsidR="005F1CF8" w:rsidRPr="00E2052F" w:rsidRDefault="005F1CF8" w:rsidP="00456526">
            <w:pPr>
              <w:spacing w:before="0" w:beforeAutospacing="0" w:line="240" w:lineRule="auto"/>
              <w:jc w:val="center"/>
              <w:rPr>
                <w:rFonts w:cstheme="majorBidi"/>
                <w:kern w:val="2"/>
                <w:sz w:val="22"/>
                <w:lang w:bidi="ar-DZ"/>
              </w:rPr>
            </w:pPr>
          </w:p>
        </w:tc>
        <w:tc>
          <w:tcPr>
            <w:tcW w:w="709" w:type="dxa"/>
            <w:tcBorders>
              <w:top w:val="single" w:sz="4" w:space="0" w:color="auto"/>
              <w:left w:val="single" w:sz="4" w:space="0" w:color="auto"/>
              <w:bottom w:val="single" w:sz="4" w:space="0" w:color="auto"/>
              <w:right w:val="single" w:sz="4" w:space="0" w:color="auto"/>
            </w:tcBorders>
          </w:tcPr>
          <w:p w14:paraId="03CF603A"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7.965</w:t>
            </w:r>
          </w:p>
        </w:tc>
        <w:tc>
          <w:tcPr>
            <w:tcW w:w="713" w:type="dxa"/>
            <w:tcBorders>
              <w:top w:val="single" w:sz="4" w:space="0" w:color="auto"/>
              <w:left w:val="single" w:sz="4" w:space="0" w:color="auto"/>
              <w:bottom w:val="single" w:sz="4" w:space="0" w:color="auto"/>
              <w:right w:val="single" w:sz="4" w:space="0" w:color="auto"/>
            </w:tcBorders>
          </w:tcPr>
          <w:p w14:paraId="45AB4CF0"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p>
        </w:tc>
      </w:tr>
      <w:tr w:rsidR="005F1CF8" w:rsidRPr="00E2052F" w14:paraId="6FC8253C" w14:textId="77777777" w:rsidTr="00456526">
        <w:trPr>
          <w:cantSplit/>
          <w:jc w:val="center"/>
        </w:trPr>
        <w:tc>
          <w:tcPr>
            <w:tcW w:w="74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2B0E8D" w14:textId="77777777" w:rsidR="005F1CF8" w:rsidRPr="00E2052F" w:rsidRDefault="005F1CF8" w:rsidP="00456526">
            <w:pPr>
              <w:spacing w:before="0" w:beforeAutospacing="0" w:line="240" w:lineRule="auto"/>
              <w:jc w:val="center"/>
              <w:rPr>
                <w:rFonts w:cstheme="majorBidi"/>
                <w:b/>
                <w:bCs/>
                <w:kern w:val="2"/>
                <w:sz w:val="22"/>
                <w:lang w:bidi="ar-DZ"/>
              </w:rPr>
            </w:pPr>
          </w:p>
        </w:tc>
        <w:tc>
          <w:tcPr>
            <w:tcW w:w="165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DA090C" w14:textId="77777777" w:rsidR="005F1CF8" w:rsidRPr="00E2052F" w:rsidRDefault="005F1CF8" w:rsidP="00456526">
            <w:pPr>
              <w:spacing w:before="0" w:beforeAutospacing="0" w:line="240" w:lineRule="auto"/>
              <w:ind w:firstLine="0"/>
              <w:jc w:val="center"/>
              <w:rPr>
                <w:rFonts w:cstheme="majorBidi"/>
                <w:b/>
                <w:bCs/>
                <w:kern w:val="2"/>
                <w:sz w:val="22"/>
                <w:lang w:bidi="ar-DZ"/>
              </w:rPr>
            </w:pPr>
            <w:r w:rsidRPr="00E2052F">
              <w:rPr>
                <w:rFonts w:cstheme="majorBidi"/>
                <w:b/>
                <w:bCs/>
                <w:kern w:val="2"/>
                <w:sz w:val="22"/>
                <w:lang w:bidi="ar-DZ"/>
              </w:rPr>
              <w:t>La gouvernance d'entreprise</w:t>
            </w:r>
          </w:p>
        </w:tc>
        <w:tc>
          <w:tcPr>
            <w:tcW w:w="992" w:type="dxa"/>
            <w:tcBorders>
              <w:top w:val="single" w:sz="4" w:space="0" w:color="auto"/>
              <w:left w:val="single" w:sz="4" w:space="0" w:color="auto"/>
              <w:bottom w:val="single" w:sz="4" w:space="0" w:color="auto"/>
              <w:right w:val="single" w:sz="4" w:space="0" w:color="auto"/>
            </w:tcBorders>
          </w:tcPr>
          <w:p w14:paraId="4799D252"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0.565</w:t>
            </w:r>
          </w:p>
        </w:tc>
        <w:tc>
          <w:tcPr>
            <w:tcW w:w="1843" w:type="dxa"/>
            <w:tcBorders>
              <w:top w:val="single" w:sz="4" w:space="0" w:color="auto"/>
              <w:left w:val="single" w:sz="4" w:space="0" w:color="auto"/>
              <w:bottom w:val="single" w:sz="4" w:space="0" w:color="auto"/>
              <w:right w:val="single" w:sz="4" w:space="0" w:color="auto"/>
            </w:tcBorders>
          </w:tcPr>
          <w:p w14:paraId="73268022"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0.050</w:t>
            </w:r>
          </w:p>
        </w:tc>
        <w:tc>
          <w:tcPr>
            <w:tcW w:w="2410" w:type="dxa"/>
            <w:tcBorders>
              <w:top w:val="single" w:sz="4" w:space="0" w:color="auto"/>
              <w:left w:val="single" w:sz="4" w:space="0" w:color="auto"/>
              <w:bottom w:val="single" w:sz="4" w:space="0" w:color="auto"/>
              <w:right w:val="single" w:sz="4" w:space="0" w:color="auto"/>
            </w:tcBorders>
          </w:tcPr>
          <w:p w14:paraId="270E96AF"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0.548</w:t>
            </w:r>
          </w:p>
        </w:tc>
        <w:tc>
          <w:tcPr>
            <w:tcW w:w="709" w:type="dxa"/>
            <w:tcBorders>
              <w:top w:val="single" w:sz="4" w:space="0" w:color="auto"/>
              <w:left w:val="single" w:sz="4" w:space="0" w:color="auto"/>
              <w:bottom w:val="single" w:sz="4" w:space="0" w:color="auto"/>
              <w:right w:val="single" w:sz="4" w:space="0" w:color="auto"/>
            </w:tcBorders>
          </w:tcPr>
          <w:p w14:paraId="75B774A3"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11.316</w:t>
            </w:r>
          </w:p>
        </w:tc>
        <w:tc>
          <w:tcPr>
            <w:tcW w:w="713" w:type="dxa"/>
            <w:tcBorders>
              <w:top w:val="single" w:sz="4" w:space="0" w:color="auto"/>
              <w:left w:val="single" w:sz="4" w:space="0" w:color="auto"/>
              <w:bottom w:val="single" w:sz="4" w:space="0" w:color="auto"/>
              <w:right w:val="single" w:sz="4" w:space="0" w:color="auto"/>
            </w:tcBorders>
          </w:tcPr>
          <w:p w14:paraId="1A0292D8" w14:textId="77777777" w:rsidR="005F1CF8" w:rsidRPr="00E2052F" w:rsidRDefault="005F1CF8" w:rsidP="00456526">
            <w:pPr>
              <w:spacing w:before="0" w:beforeAutospacing="0" w:line="240" w:lineRule="auto"/>
              <w:ind w:firstLine="0"/>
              <w:jc w:val="center"/>
              <w:rPr>
                <w:rFonts w:cstheme="majorBidi"/>
                <w:kern w:val="2"/>
                <w:sz w:val="22"/>
                <w:lang w:bidi="ar-DZ"/>
              </w:rPr>
            </w:pPr>
            <w:r w:rsidRPr="00E2052F">
              <w:rPr>
                <w:rFonts w:cstheme="majorBidi"/>
                <w:kern w:val="2"/>
                <w:sz w:val="22"/>
                <w:lang w:bidi="ar-DZ"/>
              </w:rPr>
              <w:t>.000</w:t>
            </w:r>
          </w:p>
        </w:tc>
      </w:tr>
      <w:tr w:rsidR="005F1CF8" w:rsidRPr="00E2052F" w14:paraId="543D7279" w14:textId="77777777" w:rsidTr="00456526">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FFFFFF"/>
          </w:tcPr>
          <w:p w14:paraId="6C49548C" w14:textId="77777777" w:rsidR="005F1CF8" w:rsidRPr="00E2052F" w:rsidRDefault="005F1CF8" w:rsidP="00456526">
            <w:pPr>
              <w:spacing w:before="0" w:beforeAutospacing="0" w:line="240" w:lineRule="auto"/>
              <w:rPr>
                <w:rFonts w:cstheme="majorBidi"/>
                <w:b/>
                <w:bCs/>
                <w:kern w:val="2"/>
                <w:sz w:val="22"/>
                <w:lang w:bidi="ar-DZ"/>
              </w:rPr>
            </w:pPr>
            <w:r w:rsidRPr="00E2052F">
              <w:rPr>
                <w:rFonts w:cstheme="majorBidi"/>
                <w:b/>
                <w:bCs/>
                <w:kern w:val="2"/>
                <w:sz w:val="22"/>
                <w:lang w:bidi="ar-DZ"/>
              </w:rPr>
              <w:t>a. Variable dépendante : La responsabilité sociale des entreprises</w:t>
            </w:r>
          </w:p>
        </w:tc>
      </w:tr>
    </w:tbl>
    <w:p w14:paraId="545D7049"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3"/>
        <w:gridCol w:w="1583"/>
        <w:gridCol w:w="1130"/>
        <w:gridCol w:w="1843"/>
        <w:gridCol w:w="3123"/>
      </w:tblGrid>
      <w:tr w:rsidR="005F1CF8" w:rsidRPr="00E2052F" w14:paraId="0DFCCEF2" w14:textId="77777777" w:rsidTr="00456526">
        <w:trPr>
          <w:cantSplit/>
          <w:trHeight w:val="307"/>
          <w:jc w:val="center"/>
        </w:trPr>
        <w:tc>
          <w:tcPr>
            <w:tcW w:w="1393" w:type="dxa"/>
            <w:shd w:val="clear" w:color="auto" w:fill="D9E2F3" w:themeFill="accent1" w:themeFillTint="33"/>
            <w:vAlign w:val="bottom"/>
          </w:tcPr>
          <w:p w14:paraId="1FA982A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83" w:type="dxa"/>
            <w:shd w:val="clear" w:color="auto" w:fill="D9E2F3" w:themeFill="accent1" w:themeFillTint="33"/>
            <w:vAlign w:val="bottom"/>
          </w:tcPr>
          <w:p w14:paraId="4506FEB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130" w:type="dxa"/>
            <w:shd w:val="clear" w:color="auto" w:fill="D9E2F3" w:themeFill="accent1" w:themeFillTint="33"/>
            <w:vAlign w:val="bottom"/>
          </w:tcPr>
          <w:p w14:paraId="386774F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843" w:type="dxa"/>
            <w:shd w:val="clear" w:color="auto" w:fill="D9E2F3" w:themeFill="accent1" w:themeFillTint="33"/>
            <w:vAlign w:val="bottom"/>
          </w:tcPr>
          <w:p w14:paraId="73FF45E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123" w:type="dxa"/>
            <w:shd w:val="clear" w:color="auto" w:fill="D9E2F3" w:themeFill="accent1" w:themeFillTint="33"/>
            <w:vAlign w:val="bottom"/>
          </w:tcPr>
          <w:p w14:paraId="232999C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5F1CF8" w:rsidRPr="00E2052F" w14:paraId="059C192D" w14:textId="77777777" w:rsidTr="00456526">
        <w:trPr>
          <w:cantSplit/>
          <w:trHeight w:val="317"/>
          <w:jc w:val="center"/>
        </w:trPr>
        <w:tc>
          <w:tcPr>
            <w:tcW w:w="1393" w:type="dxa"/>
            <w:shd w:val="clear" w:color="auto" w:fill="D9E2F3" w:themeFill="accent1" w:themeFillTint="33"/>
          </w:tcPr>
          <w:p w14:paraId="369BCC1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83" w:type="dxa"/>
          </w:tcPr>
          <w:p w14:paraId="11F2693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0.343</w:t>
            </w:r>
            <w:r w:rsidRPr="00E2052F">
              <w:rPr>
                <w:rFonts w:cstheme="majorBidi"/>
                <w:kern w:val="2"/>
                <w:sz w:val="22"/>
                <w:vertAlign w:val="superscript"/>
              </w:rPr>
              <w:t>a</w:t>
            </w:r>
          </w:p>
        </w:tc>
        <w:tc>
          <w:tcPr>
            <w:tcW w:w="1130" w:type="dxa"/>
          </w:tcPr>
          <w:p w14:paraId="1BBA9C4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0.118</w:t>
            </w:r>
          </w:p>
        </w:tc>
        <w:tc>
          <w:tcPr>
            <w:tcW w:w="1843" w:type="dxa"/>
          </w:tcPr>
          <w:p w14:paraId="61090B1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0.115</w:t>
            </w:r>
          </w:p>
        </w:tc>
        <w:tc>
          <w:tcPr>
            <w:tcW w:w="3123" w:type="dxa"/>
          </w:tcPr>
          <w:p w14:paraId="32FBEC1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0.585</w:t>
            </w:r>
          </w:p>
        </w:tc>
      </w:tr>
      <w:tr w:rsidR="005F1CF8" w:rsidRPr="00E2052F" w14:paraId="230F66EB" w14:textId="77777777" w:rsidTr="00456526">
        <w:trPr>
          <w:cantSplit/>
          <w:trHeight w:val="339"/>
          <w:jc w:val="center"/>
        </w:trPr>
        <w:tc>
          <w:tcPr>
            <w:tcW w:w="9072" w:type="dxa"/>
            <w:gridSpan w:val="5"/>
            <w:shd w:val="clear" w:color="auto" w:fill="FFFFFF"/>
          </w:tcPr>
          <w:p w14:paraId="507E9462"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Prédicteurs : (Constante), L'existence d'une base pour un cadre efficace de la gouvernance</w:t>
            </w:r>
          </w:p>
        </w:tc>
      </w:tr>
    </w:tbl>
    <w:p w14:paraId="20EC0DC1"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1"/>
        <w:gridCol w:w="1449"/>
        <w:gridCol w:w="2004"/>
        <w:gridCol w:w="803"/>
        <w:gridCol w:w="1549"/>
        <w:gridCol w:w="1154"/>
        <w:gridCol w:w="1162"/>
      </w:tblGrid>
      <w:tr w:rsidR="005F1CF8" w:rsidRPr="00E2052F" w14:paraId="7B778BBF" w14:textId="77777777" w:rsidTr="00456526">
        <w:trPr>
          <w:cantSplit/>
          <w:trHeight w:val="559"/>
          <w:jc w:val="center"/>
        </w:trPr>
        <w:tc>
          <w:tcPr>
            <w:tcW w:w="9042" w:type="dxa"/>
            <w:gridSpan w:val="7"/>
            <w:shd w:val="clear" w:color="auto" w:fill="B4C6E7" w:themeFill="accent1" w:themeFillTint="66"/>
            <w:vAlign w:val="center"/>
          </w:tcPr>
          <w:p w14:paraId="1AD86A6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5F1CCA2D" w14:textId="77777777" w:rsidTr="00456526">
        <w:trPr>
          <w:cantSplit/>
          <w:trHeight w:val="257"/>
          <w:jc w:val="center"/>
        </w:trPr>
        <w:tc>
          <w:tcPr>
            <w:tcW w:w="2393" w:type="dxa"/>
            <w:gridSpan w:val="2"/>
            <w:shd w:val="clear" w:color="auto" w:fill="D9E2F3" w:themeFill="accent1" w:themeFillTint="33"/>
            <w:vAlign w:val="bottom"/>
          </w:tcPr>
          <w:p w14:paraId="3439086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97" w:type="dxa"/>
            <w:shd w:val="clear" w:color="auto" w:fill="D9E2F3" w:themeFill="accent1" w:themeFillTint="33"/>
            <w:vAlign w:val="bottom"/>
          </w:tcPr>
          <w:p w14:paraId="0B047EE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800" w:type="dxa"/>
            <w:shd w:val="clear" w:color="auto" w:fill="D9E2F3" w:themeFill="accent1" w:themeFillTint="33"/>
            <w:vAlign w:val="bottom"/>
          </w:tcPr>
          <w:p w14:paraId="46847CA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44" w:type="dxa"/>
            <w:shd w:val="clear" w:color="auto" w:fill="D9E2F3" w:themeFill="accent1" w:themeFillTint="33"/>
            <w:vAlign w:val="bottom"/>
          </w:tcPr>
          <w:p w14:paraId="63AF7A6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50" w:type="dxa"/>
            <w:shd w:val="clear" w:color="auto" w:fill="D9E2F3" w:themeFill="accent1" w:themeFillTint="33"/>
            <w:vAlign w:val="bottom"/>
          </w:tcPr>
          <w:p w14:paraId="5DF853F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58" w:type="dxa"/>
            <w:shd w:val="clear" w:color="auto" w:fill="D9E2F3" w:themeFill="accent1" w:themeFillTint="33"/>
            <w:vAlign w:val="bottom"/>
          </w:tcPr>
          <w:p w14:paraId="1AB9A5D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4D96F921" w14:textId="77777777" w:rsidTr="00456526">
        <w:trPr>
          <w:cantSplit/>
          <w:trHeight w:val="393"/>
          <w:jc w:val="center"/>
        </w:trPr>
        <w:tc>
          <w:tcPr>
            <w:tcW w:w="949" w:type="dxa"/>
            <w:vMerge w:val="restart"/>
            <w:shd w:val="clear" w:color="auto" w:fill="D9E2F3" w:themeFill="accent1" w:themeFillTint="33"/>
          </w:tcPr>
          <w:p w14:paraId="6E8517B5" w14:textId="77777777" w:rsidR="005F1CF8" w:rsidRPr="00E2052F" w:rsidRDefault="005F1CF8" w:rsidP="00456526">
            <w:pPr>
              <w:spacing w:before="0" w:beforeAutospacing="0" w:line="240" w:lineRule="auto"/>
              <w:ind w:firstLine="0"/>
              <w:jc w:val="center"/>
              <w:rPr>
                <w:rFonts w:cstheme="majorBidi"/>
                <w:b/>
                <w:bCs/>
                <w:kern w:val="2"/>
                <w:sz w:val="22"/>
              </w:rPr>
            </w:pPr>
          </w:p>
          <w:p w14:paraId="02EB622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44" w:type="dxa"/>
            <w:shd w:val="clear" w:color="auto" w:fill="D9E2F3" w:themeFill="accent1" w:themeFillTint="33"/>
          </w:tcPr>
          <w:p w14:paraId="1B21657C"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Régression</w:t>
            </w:r>
          </w:p>
        </w:tc>
        <w:tc>
          <w:tcPr>
            <w:tcW w:w="1997" w:type="dxa"/>
          </w:tcPr>
          <w:p w14:paraId="6B3F0E6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13.636</w:t>
            </w:r>
          </w:p>
        </w:tc>
        <w:tc>
          <w:tcPr>
            <w:tcW w:w="800" w:type="dxa"/>
          </w:tcPr>
          <w:p w14:paraId="6D196E4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544" w:type="dxa"/>
          </w:tcPr>
          <w:p w14:paraId="03A844E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13.636</w:t>
            </w:r>
          </w:p>
        </w:tc>
        <w:tc>
          <w:tcPr>
            <w:tcW w:w="1150" w:type="dxa"/>
          </w:tcPr>
          <w:p w14:paraId="6967304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39.804</w:t>
            </w:r>
          </w:p>
        </w:tc>
        <w:tc>
          <w:tcPr>
            <w:tcW w:w="1158" w:type="dxa"/>
          </w:tcPr>
          <w:p w14:paraId="36B4B52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3DF392F2" w14:textId="77777777" w:rsidTr="00456526">
        <w:trPr>
          <w:cantSplit/>
          <w:trHeight w:val="251"/>
          <w:jc w:val="center"/>
        </w:trPr>
        <w:tc>
          <w:tcPr>
            <w:tcW w:w="949" w:type="dxa"/>
            <w:vMerge/>
            <w:shd w:val="clear" w:color="auto" w:fill="D9E2F3" w:themeFill="accent1" w:themeFillTint="33"/>
          </w:tcPr>
          <w:p w14:paraId="33E03DE8" w14:textId="77777777" w:rsidR="005F1CF8" w:rsidRPr="00E2052F" w:rsidRDefault="005F1CF8" w:rsidP="00456526">
            <w:pPr>
              <w:spacing w:before="0" w:beforeAutospacing="0" w:line="240" w:lineRule="auto"/>
              <w:jc w:val="center"/>
              <w:rPr>
                <w:rFonts w:cstheme="majorBidi"/>
                <w:b/>
                <w:bCs/>
                <w:kern w:val="2"/>
                <w:sz w:val="22"/>
              </w:rPr>
            </w:pPr>
          </w:p>
        </w:tc>
        <w:tc>
          <w:tcPr>
            <w:tcW w:w="1444" w:type="dxa"/>
            <w:shd w:val="clear" w:color="auto" w:fill="D9E2F3" w:themeFill="accent1" w:themeFillTint="33"/>
          </w:tcPr>
          <w:p w14:paraId="3CB3BBBB"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de Student</w:t>
            </w:r>
          </w:p>
        </w:tc>
        <w:tc>
          <w:tcPr>
            <w:tcW w:w="1997" w:type="dxa"/>
          </w:tcPr>
          <w:p w14:paraId="5635D597"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102.085</w:t>
            </w:r>
          </w:p>
        </w:tc>
        <w:tc>
          <w:tcPr>
            <w:tcW w:w="800" w:type="dxa"/>
          </w:tcPr>
          <w:p w14:paraId="6A4FE7D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544" w:type="dxa"/>
          </w:tcPr>
          <w:p w14:paraId="167DB86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.343</w:t>
            </w:r>
          </w:p>
        </w:tc>
        <w:tc>
          <w:tcPr>
            <w:tcW w:w="1150" w:type="dxa"/>
            <w:vAlign w:val="center"/>
          </w:tcPr>
          <w:p w14:paraId="701777EB" w14:textId="77777777" w:rsidR="005F1CF8" w:rsidRPr="00E2052F" w:rsidRDefault="005F1CF8" w:rsidP="00456526">
            <w:pPr>
              <w:spacing w:before="0" w:beforeAutospacing="0" w:line="240" w:lineRule="auto"/>
              <w:jc w:val="center"/>
              <w:rPr>
                <w:rFonts w:cstheme="majorBidi"/>
                <w:kern w:val="2"/>
                <w:sz w:val="22"/>
              </w:rPr>
            </w:pPr>
          </w:p>
        </w:tc>
        <w:tc>
          <w:tcPr>
            <w:tcW w:w="1158" w:type="dxa"/>
            <w:vAlign w:val="center"/>
          </w:tcPr>
          <w:p w14:paraId="4F6056ED"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4AB69E9F" w14:textId="77777777" w:rsidTr="00456526">
        <w:trPr>
          <w:cantSplit/>
          <w:trHeight w:val="251"/>
          <w:jc w:val="center"/>
        </w:trPr>
        <w:tc>
          <w:tcPr>
            <w:tcW w:w="949" w:type="dxa"/>
            <w:vMerge/>
            <w:shd w:val="clear" w:color="auto" w:fill="D9E2F3" w:themeFill="accent1" w:themeFillTint="33"/>
          </w:tcPr>
          <w:p w14:paraId="44592761" w14:textId="77777777" w:rsidR="005F1CF8" w:rsidRPr="00E2052F" w:rsidRDefault="005F1CF8" w:rsidP="00456526">
            <w:pPr>
              <w:spacing w:before="0" w:beforeAutospacing="0" w:line="240" w:lineRule="auto"/>
              <w:jc w:val="center"/>
              <w:rPr>
                <w:rFonts w:cstheme="majorBidi"/>
                <w:b/>
                <w:bCs/>
                <w:kern w:val="2"/>
                <w:sz w:val="22"/>
              </w:rPr>
            </w:pPr>
          </w:p>
        </w:tc>
        <w:tc>
          <w:tcPr>
            <w:tcW w:w="1444" w:type="dxa"/>
            <w:shd w:val="clear" w:color="auto" w:fill="D9E2F3" w:themeFill="accent1" w:themeFillTint="33"/>
          </w:tcPr>
          <w:p w14:paraId="2B48896F"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Total</w:t>
            </w:r>
          </w:p>
        </w:tc>
        <w:tc>
          <w:tcPr>
            <w:tcW w:w="1997" w:type="dxa"/>
          </w:tcPr>
          <w:p w14:paraId="18CD2EF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800" w:type="dxa"/>
          </w:tcPr>
          <w:p w14:paraId="128F395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544" w:type="dxa"/>
            <w:vAlign w:val="center"/>
          </w:tcPr>
          <w:p w14:paraId="1B98356C" w14:textId="77777777" w:rsidR="005F1CF8" w:rsidRPr="00E2052F" w:rsidRDefault="005F1CF8" w:rsidP="00456526">
            <w:pPr>
              <w:spacing w:before="0" w:beforeAutospacing="0" w:line="240" w:lineRule="auto"/>
              <w:jc w:val="center"/>
              <w:rPr>
                <w:rFonts w:cstheme="majorBidi"/>
                <w:kern w:val="2"/>
                <w:sz w:val="22"/>
              </w:rPr>
            </w:pPr>
          </w:p>
        </w:tc>
        <w:tc>
          <w:tcPr>
            <w:tcW w:w="1150" w:type="dxa"/>
            <w:vAlign w:val="center"/>
          </w:tcPr>
          <w:p w14:paraId="39463026" w14:textId="77777777" w:rsidR="005F1CF8" w:rsidRPr="00E2052F" w:rsidRDefault="005F1CF8" w:rsidP="00456526">
            <w:pPr>
              <w:spacing w:before="0" w:beforeAutospacing="0" w:line="240" w:lineRule="auto"/>
              <w:jc w:val="center"/>
              <w:rPr>
                <w:rFonts w:cstheme="majorBidi"/>
                <w:kern w:val="2"/>
                <w:sz w:val="22"/>
              </w:rPr>
            </w:pPr>
          </w:p>
        </w:tc>
        <w:tc>
          <w:tcPr>
            <w:tcW w:w="1158" w:type="dxa"/>
            <w:vAlign w:val="center"/>
          </w:tcPr>
          <w:p w14:paraId="54B1F952"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49015789" w14:textId="77777777" w:rsidTr="00456526">
        <w:trPr>
          <w:cantSplit/>
          <w:trHeight w:val="331"/>
          <w:jc w:val="center"/>
        </w:trPr>
        <w:tc>
          <w:tcPr>
            <w:tcW w:w="9042" w:type="dxa"/>
            <w:gridSpan w:val="7"/>
            <w:shd w:val="clear" w:color="auto" w:fill="FFFFFF"/>
          </w:tcPr>
          <w:p w14:paraId="5AF01FD0"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5F1CF8" w:rsidRPr="00E2052F" w14:paraId="25B2FEA9" w14:textId="77777777" w:rsidTr="00456526">
        <w:trPr>
          <w:cantSplit/>
          <w:trHeight w:val="339"/>
          <w:jc w:val="center"/>
        </w:trPr>
        <w:tc>
          <w:tcPr>
            <w:tcW w:w="9042" w:type="dxa"/>
            <w:gridSpan w:val="7"/>
            <w:shd w:val="clear" w:color="auto" w:fill="FFFFFF"/>
          </w:tcPr>
          <w:p w14:paraId="53880EF7"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b. Prédicteurs : (Constante), L'existence d'une base pour un cadre efficace de la gouvernance</w:t>
            </w:r>
          </w:p>
        </w:tc>
      </w:tr>
    </w:tbl>
    <w:p w14:paraId="5EE06692"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6"/>
        <w:gridCol w:w="2087"/>
        <w:gridCol w:w="1062"/>
        <w:gridCol w:w="1593"/>
        <w:gridCol w:w="2389"/>
        <w:gridCol w:w="664"/>
        <w:gridCol w:w="581"/>
      </w:tblGrid>
      <w:tr w:rsidR="005F1CF8" w:rsidRPr="00E2052F" w14:paraId="626A6B76" w14:textId="77777777" w:rsidTr="00456526">
        <w:trPr>
          <w:cantSplit/>
          <w:jc w:val="center"/>
        </w:trPr>
        <w:tc>
          <w:tcPr>
            <w:tcW w:w="9686" w:type="dxa"/>
            <w:gridSpan w:val="7"/>
            <w:shd w:val="clear" w:color="auto" w:fill="B4C6E7" w:themeFill="accent1" w:themeFillTint="66"/>
            <w:vAlign w:val="center"/>
          </w:tcPr>
          <w:p w14:paraId="61CBCC5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38F62954" w14:textId="77777777" w:rsidTr="00456526">
        <w:trPr>
          <w:cantSplit/>
          <w:jc w:val="center"/>
        </w:trPr>
        <w:tc>
          <w:tcPr>
            <w:tcW w:w="2972" w:type="dxa"/>
            <w:gridSpan w:val="2"/>
            <w:vMerge w:val="restart"/>
            <w:shd w:val="clear" w:color="auto" w:fill="D9E2F3" w:themeFill="accent1" w:themeFillTint="33"/>
            <w:vAlign w:val="bottom"/>
          </w:tcPr>
          <w:p w14:paraId="27A9698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shd w:val="clear" w:color="auto" w:fill="D9E2F3" w:themeFill="accent1" w:themeFillTint="33"/>
            <w:vAlign w:val="bottom"/>
          </w:tcPr>
          <w:p w14:paraId="2941595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52" w:type="dxa"/>
            <w:shd w:val="clear" w:color="auto" w:fill="D9E2F3" w:themeFill="accent1" w:themeFillTint="33"/>
            <w:vAlign w:val="bottom"/>
          </w:tcPr>
          <w:p w14:paraId="4B0C885D"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Coefficients standardisés</w:t>
            </w:r>
          </w:p>
        </w:tc>
        <w:tc>
          <w:tcPr>
            <w:tcW w:w="708" w:type="dxa"/>
            <w:vMerge w:val="restart"/>
            <w:shd w:val="clear" w:color="auto" w:fill="D9E2F3" w:themeFill="accent1" w:themeFillTint="33"/>
            <w:vAlign w:val="bottom"/>
          </w:tcPr>
          <w:p w14:paraId="3AD82F0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619" w:type="dxa"/>
            <w:vMerge w:val="restart"/>
            <w:shd w:val="clear" w:color="auto" w:fill="D9E2F3" w:themeFill="accent1" w:themeFillTint="33"/>
            <w:vAlign w:val="bottom"/>
          </w:tcPr>
          <w:p w14:paraId="128FFD5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59F89B29" w14:textId="77777777" w:rsidTr="00456526">
        <w:trPr>
          <w:cantSplit/>
          <w:jc w:val="center"/>
        </w:trPr>
        <w:tc>
          <w:tcPr>
            <w:tcW w:w="2972" w:type="dxa"/>
            <w:gridSpan w:val="2"/>
            <w:vMerge/>
            <w:shd w:val="clear" w:color="auto" w:fill="FFFFFF"/>
            <w:vAlign w:val="bottom"/>
          </w:tcPr>
          <w:p w14:paraId="569C3CA1" w14:textId="77777777" w:rsidR="005F1CF8" w:rsidRPr="00E2052F" w:rsidRDefault="005F1CF8" w:rsidP="00456526">
            <w:pPr>
              <w:spacing w:before="0" w:beforeAutospacing="0" w:line="240" w:lineRule="auto"/>
              <w:jc w:val="center"/>
              <w:rPr>
                <w:rFonts w:cstheme="majorBidi"/>
                <w:b/>
                <w:bCs/>
                <w:kern w:val="2"/>
                <w:sz w:val="22"/>
              </w:rPr>
            </w:pPr>
          </w:p>
        </w:tc>
        <w:tc>
          <w:tcPr>
            <w:tcW w:w="1134" w:type="dxa"/>
            <w:shd w:val="clear" w:color="auto" w:fill="D9E2F3" w:themeFill="accent1" w:themeFillTint="33"/>
            <w:vAlign w:val="bottom"/>
          </w:tcPr>
          <w:p w14:paraId="42CEC06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701" w:type="dxa"/>
            <w:shd w:val="clear" w:color="auto" w:fill="D9E2F3" w:themeFill="accent1" w:themeFillTint="33"/>
            <w:vAlign w:val="bottom"/>
          </w:tcPr>
          <w:p w14:paraId="10B8406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52" w:type="dxa"/>
            <w:shd w:val="clear" w:color="auto" w:fill="D9E2F3" w:themeFill="accent1" w:themeFillTint="33"/>
            <w:vAlign w:val="bottom"/>
          </w:tcPr>
          <w:p w14:paraId="078B9B7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8" w:type="dxa"/>
            <w:vMerge/>
            <w:shd w:val="clear" w:color="auto" w:fill="FFFFFF"/>
            <w:vAlign w:val="bottom"/>
          </w:tcPr>
          <w:p w14:paraId="11D7FB3A" w14:textId="77777777" w:rsidR="005F1CF8" w:rsidRPr="00E2052F" w:rsidRDefault="005F1CF8" w:rsidP="00456526">
            <w:pPr>
              <w:spacing w:before="0" w:beforeAutospacing="0" w:line="240" w:lineRule="auto"/>
              <w:jc w:val="center"/>
              <w:rPr>
                <w:rFonts w:cstheme="majorBidi"/>
                <w:b/>
                <w:bCs/>
                <w:kern w:val="2"/>
                <w:sz w:val="22"/>
              </w:rPr>
            </w:pPr>
          </w:p>
        </w:tc>
        <w:tc>
          <w:tcPr>
            <w:tcW w:w="619" w:type="dxa"/>
            <w:vMerge/>
            <w:shd w:val="clear" w:color="auto" w:fill="FFFFFF"/>
            <w:vAlign w:val="bottom"/>
          </w:tcPr>
          <w:p w14:paraId="25CD8F21"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2DE5D04E" w14:textId="77777777" w:rsidTr="00456526">
        <w:trPr>
          <w:cantSplit/>
          <w:jc w:val="center"/>
        </w:trPr>
        <w:tc>
          <w:tcPr>
            <w:tcW w:w="742" w:type="dxa"/>
            <w:vMerge w:val="restart"/>
            <w:shd w:val="clear" w:color="auto" w:fill="D9E2F3" w:themeFill="accent1" w:themeFillTint="33"/>
          </w:tcPr>
          <w:p w14:paraId="31655A3F" w14:textId="77777777" w:rsidR="005F1CF8" w:rsidRPr="00E2052F" w:rsidRDefault="005F1CF8" w:rsidP="00456526">
            <w:pPr>
              <w:spacing w:before="0" w:beforeAutospacing="0" w:line="240" w:lineRule="auto"/>
              <w:rPr>
                <w:rFonts w:cstheme="majorBidi"/>
                <w:b/>
                <w:bCs/>
                <w:kern w:val="2"/>
                <w:sz w:val="22"/>
              </w:rPr>
            </w:pPr>
          </w:p>
          <w:p w14:paraId="18440160"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1</w:t>
            </w:r>
          </w:p>
        </w:tc>
        <w:tc>
          <w:tcPr>
            <w:tcW w:w="2230" w:type="dxa"/>
            <w:shd w:val="clear" w:color="auto" w:fill="D9E2F3" w:themeFill="accent1" w:themeFillTint="33"/>
          </w:tcPr>
          <w:p w14:paraId="03F5753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134" w:type="dxa"/>
          </w:tcPr>
          <w:p w14:paraId="7A9EF22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2.867</w:t>
            </w:r>
          </w:p>
        </w:tc>
        <w:tc>
          <w:tcPr>
            <w:tcW w:w="1701" w:type="dxa"/>
          </w:tcPr>
          <w:p w14:paraId="3EBBE7CE"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0.182</w:t>
            </w:r>
          </w:p>
        </w:tc>
        <w:tc>
          <w:tcPr>
            <w:tcW w:w="2552" w:type="dxa"/>
            <w:vAlign w:val="center"/>
          </w:tcPr>
          <w:p w14:paraId="49B8A194" w14:textId="77777777" w:rsidR="005F1CF8" w:rsidRPr="00E2052F" w:rsidRDefault="005F1CF8" w:rsidP="00456526">
            <w:pPr>
              <w:spacing w:before="0" w:beforeAutospacing="0" w:line="240" w:lineRule="auto"/>
              <w:jc w:val="center"/>
              <w:rPr>
                <w:rFonts w:cstheme="majorBidi"/>
                <w:kern w:val="2"/>
                <w:sz w:val="22"/>
              </w:rPr>
            </w:pPr>
          </w:p>
        </w:tc>
        <w:tc>
          <w:tcPr>
            <w:tcW w:w="708" w:type="dxa"/>
          </w:tcPr>
          <w:p w14:paraId="4B1B792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15.794</w:t>
            </w:r>
          </w:p>
        </w:tc>
        <w:tc>
          <w:tcPr>
            <w:tcW w:w="619" w:type="dxa"/>
          </w:tcPr>
          <w:p w14:paraId="780333C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6BC474D6" w14:textId="77777777" w:rsidTr="00456526">
        <w:trPr>
          <w:cantSplit/>
          <w:jc w:val="center"/>
        </w:trPr>
        <w:tc>
          <w:tcPr>
            <w:tcW w:w="742" w:type="dxa"/>
            <w:vMerge/>
            <w:shd w:val="clear" w:color="auto" w:fill="D9E2F3" w:themeFill="accent1" w:themeFillTint="33"/>
          </w:tcPr>
          <w:p w14:paraId="6474FB9A" w14:textId="77777777" w:rsidR="005F1CF8" w:rsidRPr="00E2052F" w:rsidRDefault="005F1CF8" w:rsidP="00456526">
            <w:pPr>
              <w:spacing w:before="0" w:beforeAutospacing="0" w:line="240" w:lineRule="auto"/>
              <w:jc w:val="center"/>
              <w:rPr>
                <w:rFonts w:cstheme="majorBidi"/>
                <w:b/>
                <w:bCs/>
                <w:kern w:val="2"/>
                <w:sz w:val="22"/>
              </w:rPr>
            </w:pPr>
          </w:p>
        </w:tc>
        <w:tc>
          <w:tcPr>
            <w:tcW w:w="2230" w:type="dxa"/>
            <w:shd w:val="clear" w:color="auto" w:fill="D9E2F3" w:themeFill="accent1" w:themeFillTint="33"/>
          </w:tcPr>
          <w:p w14:paraId="76E536C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L'existence d'une base pour un cadre efficace de la gouvernance</w:t>
            </w:r>
          </w:p>
        </w:tc>
        <w:tc>
          <w:tcPr>
            <w:tcW w:w="1134" w:type="dxa"/>
          </w:tcPr>
          <w:p w14:paraId="52738FD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0.272</w:t>
            </w:r>
          </w:p>
        </w:tc>
        <w:tc>
          <w:tcPr>
            <w:tcW w:w="1701" w:type="dxa"/>
          </w:tcPr>
          <w:p w14:paraId="366113D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0.043</w:t>
            </w:r>
          </w:p>
        </w:tc>
        <w:tc>
          <w:tcPr>
            <w:tcW w:w="2552" w:type="dxa"/>
          </w:tcPr>
          <w:p w14:paraId="454269C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0.343</w:t>
            </w:r>
          </w:p>
        </w:tc>
        <w:tc>
          <w:tcPr>
            <w:tcW w:w="708" w:type="dxa"/>
          </w:tcPr>
          <w:p w14:paraId="1FE004B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6.309</w:t>
            </w:r>
          </w:p>
        </w:tc>
        <w:tc>
          <w:tcPr>
            <w:tcW w:w="619" w:type="dxa"/>
          </w:tcPr>
          <w:p w14:paraId="702237D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5E4F92C8" w14:textId="77777777" w:rsidTr="00456526">
        <w:trPr>
          <w:cantSplit/>
          <w:jc w:val="center"/>
        </w:trPr>
        <w:tc>
          <w:tcPr>
            <w:tcW w:w="9686" w:type="dxa"/>
            <w:gridSpan w:val="7"/>
            <w:shd w:val="clear" w:color="auto" w:fill="FFFFFF"/>
          </w:tcPr>
          <w:p w14:paraId="6AC33831"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a. Variable dépendante : La responsabilité sociale des entreprises</w:t>
            </w:r>
          </w:p>
        </w:tc>
      </w:tr>
    </w:tbl>
    <w:p w14:paraId="2DBEDA79"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0"/>
        <w:gridCol w:w="959"/>
        <w:gridCol w:w="1324"/>
        <w:gridCol w:w="1765"/>
        <w:gridCol w:w="3634"/>
      </w:tblGrid>
      <w:tr w:rsidR="005F1CF8" w:rsidRPr="005F1CF8" w14:paraId="7D687C79" w14:textId="77777777" w:rsidTr="005F1CF8">
        <w:trPr>
          <w:cantSplit/>
          <w:trHeight w:val="489"/>
          <w:jc w:val="center"/>
        </w:trPr>
        <w:tc>
          <w:tcPr>
            <w:tcW w:w="1339" w:type="dxa"/>
            <w:shd w:val="clear" w:color="auto" w:fill="D9E2F3" w:themeFill="accent1" w:themeFillTint="33"/>
            <w:vAlign w:val="bottom"/>
          </w:tcPr>
          <w:p w14:paraId="0DD0294E"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Modèle</w:t>
            </w:r>
          </w:p>
        </w:tc>
        <w:tc>
          <w:tcPr>
            <w:tcW w:w="924" w:type="dxa"/>
            <w:shd w:val="clear" w:color="auto" w:fill="D9E2F3" w:themeFill="accent1" w:themeFillTint="33"/>
            <w:vAlign w:val="bottom"/>
          </w:tcPr>
          <w:p w14:paraId="05CD448B"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R</w:t>
            </w:r>
          </w:p>
        </w:tc>
        <w:tc>
          <w:tcPr>
            <w:tcW w:w="1276" w:type="dxa"/>
            <w:shd w:val="clear" w:color="auto" w:fill="D9E2F3" w:themeFill="accent1" w:themeFillTint="33"/>
            <w:vAlign w:val="bottom"/>
          </w:tcPr>
          <w:p w14:paraId="2ECB4C9B"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R-deux</w:t>
            </w:r>
          </w:p>
        </w:tc>
        <w:tc>
          <w:tcPr>
            <w:tcW w:w="1701" w:type="dxa"/>
            <w:shd w:val="clear" w:color="auto" w:fill="D9E2F3" w:themeFill="accent1" w:themeFillTint="33"/>
            <w:vAlign w:val="bottom"/>
          </w:tcPr>
          <w:p w14:paraId="4846B46B"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R-deux ajusté</w:t>
            </w:r>
          </w:p>
        </w:tc>
        <w:tc>
          <w:tcPr>
            <w:tcW w:w="3502" w:type="dxa"/>
            <w:shd w:val="clear" w:color="auto" w:fill="D9E2F3" w:themeFill="accent1" w:themeFillTint="33"/>
            <w:vAlign w:val="bottom"/>
          </w:tcPr>
          <w:p w14:paraId="5B844C1B"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Erreur standard de l'estimation</w:t>
            </w:r>
          </w:p>
        </w:tc>
      </w:tr>
      <w:tr w:rsidR="005F1CF8" w:rsidRPr="005F1CF8" w14:paraId="51A59E2B" w14:textId="77777777" w:rsidTr="005F1CF8">
        <w:trPr>
          <w:cantSplit/>
          <w:trHeight w:val="417"/>
          <w:jc w:val="center"/>
        </w:trPr>
        <w:tc>
          <w:tcPr>
            <w:tcW w:w="1339" w:type="dxa"/>
            <w:shd w:val="clear" w:color="auto" w:fill="D9E2F3" w:themeFill="accent1" w:themeFillTint="33"/>
          </w:tcPr>
          <w:p w14:paraId="2C7C37E7" w14:textId="77777777" w:rsidR="005F1CF8" w:rsidRPr="005F1CF8" w:rsidRDefault="005F1CF8" w:rsidP="005F1CF8">
            <w:pPr>
              <w:spacing w:before="0" w:beforeAutospacing="0" w:line="240" w:lineRule="auto"/>
              <w:ind w:firstLine="0"/>
              <w:jc w:val="center"/>
              <w:rPr>
                <w:rFonts w:cstheme="majorBidi"/>
                <w:b/>
                <w:bCs/>
                <w:kern w:val="2"/>
                <w:sz w:val="22"/>
              </w:rPr>
            </w:pPr>
            <w:r w:rsidRPr="005F1CF8">
              <w:rPr>
                <w:rFonts w:cstheme="majorBidi"/>
                <w:b/>
                <w:bCs/>
                <w:kern w:val="2"/>
                <w:sz w:val="22"/>
              </w:rPr>
              <w:t>1</w:t>
            </w:r>
          </w:p>
        </w:tc>
        <w:tc>
          <w:tcPr>
            <w:tcW w:w="924" w:type="dxa"/>
          </w:tcPr>
          <w:p w14:paraId="34795BD4" w14:textId="77777777" w:rsidR="005F1CF8" w:rsidRPr="005F1CF8" w:rsidRDefault="005F1CF8" w:rsidP="005F1CF8">
            <w:pPr>
              <w:spacing w:before="0" w:beforeAutospacing="0" w:line="240" w:lineRule="auto"/>
              <w:ind w:firstLine="0"/>
              <w:jc w:val="center"/>
              <w:rPr>
                <w:rFonts w:cstheme="majorBidi"/>
                <w:kern w:val="2"/>
                <w:sz w:val="22"/>
              </w:rPr>
            </w:pPr>
            <w:r w:rsidRPr="005F1CF8">
              <w:rPr>
                <w:rFonts w:cstheme="majorBidi"/>
                <w:kern w:val="2"/>
                <w:sz w:val="22"/>
              </w:rPr>
              <w:t>0.333</w:t>
            </w:r>
            <w:r w:rsidRPr="005F1CF8">
              <w:rPr>
                <w:rFonts w:cstheme="majorBidi"/>
                <w:kern w:val="2"/>
                <w:sz w:val="22"/>
                <w:vertAlign w:val="superscript"/>
              </w:rPr>
              <w:t>a</w:t>
            </w:r>
          </w:p>
        </w:tc>
        <w:tc>
          <w:tcPr>
            <w:tcW w:w="1276" w:type="dxa"/>
          </w:tcPr>
          <w:p w14:paraId="2EC4B5B9" w14:textId="77777777" w:rsidR="005F1CF8" w:rsidRPr="005F1CF8" w:rsidRDefault="005F1CF8" w:rsidP="005F1CF8">
            <w:pPr>
              <w:spacing w:before="0" w:beforeAutospacing="0" w:line="240" w:lineRule="auto"/>
              <w:ind w:firstLine="0"/>
              <w:jc w:val="center"/>
              <w:rPr>
                <w:rFonts w:cstheme="majorBidi"/>
                <w:kern w:val="2"/>
                <w:sz w:val="22"/>
              </w:rPr>
            </w:pPr>
            <w:r w:rsidRPr="005F1CF8">
              <w:rPr>
                <w:rFonts w:cstheme="majorBidi"/>
                <w:kern w:val="2"/>
                <w:sz w:val="22"/>
              </w:rPr>
              <w:t>0.111</w:t>
            </w:r>
          </w:p>
        </w:tc>
        <w:tc>
          <w:tcPr>
            <w:tcW w:w="1701" w:type="dxa"/>
          </w:tcPr>
          <w:p w14:paraId="4B7C4EA7" w14:textId="77777777" w:rsidR="005F1CF8" w:rsidRPr="005F1CF8" w:rsidRDefault="005F1CF8" w:rsidP="005F1CF8">
            <w:pPr>
              <w:spacing w:before="0" w:beforeAutospacing="0" w:line="240" w:lineRule="auto"/>
              <w:ind w:firstLine="0"/>
              <w:jc w:val="center"/>
              <w:rPr>
                <w:rFonts w:cstheme="majorBidi"/>
                <w:kern w:val="2"/>
                <w:sz w:val="22"/>
              </w:rPr>
            </w:pPr>
            <w:r w:rsidRPr="005F1CF8">
              <w:rPr>
                <w:rFonts w:cstheme="majorBidi"/>
                <w:kern w:val="2"/>
                <w:sz w:val="22"/>
              </w:rPr>
              <w:t>0.108</w:t>
            </w:r>
          </w:p>
        </w:tc>
        <w:tc>
          <w:tcPr>
            <w:tcW w:w="3502" w:type="dxa"/>
          </w:tcPr>
          <w:p w14:paraId="7AE22B57" w14:textId="77777777" w:rsidR="005F1CF8" w:rsidRPr="005F1CF8" w:rsidRDefault="005F1CF8" w:rsidP="005F1CF8">
            <w:pPr>
              <w:spacing w:before="0" w:beforeAutospacing="0" w:line="240" w:lineRule="auto"/>
              <w:ind w:firstLine="0"/>
              <w:jc w:val="center"/>
              <w:rPr>
                <w:rFonts w:cstheme="majorBidi"/>
                <w:kern w:val="2"/>
                <w:sz w:val="22"/>
              </w:rPr>
            </w:pPr>
            <w:r w:rsidRPr="005F1CF8">
              <w:rPr>
                <w:rFonts w:cstheme="majorBidi"/>
                <w:kern w:val="2"/>
                <w:sz w:val="22"/>
              </w:rPr>
              <w:t>0.588</w:t>
            </w:r>
          </w:p>
        </w:tc>
      </w:tr>
      <w:tr w:rsidR="005F1CF8" w:rsidRPr="005F1CF8" w14:paraId="10EC0DCD" w14:textId="77777777" w:rsidTr="005F1CF8">
        <w:trPr>
          <w:cantSplit/>
          <w:trHeight w:val="405"/>
          <w:jc w:val="center"/>
        </w:trPr>
        <w:tc>
          <w:tcPr>
            <w:tcW w:w="8742" w:type="dxa"/>
            <w:gridSpan w:val="5"/>
            <w:shd w:val="clear" w:color="auto" w:fill="FFFFFF"/>
          </w:tcPr>
          <w:p w14:paraId="59B1B14F" w14:textId="77777777" w:rsidR="005F1CF8" w:rsidRPr="005F1CF8" w:rsidRDefault="005F1CF8" w:rsidP="005F1CF8">
            <w:pPr>
              <w:spacing w:before="0" w:beforeAutospacing="0" w:line="240" w:lineRule="auto"/>
              <w:rPr>
                <w:rFonts w:cstheme="majorBidi"/>
                <w:b/>
                <w:bCs/>
                <w:kern w:val="2"/>
                <w:sz w:val="22"/>
              </w:rPr>
            </w:pPr>
            <w:r w:rsidRPr="005F1CF8">
              <w:rPr>
                <w:rFonts w:cstheme="majorBidi"/>
                <w:b/>
                <w:bCs/>
                <w:kern w:val="2"/>
                <w:sz w:val="22"/>
              </w:rPr>
              <w:t>a. Prédicteurs : (Constante), La préservation des droits des actionnaires</w:t>
            </w:r>
          </w:p>
        </w:tc>
      </w:tr>
    </w:tbl>
    <w:p w14:paraId="4ADA2CBE"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8"/>
        <w:gridCol w:w="1942"/>
        <w:gridCol w:w="907"/>
        <w:gridCol w:w="1573"/>
        <w:gridCol w:w="1171"/>
        <w:gridCol w:w="1173"/>
      </w:tblGrid>
      <w:tr w:rsidR="005F1CF8" w:rsidRPr="00E2052F" w14:paraId="454AFB4C" w14:textId="77777777" w:rsidTr="00456526">
        <w:trPr>
          <w:cantSplit/>
          <w:trHeight w:val="283"/>
          <w:jc w:val="center"/>
        </w:trPr>
        <w:tc>
          <w:tcPr>
            <w:tcW w:w="9072" w:type="dxa"/>
            <w:gridSpan w:val="7"/>
            <w:shd w:val="clear" w:color="auto" w:fill="B4C6E7" w:themeFill="accent1" w:themeFillTint="66"/>
            <w:vAlign w:val="center"/>
          </w:tcPr>
          <w:p w14:paraId="2EF3428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398EB8C6" w14:textId="77777777" w:rsidTr="00456526">
        <w:trPr>
          <w:cantSplit/>
          <w:trHeight w:val="621"/>
          <w:jc w:val="center"/>
        </w:trPr>
        <w:tc>
          <w:tcPr>
            <w:tcW w:w="2306" w:type="dxa"/>
            <w:gridSpan w:val="2"/>
            <w:shd w:val="clear" w:color="auto" w:fill="D9E2F3" w:themeFill="accent1" w:themeFillTint="33"/>
            <w:vAlign w:val="bottom"/>
          </w:tcPr>
          <w:p w14:paraId="6897616F"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lastRenderedPageBreak/>
              <w:t>Modèle</w:t>
            </w:r>
          </w:p>
        </w:tc>
        <w:tc>
          <w:tcPr>
            <w:tcW w:w="1942" w:type="dxa"/>
            <w:shd w:val="clear" w:color="auto" w:fill="D9E2F3" w:themeFill="accent1" w:themeFillTint="33"/>
            <w:vAlign w:val="bottom"/>
          </w:tcPr>
          <w:p w14:paraId="1281BC7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7" w:type="dxa"/>
            <w:shd w:val="clear" w:color="auto" w:fill="D9E2F3" w:themeFill="accent1" w:themeFillTint="33"/>
            <w:vAlign w:val="bottom"/>
          </w:tcPr>
          <w:p w14:paraId="1627CC3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73" w:type="dxa"/>
            <w:shd w:val="clear" w:color="auto" w:fill="D9E2F3" w:themeFill="accent1" w:themeFillTint="33"/>
            <w:vAlign w:val="bottom"/>
          </w:tcPr>
          <w:p w14:paraId="0FD3240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1" w:type="dxa"/>
            <w:shd w:val="clear" w:color="auto" w:fill="D9E2F3" w:themeFill="accent1" w:themeFillTint="33"/>
            <w:vAlign w:val="bottom"/>
          </w:tcPr>
          <w:p w14:paraId="321A725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73" w:type="dxa"/>
            <w:shd w:val="clear" w:color="auto" w:fill="D9E2F3" w:themeFill="accent1" w:themeFillTint="33"/>
            <w:vAlign w:val="bottom"/>
          </w:tcPr>
          <w:p w14:paraId="3BA1643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74F8F675" w14:textId="77777777" w:rsidTr="00456526">
        <w:trPr>
          <w:cantSplit/>
          <w:trHeight w:val="316"/>
          <w:jc w:val="center"/>
        </w:trPr>
        <w:tc>
          <w:tcPr>
            <w:tcW w:w="838" w:type="dxa"/>
            <w:vMerge w:val="restart"/>
            <w:shd w:val="clear" w:color="auto" w:fill="D9E2F3" w:themeFill="accent1" w:themeFillTint="33"/>
          </w:tcPr>
          <w:p w14:paraId="33534425" w14:textId="77777777" w:rsidR="005F1CF8" w:rsidRPr="00E2052F" w:rsidRDefault="005F1CF8" w:rsidP="00456526">
            <w:pPr>
              <w:spacing w:before="0" w:beforeAutospacing="0" w:line="240" w:lineRule="auto"/>
              <w:ind w:firstLine="0"/>
              <w:jc w:val="center"/>
              <w:rPr>
                <w:rFonts w:cstheme="majorBidi"/>
                <w:b/>
                <w:bCs/>
                <w:kern w:val="2"/>
                <w:sz w:val="22"/>
              </w:rPr>
            </w:pPr>
          </w:p>
          <w:p w14:paraId="1C6A0C7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8" w:type="dxa"/>
            <w:shd w:val="clear" w:color="auto" w:fill="D9E2F3" w:themeFill="accent1" w:themeFillTint="33"/>
          </w:tcPr>
          <w:p w14:paraId="2B6D26F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2" w:type="dxa"/>
          </w:tcPr>
          <w:p w14:paraId="157BD31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12.845</w:t>
            </w:r>
          </w:p>
        </w:tc>
        <w:tc>
          <w:tcPr>
            <w:tcW w:w="907" w:type="dxa"/>
          </w:tcPr>
          <w:p w14:paraId="4A5E675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573" w:type="dxa"/>
          </w:tcPr>
          <w:p w14:paraId="22AF0E6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12.845</w:t>
            </w:r>
          </w:p>
        </w:tc>
        <w:tc>
          <w:tcPr>
            <w:tcW w:w="1171" w:type="dxa"/>
          </w:tcPr>
          <w:p w14:paraId="30C78BA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37.209</w:t>
            </w:r>
          </w:p>
        </w:tc>
        <w:tc>
          <w:tcPr>
            <w:tcW w:w="1173" w:type="dxa"/>
          </w:tcPr>
          <w:p w14:paraId="7245A5D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2970E6D8" w14:textId="77777777" w:rsidTr="00456526">
        <w:trPr>
          <w:cantSplit/>
          <w:trHeight w:val="316"/>
          <w:jc w:val="center"/>
        </w:trPr>
        <w:tc>
          <w:tcPr>
            <w:tcW w:w="838" w:type="dxa"/>
            <w:vMerge/>
            <w:shd w:val="clear" w:color="auto" w:fill="D9E2F3" w:themeFill="accent1" w:themeFillTint="33"/>
          </w:tcPr>
          <w:p w14:paraId="0E13EB5B" w14:textId="77777777" w:rsidR="005F1CF8" w:rsidRPr="00E2052F" w:rsidRDefault="005F1CF8" w:rsidP="00456526">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2D38B77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2" w:type="dxa"/>
          </w:tcPr>
          <w:p w14:paraId="73E3D71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102.876</w:t>
            </w:r>
          </w:p>
        </w:tc>
        <w:tc>
          <w:tcPr>
            <w:tcW w:w="907" w:type="dxa"/>
          </w:tcPr>
          <w:p w14:paraId="06BEFB9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3" w:type="dxa"/>
          </w:tcPr>
          <w:p w14:paraId="67C6F49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0.345</w:t>
            </w:r>
          </w:p>
        </w:tc>
        <w:tc>
          <w:tcPr>
            <w:tcW w:w="1171" w:type="dxa"/>
            <w:vAlign w:val="center"/>
          </w:tcPr>
          <w:p w14:paraId="56A36202" w14:textId="77777777" w:rsidR="005F1CF8" w:rsidRPr="00E2052F" w:rsidRDefault="005F1CF8" w:rsidP="00456526">
            <w:pPr>
              <w:spacing w:before="0" w:beforeAutospacing="0" w:line="240" w:lineRule="auto"/>
              <w:jc w:val="center"/>
              <w:rPr>
                <w:rFonts w:cstheme="majorBidi"/>
                <w:kern w:val="2"/>
                <w:sz w:val="22"/>
              </w:rPr>
            </w:pPr>
          </w:p>
        </w:tc>
        <w:tc>
          <w:tcPr>
            <w:tcW w:w="1173" w:type="dxa"/>
            <w:vAlign w:val="center"/>
          </w:tcPr>
          <w:p w14:paraId="54F3D64B"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4DAF9797" w14:textId="77777777" w:rsidTr="00456526">
        <w:trPr>
          <w:cantSplit/>
          <w:trHeight w:val="316"/>
          <w:jc w:val="center"/>
        </w:trPr>
        <w:tc>
          <w:tcPr>
            <w:tcW w:w="838" w:type="dxa"/>
            <w:vMerge/>
            <w:shd w:val="clear" w:color="auto" w:fill="D9E2F3" w:themeFill="accent1" w:themeFillTint="33"/>
          </w:tcPr>
          <w:p w14:paraId="6B54C003" w14:textId="77777777" w:rsidR="005F1CF8" w:rsidRPr="00E2052F" w:rsidRDefault="005F1CF8" w:rsidP="00456526">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2D57213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2" w:type="dxa"/>
          </w:tcPr>
          <w:p w14:paraId="02A2D53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7" w:type="dxa"/>
          </w:tcPr>
          <w:p w14:paraId="3BDB41D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3" w:type="dxa"/>
            <w:vAlign w:val="center"/>
          </w:tcPr>
          <w:p w14:paraId="657A26FB" w14:textId="77777777" w:rsidR="005F1CF8" w:rsidRPr="00E2052F" w:rsidRDefault="005F1CF8" w:rsidP="00456526">
            <w:pPr>
              <w:spacing w:before="0" w:beforeAutospacing="0" w:line="240" w:lineRule="auto"/>
              <w:jc w:val="center"/>
              <w:rPr>
                <w:rFonts w:cstheme="majorBidi"/>
                <w:kern w:val="2"/>
                <w:sz w:val="22"/>
              </w:rPr>
            </w:pPr>
          </w:p>
        </w:tc>
        <w:tc>
          <w:tcPr>
            <w:tcW w:w="1171" w:type="dxa"/>
            <w:vAlign w:val="center"/>
          </w:tcPr>
          <w:p w14:paraId="1A365369" w14:textId="77777777" w:rsidR="005F1CF8" w:rsidRPr="00E2052F" w:rsidRDefault="005F1CF8" w:rsidP="00456526">
            <w:pPr>
              <w:spacing w:before="0" w:beforeAutospacing="0" w:line="240" w:lineRule="auto"/>
              <w:jc w:val="center"/>
              <w:rPr>
                <w:rFonts w:cstheme="majorBidi"/>
                <w:kern w:val="2"/>
                <w:sz w:val="22"/>
              </w:rPr>
            </w:pPr>
          </w:p>
        </w:tc>
        <w:tc>
          <w:tcPr>
            <w:tcW w:w="1173" w:type="dxa"/>
            <w:vAlign w:val="center"/>
          </w:tcPr>
          <w:p w14:paraId="312AB006"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08C99972" w14:textId="77777777" w:rsidTr="00456526">
        <w:trPr>
          <w:cantSplit/>
          <w:trHeight w:val="303"/>
          <w:jc w:val="center"/>
        </w:trPr>
        <w:tc>
          <w:tcPr>
            <w:tcW w:w="9072" w:type="dxa"/>
            <w:gridSpan w:val="7"/>
            <w:shd w:val="clear" w:color="auto" w:fill="FFFFFF"/>
          </w:tcPr>
          <w:p w14:paraId="64576BA6"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5F1CF8" w:rsidRPr="00E2052F" w14:paraId="46E2C37D" w14:textId="77777777" w:rsidTr="00456526">
        <w:trPr>
          <w:cantSplit/>
          <w:trHeight w:val="53"/>
          <w:jc w:val="center"/>
        </w:trPr>
        <w:tc>
          <w:tcPr>
            <w:tcW w:w="9072" w:type="dxa"/>
            <w:gridSpan w:val="7"/>
            <w:shd w:val="clear" w:color="auto" w:fill="FFFFFF"/>
          </w:tcPr>
          <w:p w14:paraId="39107199"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b. Prédicteurs : (Constante), La préservation des droits des actionnaires</w:t>
            </w:r>
          </w:p>
        </w:tc>
      </w:tr>
    </w:tbl>
    <w:p w14:paraId="04726223"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6"/>
        <w:gridCol w:w="1567"/>
        <w:gridCol w:w="851"/>
        <w:gridCol w:w="1984"/>
        <w:gridCol w:w="2410"/>
        <w:gridCol w:w="851"/>
        <w:gridCol w:w="713"/>
      </w:tblGrid>
      <w:tr w:rsidR="005F1CF8" w:rsidRPr="00E2052F" w14:paraId="2A34F3E3" w14:textId="77777777" w:rsidTr="00456526">
        <w:trPr>
          <w:cantSplit/>
          <w:jc w:val="center"/>
        </w:trPr>
        <w:tc>
          <w:tcPr>
            <w:tcW w:w="9072" w:type="dxa"/>
            <w:gridSpan w:val="7"/>
            <w:shd w:val="clear" w:color="auto" w:fill="B4C6E7" w:themeFill="accent1" w:themeFillTint="66"/>
            <w:vAlign w:val="center"/>
          </w:tcPr>
          <w:p w14:paraId="332B966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3CE013DC" w14:textId="77777777" w:rsidTr="00456526">
        <w:trPr>
          <w:cantSplit/>
          <w:jc w:val="center"/>
        </w:trPr>
        <w:tc>
          <w:tcPr>
            <w:tcW w:w="2263" w:type="dxa"/>
            <w:gridSpan w:val="2"/>
            <w:vMerge w:val="restart"/>
            <w:shd w:val="clear" w:color="auto" w:fill="D9E2F3" w:themeFill="accent1" w:themeFillTint="33"/>
            <w:vAlign w:val="bottom"/>
          </w:tcPr>
          <w:p w14:paraId="4C7D0D7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shd w:val="clear" w:color="auto" w:fill="D9E2F3" w:themeFill="accent1" w:themeFillTint="33"/>
            <w:vAlign w:val="bottom"/>
          </w:tcPr>
          <w:p w14:paraId="747ADC21"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Coefficients non standardisés</w:t>
            </w:r>
          </w:p>
        </w:tc>
        <w:tc>
          <w:tcPr>
            <w:tcW w:w="2410" w:type="dxa"/>
            <w:shd w:val="clear" w:color="auto" w:fill="D9E2F3" w:themeFill="accent1" w:themeFillTint="33"/>
            <w:vAlign w:val="bottom"/>
          </w:tcPr>
          <w:p w14:paraId="285BE3E3"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Coefficients standardisés</w:t>
            </w:r>
          </w:p>
        </w:tc>
        <w:tc>
          <w:tcPr>
            <w:tcW w:w="851" w:type="dxa"/>
            <w:vMerge w:val="restart"/>
            <w:shd w:val="clear" w:color="auto" w:fill="D9E2F3" w:themeFill="accent1" w:themeFillTint="33"/>
            <w:vAlign w:val="bottom"/>
          </w:tcPr>
          <w:p w14:paraId="684245B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713" w:type="dxa"/>
            <w:vMerge w:val="restart"/>
            <w:shd w:val="clear" w:color="auto" w:fill="D9E2F3" w:themeFill="accent1" w:themeFillTint="33"/>
            <w:vAlign w:val="bottom"/>
          </w:tcPr>
          <w:p w14:paraId="51797DE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600D003E" w14:textId="77777777" w:rsidTr="00456526">
        <w:trPr>
          <w:cantSplit/>
          <w:jc w:val="center"/>
        </w:trPr>
        <w:tc>
          <w:tcPr>
            <w:tcW w:w="2263" w:type="dxa"/>
            <w:gridSpan w:val="2"/>
            <w:vMerge/>
            <w:shd w:val="clear" w:color="auto" w:fill="D9E2F3" w:themeFill="accent1" w:themeFillTint="33"/>
            <w:vAlign w:val="bottom"/>
          </w:tcPr>
          <w:p w14:paraId="7B66ABF2" w14:textId="77777777" w:rsidR="005F1CF8" w:rsidRPr="00E2052F" w:rsidRDefault="005F1CF8" w:rsidP="00456526">
            <w:pPr>
              <w:spacing w:before="0" w:beforeAutospacing="0" w:line="240" w:lineRule="auto"/>
              <w:jc w:val="center"/>
              <w:rPr>
                <w:rFonts w:cstheme="majorBidi"/>
                <w:b/>
                <w:bCs/>
                <w:kern w:val="2"/>
                <w:sz w:val="22"/>
              </w:rPr>
            </w:pPr>
          </w:p>
        </w:tc>
        <w:tc>
          <w:tcPr>
            <w:tcW w:w="851" w:type="dxa"/>
            <w:shd w:val="clear" w:color="auto" w:fill="D9E2F3" w:themeFill="accent1" w:themeFillTint="33"/>
            <w:vAlign w:val="bottom"/>
          </w:tcPr>
          <w:p w14:paraId="2CDF58A1"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B</w:t>
            </w:r>
          </w:p>
        </w:tc>
        <w:tc>
          <w:tcPr>
            <w:tcW w:w="1984" w:type="dxa"/>
            <w:shd w:val="clear" w:color="auto" w:fill="D9E2F3" w:themeFill="accent1" w:themeFillTint="33"/>
            <w:vAlign w:val="bottom"/>
          </w:tcPr>
          <w:p w14:paraId="0F57D9C1"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Erreur standard</w:t>
            </w:r>
          </w:p>
        </w:tc>
        <w:tc>
          <w:tcPr>
            <w:tcW w:w="2410" w:type="dxa"/>
            <w:shd w:val="clear" w:color="auto" w:fill="D9E2F3" w:themeFill="accent1" w:themeFillTint="33"/>
            <w:vAlign w:val="bottom"/>
          </w:tcPr>
          <w:p w14:paraId="38497C9B"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Bêta</w:t>
            </w:r>
          </w:p>
        </w:tc>
        <w:tc>
          <w:tcPr>
            <w:tcW w:w="851" w:type="dxa"/>
            <w:vMerge/>
            <w:shd w:val="clear" w:color="auto" w:fill="D9E2F3" w:themeFill="accent1" w:themeFillTint="33"/>
            <w:vAlign w:val="bottom"/>
          </w:tcPr>
          <w:p w14:paraId="763E28B0" w14:textId="77777777" w:rsidR="005F1CF8" w:rsidRPr="00E2052F" w:rsidRDefault="005F1CF8" w:rsidP="00456526">
            <w:pPr>
              <w:spacing w:before="0" w:beforeAutospacing="0" w:line="240" w:lineRule="auto"/>
              <w:jc w:val="center"/>
              <w:rPr>
                <w:rFonts w:cstheme="majorBidi"/>
                <w:b/>
                <w:bCs/>
                <w:kern w:val="2"/>
                <w:sz w:val="22"/>
              </w:rPr>
            </w:pPr>
          </w:p>
        </w:tc>
        <w:tc>
          <w:tcPr>
            <w:tcW w:w="713" w:type="dxa"/>
            <w:vMerge/>
            <w:shd w:val="clear" w:color="auto" w:fill="D9E2F3" w:themeFill="accent1" w:themeFillTint="33"/>
            <w:vAlign w:val="bottom"/>
          </w:tcPr>
          <w:p w14:paraId="49ABD4BC"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284DB15F" w14:textId="77777777" w:rsidTr="00456526">
        <w:trPr>
          <w:cantSplit/>
          <w:jc w:val="center"/>
        </w:trPr>
        <w:tc>
          <w:tcPr>
            <w:tcW w:w="696" w:type="dxa"/>
            <w:vMerge w:val="restart"/>
            <w:shd w:val="clear" w:color="auto" w:fill="D9E2F3" w:themeFill="accent1" w:themeFillTint="33"/>
          </w:tcPr>
          <w:p w14:paraId="6DCF4375" w14:textId="77777777" w:rsidR="005F1CF8" w:rsidRPr="00E2052F" w:rsidRDefault="005F1CF8" w:rsidP="00456526">
            <w:pPr>
              <w:spacing w:before="0" w:beforeAutospacing="0" w:line="240" w:lineRule="auto"/>
              <w:rPr>
                <w:rFonts w:cstheme="majorBidi"/>
                <w:b/>
                <w:bCs/>
                <w:kern w:val="2"/>
                <w:sz w:val="22"/>
              </w:rPr>
            </w:pPr>
          </w:p>
          <w:p w14:paraId="435BBFC9"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1</w:t>
            </w:r>
          </w:p>
        </w:tc>
        <w:tc>
          <w:tcPr>
            <w:tcW w:w="1567" w:type="dxa"/>
            <w:shd w:val="clear" w:color="auto" w:fill="D9E2F3" w:themeFill="accent1" w:themeFillTint="33"/>
          </w:tcPr>
          <w:p w14:paraId="31D96B9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851" w:type="dxa"/>
          </w:tcPr>
          <w:p w14:paraId="7D017D6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2.700</w:t>
            </w:r>
          </w:p>
        </w:tc>
        <w:tc>
          <w:tcPr>
            <w:tcW w:w="1984" w:type="dxa"/>
          </w:tcPr>
          <w:p w14:paraId="3D35F5A6"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0.215</w:t>
            </w:r>
          </w:p>
        </w:tc>
        <w:tc>
          <w:tcPr>
            <w:tcW w:w="2410" w:type="dxa"/>
            <w:vAlign w:val="center"/>
          </w:tcPr>
          <w:p w14:paraId="5A1DB18D" w14:textId="77777777" w:rsidR="005F1CF8" w:rsidRPr="00E2052F" w:rsidRDefault="005F1CF8" w:rsidP="00456526">
            <w:pPr>
              <w:spacing w:before="0" w:beforeAutospacing="0" w:line="240" w:lineRule="auto"/>
              <w:jc w:val="center"/>
              <w:rPr>
                <w:rFonts w:cstheme="majorBidi"/>
                <w:kern w:val="2"/>
                <w:sz w:val="22"/>
              </w:rPr>
            </w:pPr>
          </w:p>
        </w:tc>
        <w:tc>
          <w:tcPr>
            <w:tcW w:w="851" w:type="dxa"/>
          </w:tcPr>
          <w:p w14:paraId="40315CA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12.576</w:t>
            </w:r>
          </w:p>
        </w:tc>
        <w:tc>
          <w:tcPr>
            <w:tcW w:w="713" w:type="dxa"/>
          </w:tcPr>
          <w:p w14:paraId="40BCDBE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4DE9A616" w14:textId="77777777" w:rsidTr="00456526">
        <w:trPr>
          <w:cantSplit/>
          <w:jc w:val="center"/>
        </w:trPr>
        <w:tc>
          <w:tcPr>
            <w:tcW w:w="696" w:type="dxa"/>
            <w:vMerge/>
            <w:shd w:val="clear" w:color="auto" w:fill="D9E2F3" w:themeFill="accent1" w:themeFillTint="33"/>
          </w:tcPr>
          <w:p w14:paraId="479A4BAC" w14:textId="77777777" w:rsidR="005F1CF8" w:rsidRPr="00E2052F" w:rsidRDefault="005F1CF8" w:rsidP="00456526">
            <w:pPr>
              <w:spacing w:before="0" w:beforeAutospacing="0" w:line="240" w:lineRule="auto"/>
              <w:jc w:val="center"/>
              <w:rPr>
                <w:rFonts w:cstheme="majorBidi"/>
                <w:b/>
                <w:bCs/>
                <w:kern w:val="2"/>
                <w:sz w:val="22"/>
              </w:rPr>
            </w:pPr>
          </w:p>
        </w:tc>
        <w:tc>
          <w:tcPr>
            <w:tcW w:w="1567" w:type="dxa"/>
            <w:shd w:val="clear" w:color="auto" w:fill="D9E2F3" w:themeFill="accent1" w:themeFillTint="33"/>
          </w:tcPr>
          <w:p w14:paraId="0555EE3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La préservation des droits des actionnaires</w:t>
            </w:r>
          </w:p>
        </w:tc>
        <w:tc>
          <w:tcPr>
            <w:tcW w:w="851" w:type="dxa"/>
          </w:tcPr>
          <w:p w14:paraId="4CA14B16"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0.312</w:t>
            </w:r>
          </w:p>
        </w:tc>
        <w:tc>
          <w:tcPr>
            <w:tcW w:w="1984" w:type="dxa"/>
          </w:tcPr>
          <w:p w14:paraId="62CA7C4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0.051</w:t>
            </w:r>
          </w:p>
        </w:tc>
        <w:tc>
          <w:tcPr>
            <w:tcW w:w="2410" w:type="dxa"/>
          </w:tcPr>
          <w:p w14:paraId="0D0EC89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0.333</w:t>
            </w:r>
          </w:p>
        </w:tc>
        <w:tc>
          <w:tcPr>
            <w:tcW w:w="851" w:type="dxa"/>
          </w:tcPr>
          <w:p w14:paraId="0B3170E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6.100</w:t>
            </w:r>
          </w:p>
        </w:tc>
        <w:tc>
          <w:tcPr>
            <w:tcW w:w="713" w:type="dxa"/>
          </w:tcPr>
          <w:p w14:paraId="02C4AB3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5E8BF865" w14:textId="77777777" w:rsidTr="00456526">
        <w:trPr>
          <w:cantSplit/>
          <w:jc w:val="center"/>
        </w:trPr>
        <w:tc>
          <w:tcPr>
            <w:tcW w:w="9072" w:type="dxa"/>
            <w:gridSpan w:val="7"/>
            <w:shd w:val="clear" w:color="auto" w:fill="FFFFFF"/>
          </w:tcPr>
          <w:p w14:paraId="179587EB"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3AC5131C"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Layout w:type="fixed"/>
        <w:tblCellMar>
          <w:left w:w="0" w:type="dxa"/>
          <w:right w:w="0" w:type="dxa"/>
        </w:tblCellMar>
        <w:tblLook w:val="0000" w:firstRow="0" w:lastRow="0" w:firstColumn="0" w:lastColumn="0" w:noHBand="0" w:noVBand="0"/>
      </w:tblPr>
      <w:tblGrid>
        <w:gridCol w:w="1390"/>
        <w:gridCol w:w="1583"/>
        <w:gridCol w:w="1216"/>
        <w:gridCol w:w="1736"/>
        <w:gridCol w:w="3147"/>
      </w:tblGrid>
      <w:tr w:rsidR="005F1CF8" w:rsidRPr="00E2052F" w14:paraId="71DE5234" w14:textId="77777777" w:rsidTr="005F1CF8">
        <w:trPr>
          <w:cantSplit/>
          <w:trHeight w:val="696"/>
          <w:jc w:val="center"/>
        </w:trPr>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357AD98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5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4F837B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1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17EEE6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D8CCDB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DBCDFB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5F1CF8" w:rsidRPr="00E2052F" w14:paraId="07C6A40F" w14:textId="77777777" w:rsidTr="005F1CF8">
        <w:trPr>
          <w:cantSplit/>
          <w:trHeight w:val="441"/>
          <w:jc w:val="center"/>
        </w:trPr>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048AF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51" w:type="dxa"/>
            <w:tcBorders>
              <w:top w:val="single" w:sz="4" w:space="0" w:color="auto"/>
              <w:left w:val="single" w:sz="4" w:space="0" w:color="auto"/>
              <w:bottom w:val="single" w:sz="4" w:space="0" w:color="auto"/>
              <w:right w:val="single" w:sz="4" w:space="0" w:color="auto"/>
            </w:tcBorders>
          </w:tcPr>
          <w:p w14:paraId="3E547CD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0.407</w:t>
            </w:r>
            <w:r w:rsidRPr="00E2052F">
              <w:rPr>
                <w:rFonts w:cstheme="majorBidi"/>
                <w:kern w:val="2"/>
                <w:sz w:val="22"/>
                <w:vertAlign w:val="superscript"/>
              </w:rPr>
              <w:t>a</w:t>
            </w:r>
          </w:p>
        </w:tc>
        <w:tc>
          <w:tcPr>
            <w:tcW w:w="1192" w:type="dxa"/>
            <w:tcBorders>
              <w:top w:val="single" w:sz="4" w:space="0" w:color="auto"/>
              <w:left w:val="single" w:sz="4" w:space="0" w:color="auto"/>
              <w:bottom w:val="single" w:sz="4" w:space="0" w:color="auto"/>
              <w:right w:val="single" w:sz="4" w:space="0" w:color="auto"/>
            </w:tcBorders>
          </w:tcPr>
          <w:p w14:paraId="4A467D8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0.166</w:t>
            </w:r>
          </w:p>
        </w:tc>
        <w:tc>
          <w:tcPr>
            <w:tcW w:w="1701" w:type="dxa"/>
            <w:tcBorders>
              <w:top w:val="single" w:sz="4" w:space="0" w:color="auto"/>
              <w:left w:val="single" w:sz="4" w:space="0" w:color="auto"/>
              <w:bottom w:val="single" w:sz="4" w:space="0" w:color="auto"/>
              <w:right w:val="single" w:sz="4" w:space="0" w:color="auto"/>
            </w:tcBorders>
          </w:tcPr>
          <w:p w14:paraId="0D4B799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0.163</w:t>
            </w:r>
          </w:p>
        </w:tc>
        <w:tc>
          <w:tcPr>
            <w:tcW w:w="3084" w:type="dxa"/>
            <w:tcBorders>
              <w:top w:val="single" w:sz="4" w:space="0" w:color="auto"/>
              <w:left w:val="single" w:sz="4" w:space="0" w:color="auto"/>
              <w:bottom w:val="single" w:sz="4" w:space="0" w:color="auto"/>
              <w:right w:val="single" w:sz="4" w:space="0" w:color="auto"/>
            </w:tcBorders>
          </w:tcPr>
          <w:p w14:paraId="2383865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0.569</w:t>
            </w:r>
          </w:p>
        </w:tc>
      </w:tr>
      <w:tr w:rsidR="005F1CF8" w:rsidRPr="00E2052F" w14:paraId="4874E2A9" w14:textId="77777777" w:rsidTr="005F1CF8">
        <w:trPr>
          <w:cantSplit/>
          <w:trHeight w:val="405"/>
          <w:jc w:val="center"/>
        </w:trPr>
        <w:tc>
          <w:tcPr>
            <w:tcW w:w="8891" w:type="dxa"/>
            <w:gridSpan w:val="5"/>
            <w:tcBorders>
              <w:top w:val="single" w:sz="4" w:space="0" w:color="auto"/>
              <w:left w:val="single" w:sz="4" w:space="0" w:color="auto"/>
              <w:bottom w:val="single" w:sz="4" w:space="0" w:color="auto"/>
              <w:right w:val="single" w:sz="4" w:space="0" w:color="auto"/>
            </w:tcBorders>
            <w:shd w:val="clear" w:color="auto" w:fill="FFFFFF"/>
          </w:tcPr>
          <w:p w14:paraId="6A909A1B"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Prédicteurs : (Constante), Le traitement équitable des actionnaires</w:t>
            </w:r>
          </w:p>
        </w:tc>
      </w:tr>
    </w:tbl>
    <w:p w14:paraId="472859F7"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
        <w:gridCol w:w="1468"/>
        <w:gridCol w:w="1770"/>
        <w:gridCol w:w="1079"/>
        <w:gridCol w:w="1573"/>
        <w:gridCol w:w="1171"/>
        <w:gridCol w:w="1174"/>
      </w:tblGrid>
      <w:tr w:rsidR="005F1CF8" w:rsidRPr="00E2052F" w14:paraId="73932FA5" w14:textId="77777777" w:rsidTr="00456526">
        <w:trPr>
          <w:cantSplit/>
          <w:trHeight w:val="301"/>
          <w:jc w:val="center"/>
        </w:trPr>
        <w:tc>
          <w:tcPr>
            <w:tcW w:w="9141" w:type="dxa"/>
            <w:gridSpan w:val="7"/>
            <w:shd w:val="clear" w:color="auto" w:fill="B4C6E7" w:themeFill="accent1" w:themeFillTint="66"/>
            <w:vAlign w:val="center"/>
          </w:tcPr>
          <w:p w14:paraId="72103A2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7E6A4640" w14:textId="77777777" w:rsidTr="00456526">
        <w:trPr>
          <w:cantSplit/>
          <w:trHeight w:val="614"/>
          <w:jc w:val="center"/>
        </w:trPr>
        <w:tc>
          <w:tcPr>
            <w:tcW w:w="2322" w:type="dxa"/>
            <w:gridSpan w:val="2"/>
            <w:shd w:val="clear" w:color="auto" w:fill="D9E2F3" w:themeFill="accent1" w:themeFillTint="33"/>
            <w:vAlign w:val="bottom"/>
          </w:tcPr>
          <w:p w14:paraId="7097D28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784" w:type="dxa"/>
            <w:shd w:val="clear" w:color="auto" w:fill="D9E2F3" w:themeFill="accent1" w:themeFillTint="33"/>
            <w:vAlign w:val="bottom"/>
          </w:tcPr>
          <w:p w14:paraId="0B74CCE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1087" w:type="dxa"/>
            <w:shd w:val="clear" w:color="auto" w:fill="D9E2F3" w:themeFill="accent1" w:themeFillTint="33"/>
            <w:vAlign w:val="bottom"/>
          </w:tcPr>
          <w:p w14:paraId="1AE4980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85" w:type="dxa"/>
            <w:shd w:val="clear" w:color="auto" w:fill="D9E2F3" w:themeFill="accent1" w:themeFillTint="33"/>
            <w:vAlign w:val="bottom"/>
          </w:tcPr>
          <w:p w14:paraId="4EA7FDAF"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80" w:type="dxa"/>
            <w:shd w:val="clear" w:color="auto" w:fill="D9E2F3" w:themeFill="accent1" w:themeFillTint="33"/>
            <w:vAlign w:val="bottom"/>
          </w:tcPr>
          <w:p w14:paraId="1DBBF99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83" w:type="dxa"/>
            <w:shd w:val="clear" w:color="auto" w:fill="D9E2F3" w:themeFill="accent1" w:themeFillTint="33"/>
            <w:vAlign w:val="bottom"/>
          </w:tcPr>
          <w:p w14:paraId="4F62051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48FC50E5" w14:textId="77777777" w:rsidTr="00456526">
        <w:trPr>
          <w:cantSplit/>
          <w:trHeight w:val="313"/>
          <w:jc w:val="center"/>
        </w:trPr>
        <w:tc>
          <w:tcPr>
            <w:tcW w:w="843" w:type="dxa"/>
            <w:vMerge w:val="restart"/>
            <w:shd w:val="clear" w:color="auto" w:fill="D9E2F3" w:themeFill="accent1" w:themeFillTint="33"/>
          </w:tcPr>
          <w:p w14:paraId="4E1611F7" w14:textId="77777777" w:rsidR="005F1CF8" w:rsidRPr="00E2052F" w:rsidRDefault="005F1CF8" w:rsidP="00456526">
            <w:pPr>
              <w:spacing w:before="0" w:beforeAutospacing="0" w:line="240" w:lineRule="auto"/>
              <w:ind w:firstLine="0"/>
              <w:jc w:val="center"/>
              <w:rPr>
                <w:rFonts w:cstheme="majorBidi"/>
                <w:b/>
                <w:bCs/>
                <w:kern w:val="2"/>
                <w:sz w:val="22"/>
              </w:rPr>
            </w:pPr>
          </w:p>
          <w:p w14:paraId="3FBC0F5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79" w:type="dxa"/>
            <w:shd w:val="clear" w:color="auto" w:fill="D9E2F3" w:themeFill="accent1" w:themeFillTint="33"/>
          </w:tcPr>
          <w:p w14:paraId="2CA64C7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784" w:type="dxa"/>
          </w:tcPr>
          <w:p w14:paraId="02CF1C8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19.169</w:t>
            </w:r>
          </w:p>
        </w:tc>
        <w:tc>
          <w:tcPr>
            <w:tcW w:w="1087" w:type="dxa"/>
          </w:tcPr>
          <w:p w14:paraId="5E858D6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585" w:type="dxa"/>
          </w:tcPr>
          <w:p w14:paraId="448F858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19.169</w:t>
            </w:r>
          </w:p>
        </w:tc>
        <w:tc>
          <w:tcPr>
            <w:tcW w:w="1180" w:type="dxa"/>
          </w:tcPr>
          <w:p w14:paraId="5101C72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59.165</w:t>
            </w:r>
          </w:p>
        </w:tc>
        <w:tc>
          <w:tcPr>
            <w:tcW w:w="1183" w:type="dxa"/>
          </w:tcPr>
          <w:p w14:paraId="4C4332A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16B23787" w14:textId="77777777" w:rsidTr="00456526">
        <w:trPr>
          <w:cantSplit/>
          <w:trHeight w:val="313"/>
          <w:jc w:val="center"/>
        </w:trPr>
        <w:tc>
          <w:tcPr>
            <w:tcW w:w="843" w:type="dxa"/>
            <w:vMerge/>
            <w:shd w:val="clear" w:color="auto" w:fill="D9E2F3" w:themeFill="accent1" w:themeFillTint="33"/>
          </w:tcPr>
          <w:p w14:paraId="12B83B8F" w14:textId="77777777" w:rsidR="005F1CF8" w:rsidRPr="00E2052F" w:rsidRDefault="005F1CF8" w:rsidP="00456526">
            <w:pPr>
              <w:spacing w:before="0" w:beforeAutospacing="0" w:line="240" w:lineRule="auto"/>
              <w:jc w:val="center"/>
              <w:rPr>
                <w:rFonts w:cstheme="majorBidi"/>
                <w:b/>
                <w:bCs/>
                <w:kern w:val="2"/>
                <w:sz w:val="22"/>
              </w:rPr>
            </w:pPr>
          </w:p>
        </w:tc>
        <w:tc>
          <w:tcPr>
            <w:tcW w:w="1479" w:type="dxa"/>
            <w:shd w:val="clear" w:color="auto" w:fill="D9E2F3" w:themeFill="accent1" w:themeFillTint="33"/>
          </w:tcPr>
          <w:p w14:paraId="40D192A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784" w:type="dxa"/>
          </w:tcPr>
          <w:p w14:paraId="42F4B36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96.552</w:t>
            </w:r>
          </w:p>
        </w:tc>
        <w:tc>
          <w:tcPr>
            <w:tcW w:w="1087" w:type="dxa"/>
          </w:tcPr>
          <w:p w14:paraId="4092D42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585" w:type="dxa"/>
          </w:tcPr>
          <w:p w14:paraId="5BE29BD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0.324</w:t>
            </w:r>
          </w:p>
        </w:tc>
        <w:tc>
          <w:tcPr>
            <w:tcW w:w="1180" w:type="dxa"/>
            <w:vAlign w:val="center"/>
          </w:tcPr>
          <w:p w14:paraId="1F804FC2" w14:textId="77777777" w:rsidR="005F1CF8" w:rsidRPr="00E2052F" w:rsidRDefault="005F1CF8" w:rsidP="00456526">
            <w:pPr>
              <w:spacing w:before="0" w:beforeAutospacing="0" w:line="240" w:lineRule="auto"/>
              <w:jc w:val="center"/>
              <w:rPr>
                <w:rFonts w:cstheme="majorBidi"/>
                <w:kern w:val="2"/>
                <w:sz w:val="22"/>
              </w:rPr>
            </w:pPr>
          </w:p>
        </w:tc>
        <w:tc>
          <w:tcPr>
            <w:tcW w:w="1183" w:type="dxa"/>
            <w:vAlign w:val="center"/>
          </w:tcPr>
          <w:p w14:paraId="18808D1C"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581C1FB3" w14:textId="77777777" w:rsidTr="00456526">
        <w:trPr>
          <w:cantSplit/>
          <w:trHeight w:val="313"/>
          <w:jc w:val="center"/>
        </w:trPr>
        <w:tc>
          <w:tcPr>
            <w:tcW w:w="843" w:type="dxa"/>
            <w:vMerge/>
            <w:shd w:val="clear" w:color="auto" w:fill="D9E2F3" w:themeFill="accent1" w:themeFillTint="33"/>
          </w:tcPr>
          <w:p w14:paraId="4E08ED0A" w14:textId="77777777" w:rsidR="005F1CF8" w:rsidRPr="00E2052F" w:rsidRDefault="005F1CF8" w:rsidP="00456526">
            <w:pPr>
              <w:spacing w:before="0" w:beforeAutospacing="0" w:line="240" w:lineRule="auto"/>
              <w:jc w:val="center"/>
              <w:rPr>
                <w:rFonts w:cstheme="majorBidi"/>
                <w:b/>
                <w:bCs/>
                <w:kern w:val="2"/>
                <w:sz w:val="22"/>
              </w:rPr>
            </w:pPr>
          </w:p>
        </w:tc>
        <w:tc>
          <w:tcPr>
            <w:tcW w:w="1479" w:type="dxa"/>
            <w:shd w:val="clear" w:color="auto" w:fill="D9E2F3" w:themeFill="accent1" w:themeFillTint="33"/>
          </w:tcPr>
          <w:p w14:paraId="477A7EE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784" w:type="dxa"/>
          </w:tcPr>
          <w:p w14:paraId="4163882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1087" w:type="dxa"/>
          </w:tcPr>
          <w:p w14:paraId="226B6CB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585" w:type="dxa"/>
            <w:vAlign w:val="center"/>
          </w:tcPr>
          <w:p w14:paraId="0E3701A0" w14:textId="77777777" w:rsidR="005F1CF8" w:rsidRPr="00E2052F" w:rsidRDefault="005F1CF8" w:rsidP="00456526">
            <w:pPr>
              <w:spacing w:before="0" w:beforeAutospacing="0" w:line="240" w:lineRule="auto"/>
              <w:jc w:val="center"/>
              <w:rPr>
                <w:rFonts w:cstheme="majorBidi"/>
                <w:kern w:val="2"/>
                <w:sz w:val="22"/>
              </w:rPr>
            </w:pPr>
          </w:p>
        </w:tc>
        <w:tc>
          <w:tcPr>
            <w:tcW w:w="1180" w:type="dxa"/>
            <w:vAlign w:val="center"/>
          </w:tcPr>
          <w:p w14:paraId="6F4619BC" w14:textId="77777777" w:rsidR="005F1CF8" w:rsidRPr="00E2052F" w:rsidRDefault="005F1CF8" w:rsidP="00456526">
            <w:pPr>
              <w:spacing w:before="0" w:beforeAutospacing="0" w:line="240" w:lineRule="auto"/>
              <w:jc w:val="center"/>
              <w:rPr>
                <w:rFonts w:cstheme="majorBidi"/>
                <w:kern w:val="2"/>
                <w:sz w:val="22"/>
              </w:rPr>
            </w:pPr>
          </w:p>
        </w:tc>
        <w:tc>
          <w:tcPr>
            <w:tcW w:w="1183" w:type="dxa"/>
            <w:vAlign w:val="center"/>
          </w:tcPr>
          <w:p w14:paraId="6F562D7E"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71F3BCD4" w14:textId="77777777" w:rsidTr="00456526">
        <w:trPr>
          <w:cantSplit/>
          <w:trHeight w:val="301"/>
          <w:jc w:val="center"/>
        </w:trPr>
        <w:tc>
          <w:tcPr>
            <w:tcW w:w="9141" w:type="dxa"/>
            <w:gridSpan w:val="7"/>
            <w:shd w:val="clear" w:color="auto" w:fill="FFFFFF"/>
          </w:tcPr>
          <w:p w14:paraId="49F909A4"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5F1CF8" w:rsidRPr="00E2052F" w14:paraId="4DF520C3" w14:textId="77777777" w:rsidTr="00456526">
        <w:trPr>
          <w:cantSplit/>
          <w:trHeight w:val="313"/>
          <w:jc w:val="center"/>
        </w:trPr>
        <w:tc>
          <w:tcPr>
            <w:tcW w:w="9141" w:type="dxa"/>
            <w:gridSpan w:val="7"/>
            <w:shd w:val="clear" w:color="auto" w:fill="FFFFFF"/>
          </w:tcPr>
          <w:p w14:paraId="2EA01291"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b. Prédicteurs : (Constante), Le traitement équitable des actionnaires</w:t>
            </w:r>
          </w:p>
        </w:tc>
      </w:tr>
    </w:tbl>
    <w:p w14:paraId="4FF6BBBF"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5"/>
        <w:gridCol w:w="1955"/>
        <w:gridCol w:w="1062"/>
        <w:gridCol w:w="1726"/>
        <w:gridCol w:w="2389"/>
        <w:gridCol w:w="664"/>
        <w:gridCol w:w="581"/>
      </w:tblGrid>
      <w:tr w:rsidR="005F1CF8" w:rsidRPr="00E2052F" w14:paraId="158B5A44" w14:textId="77777777" w:rsidTr="00456526">
        <w:trPr>
          <w:cantSplit/>
          <w:jc w:val="center"/>
        </w:trPr>
        <w:tc>
          <w:tcPr>
            <w:tcW w:w="9686" w:type="dxa"/>
            <w:gridSpan w:val="7"/>
            <w:shd w:val="clear" w:color="auto" w:fill="B4C6E7" w:themeFill="accent1" w:themeFillTint="66"/>
            <w:vAlign w:val="center"/>
          </w:tcPr>
          <w:p w14:paraId="478D5F3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135A9165" w14:textId="77777777" w:rsidTr="00456526">
        <w:trPr>
          <w:cantSplit/>
          <w:jc w:val="center"/>
        </w:trPr>
        <w:tc>
          <w:tcPr>
            <w:tcW w:w="2830" w:type="dxa"/>
            <w:gridSpan w:val="2"/>
            <w:vMerge w:val="restart"/>
            <w:shd w:val="clear" w:color="auto" w:fill="D9E2F3" w:themeFill="accent1" w:themeFillTint="33"/>
            <w:vAlign w:val="bottom"/>
          </w:tcPr>
          <w:p w14:paraId="1E12918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977" w:type="dxa"/>
            <w:gridSpan w:val="2"/>
            <w:shd w:val="clear" w:color="auto" w:fill="D9E2F3" w:themeFill="accent1" w:themeFillTint="33"/>
            <w:vAlign w:val="bottom"/>
          </w:tcPr>
          <w:p w14:paraId="4965FC6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52" w:type="dxa"/>
            <w:shd w:val="clear" w:color="auto" w:fill="D9E2F3" w:themeFill="accent1" w:themeFillTint="33"/>
            <w:vAlign w:val="bottom"/>
          </w:tcPr>
          <w:p w14:paraId="6890C7C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708" w:type="dxa"/>
            <w:vMerge w:val="restart"/>
            <w:shd w:val="clear" w:color="auto" w:fill="D9E2F3" w:themeFill="accent1" w:themeFillTint="33"/>
            <w:vAlign w:val="bottom"/>
          </w:tcPr>
          <w:p w14:paraId="154CADE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619" w:type="dxa"/>
            <w:vMerge w:val="restart"/>
            <w:shd w:val="clear" w:color="auto" w:fill="D9E2F3" w:themeFill="accent1" w:themeFillTint="33"/>
            <w:vAlign w:val="bottom"/>
          </w:tcPr>
          <w:p w14:paraId="39B9436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778DD3CC" w14:textId="77777777" w:rsidTr="00456526">
        <w:trPr>
          <w:cantSplit/>
          <w:trHeight w:val="493"/>
          <w:jc w:val="center"/>
        </w:trPr>
        <w:tc>
          <w:tcPr>
            <w:tcW w:w="2830" w:type="dxa"/>
            <w:gridSpan w:val="2"/>
            <w:vMerge/>
            <w:shd w:val="clear" w:color="auto" w:fill="D9E2F3" w:themeFill="accent1" w:themeFillTint="33"/>
            <w:vAlign w:val="bottom"/>
          </w:tcPr>
          <w:p w14:paraId="1488892A" w14:textId="77777777" w:rsidR="005F1CF8" w:rsidRPr="00E2052F" w:rsidRDefault="005F1CF8" w:rsidP="00456526">
            <w:pPr>
              <w:spacing w:before="0" w:beforeAutospacing="0" w:line="240" w:lineRule="auto"/>
              <w:jc w:val="center"/>
              <w:rPr>
                <w:rFonts w:cstheme="majorBidi"/>
                <w:b/>
                <w:bCs/>
                <w:kern w:val="2"/>
                <w:sz w:val="22"/>
              </w:rPr>
            </w:pPr>
          </w:p>
        </w:tc>
        <w:tc>
          <w:tcPr>
            <w:tcW w:w="1134" w:type="dxa"/>
            <w:shd w:val="clear" w:color="auto" w:fill="D9E2F3" w:themeFill="accent1" w:themeFillTint="33"/>
            <w:vAlign w:val="bottom"/>
          </w:tcPr>
          <w:p w14:paraId="5502CFF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843" w:type="dxa"/>
            <w:shd w:val="clear" w:color="auto" w:fill="D9E2F3" w:themeFill="accent1" w:themeFillTint="33"/>
            <w:vAlign w:val="bottom"/>
          </w:tcPr>
          <w:p w14:paraId="67F05FE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52" w:type="dxa"/>
            <w:shd w:val="clear" w:color="auto" w:fill="D9E2F3" w:themeFill="accent1" w:themeFillTint="33"/>
            <w:vAlign w:val="bottom"/>
          </w:tcPr>
          <w:p w14:paraId="0B9B73A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8" w:type="dxa"/>
            <w:vMerge/>
            <w:shd w:val="clear" w:color="auto" w:fill="D9E2F3" w:themeFill="accent1" w:themeFillTint="33"/>
            <w:vAlign w:val="bottom"/>
          </w:tcPr>
          <w:p w14:paraId="65B0FF52" w14:textId="77777777" w:rsidR="005F1CF8" w:rsidRPr="00E2052F" w:rsidRDefault="005F1CF8" w:rsidP="00456526">
            <w:pPr>
              <w:spacing w:before="0" w:beforeAutospacing="0" w:line="240" w:lineRule="auto"/>
              <w:jc w:val="center"/>
              <w:rPr>
                <w:rFonts w:cstheme="majorBidi"/>
                <w:b/>
                <w:bCs/>
                <w:kern w:val="2"/>
                <w:sz w:val="22"/>
              </w:rPr>
            </w:pPr>
          </w:p>
        </w:tc>
        <w:tc>
          <w:tcPr>
            <w:tcW w:w="619" w:type="dxa"/>
            <w:vMerge/>
            <w:shd w:val="clear" w:color="auto" w:fill="D9E2F3" w:themeFill="accent1" w:themeFillTint="33"/>
            <w:vAlign w:val="bottom"/>
          </w:tcPr>
          <w:p w14:paraId="523FE054"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28A06EF7" w14:textId="77777777" w:rsidTr="00456526">
        <w:trPr>
          <w:cantSplit/>
          <w:jc w:val="center"/>
        </w:trPr>
        <w:tc>
          <w:tcPr>
            <w:tcW w:w="742" w:type="dxa"/>
            <w:vMerge w:val="restart"/>
            <w:shd w:val="clear" w:color="auto" w:fill="D9E2F3" w:themeFill="accent1" w:themeFillTint="33"/>
          </w:tcPr>
          <w:p w14:paraId="17033EC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2088" w:type="dxa"/>
            <w:shd w:val="clear" w:color="auto" w:fill="D9E2F3" w:themeFill="accent1" w:themeFillTint="33"/>
          </w:tcPr>
          <w:p w14:paraId="728C5A4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134" w:type="dxa"/>
          </w:tcPr>
          <w:p w14:paraId="0D70CEB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2.496</w:t>
            </w:r>
          </w:p>
        </w:tc>
        <w:tc>
          <w:tcPr>
            <w:tcW w:w="1843" w:type="dxa"/>
          </w:tcPr>
          <w:p w14:paraId="3BB6B91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0.197</w:t>
            </w:r>
          </w:p>
        </w:tc>
        <w:tc>
          <w:tcPr>
            <w:tcW w:w="2552" w:type="dxa"/>
            <w:vAlign w:val="center"/>
          </w:tcPr>
          <w:p w14:paraId="6BE872B0" w14:textId="77777777" w:rsidR="005F1CF8" w:rsidRPr="00E2052F" w:rsidRDefault="005F1CF8" w:rsidP="00456526">
            <w:pPr>
              <w:spacing w:before="0" w:beforeAutospacing="0" w:line="240" w:lineRule="auto"/>
              <w:jc w:val="center"/>
              <w:rPr>
                <w:rFonts w:cstheme="majorBidi"/>
                <w:kern w:val="2"/>
                <w:sz w:val="22"/>
              </w:rPr>
            </w:pPr>
          </w:p>
        </w:tc>
        <w:tc>
          <w:tcPr>
            <w:tcW w:w="708" w:type="dxa"/>
          </w:tcPr>
          <w:p w14:paraId="4F84AC0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12.643</w:t>
            </w:r>
          </w:p>
        </w:tc>
        <w:tc>
          <w:tcPr>
            <w:tcW w:w="619" w:type="dxa"/>
          </w:tcPr>
          <w:p w14:paraId="2FC80CD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5C94679B" w14:textId="77777777" w:rsidTr="00456526">
        <w:trPr>
          <w:cantSplit/>
          <w:jc w:val="center"/>
        </w:trPr>
        <w:tc>
          <w:tcPr>
            <w:tcW w:w="742" w:type="dxa"/>
            <w:vMerge/>
            <w:shd w:val="clear" w:color="auto" w:fill="D9E2F3" w:themeFill="accent1" w:themeFillTint="33"/>
          </w:tcPr>
          <w:p w14:paraId="2DCDC6AF" w14:textId="77777777" w:rsidR="005F1CF8" w:rsidRPr="00E2052F" w:rsidRDefault="005F1CF8" w:rsidP="00456526">
            <w:pPr>
              <w:spacing w:before="0" w:beforeAutospacing="0" w:line="240" w:lineRule="auto"/>
              <w:jc w:val="center"/>
              <w:rPr>
                <w:rFonts w:cstheme="majorBidi"/>
                <w:b/>
                <w:bCs/>
                <w:kern w:val="2"/>
                <w:sz w:val="22"/>
              </w:rPr>
            </w:pPr>
          </w:p>
        </w:tc>
        <w:tc>
          <w:tcPr>
            <w:tcW w:w="2088" w:type="dxa"/>
            <w:shd w:val="clear" w:color="auto" w:fill="D9E2F3" w:themeFill="accent1" w:themeFillTint="33"/>
          </w:tcPr>
          <w:p w14:paraId="4A4BEFF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Le traitement équitable des actionnaires</w:t>
            </w:r>
          </w:p>
        </w:tc>
        <w:tc>
          <w:tcPr>
            <w:tcW w:w="1134" w:type="dxa"/>
          </w:tcPr>
          <w:p w14:paraId="5E414F5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0.367</w:t>
            </w:r>
          </w:p>
        </w:tc>
        <w:tc>
          <w:tcPr>
            <w:tcW w:w="1843" w:type="dxa"/>
          </w:tcPr>
          <w:p w14:paraId="0A8C8A9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0.048</w:t>
            </w:r>
          </w:p>
        </w:tc>
        <w:tc>
          <w:tcPr>
            <w:tcW w:w="2552" w:type="dxa"/>
          </w:tcPr>
          <w:p w14:paraId="4CAD136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0.407</w:t>
            </w:r>
          </w:p>
        </w:tc>
        <w:tc>
          <w:tcPr>
            <w:tcW w:w="708" w:type="dxa"/>
          </w:tcPr>
          <w:p w14:paraId="26CF174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7.692</w:t>
            </w:r>
          </w:p>
        </w:tc>
        <w:tc>
          <w:tcPr>
            <w:tcW w:w="619" w:type="dxa"/>
          </w:tcPr>
          <w:p w14:paraId="71BC36E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7055F131" w14:textId="77777777" w:rsidTr="00456526">
        <w:trPr>
          <w:cantSplit/>
          <w:jc w:val="center"/>
        </w:trPr>
        <w:tc>
          <w:tcPr>
            <w:tcW w:w="9686" w:type="dxa"/>
            <w:gridSpan w:val="7"/>
            <w:shd w:val="clear" w:color="auto" w:fill="FFFFFF"/>
          </w:tcPr>
          <w:p w14:paraId="44579E05"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2C12DAAA"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0"/>
        <w:gridCol w:w="1582"/>
        <w:gridCol w:w="1582"/>
        <w:gridCol w:w="1423"/>
        <w:gridCol w:w="3095"/>
      </w:tblGrid>
      <w:tr w:rsidR="005F1CF8" w:rsidRPr="00E2052F" w14:paraId="0877E2F0" w14:textId="77777777" w:rsidTr="00456526">
        <w:trPr>
          <w:cantSplit/>
          <w:trHeight w:val="287"/>
          <w:jc w:val="center"/>
        </w:trPr>
        <w:tc>
          <w:tcPr>
            <w:tcW w:w="1383" w:type="dxa"/>
            <w:shd w:val="clear" w:color="auto" w:fill="D9E2F3" w:themeFill="accent1" w:themeFillTint="33"/>
            <w:vAlign w:val="bottom"/>
          </w:tcPr>
          <w:p w14:paraId="6A5B7AF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575" w:type="dxa"/>
            <w:shd w:val="clear" w:color="auto" w:fill="D9E2F3" w:themeFill="accent1" w:themeFillTint="33"/>
            <w:vAlign w:val="bottom"/>
          </w:tcPr>
          <w:p w14:paraId="5288E29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575" w:type="dxa"/>
            <w:shd w:val="clear" w:color="auto" w:fill="D9E2F3" w:themeFill="accent1" w:themeFillTint="33"/>
            <w:vAlign w:val="bottom"/>
          </w:tcPr>
          <w:p w14:paraId="686AAA8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416" w:type="dxa"/>
            <w:shd w:val="clear" w:color="auto" w:fill="D9E2F3" w:themeFill="accent1" w:themeFillTint="33"/>
            <w:vAlign w:val="bottom"/>
          </w:tcPr>
          <w:p w14:paraId="5F1CE2C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081" w:type="dxa"/>
            <w:shd w:val="clear" w:color="auto" w:fill="D9E2F3" w:themeFill="accent1" w:themeFillTint="33"/>
            <w:vAlign w:val="bottom"/>
          </w:tcPr>
          <w:p w14:paraId="7235793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5F1CF8" w:rsidRPr="00E2052F" w14:paraId="3DA33C94" w14:textId="77777777" w:rsidTr="00456526">
        <w:trPr>
          <w:cantSplit/>
          <w:trHeight w:val="430"/>
          <w:jc w:val="center"/>
        </w:trPr>
        <w:tc>
          <w:tcPr>
            <w:tcW w:w="1383" w:type="dxa"/>
            <w:shd w:val="clear" w:color="auto" w:fill="D9E2F3" w:themeFill="accent1" w:themeFillTint="33"/>
          </w:tcPr>
          <w:p w14:paraId="7A49CE4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75" w:type="dxa"/>
          </w:tcPr>
          <w:p w14:paraId="7C7A6EDF"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0.492</w:t>
            </w:r>
            <w:r w:rsidRPr="00E2052F">
              <w:rPr>
                <w:rFonts w:cstheme="majorBidi"/>
                <w:kern w:val="2"/>
                <w:sz w:val="22"/>
                <w:vertAlign w:val="superscript"/>
              </w:rPr>
              <w:t>a</w:t>
            </w:r>
          </w:p>
        </w:tc>
        <w:tc>
          <w:tcPr>
            <w:tcW w:w="1575" w:type="dxa"/>
          </w:tcPr>
          <w:p w14:paraId="7FFC6A8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0.242</w:t>
            </w:r>
          </w:p>
        </w:tc>
        <w:tc>
          <w:tcPr>
            <w:tcW w:w="1416" w:type="dxa"/>
          </w:tcPr>
          <w:p w14:paraId="118EBCB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0.240</w:t>
            </w:r>
          </w:p>
        </w:tc>
        <w:tc>
          <w:tcPr>
            <w:tcW w:w="3081" w:type="dxa"/>
          </w:tcPr>
          <w:p w14:paraId="2BE9A67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0.542</w:t>
            </w:r>
          </w:p>
        </w:tc>
      </w:tr>
      <w:tr w:rsidR="005F1CF8" w:rsidRPr="00E2052F" w14:paraId="573DE8E4" w14:textId="77777777" w:rsidTr="00456526">
        <w:trPr>
          <w:cantSplit/>
          <w:trHeight w:val="390"/>
          <w:jc w:val="center"/>
        </w:trPr>
        <w:tc>
          <w:tcPr>
            <w:tcW w:w="9030" w:type="dxa"/>
            <w:gridSpan w:val="5"/>
            <w:shd w:val="clear" w:color="auto" w:fill="FFFFFF"/>
          </w:tcPr>
          <w:p w14:paraId="3A57D973"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Prédicteurs : (Constante), Le rôle des parties prenantes</w:t>
            </w:r>
          </w:p>
        </w:tc>
      </w:tr>
    </w:tbl>
    <w:p w14:paraId="7D1C640B"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7"/>
        <w:gridCol w:w="1678"/>
        <w:gridCol w:w="1171"/>
        <w:gridCol w:w="1573"/>
        <w:gridCol w:w="1171"/>
        <w:gridCol w:w="1174"/>
      </w:tblGrid>
      <w:tr w:rsidR="005F1CF8" w:rsidRPr="00E2052F" w14:paraId="660D0C2C" w14:textId="77777777" w:rsidTr="00456526">
        <w:trPr>
          <w:cantSplit/>
          <w:trHeight w:val="304"/>
          <w:jc w:val="center"/>
        </w:trPr>
        <w:tc>
          <w:tcPr>
            <w:tcW w:w="9280" w:type="dxa"/>
            <w:gridSpan w:val="7"/>
            <w:shd w:val="clear" w:color="auto" w:fill="B4C6E7" w:themeFill="accent1" w:themeFillTint="66"/>
            <w:vAlign w:val="center"/>
          </w:tcPr>
          <w:p w14:paraId="4536E57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3B0EDA59" w14:textId="77777777" w:rsidTr="00456526">
        <w:trPr>
          <w:cantSplit/>
          <w:trHeight w:val="163"/>
          <w:jc w:val="center"/>
        </w:trPr>
        <w:tc>
          <w:tcPr>
            <w:tcW w:w="2357" w:type="dxa"/>
            <w:gridSpan w:val="2"/>
            <w:shd w:val="clear" w:color="auto" w:fill="D9E2F3" w:themeFill="accent1" w:themeFillTint="33"/>
            <w:vAlign w:val="bottom"/>
          </w:tcPr>
          <w:p w14:paraId="1D98D1F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717" w:type="dxa"/>
            <w:shd w:val="clear" w:color="auto" w:fill="D9E2F3" w:themeFill="accent1" w:themeFillTint="33"/>
            <w:vAlign w:val="bottom"/>
          </w:tcPr>
          <w:p w14:paraId="0ABB023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1198" w:type="dxa"/>
            <w:shd w:val="clear" w:color="auto" w:fill="D9E2F3" w:themeFill="accent1" w:themeFillTint="33"/>
            <w:vAlign w:val="bottom"/>
          </w:tcPr>
          <w:p w14:paraId="4350AE8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609" w:type="dxa"/>
            <w:shd w:val="clear" w:color="auto" w:fill="D9E2F3" w:themeFill="accent1" w:themeFillTint="33"/>
            <w:vAlign w:val="bottom"/>
          </w:tcPr>
          <w:p w14:paraId="094453E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98" w:type="dxa"/>
            <w:shd w:val="clear" w:color="auto" w:fill="D9E2F3" w:themeFill="accent1" w:themeFillTint="33"/>
            <w:vAlign w:val="bottom"/>
          </w:tcPr>
          <w:p w14:paraId="1D52824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201" w:type="dxa"/>
            <w:shd w:val="clear" w:color="auto" w:fill="D9E2F3" w:themeFill="accent1" w:themeFillTint="33"/>
            <w:vAlign w:val="bottom"/>
          </w:tcPr>
          <w:p w14:paraId="015BD53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60630AF4" w14:textId="77777777" w:rsidTr="00456526">
        <w:trPr>
          <w:cantSplit/>
          <w:trHeight w:val="316"/>
          <w:jc w:val="center"/>
        </w:trPr>
        <w:tc>
          <w:tcPr>
            <w:tcW w:w="856" w:type="dxa"/>
            <w:vMerge w:val="restart"/>
            <w:shd w:val="clear" w:color="auto" w:fill="D9E2F3" w:themeFill="accent1" w:themeFillTint="33"/>
          </w:tcPr>
          <w:p w14:paraId="43DB537D" w14:textId="77777777" w:rsidR="005F1CF8" w:rsidRPr="00E2052F" w:rsidRDefault="005F1CF8" w:rsidP="00456526">
            <w:pPr>
              <w:spacing w:before="0" w:beforeAutospacing="0" w:line="240" w:lineRule="auto"/>
              <w:ind w:firstLine="0"/>
              <w:jc w:val="center"/>
              <w:rPr>
                <w:rFonts w:cstheme="majorBidi"/>
                <w:b/>
                <w:bCs/>
                <w:kern w:val="2"/>
                <w:sz w:val="22"/>
              </w:rPr>
            </w:pPr>
          </w:p>
          <w:p w14:paraId="501EA87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501" w:type="dxa"/>
            <w:shd w:val="clear" w:color="auto" w:fill="D9E2F3" w:themeFill="accent1" w:themeFillTint="33"/>
          </w:tcPr>
          <w:p w14:paraId="4331D71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717" w:type="dxa"/>
          </w:tcPr>
          <w:p w14:paraId="6A1467F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28.025</w:t>
            </w:r>
          </w:p>
        </w:tc>
        <w:tc>
          <w:tcPr>
            <w:tcW w:w="1198" w:type="dxa"/>
          </w:tcPr>
          <w:p w14:paraId="2BE6335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609" w:type="dxa"/>
          </w:tcPr>
          <w:p w14:paraId="394BA58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28.025</w:t>
            </w:r>
          </w:p>
        </w:tc>
        <w:tc>
          <w:tcPr>
            <w:tcW w:w="1198" w:type="dxa"/>
          </w:tcPr>
          <w:p w14:paraId="261A3CF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95.232</w:t>
            </w:r>
          </w:p>
        </w:tc>
        <w:tc>
          <w:tcPr>
            <w:tcW w:w="1201" w:type="dxa"/>
          </w:tcPr>
          <w:p w14:paraId="57A141B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4981C60C" w14:textId="77777777" w:rsidTr="00456526">
        <w:trPr>
          <w:cantSplit/>
          <w:trHeight w:val="316"/>
          <w:jc w:val="center"/>
        </w:trPr>
        <w:tc>
          <w:tcPr>
            <w:tcW w:w="856" w:type="dxa"/>
            <w:vMerge/>
            <w:shd w:val="clear" w:color="auto" w:fill="D9E2F3" w:themeFill="accent1" w:themeFillTint="33"/>
          </w:tcPr>
          <w:p w14:paraId="52A82E0C" w14:textId="77777777" w:rsidR="005F1CF8" w:rsidRPr="00E2052F" w:rsidRDefault="005F1CF8" w:rsidP="00456526">
            <w:pPr>
              <w:spacing w:before="0" w:beforeAutospacing="0" w:line="240" w:lineRule="auto"/>
              <w:jc w:val="center"/>
              <w:rPr>
                <w:rFonts w:cstheme="majorBidi"/>
                <w:b/>
                <w:bCs/>
                <w:kern w:val="2"/>
                <w:sz w:val="22"/>
              </w:rPr>
            </w:pPr>
          </w:p>
        </w:tc>
        <w:tc>
          <w:tcPr>
            <w:tcW w:w="1501" w:type="dxa"/>
            <w:shd w:val="clear" w:color="auto" w:fill="D9E2F3" w:themeFill="accent1" w:themeFillTint="33"/>
          </w:tcPr>
          <w:p w14:paraId="18FB626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717" w:type="dxa"/>
          </w:tcPr>
          <w:p w14:paraId="7EFB7776"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87.696</w:t>
            </w:r>
          </w:p>
        </w:tc>
        <w:tc>
          <w:tcPr>
            <w:tcW w:w="1198" w:type="dxa"/>
          </w:tcPr>
          <w:p w14:paraId="1022ECD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609" w:type="dxa"/>
          </w:tcPr>
          <w:p w14:paraId="26E4E16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0.294</w:t>
            </w:r>
          </w:p>
        </w:tc>
        <w:tc>
          <w:tcPr>
            <w:tcW w:w="1198" w:type="dxa"/>
            <w:vAlign w:val="center"/>
          </w:tcPr>
          <w:p w14:paraId="35A8ECF6" w14:textId="77777777" w:rsidR="005F1CF8" w:rsidRPr="00E2052F" w:rsidRDefault="005F1CF8" w:rsidP="00456526">
            <w:pPr>
              <w:spacing w:before="0" w:beforeAutospacing="0" w:line="240" w:lineRule="auto"/>
              <w:jc w:val="center"/>
              <w:rPr>
                <w:rFonts w:cstheme="majorBidi"/>
                <w:kern w:val="2"/>
                <w:sz w:val="22"/>
              </w:rPr>
            </w:pPr>
          </w:p>
        </w:tc>
        <w:tc>
          <w:tcPr>
            <w:tcW w:w="1201" w:type="dxa"/>
            <w:vAlign w:val="center"/>
          </w:tcPr>
          <w:p w14:paraId="2C977575"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3C4203D1" w14:textId="77777777" w:rsidTr="00456526">
        <w:trPr>
          <w:cantSplit/>
          <w:trHeight w:val="316"/>
          <w:jc w:val="center"/>
        </w:trPr>
        <w:tc>
          <w:tcPr>
            <w:tcW w:w="856" w:type="dxa"/>
            <w:vMerge/>
            <w:shd w:val="clear" w:color="auto" w:fill="D9E2F3" w:themeFill="accent1" w:themeFillTint="33"/>
          </w:tcPr>
          <w:p w14:paraId="12978B36" w14:textId="77777777" w:rsidR="005F1CF8" w:rsidRPr="00E2052F" w:rsidRDefault="005F1CF8" w:rsidP="00456526">
            <w:pPr>
              <w:spacing w:before="0" w:beforeAutospacing="0" w:line="240" w:lineRule="auto"/>
              <w:jc w:val="center"/>
              <w:rPr>
                <w:rFonts w:cstheme="majorBidi"/>
                <w:b/>
                <w:bCs/>
                <w:kern w:val="2"/>
                <w:sz w:val="22"/>
              </w:rPr>
            </w:pPr>
          </w:p>
        </w:tc>
        <w:tc>
          <w:tcPr>
            <w:tcW w:w="1501" w:type="dxa"/>
            <w:shd w:val="clear" w:color="auto" w:fill="D9E2F3" w:themeFill="accent1" w:themeFillTint="33"/>
          </w:tcPr>
          <w:p w14:paraId="5AC449B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717" w:type="dxa"/>
          </w:tcPr>
          <w:p w14:paraId="374CED0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1198" w:type="dxa"/>
          </w:tcPr>
          <w:p w14:paraId="1D2E604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609" w:type="dxa"/>
            <w:vAlign w:val="center"/>
          </w:tcPr>
          <w:p w14:paraId="172FDD0F" w14:textId="77777777" w:rsidR="005F1CF8" w:rsidRPr="00E2052F" w:rsidRDefault="005F1CF8" w:rsidP="00456526">
            <w:pPr>
              <w:spacing w:before="0" w:beforeAutospacing="0" w:line="240" w:lineRule="auto"/>
              <w:jc w:val="center"/>
              <w:rPr>
                <w:rFonts w:cstheme="majorBidi"/>
                <w:kern w:val="2"/>
                <w:sz w:val="22"/>
              </w:rPr>
            </w:pPr>
          </w:p>
        </w:tc>
        <w:tc>
          <w:tcPr>
            <w:tcW w:w="1198" w:type="dxa"/>
            <w:vAlign w:val="center"/>
          </w:tcPr>
          <w:p w14:paraId="22403F73" w14:textId="77777777" w:rsidR="005F1CF8" w:rsidRPr="00E2052F" w:rsidRDefault="005F1CF8" w:rsidP="00456526">
            <w:pPr>
              <w:spacing w:before="0" w:beforeAutospacing="0" w:line="240" w:lineRule="auto"/>
              <w:jc w:val="center"/>
              <w:rPr>
                <w:rFonts w:cstheme="majorBidi"/>
                <w:kern w:val="2"/>
                <w:sz w:val="22"/>
              </w:rPr>
            </w:pPr>
          </w:p>
        </w:tc>
        <w:tc>
          <w:tcPr>
            <w:tcW w:w="1201" w:type="dxa"/>
            <w:vAlign w:val="center"/>
          </w:tcPr>
          <w:p w14:paraId="15CEDEB2"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52892087" w14:textId="77777777" w:rsidTr="00456526">
        <w:trPr>
          <w:cantSplit/>
          <w:trHeight w:val="365"/>
          <w:jc w:val="center"/>
        </w:trPr>
        <w:tc>
          <w:tcPr>
            <w:tcW w:w="9280" w:type="dxa"/>
            <w:gridSpan w:val="7"/>
            <w:shd w:val="clear" w:color="auto" w:fill="FFFFFF"/>
          </w:tcPr>
          <w:p w14:paraId="4B9948C2"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r w:rsidR="005F1CF8" w:rsidRPr="00E2052F" w14:paraId="4BB9B9A6" w14:textId="77777777" w:rsidTr="00456526">
        <w:trPr>
          <w:cantSplit/>
          <w:trHeight w:val="316"/>
          <w:jc w:val="center"/>
        </w:trPr>
        <w:tc>
          <w:tcPr>
            <w:tcW w:w="9280" w:type="dxa"/>
            <w:gridSpan w:val="7"/>
            <w:shd w:val="clear" w:color="auto" w:fill="FFFFFF"/>
          </w:tcPr>
          <w:p w14:paraId="71B1C404"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b. Prédicteurs : (Constante), Le rôle des parties prenantes</w:t>
            </w:r>
          </w:p>
        </w:tc>
      </w:tr>
    </w:tbl>
    <w:p w14:paraId="2F13FA3C"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4"/>
        <w:gridCol w:w="1698"/>
        <w:gridCol w:w="1331"/>
        <w:gridCol w:w="1597"/>
        <w:gridCol w:w="2414"/>
        <w:gridCol w:w="667"/>
        <w:gridCol w:w="671"/>
      </w:tblGrid>
      <w:tr w:rsidR="005F1CF8" w:rsidRPr="00E2052F" w14:paraId="6A59D9BE" w14:textId="77777777" w:rsidTr="00456526">
        <w:trPr>
          <w:cantSplit/>
          <w:jc w:val="center"/>
        </w:trPr>
        <w:tc>
          <w:tcPr>
            <w:tcW w:w="9659" w:type="dxa"/>
            <w:gridSpan w:val="7"/>
            <w:shd w:val="clear" w:color="auto" w:fill="B4C6E7" w:themeFill="accent1" w:themeFillTint="66"/>
            <w:vAlign w:val="center"/>
          </w:tcPr>
          <w:p w14:paraId="2C739CF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0FED3CC7" w14:textId="77777777" w:rsidTr="00456526">
        <w:trPr>
          <w:cantSplit/>
          <w:jc w:val="center"/>
        </w:trPr>
        <w:tc>
          <w:tcPr>
            <w:tcW w:w="2547" w:type="dxa"/>
            <w:gridSpan w:val="2"/>
            <w:vMerge w:val="restart"/>
            <w:shd w:val="clear" w:color="auto" w:fill="D9E2F3" w:themeFill="accent1" w:themeFillTint="33"/>
            <w:vAlign w:val="center"/>
          </w:tcPr>
          <w:p w14:paraId="14032D56"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3118" w:type="dxa"/>
            <w:gridSpan w:val="2"/>
            <w:shd w:val="clear" w:color="auto" w:fill="D9E2F3" w:themeFill="accent1" w:themeFillTint="33"/>
            <w:vAlign w:val="center"/>
          </w:tcPr>
          <w:p w14:paraId="58EEF18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72" w:type="dxa"/>
            <w:shd w:val="clear" w:color="auto" w:fill="D9E2F3" w:themeFill="accent1" w:themeFillTint="33"/>
            <w:vAlign w:val="center"/>
          </w:tcPr>
          <w:p w14:paraId="61B4346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709" w:type="dxa"/>
            <w:vMerge w:val="restart"/>
            <w:shd w:val="clear" w:color="auto" w:fill="D9E2F3" w:themeFill="accent1" w:themeFillTint="33"/>
            <w:vAlign w:val="center"/>
          </w:tcPr>
          <w:p w14:paraId="594B89B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713" w:type="dxa"/>
            <w:vMerge w:val="restart"/>
            <w:shd w:val="clear" w:color="auto" w:fill="D9E2F3" w:themeFill="accent1" w:themeFillTint="33"/>
            <w:vAlign w:val="center"/>
          </w:tcPr>
          <w:p w14:paraId="41EF2F0F"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5988408F" w14:textId="77777777" w:rsidTr="00456526">
        <w:trPr>
          <w:cantSplit/>
          <w:jc w:val="center"/>
        </w:trPr>
        <w:tc>
          <w:tcPr>
            <w:tcW w:w="2547" w:type="dxa"/>
            <w:gridSpan w:val="2"/>
            <w:vMerge/>
            <w:shd w:val="clear" w:color="auto" w:fill="D9E2F3" w:themeFill="accent1" w:themeFillTint="33"/>
            <w:vAlign w:val="center"/>
          </w:tcPr>
          <w:p w14:paraId="1B41481B" w14:textId="77777777" w:rsidR="005F1CF8" w:rsidRPr="00E2052F" w:rsidRDefault="005F1CF8" w:rsidP="00456526">
            <w:pPr>
              <w:spacing w:before="0" w:beforeAutospacing="0" w:line="240" w:lineRule="auto"/>
              <w:jc w:val="center"/>
              <w:rPr>
                <w:rFonts w:cstheme="majorBidi"/>
                <w:b/>
                <w:bCs/>
                <w:kern w:val="2"/>
                <w:sz w:val="22"/>
              </w:rPr>
            </w:pPr>
          </w:p>
        </w:tc>
        <w:tc>
          <w:tcPr>
            <w:tcW w:w="1417" w:type="dxa"/>
            <w:shd w:val="clear" w:color="auto" w:fill="D9E2F3" w:themeFill="accent1" w:themeFillTint="33"/>
            <w:vAlign w:val="center"/>
          </w:tcPr>
          <w:p w14:paraId="3277F4E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701" w:type="dxa"/>
            <w:shd w:val="clear" w:color="auto" w:fill="D9E2F3" w:themeFill="accent1" w:themeFillTint="33"/>
            <w:vAlign w:val="center"/>
          </w:tcPr>
          <w:p w14:paraId="3EFBD5A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572" w:type="dxa"/>
            <w:shd w:val="clear" w:color="auto" w:fill="D9E2F3" w:themeFill="accent1" w:themeFillTint="33"/>
            <w:vAlign w:val="center"/>
          </w:tcPr>
          <w:p w14:paraId="5E40524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709" w:type="dxa"/>
            <w:vMerge/>
            <w:shd w:val="clear" w:color="auto" w:fill="D9E2F3" w:themeFill="accent1" w:themeFillTint="33"/>
            <w:vAlign w:val="center"/>
          </w:tcPr>
          <w:p w14:paraId="64A1CCED" w14:textId="77777777" w:rsidR="005F1CF8" w:rsidRPr="00E2052F" w:rsidRDefault="005F1CF8" w:rsidP="00456526">
            <w:pPr>
              <w:spacing w:before="0" w:beforeAutospacing="0" w:line="240" w:lineRule="auto"/>
              <w:jc w:val="center"/>
              <w:rPr>
                <w:rFonts w:cstheme="majorBidi"/>
                <w:b/>
                <w:bCs/>
                <w:kern w:val="2"/>
                <w:sz w:val="22"/>
              </w:rPr>
            </w:pPr>
          </w:p>
        </w:tc>
        <w:tc>
          <w:tcPr>
            <w:tcW w:w="713" w:type="dxa"/>
            <w:vMerge/>
            <w:shd w:val="clear" w:color="auto" w:fill="D9E2F3" w:themeFill="accent1" w:themeFillTint="33"/>
            <w:vAlign w:val="center"/>
          </w:tcPr>
          <w:p w14:paraId="2E3F9D74"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79CBF834" w14:textId="77777777" w:rsidTr="00456526">
        <w:trPr>
          <w:cantSplit/>
          <w:jc w:val="center"/>
        </w:trPr>
        <w:tc>
          <w:tcPr>
            <w:tcW w:w="738" w:type="dxa"/>
            <w:vMerge w:val="restart"/>
            <w:shd w:val="clear" w:color="auto" w:fill="D9E2F3" w:themeFill="accent1" w:themeFillTint="33"/>
            <w:vAlign w:val="center"/>
          </w:tcPr>
          <w:p w14:paraId="5B218A7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809" w:type="dxa"/>
            <w:shd w:val="clear" w:color="auto" w:fill="D9E2F3" w:themeFill="accent1" w:themeFillTint="33"/>
            <w:vAlign w:val="center"/>
          </w:tcPr>
          <w:p w14:paraId="30CA9D66"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417" w:type="dxa"/>
            <w:vAlign w:val="center"/>
          </w:tcPr>
          <w:p w14:paraId="6805308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2.004</w:t>
            </w:r>
          </w:p>
        </w:tc>
        <w:tc>
          <w:tcPr>
            <w:tcW w:w="1701" w:type="dxa"/>
            <w:vAlign w:val="center"/>
          </w:tcPr>
          <w:p w14:paraId="2A23F9D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0.206</w:t>
            </w:r>
          </w:p>
        </w:tc>
        <w:tc>
          <w:tcPr>
            <w:tcW w:w="2572" w:type="dxa"/>
            <w:vAlign w:val="center"/>
          </w:tcPr>
          <w:p w14:paraId="4134B9E5" w14:textId="77777777" w:rsidR="005F1CF8" w:rsidRPr="00E2052F" w:rsidRDefault="005F1CF8" w:rsidP="00456526">
            <w:pPr>
              <w:spacing w:before="0" w:beforeAutospacing="0" w:line="240" w:lineRule="auto"/>
              <w:jc w:val="center"/>
              <w:rPr>
                <w:rFonts w:cstheme="majorBidi"/>
                <w:kern w:val="2"/>
                <w:sz w:val="22"/>
              </w:rPr>
            </w:pPr>
          </w:p>
        </w:tc>
        <w:tc>
          <w:tcPr>
            <w:tcW w:w="709" w:type="dxa"/>
            <w:vAlign w:val="center"/>
          </w:tcPr>
          <w:p w14:paraId="1ECC6BA6"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9.718</w:t>
            </w:r>
          </w:p>
        </w:tc>
        <w:tc>
          <w:tcPr>
            <w:tcW w:w="713" w:type="dxa"/>
            <w:vAlign w:val="center"/>
          </w:tcPr>
          <w:p w14:paraId="234A708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7189EA39" w14:textId="77777777" w:rsidTr="00456526">
        <w:trPr>
          <w:cantSplit/>
          <w:jc w:val="center"/>
        </w:trPr>
        <w:tc>
          <w:tcPr>
            <w:tcW w:w="738" w:type="dxa"/>
            <w:vMerge/>
            <w:shd w:val="clear" w:color="auto" w:fill="D9E2F3" w:themeFill="accent1" w:themeFillTint="33"/>
            <w:vAlign w:val="center"/>
          </w:tcPr>
          <w:p w14:paraId="20FDEB30" w14:textId="77777777" w:rsidR="005F1CF8" w:rsidRPr="00E2052F" w:rsidRDefault="005F1CF8" w:rsidP="00456526">
            <w:pPr>
              <w:spacing w:before="0" w:beforeAutospacing="0" w:line="240" w:lineRule="auto"/>
              <w:jc w:val="center"/>
              <w:rPr>
                <w:rFonts w:cstheme="majorBidi"/>
                <w:b/>
                <w:bCs/>
                <w:kern w:val="2"/>
                <w:sz w:val="22"/>
              </w:rPr>
            </w:pPr>
          </w:p>
        </w:tc>
        <w:tc>
          <w:tcPr>
            <w:tcW w:w="1809" w:type="dxa"/>
            <w:shd w:val="clear" w:color="auto" w:fill="D9E2F3" w:themeFill="accent1" w:themeFillTint="33"/>
            <w:vAlign w:val="center"/>
          </w:tcPr>
          <w:p w14:paraId="4834538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Le rôle des parties prenantes</w:t>
            </w:r>
          </w:p>
        </w:tc>
        <w:tc>
          <w:tcPr>
            <w:tcW w:w="1417" w:type="dxa"/>
            <w:vAlign w:val="center"/>
          </w:tcPr>
          <w:p w14:paraId="1A741EC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0.481</w:t>
            </w:r>
          </w:p>
        </w:tc>
        <w:tc>
          <w:tcPr>
            <w:tcW w:w="1701" w:type="dxa"/>
            <w:vAlign w:val="center"/>
          </w:tcPr>
          <w:p w14:paraId="73CDAAD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0.049</w:t>
            </w:r>
          </w:p>
        </w:tc>
        <w:tc>
          <w:tcPr>
            <w:tcW w:w="2572" w:type="dxa"/>
            <w:vAlign w:val="center"/>
          </w:tcPr>
          <w:p w14:paraId="3420895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0.492</w:t>
            </w:r>
          </w:p>
        </w:tc>
        <w:tc>
          <w:tcPr>
            <w:tcW w:w="709" w:type="dxa"/>
            <w:vAlign w:val="center"/>
          </w:tcPr>
          <w:p w14:paraId="5F41E37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9.759</w:t>
            </w:r>
          </w:p>
        </w:tc>
        <w:tc>
          <w:tcPr>
            <w:tcW w:w="713" w:type="dxa"/>
            <w:vAlign w:val="center"/>
          </w:tcPr>
          <w:p w14:paraId="7DC1092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2E0E807C" w14:textId="77777777" w:rsidTr="00456526">
        <w:trPr>
          <w:cantSplit/>
          <w:jc w:val="center"/>
        </w:trPr>
        <w:tc>
          <w:tcPr>
            <w:tcW w:w="9659" w:type="dxa"/>
            <w:gridSpan w:val="7"/>
            <w:shd w:val="clear" w:color="auto" w:fill="FFFFFF"/>
            <w:vAlign w:val="center"/>
          </w:tcPr>
          <w:p w14:paraId="52EB75AE"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Variable dépendante : La responsabilité sociale des entreprises</w:t>
            </w:r>
          </w:p>
        </w:tc>
      </w:tr>
    </w:tbl>
    <w:p w14:paraId="7D63DA94"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961"/>
        <w:gridCol w:w="1524"/>
        <w:gridCol w:w="1525"/>
        <w:gridCol w:w="3671"/>
      </w:tblGrid>
      <w:tr w:rsidR="005F1CF8" w:rsidRPr="00E2052F" w14:paraId="49D8F405" w14:textId="77777777" w:rsidTr="00456526">
        <w:trPr>
          <w:cantSplit/>
          <w:trHeight w:val="421"/>
          <w:jc w:val="center"/>
        </w:trPr>
        <w:tc>
          <w:tcPr>
            <w:tcW w:w="1422" w:type="dxa"/>
            <w:shd w:val="clear" w:color="auto" w:fill="D9E2F3" w:themeFill="accent1" w:themeFillTint="33"/>
            <w:vAlign w:val="bottom"/>
          </w:tcPr>
          <w:p w14:paraId="7AC54F2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983" w:type="dxa"/>
            <w:shd w:val="clear" w:color="auto" w:fill="D9E2F3" w:themeFill="accent1" w:themeFillTint="33"/>
            <w:vAlign w:val="bottom"/>
          </w:tcPr>
          <w:p w14:paraId="7E7B9BC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w:t>
            </w:r>
          </w:p>
        </w:tc>
        <w:tc>
          <w:tcPr>
            <w:tcW w:w="1559" w:type="dxa"/>
            <w:shd w:val="clear" w:color="auto" w:fill="D9E2F3" w:themeFill="accent1" w:themeFillTint="33"/>
            <w:vAlign w:val="bottom"/>
          </w:tcPr>
          <w:p w14:paraId="6715370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w:t>
            </w:r>
          </w:p>
        </w:tc>
        <w:tc>
          <w:tcPr>
            <w:tcW w:w="1560" w:type="dxa"/>
            <w:shd w:val="clear" w:color="auto" w:fill="D9E2F3" w:themeFill="accent1" w:themeFillTint="33"/>
            <w:vAlign w:val="bottom"/>
          </w:tcPr>
          <w:p w14:paraId="33ECF7D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R-deux ajusté</w:t>
            </w:r>
          </w:p>
        </w:tc>
        <w:tc>
          <w:tcPr>
            <w:tcW w:w="3755" w:type="dxa"/>
            <w:shd w:val="clear" w:color="auto" w:fill="D9E2F3" w:themeFill="accent1" w:themeFillTint="33"/>
            <w:vAlign w:val="bottom"/>
          </w:tcPr>
          <w:p w14:paraId="24ED977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 de l'estimation</w:t>
            </w:r>
          </w:p>
        </w:tc>
      </w:tr>
      <w:tr w:rsidR="005F1CF8" w:rsidRPr="00E2052F" w14:paraId="3A1E7E68" w14:textId="77777777" w:rsidTr="00456526">
        <w:trPr>
          <w:cantSplit/>
          <w:trHeight w:val="357"/>
          <w:jc w:val="center"/>
        </w:trPr>
        <w:tc>
          <w:tcPr>
            <w:tcW w:w="1422" w:type="dxa"/>
            <w:shd w:val="clear" w:color="auto" w:fill="D9E2F3" w:themeFill="accent1" w:themeFillTint="33"/>
          </w:tcPr>
          <w:p w14:paraId="23162F5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983" w:type="dxa"/>
          </w:tcPr>
          <w:p w14:paraId="2523206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w:t>
            </w:r>
            <w:r w:rsidR="00954716">
              <w:rPr>
                <w:rFonts w:cstheme="majorBidi"/>
                <w:kern w:val="2"/>
                <w:sz w:val="22"/>
              </w:rPr>
              <w:t>6</w:t>
            </w:r>
            <w:r w:rsidRPr="00E2052F">
              <w:rPr>
                <w:rFonts w:cstheme="majorBidi"/>
                <w:kern w:val="2"/>
                <w:sz w:val="22"/>
              </w:rPr>
              <w:t>09</w:t>
            </w:r>
            <w:r w:rsidRPr="00E2052F">
              <w:rPr>
                <w:rFonts w:cstheme="majorBidi"/>
                <w:kern w:val="2"/>
                <w:sz w:val="22"/>
                <w:vertAlign w:val="superscript"/>
              </w:rPr>
              <w:t>a</w:t>
            </w:r>
          </w:p>
        </w:tc>
        <w:tc>
          <w:tcPr>
            <w:tcW w:w="1559" w:type="dxa"/>
          </w:tcPr>
          <w:p w14:paraId="4F9EFCA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0.370</w:t>
            </w:r>
          </w:p>
        </w:tc>
        <w:tc>
          <w:tcPr>
            <w:tcW w:w="1560" w:type="dxa"/>
          </w:tcPr>
          <w:p w14:paraId="214FD92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0.368</w:t>
            </w:r>
          </w:p>
        </w:tc>
        <w:tc>
          <w:tcPr>
            <w:tcW w:w="3755" w:type="dxa"/>
          </w:tcPr>
          <w:p w14:paraId="0F4A8D6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0.495</w:t>
            </w:r>
          </w:p>
        </w:tc>
      </w:tr>
      <w:tr w:rsidR="005F1CF8" w:rsidRPr="00E2052F" w14:paraId="53180FE0" w14:textId="77777777" w:rsidTr="00456526">
        <w:trPr>
          <w:cantSplit/>
          <w:trHeight w:val="339"/>
          <w:jc w:val="center"/>
        </w:trPr>
        <w:tc>
          <w:tcPr>
            <w:tcW w:w="9279" w:type="dxa"/>
            <w:gridSpan w:val="5"/>
            <w:shd w:val="clear" w:color="auto" w:fill="FFFFFF"/>
          </w:tcPr>
          <w:p w14:paraId="3EE43027" w14:textId="77777777" w:rsidR="005F1CF8" w:rsidRPr="00E2052F" w:rsidRDefault="005F1CF8" w:rsidP="00456526">
            <w:pPr>
              <w:spacing w:before="0" w:beforeAutospacing="0" w:line="240" w:lineRule="auto"/>
              <w:rPr>
                <w:rFonts w:cstheme="majorBidi"/>
                <w:b/>
                <w:bCs/>
                <w:kern w:val="2"/>
                <w:sz w:val="22"/>
              </w:rPr>
            </w:pPr>
            <w:r w:rsidRPr="00E2052F">
              <w:rPr>
                <w:rFonts w:cstheme="majorBidi"/>
                <w:b/>
                <w:bCs/>
                <w:kern w:val="2"/>
                <w:sz w:val="22"/>
              </w:rPr>
              <w:t>a. Prédicteurs : (Constante), La transparence et la divulgation</w:t>
            </w:r>
          </w:p>
        </w:tc>
      </w:tr>
    </w:tbl>
    <w:p w14:paraId="5D25D7B2"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6"/>
        <w:gridCol w:w="1467"/>
        <w:gridCol w:w="1945"/>
        <w:gridCol w:w="901"/>
        <w:gridCol w:w="1572"/>
        <w:gridCol w:w="1170"/>
        <w:gridCol w:w="1181"/>
      </w:tblGrid>
      <w:tr w:rsidR="005F1CF8" w:rsidRPr="00E2052F" w14:paraId="51B9A492" w14:textId="77777777" w:rsidTr="00456526">
        <w:trPr>
          <w:cantSplit/>
          <w:trHeight w:val="320"/>
          <w:jc w:val="center"/>
        </w:trPr>
        <w:tc>
          <w:tcPr>
            <w:tcW w:w="9072" w:type="dxa"/>
            <w:gridSpan w:val="7"/>
            <w:shd w:val="clear" w:color="auto" w:fill="B4C6E7" w:themeFill="accent1" w:themeFillTint="66"/>
            <w:vAlign w:val="center"/>
          </w:tcPr>
          <w:p w14:paraId="0FD0A0E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6A79E00A" w14:textId="77777777" w:rsidTr="00456526">
        <w:trPr>
          <w:cantSplit/>
          <w:trHeight w:val="453"/>
          <w:jc w:val="center"/>
        </w:trPr>
        <w:tc>
          <w:tcPr>
            <w:tcW w:w="2303" w:type="dxa"/>
            <w:gridSpan w:val="2"/>
            <w:shd w:val="clear" w:color="auto" w:fill="D9E2F3" w:themeFill="accent1" w:themeFillTint="33"/>
            <w:vAlign w:val="bottom"/>
          </w:tcPr>
          <w:p w14:paraId="59EB4908"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45" w:type="dxa"/>
            <w:shd w:val="clear" w:color="auto" w:fill="D9E2F3" w:themeFill="accent1" w:themeFillTint="33"/>
            <w:vAlign w:val="bottom"/>
          </w:tcPr>
          <w:p w14:paraId="325DA98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1" w:type="dxa"/>
            <w:shd w:val="clear" w:color="auto" w:fill="D9E2F3" w:themeFill="accent1" w:themeFillTint="33"/>
            <w:vAlign w:val="bottom"/>
          </w:tcPr>
          <w:p w14:paraId="4E3C5510"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72" w:type="dxa"/>
            <w:shd w:val="clear" w:color="auto" w:fill="D9E2F3" w:themeFill="accent1" w:themeFillTint="33"/>
            <w:vAlign w:val="bottom"/>
          </w:tcPr>
          <w:p w14:paraId="7B981E2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0" w:type="dxa"/>
            <w:shd w:val="clear" w:color="auto" w:fill="D9E2F3" w:themeFill="accent1" w:themeFillTint="33"/>
            <w:vAlign w:val="bottom"/>
          </w:tcPr>
          <w:p w14:paraId="15CA9C9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81" w:type="dxa"/>
            <w:shd w:val="clear" w:color="auto" w:fill="D9E2F3" w:themeFill="accent1" w:themeFillTint="33"/>
            <w:vAlign w:val="bottom"/>
          </w:tcPr>
          <w:p w14:paraId="18E6D4A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2DBE43E3" w14:textId="77777777" w:rsidTr="00456526">
        <w:trPr>
          <w:cantSplit/>
          <w:trHeight w:val="221"/>
          <w:jc w:val="center"/>
        </w:trPr>
        <w:tc>
          <w:tcPr>
            <w:tcW w:w="836" w:type="dxa"/>
            <w:vMerge w:val="restart"/>
            <w:shd w:val="clear" w:color="auto" w:fill="D9E2F3" w:themeFill="accent1" w:themeFillTint="33"/>
          </w:tcPr>
          <w:p w14:paraId="6094CEC0" w14:textId="77777777" w:rsidR="005F1CF8" w:rsidRPr="00E2052F" w:rsidRDefault="005F1CF8" w:rsidP="00456526">
            <w:pPr>
              <w:spacing w:before="0" w:beforeAutospacing="0" w:line="240" w:lineRule="auto"/>
              <w:ind w:firstLine="0"/>
              <w:jc w:val="center"/>
              <w:rPr>
                <w:rFonts w:cstheme="majorBidi"/>
                <w:b/>
                <w:bCs/>
                <w:kern w:val="2"/>
                <w:sz w:val="22"/>
              </w:rPr>
            </w:pPr>
          </w:p>
          <w:p w14:paraId="47CC83E6"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7" w:type="dxa"/>
            <w:shd w:val="clear" w:color="auto" w:fill="D9E2F3" w:themeFill="accent1" w:themeFillTint="33"/>
          </w:tcPr>
          <w:p w14:paraId="0BECFAD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5" w:type="dxa"/>
          </w:tcPr>
          <w:p w14:paraId="1D5F5C8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42.849</w:t>
            </w:r>
          </w:p>
        </w:tc>
        <w:tc>
          <w:tcPr>
            <w:tcW w:w="901" w:type="dxa"/>
          </w:tcPr>
          <w:p w14:paraId="6E6E5646"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572" w:type="dxa"/>
          </w:tcPr>
          <w:p w14:paraId="19F0BF7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42.849</w:t>
            </w:r>
          </w:p>
        </w:tc>
        <w:tc>
          <w:tcPr>
            <w:tcW w:w="1170" w:type="dxa"/>
          </w:tcPr>
          <w:p w14:paraId="43EDA11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175.222</w:t>
            </w:r>
          </w:p>
        </w:tc>
        <w:tc>
          <w:tcPr>
            <w:tcW w:w="1181" w:type="dxa"/>
          </w:tcPr>
          <w:p w14:paraId="0E49513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1FECCA50" w14:textId="77777777" w:rsidTr="00456526">
        <w:trPr>
          <w:cantSplit/>
          <w:trHeight w:val="259"/>
          <w:jc w:val="center"/>
        </w:trPr>
        <w:tc>
          <w:tcPr>
            <w:tcW w:w="836" w:type="dxa"/>
            <w:vMerge/>
            <w:shd w:val="clear" w:color="auto" w:fill="D9E2F3" w:themeFill="accent1" w:themeFillTint="33"/>
          </w:tcPr>
          <w:p w14:paraId="773F342D" w14:textId="77777777" w:rsidR="005F1CF8" w:rsidRPr="00E2052F" w:rsidRDefault="005F1CF8" w:rsidP="00456526">
            <w:pPr>
              <w:spacing w:before="0" w:beforeAutospacing="0" w:line="240" w:lineRule="auto"/>
              <w:jc w:val="center"/>
              <w:rPr>
                <w:rFonts w:cstheme="majorBidi"/>
                <w:b/>
                <w:bCs/>
                <w:kern w:val="2"/>
                <w:sz w:val="22"/>
              </w:rPr>
            </w:pPr>
          </w:p>
        </w:tc>
        <w:tc>
          <w:tcPr>
            <w:tcW w:w="1467" w:type="dxa"/>
            <w:shd w:val="clear" w:color="auto" w:fill="D9E2F3" w:themeFill="accent1" w:themeFillTint="33"/>
          </w:tcPr>
          <w:p w14:paraId="4EC1A4F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5" w:type="dxa"/>
          </w:tcPr>
          <w:p w14:paraId="75E1C8D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72.872</w:t>
            </w:r>
          </w:p>
        </w:tc>
        <w:tc>
          <w:tcPr>
            <w:tcW w:w="901" w:type="dxa"/>
          </w:tcPr>
          <w:p w14:paraId="71E262F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2" w:type="dxa"/>
          </w:tcPr>
          <w:p w14:paraId="14FB00E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0.245</w:t>
            </w:r>
          </w:p>
        </w:tc>
        <w:tc>
          <w:tcPr>
            <w:tcW w:w="1170" w:type="dxa"/>
            <w:vAlign w:val="center"/>
          </w:tcPr>
          <w:p w14:paraId="7C5DBAA2" w14:textId="77777777" w:rsidR="005F1CF8" w:rsidRPr="00E2052F" w:rsidRDefault="005F1CF8" w:rsidP="00456526">
            <w:pPr>
              <w:spacing w:before="0" w:beforeAutospacing="0" w:line="240" w:lineRule="auto"/>
              <w:jc w:val="center"/>
              <w:rPr>
                <w:rFonts w:cstheme="majorBidi"/>
                <w:kern w:val="2"/>
                <w:sz w:val="22"/>
              </w:rPr>
            </w:pPr>
          </w:p>
        </w:tc>
        <w:tc>
          <w:tcPr>
            <w:tcW w:w="1181" w:type="dxa"/>
            <w:vAlign w:val="center"/>
          </w:tcPr>
          <w:p w14:paraId="32CDE591"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6344A348" w14:textId="77777777" w:rsidTr="00456526">
        <w:trPr>
          <w:cantSplit/>
          <w:trHeight w:val="259"/>
          <w:jc w:val="center"/>
        </w:trPr>
        <w:tc>
          <w:tcPr>
            <w:tcW w:w="836" w:type="dxa"/>
            <w:vMerge/>
            <w:shd w:val="clear" w:color="auto" w:fill="D9E2F3" w:themeFill="accent1" w:themeFillTint="33"/>
          </w:tcPr>
          <w:p w14:paraId="5A1A2259" w14:textId="77777777" w:rsidR="005F1CF8" w:rsidRPr="00E2052F" w:rsidRDefault="005F1CF8" w:rsidP="00456526">
            <w:pPr>
              <w:spacing w:before="0" w:beforeAutospacing="0" w:line="240" w:lineRule="auto"/>
              <w:jc w:val="center"/>
              <w:rPr>
                <w:rFonts w:cstheme="majorBidi"/>
                <w:b/>
                <w:bCs/>
                <w:kern w:val="2"/>
                <w:sz w:val="22"/>
              </w:rPr>
            </w:pPr>
          </w:p>
        </w:tc>
        <w:tc>
          <w:tcPr>
            <w:tcW w:w="1467" w:type="dxa"/>
            <w:shd w:val="clear" w:color="auto" w:fill="D9E2F3" w:themeFill="accent1" w:themeFillTint="33"/>
          </w:tcPr>
          <w:p w14:paraId="37A48E8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5" w:type="dxa"/>
          </w:tcPr>
          <w:p w14:paraId="3EFC442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1" w:type="dxa"/>
          </w:tcPr>
          <w:p w14:paraId="6ECF831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2" w:type="dxa"/>
            <w:vAlign w:val="center"/>
          </w:tcPr>
          <w:p w14:paraId="29E47A39" w14:textId="77777777" w:rsidR="005F1CF8" w:rsidRPr="00E2052F" w:rsidRDefault="005F1CF8" w:rsidP="00456526">
            <w:pPr>
              <w:spacing w:before="0" w:beforeAutospacing="0" w:line="240" w:lineRule="auto"/>
              <w:jc w:val="center"/>
              <w:rPr>
                <w:rFonts w:cstheme="majorBidi"/>
                <w:kern w:val="2"/>
                <w:sz w:val="22"/>
              </w:rPr>
            </w:pPr>
          </w:p>
        </w:tc>
        <w:tc>
          <w:tcPr>
            <w:tcW w:w="1170" w:type="dxa"/>
            <w:vAlign w:val="center"/>
          </w:tcPr>
          <w:p w14:paraId="3D319C2C" w14:textId="77777777" w:rsidR="005F1CF8" w:rsidRPr="00E2052F" w:rsidRDefault="005F1CF8" w:rsidP="00456526">
            <w:pPr>
              <w:spacing w:before="0" w:beforeAutospacing="0" w:line="240" w:lineRule="auto"/>
              <w:jc w:val="center"/>
              <w:rPr>
                <w:rFonts w:cstheme="majorBidi"/>
                <w:kern w:val="2"/>
                <w:sz w:val="22"/>
              </w:rPr>
            </w:pPr>
          </w:p>
        </w:tc>
        <w:tc>
          <w:tcPr>
            <w:tcW w:w="1181" w:type="dxa"/>
            <w:vAlign w:val="center"/>
          </w:tcPr>
          <w:p w14:paraId="3341180E"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30B4891C" w14:textId="77777777" w:rsidTr="00456526">
        <w:trPr>
          <w:cantSplit/>
          <w:trHeight w:val="320"/>
          <w:jc w:val="center"/>
        </w:trPr>
        <w:tc>
          <w:tcPr>
            <w:tcW w:w="9072" w:type="dxa"/>
            <w:gridSpan w:val="7"/>
            <w:shd w:val="clear" w:color="auto" w:fill="FFFFFF"/>
          </w:tcPr>
          <w:p w14:paraId="5B38E4F6"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lastRenderedPageBreak/>
              <w:t xml:space="preserve">     a. Variable dépendante : La responsabilité sociale des entreprises</w:t>
            </w:r>
          </w:p>
        </w:tc>
      </w:tr>
      <w:tr w:rsidR="005F1CF8" w:rsidRPr="00E2052F" w14:paraId="3433658D" w14:textId="77777777" w:rsidTr="00456526">
        <w:trPr>
          <w:cantSplit/>
          <w:trHeight w:val="320"/>
          <w:jc w:val="center"/>
        </w:trPr>
        <w:tc>
          <w:tcPr>
            <w:tcW w:w="9072" w:type="dxa"/>
            <w:gridSpan w:val="7"/>
            <w:shd w:val="clear" w:color="auto" w:fill="FFFFFF"/>
          </w:tcPr>
          <w:p w14:paraId="18FCC58D"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 xml:space="preserve">      b. Prédicteurs : (Constante), La transparence et la divulgation</w:t>
            </w:r>
          </w:p>
        </w:tc>
      </w:tr>
    </w:tbl>
    <w:p w14:paraId="32CB95F5"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5"/>
        <w:gridCol w:w="1710"/>
        <w:gridCol w:w="1307"/>
        <w:gridCol w:w="1593"/>
        <w:gridCol w:w="2487"/>
        <w:gridCol w:w="699"/>
        <w:gridCol w:w="581"/>
      </w:tblGrid>
      <w:tr w:rsidR="005F1CF8" w:rsidRPr="00E2052F" w14:paraId="32926FB1" w14:textId="77777777" w:rsidTr="00456526">
        <w:trPr>
          <w:cantSplit/>
          <w:jc w:val="center"/>
        </w:trPr>
        <w:tc>
          <w:tcPr>
            <w:tcW w:w="9072" w:type="dxa"/>
            <w:gridSpan w:val="7"/>
            <w:shd w:val="clear" w:color="auto" w:fill="B4C6E7" w:themeFill="accent1" w:themeFillTint="66"/>
            <w:vAlign w:val="center"/>
          </w:tcPr>
          <w:p w14:paraId="4744B9A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5619162B" w14:textId="77777777" w:rsidTr="00456526">
        <w:trPr>
          <w:cantSplit/>
          <w:jc w:val="center"/>
        </w:trPr>
        <w:tc>
          <w:tcPr>
            <w:tcW w:w="2405" w:type="dxa"/>
            <w:gridSpan w:val="2"/>
            <w:vMerge w:val="restart"/>
            <w:shd w:val="clear" w:color="auto" w:fill="D9E2F3" w:themeFill="accent1" w:themeFillTint="33"/>
            <w:vAlign w:val="bottom"/>
          </w:tcPr>
          <w:p w14:paraId="36D3AC1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900" w:type="dxa"/>
            <w:gridSpan w:val="2"/>
            <w:shd w:val="clear" w:color="auto" w:fill="D9E2F3" w:themeFill="accent1" w:themeFillTint="33"/>
            <w:vAlign w:val="bottom"/>
          </w:tcPr>
          <w:p w14:paraId="717E09E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487" w:type="dxa"/>
            <w:shd w:val="clear" w:color="auto" w:fill="D9E2F3" w:themeFill="accent1" w:themeFillTint="33"/>
            <w:vAlign w:val="bottom"/>
          </w:tcPr>
          <w:p w14:paraId="0B4EE66C"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699" w:type="dxa"/>
            <w:vMerge w:val="restart"/>
            <w:shd w:val="clear" w:color="auto" w:fill="D9E2F3" w:themeFill="accent1" w:themeFillTint="33"/>
            <w:vAlign w:val="bottom"/>
          </w:tcPr>
          <w:p w14:paraId="6CEA685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581" w:type="dxa"/>
            <w:vMerge w:val="restart"/>
            <w:shd w:val="clear" w:color="auto" w:fill="D9E2F3" w:themeFill="accent1" w:themeFillTint="33"/>
            <w:vAlign w:val="bottom"/>
          </w:tcPr>
          <w:p w14:paraId="77B0D64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56E0124C" w14:textId="77777777" w:rsidTr="00456526">
        <w:trPr>
          <w:cantSplit/>
          <w:jc w:val="center"/>
        </w:trPr>
        <w:tc>
          <w:tcPr>
            <w:tcW w:w="2405" w:type="dxa"/>
            <w:gridSpan w:val="2"/>
            <w:vMerge/>
            <w:shd w:val="clear" w:color="auto" w:fill="D9E2F3" w:themeFill="accent1" w:themeFillTint="33"/>
            <w:vAlign w:val="bottom"/>
          </w:tcPr>
          <w:p w14:paraId="1B744844" w14:textId="77777777" w:rsidR="005F1CF8" w:rsidRPr="00E2052F" w:rsidRDefault="005F1CF8" w:rsidP="00456526">
            <w:pPr>
              <w:spacing w:before="0" w:beforeAutospacing="0" w:line="240" w:lineRule="auto"/>
              <w:jc w:val="center"/>
              <w:rPr>
                <w:rFonts w:cstheme="majorBidi"/>
                <w:b/>
                <w:bCs/>
                <w:kern w:val="2"/>
                <w:sz w:val="22"/>
              </w:rPr>
            </w:pPr>
          </w:p>
        </w:tc>
        <w:tc>
          <w:tcPr>
            <w:tcW w:w="1307" w:type="dxa"/>
            <w:shd w:val="clear" w:color="auto" w:fill="D9E2F3" w:themeFill="accent1" w:themeFillTint="33"/>
            <w:vAlign w:val="bottom"/>
          </w:tcPr>
          <w:p w14:paraId="5705079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593" w:type="dxa"/>
            <w:shd w:val="clear" w:color="auto" w:fill="D9E2F3" w:themeFill="accent1" w:themeFillTint="33"/>
            <w:vAlign w:val="bottom"/>
          </w:tcPr>
          <w:p w14:paraId="7701BA45"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Erreur standard</w:t>
            </w:r>
          </w:p>
        </w:tc>
        <w:tc>
          <w:tcPr>
            <w:tcW w:w="2487" w:type="dxa"/>
            <w:shd w:val="clear" w:color="auto" w:fill="D9E2F3" w:themeFill="accent1" w:themeFillTint="33"/>
            <w:vAlign w:val="bottom"/>
          </w:tcPr>
          <w:p w14:paraId="1853D7A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Bêta</w:t>
            </w:r>
          </w:p>
        </w:tc>
        <w:tc>
          <w:tcPr>
            <w:tcW w:w="699" w:type="dxa"/>
            <w:vMerge/>
            <w:shd w:val="clear" w:color="auto" w:fill="D9E2F3" w:themeFill="accent1" w:themeFillTint="33"/>
            <w:vAlign w:val="bottom"/>
          </w:tcPr>
          <w:p w14:paraId="63854C21" w14:textId="77777777" w:rsidR="005F1CF8" w:rsidRPr="00E2052F" w:rsidRDefault="005F1CF8" w:rsidP="00456526">
            <w:pPr>
              <w:spacing w:before="0" w:beforeAutospacing="0" w:line="240" w:lineRule="auto"/>
              <w:jc w:val="center"/>
              <w:rPr>
                <w:rFonts w:cstheme="majorBidi"/>
                <w:b/>
                <w:bCs/>
                <w:kern w:val="2"/>
                <w:sz w:val="22"/>
              </w:rPr>
            </w:pPr>
          </w:p>
        </w:tc>
        <w:tc>
          <w:tcPr>
            <w:tcW w:w="581" w:type="dxa"/>
            <w:vMerge/>
            <w:shd w:val="clear" w:color="auto" w:fill="D9E2F3" w:themeFill="accent1" w:themeFillTint="33"/>
            <w:vAlign w:val="bottom"/>
          </w:tcPr>
          <w:p w14:paraId="0BC670BF"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6B653CAC" w14:textId="77777777" w:rsidTr="00456526">
        <w:trPr>
          <w:cantSplit/>
          <w:jc w:val="center"/>
        </w:trPr>
        <w:tc>
          <w:tcPr>
            <w:tcW w:w="695" w:type="dxa"/>
            <w:vMerge w:val="restart"/>
            <w:shd w:val="clear" w:color="auto" w:fill="D9E2F3" w:themeFill="accent1" w:themeFillTint="33"/>
          </w:tcPr>
          <w:p w14:paraId="6D2ACF50" w14:textId="77777777" w:rsidR="005F1CF8" w:rsidRPr="00E2052F" w:rsidRDefault="005F1CF8" w:rsidP="00456526">
            <w:pPr>
              <w:spacing w:before="0" w:beforeAutospacing="0" w:line="240" w:lineRule="auto"/>
              <w:jc w:val="center"/>
              <w:rPr>
                <w:rFonts w:cstheme="majorBidi"/>
                <w:b/>
                <w:bCs/>
                <w:kern w:val="2"/>
                <w:sz w:val="22"/>
              </w:rPr>
            </w:pPr>
          </w:p>
          <w:p w14:paraId="1E602ADF"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710" w:type="dxa"/>
            <w:shd w:val="clear" w:color="auto" w:fill="D9E2F3" w:themeFill="accent1" w:themeFillTint="33"/>
          </w:tcPr>
          <w:p w14:paraId="6A597BC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1307" w:type="dxa"/>
          </w:tcPr>
          <w:p w14:paraId="05EDBE0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1.703</w:t>
            </w:r>
          </w:p>
        </w:tc>
        <w:tc>
          <w:tcPr>
            <w:tcW w:w="1593" w:type="dxa"/>
          </w:tcPr>
          <w:p w14:paraId="0C9F2839"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0.175</w:t>
            </w:r>
          </w:p>
        </w:tc>
        <w:tc>
          <w:tcPr>
            <w:tcW w:w="2487" w:type="dxa"/>
            <w:vAlign w:val="center"/>
          </w:tcPr>
          <w:p w14:paraId="50D6CFD9" w14:textId="77777777" w:rsidR="005F1CF8" w:rsidRPr="00E2052F" w:rsidRDefault="005F1CF8" w:rsidP="00456526">
            <w:pPr>
              <w:spacing w:before="0" w:beforeAutospacing="0" w:line="240" w:lineRule="auto"/>
              <w:jc w:val="center"/>
              <w:rPr>
                <w:rFonts w:cstheme="majorBidi"/>
                <w:kern w:val="2"/>
                <w:sz w:val="22"/>
              </w:rPr>
            </w:pPr>
          </w:p>
        </w:tc>
        <w:tc>
          <w:tcPr>
            <w:tcW w:w="699" w:type="dxa"/>
          </w:tcPr>
          <w:p w14:paraId="5BF09A1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9.717</w:t>
            </w:r>
          </w:p>
        </w:tc>
        <w:tc>
          <w:tcPr>
            <w:tcW w:w="581" w:type="dxa"/>
          </w:tcPr>
          <w:p w14:paraId="385336A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439D3B81" w14:textId="77777777" w:rsidTr="00456526">
        <w:trPr>
          <w:cantSplit/>
          <w:jc w:val="center"/>
        </w:trPr>
        <w:tc>
          <w:tcPr>
            <w:tcW w:w="695" w:type="dxa"/>
            <w:vMerge/>
            <w:shd w:val="clear" w:color="auto" w:fill="D9E2F3" w:themeFill="accent1" w:themeFillTint="33"/>
          </w:tcPr>
          <w:p w14:paraId="25D58AAC" w14:textId="77777777" w:rsidR="005F1CF8" w:rsidRPr="00E2052F" w:rsidRDefault="005F1CF8" w:rsidP="00456526">
            <w:pPr>
              <w:spacing w:before="0" w:beforeAutospacing="0" w:line="240" w:lineRule="auto"/>
              <w:jc w:val="center"/>
              <w:rPr>
                <w:rFonts w:cstheme="majorBidi"/>
                <w:b/>
                <w:bCs/>
                <w:kern w:val="2"/>
                <w:sz w:val="22"/>
              </w:rPr>
            </w:pPr>
          </w:p>
        </w:tc>
        <w:tc>
          <w:tcPr>
            <w:tcW w:w="1710" w:type="dxa"/>
            <w:shd w:val="clear" w:color="auto" w:fill="D9E2F3" w:themeFill="accent1" w:themeFillTint="33"/>
          </w:tcPr>
          <w:p w14:paraId="0C35A973"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La transparence et la divulgation</w:t>
            </w:r>
          </w:p>
        </w:tc>
        <w:tc>
          <w:tcPr>
            <w:tcW w:w="1307" w:type="dxa"/>
          </w:tcPr>
          <w:p w14:paraId="01B266C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0.556</w:t>
            </w:r>
          </w:p>
        </w:tc>
        <w:tc>
          <w:tcPr>
            <w:tcW w:w="1593" w:type="dxa"/>
          </w:tcPr>
          <w:p w14:paraId="341D135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0.042</w:t>
            </w:r>
          </w:p>
        </w:tc>
        <w:tc>
          <w:tcPr>
            <w:tcW w:w="2487" w:type="dxa"/>
          </w:tcPr>
          <w:p w14:paraId="5A7BDBE7"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0.609</w:t>
            </w:r>
          </w:p>
        </w:tc>
        <w:tc>
          <w:tcPr>
            <w:tcW w:w="699" w:type="dxa"/>
          </w:tcPr>
          <w:p w14:paraId="5CB021F4"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13.237</w:t>
            </w:r>
          </w:p>
        </w:tc>
        <w:tc>
          <w:tcPr>
            <w:tcW w:w="581" w:type="dxa"/>
          </w:tcPr>
          <w:p w14:paraId="6C138333"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6E134406" w14:textId="77777777" w:rsidTr="00456526">
        <w:trPr>
          <w:cantSplit/>
          <w:trHeight w:val="401"/>
          <w:jc w:val="center"/>
        </w:trPr>
        <w:tc>
          <w:tcPr>
            <w:tcW w:w="9072" w:type="dxa"/>
            <w:gridSpan w:val="7"/>
            <w:shd w:val="clear" w:color="auto" w:fill="FFFFFF"/>
          </w:tcPr>
          <w:p w14:paraId="0200A6FF"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 xml:space="preserve">      a. Variable dépendante : La responsabilité sociale des entreprises</w:t>
            </w:r>
          </w:p>
        </w:tc>
      </w:tr>
    </w:tbl>
    <w:p w14:paraId="74258DA5"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1"/>
        <w:gridCol w:w="1263"/>
        <w:gridCol w:w="1462"/>
        <w:gridCol w:w="1549"/>
        <w:gridCol w:w="3407"/>
      </w:tblGrid>
      <w:tr w:rsidR="005F1CF8" w:rsidRPr="00E2052F" w14:paraId="7B543534" w14:textId="77777777" w:rsidTr="00456526">
        <w:trPr>
          <w:cantSplit/>
          <w:trHeight w:val="560"/>
          <w:jc w:val="center"/>
        </w:trPr>
        <w:tc>
          <w:tcPr>
            <w:tcW w:w="1391" w:type="dxa"/>
            <w:shd w:val="clear" w:color="auto" w:fill="D9E2F3" w:themeFill="accent1" w:themeFillTint="33"/>
            <w:vAlign w:val="bottom"/>
          </w:tcPr>
          <w:p w14:paraId="5FB7E043"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Modèle</w:t>
            </w:r>
          </w:p>
        </w:tc>
        <w:tc>
          <w:tcPr>
            <w:tcW w:w="1263" w:type="dxa"/>
            <w:shd w:val="clear" w:color="auto" w:fill="D9E2F3" w:themeFill="accent1" w:themeFillTint="33"/>
            <w:vAlign w:val="bottom"/>
          </w:tcPr>
          <w:p w14:paraId="2C2344C8"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R</w:t>
            </w:r>
          </w:p>
        </w:tc>
        <w:tc>
          <w:tcPr>
            <w:tcW w:w="1462" w:type="dxa"/>
            <w:shd w:val="clear" w:color="auto" w:fill="D9E2F3" w:themeFill="accent1" w:themeFillTint="33"/>
            <w:vAlign w:val="bottom"/>
          </w:tcPr>
          <w:p w14:paraId="60126959"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R-deux</w:t>
            </w:r>
          </w:p>
        </w:tc>
        <w:tc>
          <w:tcPr>
            <w:tcW w:w="1549" w:type="dxa"/>
            <w:shd w:val="clear" w:color="auto" w:fill="D9E2F3" w:themeFill="accent1" w:themeFillTint="33"/>
            <w:vAlign w:val="bottom"/>
          </w:tcPr>
          <w:p w14:paraId="3D605A1E"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R-deux ajusté</w:t>
            </w:r>
          </w:p>
        </w:tc>
        <w:tc>
          <w:tcPr>
            <w:tcW w:w="3407" w:type="dxa"/>
            <w:shd w:val="clear" w:color="auto" w:fill="D9E2F3" w:themeFill="accent1" w:themeFillTint="33"/>
            <w:vAlign w:val="bottom"/>
          </w:tcPr>
          <w:p w14:paraId="346E021F"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Erreur standard de l'estimation</w:t>
            </w:r>
          </w:p>
        </w:tc>
      </w:tr>
      <w:tr w:rsidR="005F1CF8" w:rsidRPr="00E2052F" w14:paraId="14FE627E" w14:textId="77777777" w:rsidTr="00456526">
        <w:trPr>
          <w:cantSplit/>
          <w:trHeight w:val="395"/>
          <w:jc w:val="center"/>
        </w:trPr>
        <w:tc>
          <w:tcPr>
            <w:tcW w:w="1391" w:type="dxa"/>
            <w:shd w:val="clear" w:color="auto" w:fill="D9E2F3" w:themeFill="accent1" w:themeFillTint="33"/>
          </w:tcPr>
          <w:p w14:paraId="6889F2D7"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1</w:t>
            </w:r>
          </w:p>
        </w:tc>
        <w:tc>
          <w:tcPr>
            <w:tcW w:w="1263" w:type="dxa"/>
          </w:tcPr>
          <w:p w14:paraId="0F361220" w14:textId="77777777" w:rsidR="005F1CF8" w:rsidRPr="00E2052F" w:rsidRDefault="005F1CF8" w:rsidP="00456526">
            <w:pPr>
              <w:spacing w:before="0" w:beforeAutospacing="0" w:line="240" w:lineRule="auto"/>
              <w:ind w:firstLine="0"/>
              <w:jc w:val="center"/>
              <w:rPr>
                <w:rFonts w:cstheme="majorBidi"/>
                <w:sz w:val="22"/>
              </w:rPr>
            </w:pPr>
            <w:r w:rsidRPr="00E2052F">
              <w:rPr>
                <w:rFonts w:cstheme="majorBidi"/>
                <w:sz w:val="22"/>
              </w:rPr>
              <w:t>0.719</w:t>
            </w:r>
            <w:r w:rsidRPr="00E2052F">
              <w:rPr>
                <w:rFonts w:cstheme="majorBidi"/>
                <w:sz w:val="22"/>
                <w:vertAlign w:val="superscript"/>
              </w:rPr>
              <w:t>a</w:t>
            </w:r>
          </w:p>
        </w:tc>
        <w:tc>
          <w:tcPr>
            <w:tcW w:w="1462" w:type="dxa"/>
          </w:tcPr>
          <w:p w14:paraId="28621E4F" w14:textId="77777777" w:rsidR="005F1CF8" w:rsidRPr="00E2052F" w:rsidRDefault="005F1CF8" w:rsidP="00456526">
            <w:pPr>
              <w:spacing w:before="0" w:beforeAutospacing="0" w:line="240" w:lineRule="auto"/>
              <w:ind w:firstLine="0"/>
              <w:jc w:val="center"/>
              <w:rPr>
                <w:rFonts w:cstheme="majorBidi"/>
                <w:sz w:val="22"/>
              </w:rPr>
            </w:pPr>
            <w:r w:rsidRPr="00E2052F">
              <w:rPr>
                <w:rFonts w:cstheme="majorBidi"/>
                <w:sz w:val="22"/>
              </w:rPr>
              <w:t>0.518</w:t>
            </w:r>
          </w:p>
        </w:tc>
        <w:tc>
          <w:tcPr>
            <w:tcW w:w="1549" w:type="dxa"/>
          </w:tcPr>
          <w:p w14:paraId="57317784" w14:textId="77777777" w:rsidR="005F1CF8" w:rsidRPr="00E2052F" w:rsidRDefault="005F1CF8" w:rsidP="00456526">
            <w:pPr>
              <w:spacing w:before="0" w:beforeAutospacing="0" w:line="240" w:lineRule="auto"/>
              <w:ind w:firstLine="0"/>
              <w:jc w:val="center"/>
              <w:rPr>
                <w:rFonts w:cstheme="majorBidi"/>
                <w:sz w:val="22"/>
              </w:rPr>
            </w:pPr>
            <w:r w:rsidRPr="00E2052F">
              <w:rPr>
                <w:rFonts w:cstheme="majorBidi"/>
                <w:sz w:val="22"/>
              </w:rPr>
              <w:t>0.516</w:t>
            </w:r>
          </w:p>
        </w:tc>
        <w:tc>
          <w:tcPr>
            <w:tcW w:w="3407" w:type="dxa"/>
          </w:tcPr>
          <w:p w14:paraId="1FC2F359" w14:textId="77777777" w:rsidR="005F1CF8" w:rsidRPr="00E2052F" w:rsidRDefault="005F1CF8" w:rsidP="00456526">
            <w:pPr>
              <w:spacing w:before="0" w:beforeAutospacing="0" w:line="240" w:lineRule="auto"/>
              <w:ind w:firstLine="0"/>
              <w:jc w:val="center"/>
              <w:rPr>
                <w:rFonts w:cstheme="majorBidi"/>
                <w:sz w:val="22"/>
              </w:rPr>
            </w:pPr>
            <w:r w:rsidRPr="00E2052F">
              <w:rPr>
                <w:rFonts w:cstheme="majorBidi"/>
                <w:sz w:val="22"/>
              </w:rPr>
              <w:t>0.433</w:t>
            </w:r>
          </w:p>
        </w:tc>
      </w:tr>
      <w:tr w:rsidR="005F1CF8" w:rsidRPr="00E2052F" w14:paraId="1185709A" w14:textId="77777777" w:rsidTr="00456526">
        <w:trPr>
          <w:cantSplit/>
          <w:trHeight w:val="437"/>
          <w:jc w:val="center"/>
        </w:trPr>
        <w:tc>
          <w:tcPr>
            <w:tcW w:w="9072" w:type="dxa"/>
            <w:gridSpan w:val="5"/>
            <w:shd w:val="clear" w:color="auto" w:fill="FFFFFF"/>
          </w:tcPr>
          <w:p w14:paraId="7E154859" w14:textId="77777777" w:rsidR="005F1CF8" w:rsidRPr="00E2052F" w:rsidRDefault="005F1CF8" w:rsidP="00456526">
            <w:pPr>
              <w:spacing w:before="0" w:beforeAutospacing="0" w:line="240" w:lineRule="auto"/>
              <w:ind w:firstLine="0"/>
              <w:jc w:val="center"/>
              <w:rPr>
                <w:rFonts w:cstheme="majorBidi"/>
                <w:b/>
                <w:bCs/>
                <w:sz w:val="22"/>
              </w:rPr>
            </w:pPr>
            <w:r w:rsidRPr="00E2052F">
              <w:rPr>
                <w:rFonts w:cstheme="majorBidi"/>
                <w:b/>
                <w:bCs/>
                <w:sz w:val="22"/>
              </w:rPr>
              <w:t>a. Prédicteurs : (Constante), La responsabilité du conseil d'administration</w:t>
            </w:r>
          </w:p>
        </w:tc>
      </w:tr>
    </w:tbl>
    <w:p w14:paraId="473D7792"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8"/>
        <w:gridCol w:w="1468"/>
        <w:gridCol w:w="1942"/>
        <w:gridCol w:w="906"/>
        <w:gridCol w:w="1573"/>
        <w:gridCol w:w="1171"/>
        <w:gridCol w:w="1174"/>
      </w:tblGrid>
      <w:tr w:rsidR="005F1CF8" w:rsidRPr="00E2052F" w14:paraId="3862E074" w14:textId="77777777" w:rsidTr="00456526">
        <w:trPr>
          <w:cantSplit/>
          <w:trHeight w:val="282"/>
          <w:jc w:val="center"/>
        </w:trPr>
        <w:tc>
          <w:tcPr>
            <w:tcW w:w="9072" w:type="dxa"/>
            <w:gridSpan w:val="7"/>
            <w:shd w:val="clear" w:color="auto" w:fill="B4C6E7" w:themeFill="accent1" w:themeFillTint="66"/>
            <w:vAlign w:val="center"/>
          </w:tcPr>
          <w:p w14:paraId="1C20FBA6"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ANOVA</w:t>
            </w:r>
            <w:r w:rsidRPr="00E2052F">
              <w:rPr>
                <w:rFonts w:cstheme="majorBidi"/>
                <w:b/>
                <w:bCs/>
                <w:kern w:val="2"/>
                <w:sz w:val="22"/>
                <w:vertAlign w:val="superscript"/>
              </w:rPr>
              <w:t>a</w:t>
            </w:r>
          </w:p>
        </w:tc>
      </w:tr>
      <w:tr w:rsidR="005F1CF8" w:rsidRPr="00E2052F" w14:paraId="7C655D5C" w14:textId="77777777" w:rsidTr="00456526">
        <w:trPr>
          <w:cantSplit/>
          <w:trHeight w:val="577"/>
          <w:jc w:val="center"/>
        </w:trPr>
        <w:tc>
          <w:tcPr>
            <w:tcW w:w="2306" w:type="dxa"/>
            <w:gridSpan w:val="2"/>
            <w:shd w:val="clear" w:color="auto" w:fill="D9E2F3" w:themeFill="accent1" w:themeFillTint="33"/>
            <w:vAlign w:val="bottom"/>
          </w:tcPr>
          <w:p w14:paraId="4449911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1942" w:type="dxa"/>
            <w:shd w:val="clear" w:color="auto" w:fill="D9E2F3" w:themeFill="accent1" w:themeFillTint="33"/>
            <w:vAlign w:val="bottom"/>
          </w:tcPr>
          <w:p w14:paraId="5550F09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Somme des carrés</w:t>
            </w:r>
          </w:p>
        </w:tc>
        <w:tc>
          <w:tcPr>
            <w:tcW w:w="906" w:type="dxa"/>
            <w:shd w:val="clear" w:color="auto" w:fill="D9E2F3" w:themeFill="accent1" w:themeFillTint="33"/>
            <w:vAlign w:val="bottom"/>
          </w:tcPr>
          <w:p w14:paraId="1D2B59CE"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ddl</w:t>
            </w:r>
          </w:p>
        </w:tc>
        <w:tc>
          <w:tcPr>
            <w:tcW w:w="1573" w:type="dxa"/>
            <w:shd w:val="clear" w:color="auto" w:fill="D9E2F3" w:themeFill="accent1" w:themeFillTint="33"/>
            <w:vAlign w:val="bottom"/>
          </w:tcPr>
          <w:p w14:paraId="2320F21A"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Carré moyen</w:t>
            </w:r>
          </w:p>
        </w:tc>
        <w:tc>
          <w:tcPr>
            <w:tcW w:w="1171" w:type="dxa"/>
            <w:shd w:val="clear" w:color="auto" w:fill="D9E2F3" w:themeFill="accent1" w:themeFillTint="33"/>
            <w:vAlign w:val="bottom"/>
          </w:tcPr>
          <w:p w14:paraId="41F4A71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F</w:t>
            </w:r>
          </w:p>
        </w:tc>
        <w:tc>
          <w:tcPr>
            <w:tcW w:w="1174" w:type="dxa"/>
            <w:shd w:val="clear" w:color="auto" w:fill="D9E2F3" w:themeFill="accent1" w:themeFillTint="33"/>
            <w:vAlign w:val="bottom"/>
          </w:tcPr>
          <w:p w14:paraId="61BBCAF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3B9D306D" w14:textId="77777777" w:rsidTr="00456526">
        <w:trPr>
          <w:cantSplit/>
          <w:trHeight w:val="294"/>
          <w:jc w:val="center"/>
        </w:trPr>
        <w:tc>
          <w:tcPr>
            <w:tcW w:w="838" w:type="dxa"/>
            <w:vMerge w:val="restart"/>
            <w:shd w:val="clear" w:color="auto" w:fill="D9E2F3" w:themeFill="accent1" w:themeFillTint="33"/>
          </w:tcPr>
          <w:p w14:paraId="57BB7C25" w14:textId="77777777" w:rsidR="005F1CF8" w:rsidRPr="00E2052F" w:rsidRDefault="005F1CF8" w:rsidP="00456526">
            <w:pPr>
              <w:spacing w:before="0" w:beforeAutospacing="0" w:line="240" w:lineRule="auto"/>
              <w:ind w:firstLine="0"/>
              <w:jc w:val="center"/>
              <w:rPr>
                <w:rFonts w:cstheme="majorBidi"/>
                <w:b/>
                <w:bCs/>
                <w:kern w:val="2"/>
                <w:sz w:val="22"/>
              </w:rPr>
            </w:pPr>
          </w:p>
          <w:p w14:paraId="4E967CA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tc>
        <w:tc>
          <w:tcPr>
            <w:tcW w:w="1468" w:type="dxa"/>
            <w:shd w:val="clear" w:color="auto" w:fill="D9E2F3" w:themeFill="accent1" w:themeFillTint="33"/>
          </w:tcPr>
          <w:p w14:paraId="7E39952B"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Régression</w:t>
            </w:r>
          </w:p>
        </w:tc>
        <w:tc>
          <w:tcPr>
            <w:tcW w:w="1942" w:type="dxa"/>
          </w:tcPr>
          <w:p w14:paraId="021C85C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59.894</w:t>
            </w:r>
          </w:p>
        </w:tc>
        <w:tc>
          <w:tcPr>
            <w:tcW w:w="906" w:type="dxa"/>
          </w:tcPr>
          <w:p w14:paraId="1B4550E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w:t>
            </w:r>
          </w:p>
        </w:tc>
        <w:tc>
          <w:tcPr>
            <w:tcW w:w="1573" w:type="dxa"/>
          </w:tcPr>
          <w:p w14:paraId="4D3D827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59.894</w:t>
            </w:r>
          </w:p>
        </w:tc>
        <w:tc>
          <w:tcPr>
            <w:tcW w:w="1171" w:type="dxa"/>
          </w:tcPr>
          <w:p w14:paraId="4BC1EF5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319.712</w:t>
            </w:r>
          </w:p>
        </w:tc>
        <w:tc>
          <w:tcPr>
            <w:tcW w:w="1174" w:type="dxa"/>
          </w:tcPr>
          <w:p w14:paraId="6A07784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r w:rsidRPr="00E2052F">
              <w:rPr>
                <w:rFonts w:cstheme="majorBidi"/>
                <w:kern w:val="2"/>
                <w:sz w:val="22"/>
                <w:vertAlign w:val="superscript"/>
              </w:rPr>
              <w:t>b</w:t>
            </w:r>
          </w:p>
        </w:tc>
      </w:tr>
      <w:tr w:rsidR="005F1CF8" w:rsidRPr="00E2052F" w14:paraId="5A9BFF44" w14:textId="77777777" w:rsidTr="00456526">
        <w:trPr>
          <w:cantSplit/>
          <w:trHeight w:val="294"/>
          <w:jc w:val="center"/>
        </w:trPr>
        <w:tc>
          <w:tcPr>
            <w:tcW w:w="838" w:type="dxa"/>
            <w:vMerge/>
            <w:shd w:val="clear" w:color="auto" w:fill="D9E2F3" w:themeFill="accent1" w:themeFillTint="33"/>
          </w:tcPr>
          <w:p w14:paraId="1857A522" w14:textId="77777777" w:rsidR="005F1CF8" w:rsidRPr="00E2052F" w:rsidRDefault="005F1CF8" w:rsidP="00456526">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7566D38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de Student</w:t>
            </w:r>
          </w:p>
        </w:tc>
        <w:tc>
          <w:tcPr>
            <w:tcW w:w="1942" w:type="dxa"/>
          </w:tcPr>
          <w:p w14:paraId="04CDDB81"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55.827</w:t>
            </w:r>
          </w:p>
        </w:tc>
        <w:tc>
          <w:tcPr>
            <w:tcW w:w="906" w:type="dxa"/>
          </w:tcPr>
          <w:p w14:paraId="686AA84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298</w:t>
            </w:r>
          </w:p>
        </w:tc>
        <w:tc>
          <w:tcPr>
            <w:tcW w:w="1573" w:type="dxa"/>
          </w:tcPr>
          <w:p w14:paraId="5EC6590C"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0.187</w:t>
            </w:r>
          </w:p>
        </w:tc>
        <w:tc>
          <w:tcPr>
            <w:tcW w:w="1171" w:type="dxa"/>
            <w:vAlign w:val="center"/>
          </w:tcPr>
          <w:p w14:paraId="7A531678" w14:textId="77777777" w:rsidR="005F1CF8" w:rsidRPr="00E2052F" w:rsidRDefault="005F1CF8" w:rsidP="00456526">
            <w:pPr>
              <w:spacing w:before="0" w:beforeAutospacing="0" w:line="240" w:lineRule="auto"/>
              <w:jc w:val="center"/>
              <w:rPr>
                <w:rFonts w:cstheme="majorBidi"/>
                <w:kern w:val="2"/>
                <w:sz w:val="22"/>
              </w:rPr>
            </w:pPr>
          </w:p>
        </w:tc>
        <w:tc>
          <w:tcPr>
            <w:tcW w:w="1174" w:type="dxa"/>
            <w:vAlign w:val="center"/>
          </w:tcPr>
          <w:p w14:paraId="6091F61F"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56221596" w14:textId="77777777" w:rsidTr="00456526">
        <w:trPr>
          <w:cantSplit/>
          <w:trHeight w:val="294"/>
          <w:jc w:val="center"/>
        </w:trPr>
        <w:tc>
          <w:tcPr>
            <w:tcW w:w="838" w:type="dxa"/>
            <w:vMerge/>
            <w:shd w:val="clear" w:color="auto" w:fill="D9E2F3" w:themeFill="accent1" w:themeFillTint="33"/>
          </w:tcPr>
          <w:p w14:paraId="2D9CC525" w14:textId="77777777" w:rsidR="005F1CF8" w:rsidRPr="00E2052F" w:rsidRDefault="005F1CF8" w:rsidP="00456526">
            <w:pPr>
              <w:spacing w:before="0" w:beforeAutospacing="0" w:line="240" w:lineRule="auto"/>
              <w:jc w:val="center"/>
              <w:rPr>
                <w:rFonts w:cstheme="majorBidi"/>
                <w:b/>
                <w:bCs/>
                <w:kern w:val="2"/>
                <w:sz w:val="22"/>
              </w:rPr>
            </w:pPr>
          </w:p>
        </w:tc>
        <w:tc>
          <w:tcPr>
            <w:tcW w:w="1468" w:type="dxa"/>
            <w:shd w:val="clear" w:color="auto" w:fill="D9E2F3" w:themeFill="accent1" w:themeFillTint="33"/>
          </w:tcPr>
          <w:p w14:paraId="7243F66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Total</w:t>
            </w:r>
          </w:p>
        </w:tc>
        <w:tc>
          <w:tcPr>
            <w:tcW w:w="1942" w:type="dxa"/>
          </w:tcPr>
          <w:p w14:paraId="3451B99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115.721</w:t>
            </w:r>
          </w:p>
        </w:tc>
        <w:tc>
          <w:tcPr>
            <w:tcW w:w="906" w:type="dxa"/>
          </w:tcPr>
          <w:p w14:paraId="3E48E730"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299</w:t>
            </w:r>
          </w:p>
        </w:tc>
        <w:tc>
          <w:tcPr>
            <w:tcW w:w="1573" w:type="dxa"/>
            <w:vAlign w:val="center"/>
          </w:tcPr>
          <w:p w14:paraId="0DD9EB6A" w14:textId="77777777" w:rsidR="005F1CF8" w:rsidRPr="00E2052F" w:rsidRDefault="005F1CF8" w:rsidP="00456526">
            <w:pPr>
              <w:spacing w:before="0" w:beforeAutospacing="0" w:line="240" w:lineRule="auto"/>
              <w:jc w:val="center"/>
              <w:rPr>
                <w:rFonts w:cstheme="majorBidi"/>
                <w:kern w:val="2"/>
                <w:sz w:val="22"/>
              </w:rPr>
            </w:pPr>
          </w:p>
        </w:tc>
        <w:tc>
          <w:tcPr>
            <w:tcW w:w="1171" w:type="dxa"/>
            <w:vAlign w:val="center"/>
          </w:tcPr>
          <w:p w14:paraId="7C290637" w14:textId="77777777" w:rsidR="005F1CF8" w:rsidRPr="00E2052F" w:rsidRDefault="005F1CF8" w:rsidP="00456526">
            <w:pPr>
              <w:spacing w:before="0" w:beforeAutospacing="0" w:line="240" w:lineRule="auto"/>
              <w:jc w:val="center"/>
              <w:rPr>
                <w:rFonts w:cstheme="majorBidi"/>
                <w:kern w:val="2"/>
                <w:sz w:val="22"/>
              </w:rPr>
            </w:pPr>
          </w:p>
        </w:tc>
        <w:tc>
          <w:tcPr>
            <w:tcW w:w="1174" w:type="dxa"/>
            <w:vAlign w:val="center"/>
          </w:tcPr>
          <w:p w14:paraId="4CE05B79" w14:textId="77777777" w:rsidR="005F1CF8" w:rsidRPr="00E2052F" w:rsidRDefault="005F1CF8" w:rsidP="00456526">
            <w:pPr>
              <w:spacing w:before="0" w:beforeAutospacing="0" w:line="240" w:lineRule="auto"/>
              <w:jc w:val="center"/>
              <w:rPr>
                <w:rFonts w:cstheme="majorBidi"/>
                <w:kern w:val="2"/>
                <w:sz w:val="22"/>
              </w:rPr>
            </w:pPr>
          </w:p>
        </w:tc>
      </w:tr>
      <w:tr w:rsidR="005F1CF8" w:rsidRPr="00E2052F" w14:paraId="2A57334E" w14:textId="77777777" w:rsidTr="00456526">
        <w:trPr>
          <w:cantSplit/>
          <w:trHeight w:val="282"/>
          <w:jc w:val="center"/>
        </w:trPr>
        <w:tc>
          <w:tcPr>
            <w:tcW w:w="9072" w:type="dxa"/>
            <w:gridSpan w:val="7"/>
            <w:shd w:val="clear" w:color="auto" w:fill="FFFFFF"/>
          </w:tcPr>
          <w:p w14:paraId="74A2F328"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 xml:space="preserve">      a. Variable dépendante : La responsabilité sociale des entreprises</w:t>
            </w:r>
          </w:p>
        </w:tc>
      </w:tr>
      <w:tr w:rsidR="005F1CF8" w:rsidRPr="00E2052F" w14:paraId="3E733840" w14:textId="77777777" w:rsidTr="00456526">
        <w:trPr>
          <w:cantSplit/>
          <w:trHeight w:val="294"/>
          <w:jc w:val="center"/>
        </w:trPr>
        <w:tc>
          <w:tcPr>
            <w:tcW w:w="9072" w:type="dxa"/>
            <w:gridSpan w:val="7"/>
            <w:shd w:val="clear" w:color="auto" w:fill="FFFFFF"/>
          </w:tcPr>
          <w:p w14:paraId="6E57EEDB" w14:textId="77777777" w:rsidR="005F1CF8" w:rsidRPr="00E2052F" w:rsidRDefault="005F1CF8" w:rsidP="00456526">
            <w:pPr>
              <w:spacing w:before="0" w:beforeAutospacing="0" w:line="240" w:lineRule="auto"/>
              <w:ind w:firstLine="0"/>
              <w:rPr>
                <w:rFonts w:cstheme="majorBidi"/>
                <w:b/>
                <w:bCs/>
                <w:kern w:val="2"/>
                <w:sz w:val="22"/>
              </w:rPr>
            </w:pPr>
            <w:r w:rsidRPr="00E2052F">
              <w:rPr>
                <w:rFonts w:cstheme="majorBidi"/>
                <w:b/>
                <w:bCs/>
                <w:kern w:val="2"/>
                <w:sz w:val="22"/>
              </w:rPr>
              <w:t xml:space="preserve">      b. Prédicteurs : (Constante), La responsabilité du conseil d'administration</w:t>
            </w:r>
          </w:p>
        </w:tc>
      </w:tr>
    </w:tbl>
    <w:p w14:paraId="6541D048" w14:textId="77777777" w:rsidR="005F1CF8" w:rsidRDefault="005F1CF8" w:rsidP="00AB5B0B">
      <w:pPr>
        <w:spacing w:before="0" w:beforeAutospacing="0" w:line="259" w:lineRule="auto"/>
        <w:ind w:firstLine="0"/>
        <w:jc w:val="left"/>
        <w:rPr>
          <w:rFonts w:cstheme="majorBidi"/>
          <w:b/>
          <w:bCs/>
          <w:sz w:val="20"/>
          <w:szCs w:val="20"/>
          <w:u w:val="single"/>
        </w:rPr>
      </w:pPr>
    </w:p>
    <w:tbl>
      <w:tblPr>
        <w:tblW w:w="9072" w:type="dxa"/>
        <w:jc w:val="center"/>
        <w:tblLayout w:type="fixed"/>
        <w:tblCellMar>
          <w:left w:w="0" w:type="dxa"/>
          <w:right w:w="0" w:type="dxa"/>
        </w:tblCellMar>
        <w:tblLook w:val="0000" w:firstRow="0" w:lastRow="0" w:firstColumn="0" w:lastColumn="0" w:noHBand="0" w:noVBand="0"/>
      </w:tblPr>
      <w:tblGrid>
        <w:gridCol w:w="696"/>
        <w:gridCol w:w="1709"/>
        <w:gridCol w:w="851"/>
        <w:gridCol w:w="1984"/>
        <w:gridCol w:w="2587"/>
        <w:gridCol w:w="664"/>
        <w:gridCol w:w="581"/>
      </w:tblGrid>
      <w:tr w:rsidR="005F1CF8" w:rsidRPr="00E2052F" w14:paraId="3D822070" w14:textId="77777777" w:rsidTr="00456526">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8E03C9D"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w:t>
            </w:r>
            <w:r w:rsidRPr="00E2052F">
              <w:rPr>
                <w:rFonts w:cstheme="majorBidi"/>
                <w:b/>
                <w:bCs/>
                <w:kern w:val="2"/>
                <w:sz w:val="22"/>
                <w:vertAlign w:val="superscript"/>
              </w:rPr>
              <w:t>a</w:t>
            </w:r>
          </w:p>
        </w:tc>
      </w:tr>
      <w:tr w:rsidR="005F1CF8" w:rsidRPr="00E2052F" w14:paraId="72EAD07A" w14:textId="77777777" w:rsidTr="00456526">
        <w:trPr>
          <w:cantSplit/>
          <w:jc w:val="center"/>
        </w:trPr>
        <w:tc>
          <w:tcPr>
            <w:tcW w:w="2405"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44233484"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Modèle</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5A27EE7"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non standardisés</w:t>
            </w:r>
          </w:p>
        </w:tc>
        <w:tc>
          <w:tcPr>
            <w:tcW w:w="25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15EB1A5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Coefficients standardisés</w:t>
            </w:r>
          </w:p>
        </w:tc>
        <w:tc>
          <w:tcPr>
            <w:tcW w:w="66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775D6A51"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t</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5C49DE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Sig.</w:t>
            </w:r>
          </w:p>
        </w:tc>
      </w:tr>
      <w:tr w:rsidR="005F1CF8" w:rsidRPr="00E2052F" w14:paraId="21DBD751" w14:textId="77777777" w:rsidTr="00456526">
        <w:trPr>
          <w:cantSplit/>
          <w:jc w:val="center"/>
        </w:trPr>
        <w:tc>
          <w:tcPr>
            <w:tcW w:w="2405" w:type="dxa"/>
            <w:gridSpan w:val="2"/>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354CDA8C" w14:textId="77777777" w:rsidR="005F1CF8" w:rsidRPr="00E2052F" w:rsidRDefault="005F1CF8" w:rsidP="00456526">
            <w:pPr>
              <w:spacing w:before="0" w:beforeAutospacing="0" w:line="240" w:lineRule="auto"/>
              <w:jc w:val="center"/>
              <w:rPr>
                <w:rFonts w:cstheme="majorBidi"/>
                <w:b/>
                <w:bCs/>
                <w:kern w:val="2"/>
                <w:sz w:val="22"/>
              </w:rPr>
            </w:pP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6068FB0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B</w:t>
            </w: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367266E0"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Erreur standard</w:t>
            </w:r>
          </w:p>
        </w:tc>
        <w:tc>
          <w:tcPr>
            <w:tcW w:w="25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5DE16F79"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Bêta</w:t>
            </w:r>
          </w:p>
        </w:tc>
        <w:tc>
          <w:tcPr>
            <w:tcW w:w="66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2C7E5577" w14:textId="77777777" w:rsidR="005F1CF8" w:rsidRPr="00E2052F" w:rsidRDefault="005F1CF8" w:rsidP="00456526">
            <w:pPr>
              <w:spacing w:before="0" w:beforeAutospacing="0" w:line="240" w:lineRule="auto"/>
              <w:jc w:val="center"/>
              <w:rPr>
                <w:rFonts w:cstheme="majorBidi"/>
                <w:b/>
                <w:bCs/>
                <w:kern w:val="2"/>
                <w:sz w:val="22"/>
              </w:rPr>
            </w:pPr>
          </w:p>
        </w:tc>
        <w:tc>
          <w:tcPr>
            <w:tcW w:w="58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tcPr>
          <w:p w14:paraId="05A18E46" w14:textId="77777777" w:rsidR="005F1CF8" w:rsidRPr="00E2052F" w:rsidRDefault="005F1CF8" w:rsidP="00456526">
            <w:pPr>
              <w:spacing w:before="0" w:beforeAutospacing="0" w:line="240" w:lineRule="auto"/>
              <w:jc w:val="center"/>
              <w:rPr>
                <w:rFonts w:cstheme="majorBidi"/>
                <w:b/>
                <w:bCs/>
                <w:kern w:val="2"/>
                <w:sz w:val="22"/>
              </w:rPr>
            </w:pPr>
          </w:p>
        </w:tc>
      </w:tr>
      <w:tr w:rsidR="005F1CF8" w:rsidRPr="00E2052F" w14:paraId="128CC321" w14:textId="77777777" w:rsidTr="00456526">
        <w:trPr>
          <w:cantSplit/>
          <w:jc w:val="center"/>
        </w:trPr>
        <w:tc>
          <w:tcPr>
            <w:tcW w:w="696"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E007A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1</w:t>
            </w:r>
          </w:p>
          <w:p w14:paraId="72919715" w14:textId="77777777" w:rsidR="005F1CF8" w:rsidRPr="00E2052F" w:rsidRDefault="005F1CF8" w:rsidP="00456526">
            <w:pPr>
              <w:spacing w:before="0" w:beforeAutospacing="0" w:line="240" w:lineRule="auto"/>
              <w:rPr>
                <w:rFonts w:cstheme="majorBidi"/>
                <w:sz w:val="22"/>
              </w:rPr>
            </w:pPr>
          </w:p>
        </w:tc>
        <w:tc>
          <w:tcPr>
            <w:tcW w:w="17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5DFA89"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(Constante)</w:t>
            </w:r>
          </w:p>
        </w:tc>
        <w:tc>
          <w:tcPr>
            <w:tcW w:w="851" w:type="dxa"/>
            <w:tcBorders>
              <w:top w:val="single" w:sz="4" w:space="0" w:color="auto"/>
              <w:left w:val="single" w:sz="4" w:space="0" w:color="auto"/>
              <w:bottom w:val="single" w:sz="4" w:space="0" w:color="auto"/>
              <w:right w:val="single" w:sz="4" w:space="0" w:color="auto"/>
            </w:tcBorders>
          </w:tcPr>
          <w:p w14:paraId="6E6147FD"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1.235</w:t>
            </w:r>
          </w:p>
        </w:tc>
        <w:tc>
          <w:tcPr>
            <w:tcW w:w="1984" w:type="dxa"/>
            <w:tcBorders>
              <w:top w:val="single" w:sz="4" w:space="0" w:color="auto"/>
              <w:left w:val="single" w:sz="4" w:space="0" w:color="auto"/>
              <w:bottom w:val="single" w:sz="4" w:space="0" w:color="auto"/>
              <w:right w:val="single" w:sz="4" w:space="0" w:color="auto"/>
            </w:tcBorders>
          </w:tcPr>
          <w:p w14:paraId="2513962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0.156</w:t>
            </w:r>
          </w:p>
        </w:tc>
        <w:tc>
          <w:tcPr>
            <w:tcW w:w="2587" w:type="dxa"/>
            <w:tcBorders>
              <w:top w:val="single" w:sz="4" w:space="0" w:color="auto"/>
              <w:left w:val="single" w:sz="4" w:space="0" w:color="auto"/>
              <w:bottom w:val="single" w:sz="4" w:space="0" w:color="auto"/>
              <w:right w:val="single" w:sz="4" w:space="0" w:color="auto"/>
            </w:tcBorders>
            <w:vAlign w:val="center"/>
          </w:tcPr>
          <w:p w14:paraId="7B74C0C4" w14:textId="77777777" w:rsidR="005F1CF8" w:rsidRPr="00E2052F" w:rsidRDefault="005F1CF8" w:rsidP="00456526">
            <w:pPr>
              <w:spacing w:before="0" w:beforeAutospacing="0" w:line="240" w:lineRule="auto"/>
              <w:jc w:val="center"/>
              <w:rPr>
                <w:rFonts w:cstheme="majorBidi"/>
                <w:kern w:val="2"/>
                <w:sz w:val="22"/>
              </w:rPr>
            </w:pPr>
          </w:p>
        </w:tc>
        <w:tc>
          <w:tcPr>
            <w:tcW w:w="664" w:type="dxa"/>
            <w:tcBorders>
              <w:top w:val="single" w:sz="4" w:space="0" w:color="auto"/>
              <w:left w:val="single" w:sz="4" w:space="0" w:color="auto"/>
              <w:bottom w:val="single" w:sz="4" w:space="0" w:color="auto"/>
              <w:right w:val="single" w:sz="4" w:space="0" w:color="auto"/>
            </w:tcBorders>
          </w:tcPr>
          <w:p w14:paraId="4914148A"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7.908</w:t>
            </w:r>
          </w:p>
        </w:tc>
        <w:tc>
          <w:tcPr>
            <w:tcW w:w="581" w:type="dxa"/>
            <w:tcBorders>
              <w:top w:val="single" w:sz="4" w:space="0" w:color="auto"/>
              <w:left w:val="single" w:sz="4" w:space="0" w:color="auto"/>
              <w:bottom w:val="single" w:sz="4" w:space="0" w:color="auto"/>
              <w:right w:val="single" w:sz="4" w:space="0" w:color="auto"/>
            </w:tcBorders>
          </w:tcPr>
          <w:p w14:paraId="2264DD5B"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0116138F" w14:textId="77777777" w:rsidTr="00456526">
        <w:trPr>
          <w:cantSplit/>
          <w:jc w:val="center"/>
        </w:trPr>
        <w:tc>
          <w:tcPr>
            <w:tcW w:w="696"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267F03" w14:textId="77777777" w:rsidR="005F1CF8" w:rsidRPr="00E2052F" w:rsidRDefault="005F1CF8" w:rsidP="00456526">
            <w:pPr>
              <w:spacing w:before="0" w:beforeAutospacing="0" w:line="240" w:lineRule="auto"/>
              <w:jc w:val="center"/>
              <w:rPr>
                <w:rFonts w:cstheme="majorBidi"/>
                <w:b/>
                <w:bCs/>
                <w:kern w:val="2"/>
                <w:sz w:val="22"/>
              </w:rPr>
            </w:pPr>
          </w:p>
        </w:tc>
        <w:tc>
          <w:tcPr>
            <w:tcW w:w="17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E36E82" w14:textId="77777777" w:rsidR="005F1CF8" w:rsidRPr="00E2052F" w:rsidRDefault="005F1CF8" w:rsidP="00456526">
            <w:pPr>
              <w:spacing w:before="0" w:beforeAutospacing="0" w:line="240" w:lineRule="auto"/>
              <w:ind w:firstLine="0"/>
              <w:jc w:val="center"/>
              <w:rPr>
                <w:rFonts w:cstheme="majorBidi"/>
                <w:b/>
                <w:bCs/>
                <w:kern w:val="2"/>
                <w:sz w:val="22"/>
              </w:rPr>
            </w:pPr>
            <w:r w:rsidRPr="00E2052F">
              <w:rPr>
                <w:rFonts w:cstheme="majorBidi"/>
                <w:b/>
                <w:bCs/>
                <w:kern w:val="2"/>
                <w:sz w:val="22"/>
              </w:rPr>
              <w:t>La responsabilité du conseil d'administration</w:t>
            </w:r>
          </w:p>
        </w:tc>
        <w:tc>
          <w:tcPr>
            <w:tcW w:w="851" w:type="dxa"/>
            <w:tcBorders>
              <w:top w:val="single" w:sz="4" w:space="0" w:color="auto"/>
              <w:left w:val="single" w:sz="4" w:space="0" w:color="auto"/>
              <w:bottom w:val="single" w:sz="4" w:space="0" w:color="auto"/>
              <w:right w:val="single" w:sz="4" w:space="0" w:color="auto"/>
            </w:tcBorders>
          </w:tcPr>
          <w:p w14:paraId="18133198"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0.662</w:t>
            </w:r>
          </w:p>
        </w:tc>
        <w:tc>
          <w:tcPr>
            <w:tcW w:w="1984" w:type="dxa"/>
            <w:tcBorders>
              <w:top w:val="single" w:sz="4" w:space="0" w:color="auto"/>
              <w:left w:val="single" w:sz="4" w:space="0" w:color="auto"/>
              <w:bottom w:val="single" w:sz="4" w:space="0" w:color="auto"/>
              <w:right w:val="single" w:sz="4" w:space="0" w:color="auto"/>
            </w:tcBorders>
          </w:tcPr>
          <w:p w14:paraId="336248D2"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0.037</w:t>
            </w:r>
          </w:p>
        </w:tc>
        <w:tc>
          <w:tcPr>
            <w:tcW w:w="2587" w:type="dxa"/>
            <w:tcBorders>
              <w:top w:val="single" w:sz="4" w:space="0" w:color="auto"/>
              <w:left w:val="single" w:sz="4" w:space="0" w:color="auto"/>
              <w:bottom w:val="single" w:sz="4" w:space="0" w:color="auto"/>
              <w:right w:val="single" w:sz="4" w:space="0" w:color="auto"/>
            </w:tcBorders>
          </w:tcPr>
          <w:p w14:paraId="5C906765"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0.719</w:t>
            </w:r>
          </w:p>
        </w:tc>
        <w:tc>
          <w:tcPr>
            <w:tcW w:w="664" w:type="dxa"/>
            <w:tcBorders>
              <w:top w:val="single" w:sz="4" w:space="0" w:color="auto"/>
              <w:left w:val="single" w:sz="4" w:space="0" w:color="auto"/>
              <w:bottom w:val="single" w:sz="4" w:space="0" w:color="auto"/>
              <w:right w:val="single" w:sz="4" w:space="0" w:color="auto"/>
            </w:tcBorders>
          </w:tcPr>
          <w:p w14:paraId="2ADB75FE"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17.880</w:t>
            </w:r>
          </w:p>
        </w:tc>
        <w:tc>
          <w:tcPr>
            <w:tcW w:w="581" w:type="dxa"/>
            <w:tcBorders>
              <w:top w:val="single" w:sz="4" w:space="0" w:color="auto"/>
              <w:left w:val="single" w:sz="4" w:space="0" w:color="auto"/>
              <w:bottom w:val="single" w:sz="4" w:space="0" w:color="auto"/>
              <w:right w:val="single" w:sz="4" w:space="0" w:color="auto"/>
            </w:tcBorders>
          </w:tcPr>
          <w:p w14:paraId="404A651E" w14:textId="77777777" w:rsidR="005F1CF8" w:rsidRPr="00E2052F" w:rsidRDefault="005F1CF8" w:rsidP="00456526">
            <w:pPr>
              <w:spacing w:before="0" w:beforeAutospacing="0" w:line="240" w:lineRule="auto"/>
              <w:ind w:firstLine="0"/>
              <w:jc w:val="center"/>
              <w:rPr>
                <w:rFonts w:cstheme="majorBidi"/>
                <w:kern w:val="2"/>
                <w:sz w:val="22"/>
              </w:rPr>
            </w:pPr>
            <w:r w:rsidRPr="00E2052F">
              <w:rPr>
                <w:rFonts w:cstheme="majorBidi"/>
                <w:kern w:val="2"/>
                <w:sz w:val="22"/>
              </w:rPr>
              <w:t>0.000</w:t>
            </w:r>
          </w:p>
        </w:tc>
      </w:tr>
      <w:tr w:rsidR="005F1CF8" w:rsidRPr="00E2052F" w14:paraId="585DEAF2" w14:textId="77777777" w:rsidTr="00456526">
        <w:trPr>
          <w:cantSplit/>
          <w:jc w:val="center"/>
        </w:trPr>
        <w:tc>
          <w:tcPr>
            <w:tcW w:w="9072" w:type="dxa"/>
            <w:gridSpan w:val="7"/>
            <w:tcBorders>
              <w:top w:val="single" w:sz="4" w:space="0" w:color="auto"/>
              <w:left w:val="single" w:sz="4" w:space="0" w:color="auto"/>
              <w:bottom w:val="single" w:sz="4" w:space="0" w:color="auto"/>
              <w:right w:val="single" w:sz="4" w:space="0" w:color="auto"/>
            </w:tcBorders>
            <w:shd w:val="clear" w:color="auto" w:fill="FFFFFF"/>
          </w:tcPr>
          <w:p w14:paraId="46F8F864" w14:textId="77777777" w:rsidR="005F1CF8" w:rsidRPr="00E2052F" w:rsidRDefault="005F1CF8" w:rsidP="00456526">
            <w:pPr>
              <w:spacing w:before="0" w:beforeAutospacing="0" w:line="240" w:lineRule="auto"/>
              <w:jc w:val="center"/>
              <w:rPr>
                <w:rFonts w:cstheme="majorBidi"/>
                <w:b/>
                <w:bCs/>
                <w:kern w:val="2"/>
                <w:sz w:val="22"/>
              </w:rPr>
            </w:pPr>
            <w:r w:rsidRPr="00E2052F">
              <w:rPr>
                <w:rFonts w:cstheme="majorBidi"/>
                <w:b/>
                <w:bCs/>
                <w:kern w:val="2"/>
                <w:sz w:val="22"/>
              </w:rPr>
              <w:t>a. Variable dépendante : La responsabilité sociale des entreprises</w:t>
            </w:r>
          </w:p>
        </w:tc>
      </w:tr>
    </w:tbl>
    <w:p w14:paraId="260B2A52" w14:textId="77777777" w:rsidR="00D21687" w:rsidRDefault="00D21687" w:rsidP="00AB5B0B">
      <w:pPr>
        <w:spacing w:before="0" w:beforeAutospacing="0" w:line="259" w:lineRule="auto"/>
        <w:ind w:firstLine="0"/>
        <w:jc w:val="left"/>
        <w:rPr>
          <w:rFonts w:cstheme="majorBidi"/>
          <w:b/>
          <w:bCs/>
          <w:sz w:val="20"/>
          <w:szCs w:val="20"/>
          <w:u w:val="single"/>
        </w:rPr>
        <w:sectPr w:rsidR="00D21687" w:rsidSect="00D23BF3">
          <w:headerReference w:type="default" r:id="rId97"/>
          <w:pgSz w:w="11906" w:h="16838"/>
          <w:pgMar w:top="851" w:right="1418" w:bottom="1134" w:left="1418" w:header="709" w:footer="709" w:gutter="0"/>
          <w:cols w:space="708"/>
          <w:docGrid w:linePitch="360"/>
        </w:sectPr>
      </w:pPr>
    </w:p>
    <w:p w14:paraId="15634E8E" w14:textId="77777777" w:rsidR="00D21687" w:rsidRDefault="00D21687" w:rsidP="00AB5B0B">
      <w:pPr>
        <w:spacing w:before="0" w:beforeAutospacing="0" w:line="259" w:lineRule="auto"/>
        <w:ind w:firstLine="0"/>
        <w:jc w:val="left"/>
        <w:rPr>
          <w:rFonts w:cstheme="majorBidi"/>
          <w:b/>
          <w:bCs/>
          <w:sz w:val="20"/>
          <w:szCs w:val="20"/>
          <w:u w:val="single"/>
        </w:rPr>
      </w:pPr>
    </w:p>
    <w:p w14:paraId="1DC94AFF" w14:textId="77777777" w:rsidR="00D21687" w:rsidRPr="00D21687" w:rsidRDefault="00D21687" w:rsidP="00D21687">
      <w:pPr>
        <w:rPr>
          <w:rFonts w:cstheme="majorBidi"/>
          <w:sz w:val="20"/>
          <w:szCs w:val="20"/>
        </w:rPr>
      </w:pPr>
    </w:p>
    <w:p w14:paraId="4E4ECEF6" w14:textId="77777777" w:rsidR="00D21687" w:rsidRPr="00D21687" w:rsidRDefault="00D21687" w:rsidP="00D21687">
      <w:pPr>
        <w:rPr>
          <w:rFonts w:cstheme="majorBidi"/>
          <w:sz w:val="20"/>
          <w:szCs w:val="20"/>
        </w:rPr>
      </w:pPr>
    </w:p>
    <w:p w14:paraId="4066814B" w14:textId="77777777" w:rsidR="00D21687" w:rsidRPr="00D21687" w:rsidRDefault="00D21687" w:rsidP="00D21687">
      <w:pPr>
        <w:rPr>
          <w:rFonts w:cstheme="majorBidi"/>
          <w:sz w:val="20"/>
          <w:szCs w:val="20"/>
        </w:rPr>
      </w:pPr>
    </w:p>
    <w:p w14:paraId="377AF07D" w14:textId="77777777" w:rsidR="00D21687" w:rsidRPr="00D21687" w:rsidRDefault="00D21687" w:rsidP="00D21687">
      <w:pPr>
        <w:rPr>
          <w:rFonts w:cstheme="majorBidi"/>
          <w:sz w:val="20"/>
          <w:szCs w:val="20"/>
        </w:rPr>
      </w:pPr>
    </w:p>
    <w:p w14:paraId="0268C7E0" w14:textId="77777777" w:rsidR="00D21687" w:rsidRPr="00D21687" w:rsidRDefault="00D21687" w:rsidP="00D21687">
      <w:pPr>
        <w:rPr>
          <w:rFonts w:cstheme="majorBidi"/>
          <w:sz w:val="20"/>
          <w:szCs w:val="20"/>
        </w:rPr>
      </w:pPr>
    </w:p>
    <w:p w14:paraId="08C89566" w14:textId="77777777" w:rsidR="00D21687" w:rsidRPr="00D21687" w:rsidRDefault="00D21687" w:rsidP="00D21687">
      <w:pPr>
        <w:rPr>
          <w:rFonts w:cstheme="majorBidi"/>
          <w:sz w:val="20"/>
          <w:szCs w:val="20"/>
        </w:rPr>
      </w:pPr>
    </w:p>
    <w:p w14:paraId="1218264D" w14:textId="77777777" w:rsidR="00D21687" w:rsidRPr="00B360F8" w:rsidRDefault="00B360F8" w:rsidP="00B360F8">
      <w:pPr>
        <w:tabs>
          <w:tab w:val="center" w:pos="4536"/>
          <w:tab w:val="right" w:pos="9072"/>
        </w:tabs>
        <w:spacing w:after="0" w:line="240" w:lineRule="auto"/>
        <w:ind w:firstLine="0"/>
        <w:rPr>
          <w:rFonts w:eastAsia="Times New Roman" w:cs="Times New Roman"/>
          <w:b/>
          <w:bCs/>
          <w:color w:val="2E74B5"/>
          <w:sz w:val="18"/>
          <w:szCs w:val="18"/>
        </w:rPr>
        <w:sectPr w:rsidR="00D21687" w:rsidRPr="00B360F8" w:rsidSect="00D23BF3">
          <w:headerReference w:type="default" r:id="rId98"/>
          <w:pgSz w:w="11906" w:h="16838"/>
          <w:pgMar w:top="851" w:right="1418" w:bottom="1134" w:left="1418" w:header="709" w:footer="709" w:gutter="0"/>
          <w:cols w:space="708"/>
          <w:docGrid w:linePitch="360"/>
        </w:sectPr>
      </w:pPr>
      <w:r w:rsidRPr="00B360F8">
        <w:rPr>
          <w:rFonts w:cstheme="majorBidi"/>
          <w:noProof/>
          <w:sz w:val="22"/>
          <w:lang w:eastAsia="fr-FR"/>
        </w:rPr>
        <mc:AlternateContent>
          <mc:Choice Requires="wps">
            <w:drawing>
              <wp:anchor distT="0" distB="0" distL="114300" distR="114300" simplePos="0" relativeHeight="252140544" behindDoc="0" locked="0" layoutInCell="1" allowOverlap="1" wp14:anchorId="11E0FC28" wp14:editId="7F3634F0">
                <wp:simplePos x="0" y="0"/>
                <wp:positionH relativeFrom="margin">
                  <wp:align>left</wp:align>
                </wp:positionH>
                <wp:positionV relativeFrom="paragraph">
                  <wp:posOffset>-397510</wp:posOffset>
                </wp:positionV>
                <wp:extent cx="5772150" cy="2979682"/>
                <wp:effectExtent l="0" t="0" r="19050" b="11430"/>
                <wp:wrapNone/>
                <wp:docPr id="562" name="Ruban vers le bas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2979682"/>
                        </a:xfrm>
                        <a:prstGeom prst="ribbon">
                          <a:avLst>
                            <a:gd name="adj1" fmla="val 12500"/>
                            <a:gd name="adj2" fmla="val 50000"/>
                          </a:avLst>
                        </a:prstGeom>
                        <a:solidFill>
                          <a:srgbClr val="5B9BD5">
                            <a:lumMod val="100000"/>
                            <a:lumOff val="0"/>
                          </a:srgbClr>
                        </a:solidFill>
                        <a:ln w="9525">
                          <a:solidFill>
                            <a:sysClr val="windowText" lastClr="000000"/>
                          </a:solidFill>
                          <a:round/>
                          <a:headEnd/>
                          <a:tailEnd/>
                        </a:ln>
                      </wps:spPr>
                      <wps:txbx>
                        <w:txbxContent>
                          <w:p w14:paraId="4C7C7908" w14:textId="77777777" w:rsidR="00A36231" w:rsidRDefault="00A36231" w:rsidP="00B360F8">
                            <w:pPr>
                              <w:ind w:firstLine="0"/>
                              <w:rPr>
                                <w:b/>
                                <w:bCs/>
                                <w:sz w:val="48"/>
                                <w:szCs w:val="44"/>
                              </w:rPr>
                            </w:pPr>
                          </w:p>
                          <w:p w14:paraId="5E3BFEE5" w14:textId="77777777" w:rsidR="00A36231" w:rsidRPr="00B360F8" w:rsidRDefault="00A36231" w:rsidP="00B360F8">
                            <w:pPr>
                              <w:ind w:firstLine="0"/>
                              <w:rPr>
                                <w:b/>
                                <w:bCs/>
                                <w:sz w:val="36"/>
                                <w:szCs w:val="32"/>
                              </w:rPr>
                            </w:pPr>
                            <w:r w:rsidRPr="00B360F8">
                              <w:rPr>
                                <w:b/>
                                <w:bCs/>
                                <w:sz w:val="36"/>
                                <w:szCs w:val="32"/>
                              </w:rPr>
                              <w:t>TABLE DES MATIERES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0FC28" id="Ruban vers le bas 562" o:spid="_x0000_s1139" type="#_x0000_t53" style="position:absolute;left:0;text-align:left;margin-left:0;margin-top:-31.3pt;width:454.5pt;height:234.6pt;z-index:252140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" fillcolor="#5b9bd5" strokecolor="windowText">
                <v:textbox>
                  <w:txbxContent>
                    <w:p w14:paraId="4C7C7908" w14:textId="77777777" w:rsidR="00A36231" w:rsidRDefault="00A36231" w:rsidP="00B360F8">
                      <w:pPr>
                        <w:ind w:firstLine="0"/>
                        <w:rPr>
                          <w:b/>
                          <w:bCs/>
                          <w:sz w:val="48"/>
                          <w:szCs w:val="44"/>
                        </w:rPr>
                      </w:pPr>
                    </w:p>
                    <w:p w14:paraId="5E3BFEE5" w14:textId="77777777" w:rsidR="00A36231" w:rsidRPr="00B360F8" w:rsidRDefault="00A36231" w:rsidP="00B360F8">
                      <w:pPr>
                        <w:ind w:firstLine="0"/>
                        <w:rPr>
                          <w:b/>
                          <w:bCs/>
                          <w:sz w:val="36"/>
                          <w:szCs w:val="32"/>
                        </w:rPr>
                      </w:pPr>
                      <w:r w:rsidRPr="00B360F8">
                        <w:rPr>
                          <w:b/>
                          <w:bCs/>
                          <w:sz w:val="36"/>
                          <w:szCs w:val="32"/>
                        </w:rPr>
                        <w:t>TABLE DES MATIERES</w:t>
                      </w:r>
                    </w:p>
                  </w:txbxContent>
                </v:textbox>
                <w10:wrap anchorx="margin"/>
              </v:shape>
            </w:pict>
          </mc:Fallback>
        </mc:AlternateContent>
      </w:r>
    </w:p>
    <w:p w14:paraId="438223F1" w14:textId="77777777" w:rsidR="002720C6" w:rsidRPr="00BC1AEC" w:rsidRDefault="00C457BE" w:rsidP="00BC1AEC">
      <w:pPr>
        <w:pStyle w:val="Titre1"/>
      </w:pPr>
      <w:bookmarkStart w:id="1948" w:name="_Toc231752446"/>
      <w:bookmarkStart w:id="1949" w:name="_Toc231810078"/>
      <w:bookmarkStart w:id="1950" w:name="_Toc231810749"/>
      <w:bookmarkStart w:id="1951" w:name="_Toc231811444"/>
      <w:bookmarkStart w:id="1952" w:name="_Toc231812092"/>
      <w:bookmarkStart w:id="1953" w:name="_Toc231812370"/>
      <w:bookmarkStart w:id="1954" w:name="_Toc231815254"/>
      <w:r w:rsidRPr="00BC1AEC">
        <w:lastRenderedPageBreak/>
        <w:t>Table des matières :</w:t>
      </w:r>
      <w:bookmarkEnd w:id="1948"/>
      <w:bookmarkEnd w:id="1949"/>
      <w:bookmarkEnd w:id="1950"/>
      <w:bookmarkEnd w:id="1951"/>
      <w:bookmarkEnd w:id="1952"/>
      <w:bookmarkEnd w:id="1953"/>
      <w:bookmarkEnd w:id="1954"/>
    </w:p>
    <w:p w14:paraId="72A9A62F" w14:textId="77777777" w:rsidR="007D1C8C" w:rsidRPr="003D79FD" w:rsidRDefault="007D1C8C" w:rsidP="009F60D1">
      <w:pPr>
        <w:pStyle w:val="TM1"/>
        <w:rPr>
          <w:rFonts w:eastAsiaTheme="minorEastAsia"/>
          <w:sz w:val="22"/>
          <w:lang w:eastAsia="fr-FR"/>
        </w:rPr>
      </w:pPr>
      <w:r>
        <w:rPr>
          <w:szCs w:val="20"/>
        </w:rPr>
        <w:fldChar w:fldCharType="begin"/>
      </w:r>
      <w:r>
        <w:rPr>
          <w:szCs w:val="20"/>
        </w:rPr>
        <w:instrText xml:space="preserve"> TOC \o "1-5" \h \z \u </w:instrText>
      </w:r>
      <w:r>
        <w:rPr>
          <w:szCs w:val="20"/>
        </w:rPr>
        <w:fldChar w:fldCharType="separate"/>
      </w:r>
      <w:hyperlink w:anchor="_Toc231814984" w:history="1">
        <w:r w:rsidRPr="003D79FD">
          <w:rPr>
            <w:rStyle w:val="Lienhypertexte"/>
            <w:rFonts w:cstheme="majorBidi"/>
            <w:sz w:val="22"/>
            <w:szCs w:val="22"/>
          </w:rPr>
          <w:t>Sommaire :</w:t>
        </w:r>
        <w:r w:rsidRPr="003D79FD">
          <w:rPr>
            <w:webHidden/>
            <w:sz w:val="22"/>
          </w:rPr>
          <w:tab/>
        </w:r>
        <w:r w:rsidRPr="003D79FD">
          <w:rPr>
            <w:webHidden/>
            <w:sz w:val="22"/>
          </w:rPr>
          <w:fldChar w:fldCharType="begin"/>
        </w:r>
        <w:r w:rsidRPr="003D79FD">
          <w:rPr>
            <w:webHidden/>
            <w:sz w:val="22"/>
          </w:rPr>
          <w:instrText xml:space="preserve"> PAGEREF _Toc231814984 \h </w:instrText>
        </w:r>
        <w:r w:rsidRPr="003D79FD">
          <w:rPr>
            <w:webHidden/>
            <w:sz w:val="22"/>
          </w:rPr>
        </w:r>
        <w:r w:rsidRPr="003D79FD">
          <w:rPr>
            <w:webHidden/>
            <w:sz w:val="22"/>
          </w:rPr>
          <w:fldChar w:fldCharType="separate"/>
        </w:r>
        <w:r w:rsidR="00E74A88">
          <w:rPr>
            <w:webHidden/>
            <w:sz w:val="22"/>
          </w:rPr>
          <w:t>7</w:t>
        </w:r>
        <w:r w:rsidRPr="003D79FD">
          <w:rPr>
            <w:webHidden/>
            <w:sz w:val="22"/>
          </w:rPr>
          <w:fldChar w:fldCharType="end"/>
        </w:r>
      </w:hyperlink>
    </w:p>
    <w:p w14:paraId="7159421F" w14:textId="77777777" w:rsidR="007D1C8C" w:rsidRPr="003D79FD" w:rsidRDefault="00351FDE" w:rsidP="009F60D1">
      <w:pPr>
        <w:pStyle w:val="TM1"/>
        <w:rPr>
          <w:rFonts w:eastAsiaTheme="minorEastAsia"/>
          <w:lang w:eastAsia="fr-FR"/>
        </w:rPr>
      </w:pPr>
      <w:hyperlink w:anchor="_Toc231814985" w:history="1">
        <w:r w:rsidR="007D1C8C" w:rsidRPr="003D79FD">
          <w:rPr>
            <w:rStyle w:val="Lienhypertexte"/>
            <w:rFonts w:cstheme="majorBidi"/>
            <w:sz w:val="22"/>
            <w:szCs w:val="22"/>
          </w:rPr>
          <w:t>LISTE DES FIGURES :</w:t>
        </w:r>
        <w:r w:rsidR="007D1C8C" w:rsidRPr="003D79FD">
          <w:rPr>
            <w:webHidden/>
          </w:rPr>
          <w:tab/>
        </w:r>
        <w:r w:rsidR="007D1C8C" w:rsidRPr="003D79FD">
          <w:rPr>
            <w:webHidden/>
          </w:rPr>
          <w:fldChar w:fldCharType="begin"/>
        </w:r>
        <w:r w:rsidR="007D1C8C" w:rsidRPr="003D79FD">
          <w:rPr>
            <w:webHidden/>
          </w:rPr>
          <w:instrText xml:space="preserve"> PAGEREF _Toc231814985 \h </w:instrText>
        </w:r>
        <w:r w:rsidR="007D1C8C" w:rsidRPr="003D79FD">
          <w:rPr>
            <w:webHidden/>
          </w:rPr>
        </w:r>
        <w:r w:rsidR="007D1C8C" w:rsidRPr="003D79FD">
          <w:rPr>
            <w:webHidden/>
          </w:rPr>
          <w:fldChar w:fldCharType="separate"/>
        </w:r>
        <w:r w:rsidR="00E74A88">
          <w:rPr>
            <w:webHidden/>
          </w:rPr>
          <w:t>8</w:t>
        </w:r>
        <w:r w:rsidR="007D1C8C" w:rsidRPr="003D79FD">
          <w:rPr>
            <w:webHidden/>
          </w:rPr>
          <w:fldChar w:fldCharType="end"/>
        </w:r>
      </w:hyperlink>
    </w:p>
    <w:p w14:paraId="084A9295" w14:textId="77777777" w:rsidR="007D1C8C" w:rsidRPr="003D79FD" w:rsidRDefault="00351FDE" w:rsidP="009F60D1">
      <w:pPr>
        <w:pStyle w:val="TM1"/>
        <w:rPr>
          <w:rFonts w:eastAsiaTheme="minorEastAsia"/>
          <w:lang w:eastAsia="fr-FR"/>
        </w:rPr>
      </w:pPr>
      <w:hyperlink w:anchor="_Toc231814986" w:history="1">
        <w:r w:rsidR="007D1C8C" w:rsidRPr="003D79FD">
          <w:rPr>
            <w:rStyle w:val="Lienhypertexte"/>
            <w:rFonts w:cstheme="majorBidi"/>
            <w:sz w:val="22"/>
            <w:szCs w:val="22"/>
          </w:rPr>
          <w:t>LISTE DES TABLEAUX :</w:t>
        </w:r>
        <w:r w:rsidR="007D1C8C" w:rsidRPr="003D79FD">
          <w:rPr>
            <w:webHidden/>
          </w:rPr>
          <w:tab/>
        </w:r>
        <w:r w:rsidR="007D1C8C" w:rsidRPr="003D79FD">
          <w:rPr>
            <w:webHidden/>
          </w:rPr>
          <w:fldChar w:fldCharType="begin"/>
        </w:r>
        <w:r w:rsidR="007D1C8C" w:rsidRPr="003D79FD">
          <w:rPr>
            <w:webHidden/>
          </w:rPr>
          <w:instrText xml:space="preserve"> PAGEREF _Toc231814986 \h </w:instrText>
        </w:r>
        <w:r w:rsidR="007D1C8C" w:rsidRPr="003D79FD">
          <w:rPr>
            <w:webHidden/>
          </w:rPr>
        </w:r>
        <w:r w:rsidR="007D1C8C" w:rsidRPr="003D79FD">
          <w:rPr>
            <w:webHidden/>
          </w:rPr>
          <w:fldChar w:fldCharType="separate"/>
        </w:r>
        <w:r w:rsidR="00E74A88">
          <w:rPr>
            <w:webHidden/>
          </w:rPr>
          <w:t>8</w:t>
        </w:r>
        <w:r w:rsidR="007D1C8C" w:rsidRPr="003D79FD">
          <w:rPr>
            <w:webHidden/>
          </w:rPr>
          <w:fldChar w:fldCharType="end"/>
        </w:r>
      </w:hyperlink>
    </w:p>
    <w:p w14:paraId="2FE60039" w14:textId="77777777" w:rsidR="007D1C8C" w:rsidRPr="003D79FD" w:rsidRDefault="00351FDE" w:rsidP="009F60D1">
      <w:pPr>
        <w:pStyle w:val="TM1"/>
        <w:rPr>
          <w:rFonts w:eastAsiaTheme="minorEastAsia"/>
          <w:lang w:eastAsia="fr-FR"/>
        </w:rPr>
      </w:pPr>
      <w:hyperlink w:anchor="_Toc231814987" w:history="1">
        <w:r w:rsidR="007D1C8C" w:rsidRPr="003D79FD">
          <w:rPr>
            <w:rStyle w:val="Lienhypertexte"/>
            <w:rFonts w:cstheme="majorBidi"/>
            <w:sz w:val="22"/>
            <w:szCs w:val="22"/>
          </w:rPr>
          <w:t>LISTE DES ABREVIATIONS :</w:t>
        </w:r>
        <w:r w:rsidR="007D1C8C" w:rsidRPr="003D79FD">
          <w:rPr>
            <w:webHidden/>
          </w:rPr>
          <w:tab/>
        </w:r>
        <w:r w:rsidR="007D1C8C" w:rsidRPr="003D79FD">
          <w:rPr>
            <w:webHidden/>
          </w:rPr>
          <w:fldChar w:fldCharType="begin"/>
        </w:r>
        <w:r w:rsidR="007D1C8C" w:rsidRPr="003D79FD">
          <w:rPr>
            <w:webHidden/>
          </w:rPr>
          <w:instrText xml:space="preserve"> PAGEREF _Toc231814987 \h </w:instrText>
        </w:r>
        <w:r w:rsidR="007D1C8C" w:rsidRPr="003D79FD">
          <w:rPr>
            <w:webHidden/>
          </w:rPr>
        </w:r>
        <w:r w:rsidR="007D1C8C" w:rsidRPr="003D79FD">
          <w:rPr>
            <w:webHidden/>
          </w:rPr>
          <w:fldChar w:fldCharType="separate"/>
        </w:r>
        <w:r w:rsidR="00E74A88">
          <w:rPr>
            <w:webHidden/>
          </w:rPr>
          <w:t>10</w:t>
        </w:r>
        <w:r w:rsidR="007D1C8C" w:rsidRPr="003D79FD">
          <w:rPr>
            <w:webHidden/>
          </w:rPr>
          <w:fldChar w:fldCharType="end"/>
        </w:r>
      </w:hyperlink>
    </w:p>
    <w:p w14:paraId="25A356FC" w14:textId="77777777" w:rsidR="007D1C8C" w:rsidRPr="003D79FD" w:rsidRDefault="00351FDE" w:rsidP="009F60D1">
      <w:pPr>
        <w:pStyle w:val="TM1"/>
        <w:rPr>
          <w:rFonts w:eastAsiaTheme="minorEastAsia"/>
          <w:lang w:eastAsia="fr-FR"/>
        </w:rPr>
      </w:pPr>
      <w:hyperlink w:anchor="_Toc231814988" w:history="1">
        <w:r w:rsidR="007D1C8C" w:rsidRPr="003D79FD">
          <w:rPr>
            <w:rStyle w:val="Lienhypertexte"/>
            <w:rFonts w:cstheme="majorBidi"/>
            <w:sz w:val="22"/>
            <w:szCs w:val="22"/>
          </w:rPr>
          <w:t>LISTE DES ANNEXES :</w:t>
        </w:r>
        <w:r w:rsidR="007D1C8C" w:rsidRPr="003D79FD">
          <w:rPr>
            <w:webHidden/>
          </w:rPr>
          <w:tab/>
        </w:r>
        <w:r w:rsidR="007D1C8C" w:rsidRPr="003D79FD">
          <w:rPr>
            <w:webHidden/>
          </w:rPr>
          <w:fldChar w:fldCharType="begin"/>
        </w:r>
        <w:r w:rsidR="007D1C8C" w:rsidRPr="003D79FD">
          <w:rPr>
            <w:webHidden/>
          </w:rPr>
          <w:instrText xml:space="preserve"> PAGEREF _Toc231814988 \h </w:instrText>
        </w:r>
        <w:r w:rsidR="007D1C8C" w:rsidRPr="003D79FD">
          <w:rPr>
            <w:webHidden/>
          </w:rPr>
        </w:r>
        <w:r w:rsidR="007D1C8C" w:rsidRPr="003D79FD">
          <w:rPr>
            <w:webHidden/>
          </w:rPr>
          <w:fldChar w:fldCharType="separate"/>
        </w:r>
        <w:r w:rsidR="00E74A88">
          <w:rPr>
            <w:webHidden/>
          </w:rPr>
          <w:t>10</w:t>
        </w:r>
        <w:r w:rsidR="007D1C8C" w:rsidRPr="003D79FD">
          <w:rPr>
            <w:webHidden/>
          </w:rPr>
          <w:fldChar w:fldCharType="end"/>
        </w:r>
      </w:hyperlink>
    </w:p>
    <w:p w14:paraId="064CD7F1" w14:textId="77777777" w:rsidR="007D1C8C" w:rsidRPr="003D79FD" w:rsidRDefault="00351FDE" w:rsidP="009F60D1">
      <w:pPr>
        <w:pStyle w:val="TM1"/>
        <w:rPr>
          <w:rFonts w:eastAsiaTheme="minorEastAsia"/>
          <w:lang w:eastAsia="fr-FR"/>
        </w:rPr>
      </w:pPr>
      <w:hyperlink w:anchor="_Toc231814989" w:history="1">
        <w:r w:rsidR="007D1C8C" w:rsidRPr="003D79FD">
          <w:rPr>
            <w:rStyle w:val="Lienhypertexte"/>
            <w:rFonts w:cstheme="majorBidi"/>
            <w:sz w:val="22"/>
            <w:szCs w:val="22"/>
          </w:rPr>
          <w:t>Introduction générale :</w:t>
        </w:r>
        <w:r w:rsidR="007D1C8C" w:rsidRPr="003D79FD">
          <w:rPr>
            <w:webHidden/>
          </w:rPr>
          <w:tab/>
        </w:r>
        <w:r w:rsidR="007D1C8C" w:rsidRPr="003D79FD">
          <w:rPr>
            <w:webHidden/>
          </w:rPr>
          <w:fldChar w:fldCharType="begin"/>
        </w:r>
        <w:r w:rsidR="007D1C8C" w:rsidRPr="003D79FD">
          <w:rPr>
            <w:webHidden/>
          </w:rPr>
          <w:instrText xml:space="preserve"> PAGEREF _Toc231814989 \h </w:instrText>
        </w:r>
        <w:r w:rsidR="007D1C8C" w:rsidRPr="003D79FD">
          <w:rPr>
            <w:webHidden/>
          </w:rPr>
        </w:r>
        <w:r w:rsidR="007D1C8C" w:rsidRPr="003D79FD">
          <w:rPr>
            <w:webHidden/>
          </w:rPr>
          <w:fldChar w:fldCharType="separate"/>
        </w:r>
        <w:r w:rsidR="00E74A88">
          <w:rPr>
            <w:webHidden/>
          </w:rPr>
          <w:t>A</w:t>
        </w:r>
        <w:r w:rsidR="007D1C8C" w:rsidRPr="003D79FD">
          <w:rPr>
            <w:webHidden/>
          </w:rPr>
          <w:fldChar w:fldCharType="end"/>
        </w:r>
      </w:hyperlink>
    </w:p>
    <w:p w14:paraId="4D04FC96" w14:textId="77777777" w:rsidR="007D1C8C" w:rsidRPr="003D79FD" w:rsidRDefault="00351FDE" w:rsidP="009F60D1">
      <w:pPr>
        <w:pStyle w:val="TM1"/>
        <w:rPr>
          <w:rFonts w:eastAsiaTheme="minorEastAsia"/>
          <w:lang w:eastAsia="fr-FR"/>
        </w:rPr>
      </w:pPr>
      <w:hyperlink w:anchor="_Toc231814990" w:history="1">
        <w:r w:rsidR="007D1C8C" w:rsidRPr="003D79FD">
          <w:rPr>
            <w:rStyle w:val="Lienhypertexte"/>
            <w:rFonts w:cstheme="majorBidi"/>
            <w:sz w:val="22"/>
            <w:szCs w:val="22"/>
          </w:rPr>
          <w:t>Chapitre 01 : La gouvernance comme pierre angulaire de l’entreprise :</w:t>
        </w:r>
        <w:r w:rsidR="007D1C8C" w:rsidRPr="003D79FD">
          <w:rPr>
            <w:webHidden/>
          </w:rPr>
          <w:tab/>
        </w:r>
        <w:r w:rsidR="007D1C8C" w:rsidRPr="003D79FD">
          <w:rPr>
            <w:webHidden/>
          </w:rPr>
          <w:fldChar w:fldCharType="begin"/>
        </w:r>
        <w:r w:rsidR="007D1C8C" w:rsidRPr="003D79FD">
          <w:rPr>
            <w:webHidden/>
          </w:rPr>
          <w:instrText xml:space="preserve"> PAGEREF _Toc231814990 \h </w:instrText>
        </w:r>
        <w:r w:rsidR="007D1C8C" w:rsidRPr="003D79FD">
          <w:rPr>
            <w:webHidden/>
          </w:rPr>
        </w:r>
        <w:r w:rsidR="007D1C8C" w:rsidRPr="003D79FD">
          <w:rPr>
            <w:webHidden/>
          </w:rPr>
          <w:fldChar w:fldCharType="separate"/>
        </w:r>
        <w:r w:rsidR="00E74A88">
          <w:rPr>
            <w:webHidden/>
          </w:rPr>
          <w:t>2</w:t>
        </w:r>
        <w:r w:rsidR="007D1C8C" w:rsidRPr="003D79FD">
          <w:rPr>
            <w:webHidden/>
          </w:rPr>
          <w:fldChar w:fldCharType="end"/>
        </w:r>
      </w:hyperlink>
    </w:p>
    <w:p w14:paraId="535ADDA2" w14:textId="77777777" w:rsidR="007D1C8C" w:rsidRPr="003D79FD" w:rsidRDefault="00351FDE" w:rsidP="009F60D1">
      <w:pPr>
        <w:pStyle w:val="TM1"/>
        <w:rPr>
          <w:rFonts w:eastAsiaTheme="minorEastAsia"/>
          <w:lang w:eastAsia="fr-FR"/>
        </w:rPr>
      </w:pPr>
      <w:hyperlink w:anchor="_Toc231814991" w:history="1">
        <w:r w:rsidR="007D1C8C" w:rsidRPr="003D79FD">
          <w:rPr>
            <w:rStyle w:val="Lienhypertexte"/>
            <w:rFonts w:cstheme="majorBidi"/>
            <w:sz w:val="22"/>
            <w:szCs w:val="22"/>
          </w:rPr>
          <w:t>Introduction du chapitre :</w:t>
        </w:r>
        <w:r w:rsidR="007D1C8C" w:rsidRPr="003D79FD">
          <w:rPr>
            <w:webHidden/>
          </w:rPr>
          <w:tab/>
        </w:r>
        <w:r w:rsidR="007D1C8C" w:rsidRPr="003D79FD">
          <w:rPr>
            <w:webHidden/>
          </w:rPr>
          <w:fldChar w:fldCharType="begin"/>
        </w:r>
        <w:r w:rsidR="007D1C8C" w:rsidRPr="003D79FD">
          <w:rPr>
            <w:webHidden/>
          </w:rPr>
          <w:instrText xml:space="preserve"> PAGEREF _Toc231814991 \h </w:instrText>
        </w:r>
        <w:r w:rsidR="007D1C8C" w:rsidRPr="003D79FD">
          <w:rPr>
            <w:webHidden/>
          </w:rPr>
        </w:r>
        <w:r w:rsidR="007D1C8C" w:rsidRPr="003D79FD">
          <w:rPr>
            <w:webHidden/>
          </w:rPr>
          <w:fldChar w:fldCharType="separate"/>
        </w:r>
        <w:r w:rsidR="00E74A88">
          <w:rPr>
            <w:webHidden/>
          </w:rPr>
          <w:t>2</w:t>
        </w:r>
        <w:r w:rsidR="007D1C8C" w:rsidRPr="003D79FD">
          <w:rPr>
            <w:webHidden/>
          </w:rPr>
          <w:fldChar w:fldCharType="end"/>
        </w:r>
      </w:hyperlink>
    </w:p>
    <w:p w14:paraId="5FF57334" w14:textId="77777777" w:rsidR="007D1C8C" w:rsidRPr="003D79FD" w:rsidRDefault="00351FDE" w:rsidP="009F60D1">
      <w:pPr>
        <w:pStyle w:val="TM1"/>
        <w:rPr>
          <w:rFonts w:eastAsiaTheme="minorEastAsia"/>
          <w:lang w:eastAsia="fr-FR"/>
        </w:rPr>
      </w:pPr>
      <w:hyperlink w:anchor="_Toc231814992" w:history="1">
        <w:r w:rsidR="007D1C8C" w:rsidRPr="003D79FD">
          <w:rPr>
            <w:rStyle w:val="Lienhypertexte"/>
            <w:rFonts w:cstheme="majorBidi"/>
            <w:sz w:val="22"/>
            <w:szCs w:val="22"/>
          </w:rPr>
          <w:t>Section 01 : le cadre conceptuel de la gouvernance :</w:t>
        </w:r>
        <w:r w:rsidR="007D1C8C" w:rsidRPr="003D79FD">
          <w:rPr>
            <w:webHidden/>
          </w:rPr>
          <w:tab/>
        </w:r>
        <w:r w:rsidR="007D1C8C" w:rsidRPr="003D79FD">
          <w:rPr>
            <w:webHidden/>
          </w:rPr>
          <w:fldChar w:fldCharType="begin"/>
        </w:r>
        <w:r w:rsidR="007D1C8C" w:rsidRPr="003D79FD">
          <w:rPr>
            <w:webHidden/>
          </w:rPr>
          <w:instrText xml:space="preserve"> PAGEREF _Toc231814992 \h </w:instrText>
        </w:r>
        <w:r w:rsidR="007D1C8C" w:rsidRPr="003D79FD">
          <w:rPr>
            <w:webHidden/>
          </w:rPr>
        </w:r>
        <w:r w:rsidR="007D1C8C" w:rsidRPr="003D79FD">
          <w:rPr>
            <w:webHidden/>
          </w:rPr>
          <w:fldChar w:fldCharType="separate"/>
        </w:r>
        <w:r w:rsidR="00E74A88">
          <w:rPr>
            <w:webHidden/>
          </w:rPr>
          <w:t>3</w:t>
        </w:r>
        <w:r w:rsidR="007D1C8C" w:rsidRPr="003D79FD">
          <w:rPr>
            <w:webHidden/>
          </w:rPr>
          <w:fldChar w:fldCharType="end"/>
        </w:r>
      </w:hyperlink>
    </w:p>
    <w:p w14:paraId="66518C8C"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4993"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Historique de l’émergence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w:t>
        </w:r>
        <w:r w:rsidR="007D1C8C" w:rsidRPr="003D79FD">
          <w:rPr>
            <w:rFonts w:cstheme="majorBidi"/>
            <w:noProof/>
            <w:webHidden/>
            <w:sz w:val="22"/>
          </w:rPr>
          <w:fldChar w:fldCharType="end"/>
        </w:r>
      </w:hyperlink>
    </w:p>
    <w:p w14:paraId="6189BDF5"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4994"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Définition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w:t>
        </w:r>
        <w:r w:rsidR="007D1C8C" w:rsidRPr="003D79FD">
          <w:rPr>
            <w:rFonts w:cstheme="majorBidi"/>
            <w:noProof/>
            <w:webHidden/>
            <w:sz w:val="22"/>
          </w:rPr>
          <w:fldChar w:fldCharType="end"/>
        </w:r>
      </w:hyperlink>
    </w:p>
    <w:p w14:paraId="7C495DCE"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4995"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Raisons d’être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w:t>
        </w:r>
        <w:r w:rsidR="007D1C8C" w:rsidRPr="003D79FD">
          <w:rPr>
            <w:rFonts w:cstheme="majorBidi"/>
            <w:noProof/>
            <w:webHidden/>
            <w:sz w:val="22"/>
          </w:rPr>
          <w:fldChar w:fldCharType="end"/>
        </w:r>
      </w:hyperlink>
    </w:p>
    <w:p w14:paraId="25A0A71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4996"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Un monde de plus en plus complexe et interdépendant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w:t>
        </w:r>
        <w:r w:rsidR="007D1C8C" w:rsidRPr="003D79FD">
          <w:rPr>
            <w:rFonts w:cstheme="majorBidi"/>
            <w:noProof/>
            <w:webHidden/>
            <w:sz w:val="22"/>
          </w:rPr>
          <w:fldChar w:fldCharType="end"/>
        </w:r>
      </w:hyperlink>
    </w:p>
    <w:p w14:paraId="1F35FB2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4997"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Le déficit de légitimité et le besoin de transparence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w:t>
        </w:r>
        <w:r w:rsidR="007D1C8C" w:rsidRPr="003D79FD">
          <w:rPr>
            <w:rFonts w:cstheme="majorBidi"/>
            <w:noProof/>
            <w:webHidden/>
            <w:sz w:val="22"/>
          </w:rPr>
          <w:fldChar w:fldCharType="end"/>
        </w:r>
      </w:hyperlink>
    </w:p>
    <w:p w14:paraId="74F03DE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4998" w:history="1">
        <w:r w:rsidR="007D1C8C" w:rsidRPr="003D79FD">
          <w:rPr>
            <w:rStyle w:val="Lienhypertexte"/>
            <w:rFonts w:cstheme="majorBidi"/>
            <w:noProof/>
            <w:sz w:val="22"/>
          </w:rPr>
          <w:t>3.3.</w:t>
        </w:r>
        <w:r w:rsidR="007D1C8C" w:rsidRPr="003D79FD">
          <w:rPr>
            <w:rFonts w:eastAsiaTheme="minorEastAsia" w:cstheme="majorBidi"/>
            <w:noProof/>
            <w:sz w:val="22"/>
            <w:lang w:eastAsia="fr-FR"/>
          </w:rPr>
          <w:tab/>
        </w:r>
        <w:r w:rsidR="007D1C8C" w:rsidRPr="003D79FD">
          <w:rPr>
            <w:rStyle w:val="Lienhypertexte"/>
            <w:rFonts w:cstheme="majorBidi"/>
            <w:noProof/>
            <w:sz w:val="22"/>
          </w:rPr>
          <w:t>La multiplication des acteurs et la nécessité de coordination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w:t>
        </w:r>
        <w:r w:rsidR="007D1C8C" w:rsidRPr="003D79FD">
          <w:rPr>
            <w:rFonts w:cstheme="majorBidi"/>
            <w:noProof/>
            <w:webHidden/>
            <w:sz w:val="22"/>
          </w:rPr>
          <w:fldChar w:fldCharType="end"/>
        </w:r>
      </w:hyperlink>
    </w:p>
    <w:p w14:paraId="3F8314F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4999" w:history="1">
        <w:r w:rsidR="007D1C8C" w:rsidRPr="003D79FD">
          <w:rPr>
            <w:rStyle w:val="Lienhypertexte"/>
            <w:rFonts w:cstheme="majorBidi"/>
            <w:noProof/>
            <w:sz w:val="22"/>
          </w:rPr>
          <w:t>3.4.</w:t>
        </w:r>
        <w:r w:rsidR="007D1C8C" w:rsidRPr="003D79FD">
          <w:rPr>
            <w:rFonts w:eastAsiaTheme="minorEastAsia" w:cstheme="majorBidi"/>
            <w:noProof/>
            <w:sz w:val="22"/>
            <w:lang w:eastAsia="fr-FR"/>
          </w:rPr>
          <w:tab/>
        </w:r>
        <w:r w:rsidR="007D1C8C" w:rsidRPr="003D79FD">
          <w:rPr>
            <w:rStyle w:val="Lienhypertexte"/>
            <w:rFonts w:cstheme="majorBidi"/>
            <w:noProof/>
            <w:sz w:val="22"/>
          </w:rPr>
          <w:t>Conférer un pouvoir effectif à la société civile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_Toc231814999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w:t>
        </w:r>
        <w:r w:rsidR="007D1C8C" w:rsidRPr="003D79FD">
          <w:rPr>
            <w:rFonts w:cstheme="majorBidi"/>
            <w:noProof/>
            <w:webHidden/>
            <w:sz w:val="22"/>
          </w:rPr>
          <w:fldChar w:fldCharType="end"/>
        </w:r>
      </w:hyperlink>
    </w:p>
    <w:p w14:paraId="22C7358C"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00"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Les typologies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_Toc231815000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w:t>
        </w:r>
        <w:r w:rsidR="007D1C8C" w:rsidRPr="003D79FD">
          <w:rPr>
            <w:rFonts w:cstheme="majorBidi"/>
            <w:noProof/>
            <w:webHidden/>
            <w:sz w:val="22"/>
          </w:rPr>
          <w:fldChar w:fldCharType="end"/>
        </w:r>
      </w:hyperlink>
    </w:p>
    <w:p w14:paraId="4F5E071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01" w:history="1">
        <w:r w:rsidR="007D1C8C" w:rsidRPr="003D79FD">
          <w:rPr>
            <w:rStyle w:val="Lienhypertexte"/>
            <w:rFonts w:cstheme="majorBidi"/>
            <w:noProof/>
            <w:sz w:val="22"/>
          </w:rPr>
          <w:t>4.1.</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politique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_Toc231815001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w:t>
        </w:r>
        <w:r w:rsidR="007D1C8C" w:rsidRPr="003D79FD">
          <w:rPr>
            <w:rFonts w:cstheme="majorBidi"/>
            <w:noProof/>
            <w:webHidden/>
            <w:sz w:val="22"/>
          </w:rPr>
          <w:fldChar w:fldCharType="end"/>
        </w:r>
      </w:hyperlink>
    </w:p>
    <w:p w14:paraId="6542BEEA"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04"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sociétale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_Toc231815004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w:t>
        </w:r>
        <w:r w:rsidR="007D1C8C" w:rsidRPr="003D79FD">
          <w:rPr>
            <w:rFonts w:cstheme="majorBidi"/>
            <w:noProof/>
            <w:webHidden/>
            <w:sz w:val="22"/>
          </w:rPr>
          <w:fldChar w:fldCharType="end"/>
        </w:r>
      </w:hyperlink>
    </w:p>
    <w:p w14:paraId="4CA314BD"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07" w:history="1">
        <w:r w:rsidR="007D1C8C" w:rsidRPr="003D79FD">
          <w:rPr>
            <w:rStyle w:val="Lienhypertexte"/>
            <w:rFonts w:cstheme="majorBidi"/>
            <w:noProof/>
            <w:sz w:val="22"/>
          </w:rPr>
          <w:t>4.3.</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_Toc231815007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w:t>
        </w:r>
        <w:r w:rsidR="007D1C8C" w:rsidRPr="003D79FD">
          <w:rPr>
            <w:rFonts w:cstheme="majorBidi"/>
            <w:noProof/>
            <w:webHidden/>
            <w:sz w:val="22"/>
          </w:rPr>
          <w:fldChar w:fldCharType="end"/>
        </w:r>
      </w:hyperlink>
    </w:p>
    <w:p w14:paraId="275F688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08" w:history="1">
        <w:r w:rsidR="007D1C8C" w:rsidRPr="003D79FD">
          <w:rPr>
            <w:rStyle w:val="Lienhypertexte"/>
            <w:rFonts w:cstheme="majorBidi"/>
            <w:noProof/>
            <w:sz w:val="22"/>
          </w:rPr>
          <w:t>4.4.</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stratégique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_Toc231815008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w:t>
        </w:r>
        <w:r w:rsidR="007D1C8C" w:rsidRPr="003D79FD">
          <w:rPr>
            <w:rFonts w:cstheme="majorBidi"/>
            <w:noProof/>
            <w:webHidden/>
            <w:sz w:val="22"/>
          </w:rPr>
          <w:fldChar w:fldCharType="end"/>
        </w:r>
      </w:hyperlink>
    </w:p>
    <w:p w14:paraId="123AFDE2" w14:textId="77777777" w:rsidR="007D1C8C" w:rsidRPr="003D79FD" w:rsidRDefault="00351FDE" w:rsidP="009F60D1">
      <w:pPr>
        <w:pStyle w:val="TM1"/>
        <w:rPr>
          <w:rFonts w:eastAsiaTheme="minorEastAsia"/>
          <w:lang w:eastAsia="fr-FR"/>
        </w:rPr>
      </w:pPr>
      <w:hyperlink w:anchor="_Toc231815009" w:history="1">
        <w:r w:rsidR="007D1C8C" w:rsidRPr="003D79FD">
          <w:rPr>
            <w:rStyle w:val="Lienhypertexte"/>
            <w:rFonts w:cstheme="majorBidi"/>
            <w:sz w:val="22"/>
            <w:szCs w:val="22"/>
          </w:rPr>
          <w:t>Section 02 : les fondements théoriques de la gouvernance d’entreprise :</w:t>
        </w:r>
        <w:r w:rsidR="007D1C8C" w:rsidRPr="003D79FD">
          <w:rPr>
            <w:webHidden/>
          </w:rPr>
          <w:tab/>
        </w:r>
        <w:r w:rsidR="007D1C8C" w:rsidRPr="003D79FD">
          <w:rPr>
            <w:webHidden/>
          </w:rPr>
          <w:fldChar w:fldCharType="begin"/>
        </w:r>
        <w:r w:rsidR="007D1C8C" w:rsidRPr="003D79FD">
          <w:rPr>
            <w:webHidden/>
          </w:rPr>
          <w:instrText xml:space="preserve"> PAGEREF _Toc231815009 \h </w:instrText>
        </w:r>
        <w:r w:rsidR="007D1C8C" w:rsidRPr="003D79FD">
          <w:rPr>
            <w:webHidden/>
          </w:rPr>
        </w:r>
        <w:r w:rsidR="007D1C8C" w:rsidRPr="003D79FD">
          <w:rPr>
            <w:webHidden/>
          </w:rPr>
          <w:fldChar w:fldCharType="separate"/>
        </w:r>
        <w:r w:rsidR="00E74A88">
          <w:rPr>
            <w:webHidden/>
          </w:rPr>
          <w:t>15</w:t>
        </w:r>
        <w:r w:rsidR="007D1C8C" w:rsidRPr="003D79FD">
          <w:rPr>
            <w:webHidden/>
          </w:rPr>
          <w:fldChar w:fldCharType="end"/>
        </w:r>
      </w:hyperlink>
    </w:p>
    <w:p w14:paraId="7C2A88F6"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10"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Origines et évolution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w:t>
        </w:r>
        <w:r w:rsidR="007D1C8C" w:rsidRPr="003D79FD">
          <w:rPr>
            <w:rFonts w:cstheme="majorBidi"/>
            <w:noProof/>
            <w:webHidden/>
            <w:sz w:val="22"/>
          </w:rPr>
          <w:fldChar w:fldCharType="end"/>
        </w:r>
      </w:hyperlink>
    </w:p>
    <w:p w14:paraId="06D5389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11"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d’entreprise des années 1970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16</w:t>
        </w:r>
        <w:r w:rsidR="007D1C8C" w:rsidRPr="003D79FD">
          <w:rPr>
            <w:rFonts w:cstheme="majorBidi"/>
            <w:noProof/>
            <w:webHidden/>
            <w:sz w:val="22"/>
          </w:rPr>
          <w:fldChar w:fldCharType="end"/>
        </w:r>
      </w:hyperlink>
    </w:p>
    <w:p w14:paraId="3CE97A3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12"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Les mutations de la gouvernance d’entreprise dans les années 1980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w:t>
        </w:r>
        <w:r w:rsidR="007D1C8C" w:rsidRPr="003D79FD">
          <w:rPr>
            <w:rFonts w:cstheme="majorBidi"/>
            <w:noProof/>
            <w:webHidden/>
            <w:sz w:val="22"/>
          </w:rPr>
          <w:fldChar w:fldCharType="end"/>
        </w:r>
      </w:hyperlink>
    </w:p>
    <w:p w14:paraId="6403272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13" w:history="1">
        <w:r w:rsidR="007D1C8C" w:rsidRPr="003D79FD">
          <w:rPr>
            <w:rStyle w:val="Lienhypertexte"/>
            <w:rFonts w:cstheme="majorBidi"/>
            <w:noProof/>
            <w:sz w:val="22"/>
          </w:rPr>
          <w:t>1.3.</w:t>
        </w:r>
        <w:r w:rsidR="007D1C8C" w:rsidRPr="003D79FD">
          <w:rPr>
            <w:rFonts w:eastAsiaTheme="minorEastAsia" w:cstheme="majorBidi"/>
            <w:noProof/>
            <w:sz w:val="22"/>
            <w:lang w:eastAsia="fr-FR"/>
          </w:rPr>
          <w:tab/>
        </w:r>
        <w:r w:rsidR="007D1C8C" w:rsidRPr="003D79FD">
          <w:rPr>
            <w:rStyle w:val="Lienhypertexte"/>
            <w:rFonts w:cstheme="majorBidi"/>
            <w:noProof/>
            <w:sz w:val="22"/>
          </w:rPr>
          <w:t>La gouvernance d’entreprise au cours du milieu des années 1990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w:t>
        </w:r>
        <w:r w:rsidR="007D1C8C" w:rsidRPr="003D79FD">
          <w:rPr>
            <w:rFonts w:cstheme="majorBidi"/>
            <w:noProof/>
            <w:webHidden/>
            <w:sz w:val="22"/>
          </w:rPr>
          <w:fldChar w:fldCharType="end"/>
        </w:r>
      </w:hyperlink>
    </w:p>
    <w:p w14:paraId="68024827"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14" w:history="1">
        <w:r w:rsidR="007D1C8C" w:rsidRPr="003D79FD">
          <w:rPr>
            <w:rStyle w:val="Lienhypertexte"/>
            <w:rFonts w:cstheme="majorBidi"/>
            <w:noProof/>
            <w:sz w:val="22"/>
          </w:rPr>
          <w:t>1.4.</w:t>
        </w:r>
        <w:r w:rsidR="007D1C8C" w:rsidRPr="003D79FD">
          <w:rPr>
            <w:rFonts w:eastAsiaTheme="minorEastAsia" w:cstheme="majorBidi"/>
            <w:noProof/>
            <w:sz w:val="22"/>
            <w:lang w:eastAsia="fr-FR"/>
          </w:rPr>
          <w:tab/>
        </w:r>
        <w:r w:rsidR="007D1C8C" w:rsidRPr="003D79FD">
          <w:rPr>
            <w:rStyle w:val="Lienhypertexte"/>
            <w:rFonts w:cstheme="majorBidi"/>
            <w:noProof/>
            <w:sz w:val="22"/>
          </w:rPr>
          <w:t>Gouvernance moderne et régulation financière post</w:t>
        </w:r>
        <w:r w:rsidR="007D1C8C" w:rsidRPr="003D79FD">
          <w:rPr>
            <w:rStyle w:val="Lienhypertexte"/>
            <w:rFonts w:cstheme="majorBidi"/>
            <w:noProof/>
            <w:sz w:val="22"/>
          </w:rPr>
          <w:noBreakHyphen/>
          <w:t>1990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20</w:t>
        </w:r>
        <w:r w:rsidR="007D1C8C" w:rsidRPr="003D79FD">
          <w:rPr>
            <w:rFonts w:cstheme="majorBidi"/>
            <w:noProof/>
            <w:webHidden/>
            <w:sz w:val="22"/>
          </w:rPr>
          <w:fldChar w:fldCharType="end"/>
        </w:r>
      </w:hyperlink>
    </w:p>
    <w:p w14:paraId="3A96EE77"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15"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Définition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21</w:t>
        </w:r>
        <w:r w:rsidR="007D1C8C" w:rsidRPr="003D79FD">
          <w:rPr>
            <w:rFonts w:cstheme="majorBidi"/>
            <w:noProof/>
            <w:webHidden/>
            <w:sz w:val="22"/>
          </w:rPr>
          <w:fldChar w:fldCharType="end"/>
        </w:r>
      </w:hyperlink>
    </w:p>
    <w:p w14:paraId="4B470D18"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16"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Les théories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23</w:t>
        </w:r>
        <w:r w:rsidR="007D1C8C" w:rsidRPr="003D79FD">
          <w:rPr>
            <w:rFonts w:cstheme="majorBidi"/>
            <w:noProof/>
            <w:webHidden/>
            <w:sz w:val="22"/>
          </w:rPr>
          <w:fldChar w:fldCharType="end"/>
        </w:r>
      </w:hyperlink>
    </w:p>
    <w:p w14:paraId="7FCE1E97"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17"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Les théories contractuelles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23</w:t>
        </w:r>
        <w:r w:rsidR="007D1C8C" w:rsidRPr="003D79FD">
          <w:rPr>
            <w:rFonts w:cstheme="majorBidi"/>
            <w:noProof/>
            <w:webHidden/>
            <w:sz w:val="22"/>
          </w:rPr>
          <w:fldChar w:fldCharType="end"/>
        </w:r>
      </w:hyperlink>
    </w:p>
    <w:p w14:paraId="217894FF"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18" w:history="1">
        <w:r w:rsidR="007D1C8C" w:rsidRPr="003D79FD">
          <w:rPr>
            <w:rStyle w:val="Lienhypertexte"/>
            <w:rFonts w:cstheme="majorBidi"/>
            <w:noProof/>
            <w:sz w:val="22"/>
          </w:rPr>
          <w:t>3.1.1.</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de l’agence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23</w:t>
        </w:r>
        <w:r w:rsidR="007D1C8C" w:rsidRPr="003D79FD">
          <w:rPr>
            <w:rFonts w:cstheme="majorBidi"/>
            <w:noProof/>
            <w:webHidden/>
            <w:sz w:val="22"/>
          </w:rPr>
          <w:fldChar w:fldCharType="end"/>
        </w:r>
      </w:hyperlink>
    </w:p>
    <w:p w14:paraId="29F8C425"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19" w:history="1">
        <w:r w:rsidR="007D1C8C" w:rsidRPr="003D79FD">
          <w:rPr>
            <w:rStyle w:val="Lienhypertexte"/>
            <w:rFonts w:cstheme="majorBidi"/>
            <w:noProof/>
            <w:sz w:val="22"/>
          </w:rPr>
          <w:t>3.1.2.</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des coûts de transaction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_Toc231815019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25</w:t>
        </w:r>
        <w:r w:rsidR="007D1C8C" w:rsidRPr="003D79FD">
          <w:rPr>
            <w:rFonts w:cstheme="majorBidi"/>
            <w:noProof/>
            <w:webHidden/>
            <w:sz w:val="22"/>
          </w:rPr>
          <w:fldChar w:fldCharType="end"/>
        </w:r>
      </w:hyperlink>
    </w:p>
    <w:p w14:paraId="47897A2F"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22" w:history="1">
        <w:r w:rsidR="007D1C8C" w:rsidRPr="003D79FD">
          <w:rPr>
            <w:rStyle w:val="Lienhypertexte"/>
            <w:rFonts w:cstheme="majorBidi"/>
            <w:noProof/>
            <w:sz w:val="22"/>
          </w:rPr>
          <w:t>3.1.3.</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des droits de propriété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27</w:t>
        </w:r>
        <w:r w:rsidR="007D1C8C" w:rsidRPr="003D79FD">
          <w:rPr>
            <w:rFonts w:cstheme="majorBidi"/>
            <w:noProof/>
            <w:webHidden/>
            <w:sz w:val="22"/>
          </w:rPr>
          <w:fldChar w:fldCharType="end"/>
        </w:r>
      </w:hyperlink>
    </w:p>
    <w:p w14:paraId="0021468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23"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Théories basées sur la compétence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29</w:t>
        </w:r>
        <w:r w:rsidR="007D1C8C" w:rsidRPr="003D79FD">
          <w:rPr>
            <w:rFonts w:cstheme="majorBidi"/>
            <w:noProof/>
            <w:webHidden/>
            <w:sz w:val="22"/>
          </w:rPr>
          <w:fldChar w:fldCharType="end"/>
        </w:r>
      </w:hyperlink>
    </w:p>
    <w:p w14:paraId="179A65C8"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24" w:history="1">
        <w:r w:rsidR="007D1C8C" w:rsidRPr="003D79FD">
          <w:rPr>
            <w:rStyle w:val="Lienhypertexte"/>
            <w:rFonts w:cstheme="majorBidi"/>
            <w:noProof/>
            <w:sz w:val="22"/>
          </w:rPr>
          <w:t>3.2.1.</w:t>
        </w:r>
        <w:r w:rsidR="007D1C8C" w:rsidRPr="003D79FD">
          <w:rPr>
            <w:rFonts w:eastAsiaTheme="minorEastAsia" w:cstheme="majorBidi"/>
            <w:noProof/>
            <w:sz w:val="22"/>
            <w:lang w:eastAsia="fr-FR"/>
          </w:rPr>
          <w:tab/>
        </w:r>
        <w:r w:rsidR="007D1C8C" w:rsidRPr="003D79FD">
          <w:rPr>
            <w:rStyle w:val="Lienhypertexte"/>
            <w:rFonts w:cstheme="majorBidi"/>
            <w:noProof/>
            <w:sz w:val="22"/>
          </w:rPr>
          <w:t>Théorie de l’enracinement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29</w:t>
        </w:r>
        <w:r w:rsidR="007D1C8C" w:rsidRPr="003D79FD">
          <w:rPr>
            <w:rFonts w:cstheme="majorBidi"/>
            <w:noProof/>
            <w:webHidden/>
            <w:sz w:val="22"/>
          </w:rPr>
          <w:fldChar w:fldCharType="end"/>
        </w:r>
      </w:hyperlink>
    </w:p>
    <w:p w14:paraId="193F75D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25" w:history="1">
        <w:r w:rsidR="007D1C8C" w:rsidRPr="003D79FD">
          <w:rPr>
            <w:rStyle w:val="Lienhypertexte"/>
            <w:rFonts w:cstheme="majorBidi"/>
            <w:noProof/>
            <w:sz w:val="22"/>
          </w:rPr>
          <w:t>3.2.2.</w:t>
        </w:r>
        <w:r w:rsidR="007D1C8C" w:rsidRPr="003D79FD">
          <w:rPr>
            <w:rFonts w:eastAsiaTheme="minorEastAsia" w:cstheme="majorBidi"/>
            <w:noProof/>
            <w:sz w:val="22"/>
            <w:lang w:eastAsia="fr-FR"/>
          </w:rPr>
          <w:tab/>
        </w:r>
        <w:r w:rsidR="007D1C8C" w:rsidRPr="003D79FD">
          <w:rPr>
            <w:rStyle w:val="Lienhypertexte"/>
            <w:rFonts w:cstheme="majorBidi"/>
            <w:noProof/>
            <w:sz w:val="22"/>
          </w:rPr>
          <w:t>Théorie de l’intendance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30</w:t>
        </w:r>
        <w:r w:rsidR="007D1C8C" w:rsidRPr="003D79FD">
          <w:rPr>
            <w:rFonts w:cstheme="majorBidi"/>
            <w:noProof/>
            <w:webHidden/>
            <w:sz w:val="22"/>
          </w:rPr>
          <w:fldChar w:fldCharType="end"/>
        </w:r>
      </w:hyperlink>
    </w:p>
    <w:p w14:paraId="329956B7"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26" w:history="1">
        <w:r w:rsidR="007D1C8C" w:rsidRPr="003D79FD">
          <w:rPr>
            <w:rStyle w:val="Lienhypertexte"/>
            <w:rFonts w:cstheme="majorBidi"/>
            <w:noProof/>
            <w:sz w:val="22"/>
          </w:rPr>
          <w:t>3.3.</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actionnariale (modèle sharholder)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31</w:t>
        </w:r>
        <w:r w:rsidR="007D1C8C" w:rsidRPr="003D79FD">
          <w:rPr>
            <w:rFonts w:cstheme="majorBidi"/>
            <w:noProof/>
            <w:webHidden/>
            <w:sz w:val="22"/>
          </w:rPr>
          <w:fldChar w:fldCharType="end"/>
        </w:r>
      </w:hyperlink>
    </w:p>
    <w:p w14:paraId="3FA075B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27" w:history="1">
        <w:r w:rsidR="007D1C8C" w:rsidRPr="003D79FD">
          <w:rPr>
            <w:rStyle w:val="Lienhypertexte"/>
            <w:rFonts w:cstheme="majorBidi"/>
            <w:noProof/>
            <w:sz w:val="22"/>
          </w:rPr>
          <w:t>3.4.</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partenariale (modèle stakeholder)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32</w:t>
        </w:r>
        <w:r w:rsidR="007D1C8C" w:rsidRPr="003D79FD">
          <w:rPr>
            <w:rFonts w:cstheme="majorBidi"/>
            <w:noProof/>
            <w:webHidden/>
            <w:sz w:val="22"/>
          </w:rPr>
          <w:fldChar w:fldCharType="end"/>
        </w:r>
      </w:hyperlink>
    </w:p>
    <w:p w14:paraId="09CFD0B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28" w:history="1">
        <w:r w:rsidR="007D1C8C" w:rsidRPr="003D79FD">
          <w:rPr>
            <w:rStyle w:val="Lienhypertexte"/>
            <w:rFonts w:cstheme="majorBidi"/>
            <w:noProof/>
            <w:sz w:val="22"/>
          </w:rPr>
          <w:t>3.5.</w:t>
        </w:r>
        <w:r w:rsidR="007D1C8C" w:rsidRPr="003D79FD">
          <w:rPr>
            <w:rFonts w:eastAsiaTheme="minorEastAsia" w:cstheme="majorBidi"/>
            <w:noProof/>
            <w:sz w:val="22"/>
            <w:lang w:eastAsia="fr-FR"/>
          </w:rPr>
          <w:tab/>
        </w:r>
        <w:r w:rsidR="007D1C8C" w:rsidRPr="003D79FD">
          <w:rPr>
            <w:rStyle w:val="Lienhypertexte"/>
            <w:rFonts w:cstheme="majorBidi"/>
            <w:noProof/>
            <w:sz w:val="22"/>
          </w:rPr>
          <w:t>La théorie cognitive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33</w:t>
        </w:r>
        <w:r w:rsidR="007D1C8C" w:rsidRPr="003D79FD">
          <w:rPr>
            <w:rFonts w:cstheme="majorBidi"/>
            <w:noProof/>
            <w:webHidden/>
            <w:sz w:val="22"/>
          </w:rPr>
          <w:fldChar w:fldCharType="end"/>
        </w:r>
      </w:hyperlink>
    </w:p>
    <w:p w14:paraId="04877014"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29"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Les modèles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_Toc231815029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34</w:t>
        </w:r>
        <w:r w:rsidR="007D1C8C" w:rsidRPr="003D79FD">
          <w:rPr>
            <w:rFonts w:cstheme="majorBidi"/>
            <w:noProof/>
            <w:webHidden/>
            <w:sz w:val="22"/>
          </w:rPr>
          <w:fldChar w:fldCharType="end"/>
        </w:r>
      </w:hyperlink>
    </w:p>
    <w:p w14:paraId="5AE35015" w14:textId="77777777" w:rsidR="007D1C8C" w:rsidRPr="003D79FD" w:rsidRDefault="00351FDE" w:rsidP="007D1C8C">
      <w:pPr>
        <w:pStyle w:val="TM3"/>
        <w:tabs>
          <w:tab w:val="left" w:pos="1540"/>
          <w:tab w:val="right" w:leader="dot" w:pos="9060"/>
        </w:tabs>
        <w:rPr>
          <w:rFonts w:eastAsiaTheme="minorEastAsia" w:cstheme="majorBidi"/>
          <w:noProof/>
          <w:sz w:val="22"/>
          <w:lang w:eastAsia="fr-FR"/>
        </w:rPr>
      </w:pPr>
      <w:hyperlink w:anchor="_Toc231815030" w:history="1">
        <w:r w:rsidR="007D1C8C" w:rsidRPr="003D79FD">
          <w:rPr>
            <w:rStyle w:val="Lienhypertexte"/>
            <w:rFonts w:cstheme="majorBidi"/>
            <w:noProof/>
            <w:sz w:val="22"/>
          </w:rPr>
          <w:t>4.1.</w:t>
        </w:r>
        <w:r w:rsidR="007D1C8C" w:rsidRPr="003D79FD">
          <w:rPr>
            <w:rFonts w:eastAsiaTheme="minorEastAsia" w:cstheme="majorBidi"/>
            <w:noProof/>
            <w:sz w:val="22"/>
            <w:lang w:eastAsia="fr-FR"/>
          </w:rPr>
          <w:tab/>
        </w:r>
        <w:r w:rsidR="007D1C8C" w:rsidRPr="003D79FD">
          <w:rPr>
            <w:rStyle w:val="Lienhypertexte"/>
            <w:rFonts w:cstheme="majorBidi"/>
            <w:noProof/>
            <w:sz w:val="22"/>
          </w:rPr>
          <w:t>Modèle d’Erik Berglof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_Toc231815030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34</w:t>
        </w:r>
        <w:r w:rsidR="007D1C8C" w:rsidRPr="003D79FD">
          <w:rPr>
            <w:rFonts w:cstheme="majorBidi"/>
            <w:noProof/>
            <w:webHidden/>
            <w:sz w:val="22"/>
          </w:rPr>
          <w:fldChar w:fldCharType="end"/>
        </w:r>
      </w:hyperlink>
    </w:p>
    <w:p w14:paraId="5D8424E5"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33"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Modèle de j.R franks et Colin Mayer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_Toc231815033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36</w:t>
        </w:r>
        <w:r w:rsidR="007D1C8C" w:rsidRPr="003D79FD">
          <w:rPr>
            <w:rFonts w:cstheme="majorBidi"/>
            <w:noProof/>
            <w:webHidden/>
            <w:sz w:val="22"/>
          </w:rPr>
          <w:fldChar w:fldCharType="end"/>
        </w:r>
      </w:hyperlink>
    </w:p>
    <w:p w14:paraId="31885B4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36" w:history="1">
        <w:r w:rsidR="007D1C8C" w:rsidRPr="003D79FD">
          <w:rPr>
            <w:rStyle w:val="Lienhypertexte"/>
            <w:rFonts w:cstheme="majorBidi"/>
            <w:noProof/>
            <w:sz w:val="22"/>
          </w:rPr>
          <w:t>4.3.</w:t>
        </w:r>
        <w:r w:rsidR="007D1C8C" w:rsidRPr="003D79FD">
          <w:rPr>
            <w:rFonts w:eastAsiaTheme="minorEastAsia" w:cstheme="majorBidi"/>
            <w:noProof/>
            <w:sz w:val="22"/>
            <w:lang w:eastAsia="fr-FR"/>
          </w:rPr>
          <w:tab/>
        </w:r>
        <w:r w:rsidR="007D1C8C" w:rsidRPr="003D79FD">
          <w:rPr>
            <w:rStyle w:val="Lienhypertexte"/>
            <w:rFonts w:cstheme="majorBidi"/>
            <w:noProof/>
            <w:sz w:val="22"/>
          </w:rPr>
          <w:t>Modèle de Moreland P.W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_Toc231815036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36</w:t>
        </w:r>
        <w:r w:rsidR="007D1C8C" w:rsidRPr="003D79FD">
          <w:rPr>
            <w:rFonts w:cstheme="majorBidi"/>
            <w:noProof/>
            <w:webHidden/>
            <w:sz w:val="22"/>
          </w:rPr>
          <w:fldChar w:fldCharType="end"/>
        </w:r>
      </w:hyperlink>
    </w:p>
    <w:p w14:paraId="572296D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39" w:history="1">
        <w:r w:rsidR="007D1C8C" w:rsidRPr="003D79FD">
          <w:rPr>
            <w:rStyle w:val="Lienhypertexte"/>
            <w:rFonts w:cstheme="majorBidi"/>
            <w:noProof/>
            <w:sz w:val="22"/>
          </w:rPr>
          <w:t>4.4.</w:t>
        </w:r>
        <w:r w:rsidR="007D1C8C" w:rsidRPr="003D79FD">
          <w:rPr>
            <w:rFonts w:eastAsiaTheme="minorEastAsia" w:cstheme="majorBidi"/>
            <w:noProof/>
            <w:sz w:val="22"/>
            <w:lang w:eastAsia="fr-FR"/>
          </w:rPr>
          <w:tab/>
        </w:r>
        <w:r w:rsidR="007D1C8C" w:rsidRPr="003D79FD">
          <w:rPr>
            <w:rStyle w:val="Lienhypertexte"/>
            <w:rFonts w:cstheme="majorBidi"/>
            <w:noProof/>
            <w:sz w:val="22"/>
          </w:rPr>
          <w:t>Modèle de Mazaru Yoshimori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_Toc231815039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38</w:t>
        </w:r>
        <w:r w:rsidR="007D1C8C" w:rsidRPr="003D79FD">
          <w:rPr>
            <w:rFonts w:cstheme="majorBidi"/>
            <w:noProof/>
            <w:webHidden/>
            <w:sz w:val="22"/>
          </w:rPr>
          <w:fldChar w:fldCharType="end"/>
        </w:r>
      </w:hyperlink>
    </w:p>
    <w:p w14:paraId="6500E2E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43" w:history="1">
        <w:r w:rsidR="007D1C8C" w:rsidRPr="003D79FD">
          <w:rPr>
            <w:rStyle w:val="Lienhypertexte"/>
            <w:rFonts w:cstheme="majorBidi"/>
            <w:noProof/>
            <w:sz w:val="22"/>
          </w:rPr>
          <w:t>4.5.</w:t>
        </w:r>
        <w:r w:rsidR="007D1C8C" w:rsidRPr="003D79FD">
          <w:rPr>
            <w:rFonts w:eastAsiaTheme="minorEastAsia" w:cstheme="majorBidi"/>
            <w:noProof/>
            <w:sz w:val="22"/>
            <w:lang w:eastAsia="fr-FR"/>
          </w:rPr>
          <w:tab/>
        </w:r>
        <w:r w:rsidR="007D1C8C" w:rsidRPr="003D79FD">
          <w:rPr>
            <w:rStyle w:val="Lienhypertexte"/>
            <w:rFonts w:cstheme="majorBidi"/>
            <w:noProof/>
            <w:sz w:val="22"/>
          </w:rPr>
          <w:t>Le modèle français ou le système hybride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_Toc231815043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38</w:t>
        </w:r>
        <w:r w:rsidR="007D1C8C" w:rsidRPr="003D79FD">
          <w:rPr>
            <w:rFonts w:cstheme="majorBidi"/>
            <w:noProof/>
            <w:webHidden/>
            <w:sz w:val="22"/>
          </w:rPr>
          <w:fldChar w:fldCharType="end"/>
        </w:r>
      </w:hyperlink>
    </w:p>
    <w:p w14:paraId="6E0ED332" w14:textId="77777777" w:rsidR="007D1C8C" w:rsidRPr="003D79FD" w:rsidRDefault="00351FDE" w:rsidP="009F60D1">
      <w:pPr>
        <w:pStyle w:val="TM1"/>
        <w:rPr>
          <w:rFonts w:eastAsiaTheme="minorEastAsia"/>
          <w:lang w:eastAsia="fr-FR"/>
        </w:rPr>
      </w:pPr>
      <w:hyperlink w:anchor="_Toc231815044" w:history="1">
        <w:r w:rsidR="007D1C8C" w:rsidRPr="003D79FD">
          <w:rPr>
            <w:rStyle w:val="Lienhypertexte"/>
            <w:rFonts w:cstheme="majorBidi"/>
            <w:sz w:val="22"/>
            <w:szCs w:val="22"/>
          </w:rPr>
          <w:t>Section 03 : Cadre opérationnel de la gouvernance d’entreprise :</w:t>
        </w:r>
        <w:r w:rsidR="007D1C8C" w:rsidRPr="003D79FD">
          <w:rPr>
            <w:webHidden/>
          </w:rPr>
          <w:tab/>
        </w:r>
        <w:r w:rsidR="007D1C8C" w:rsidRPr="003D79FD">
          <w:rPr>
            <w:webHidden/>
          </w:rPr>
          <w:fldChar w:fldCharType="begin"/>
        </w:r>
        <w:r w:rsidR="007D1C8C" w:rsidRPr="003D79FD">
          <w:rPr>
            <w:webHidden/>
          </w:rPr>
          <w:instrText xml:space="preserve"> PAGEREF _Toc231815044 \h </w:instrText>
        </w:r>
        <w:r w:rsidR="007D1C8C" w:rsidRPr="003D79FD">
          <w:rPr>
            <w:webHidden/>
          </w:rPr>
        </w:r>
        <w:r w:rsidR="007D1C8C" w:rsidRPr="003D79FD">
          <w:rPr>
            <w:webHidden/>
          </w:rPr>
          <w:fldChar w:fldCharType="separate"/>
        </w:r>
        <w:r w:rsidR="00E74A88">
          <w:rPr>
            <w:webHidden/>
          </w:rPr>
          <w:t>39</w:t>
        </w:r>
        <w:r w:rsidR="007D1C8C" w:rsidRPr="003D79FD">
          <w:rPr>
            <w:webHidden/>
          </w:rPr>
          <w:fldChar w:fldCharType="end"/>
        </w:r>
      </w:hyperlink>
    </w:p>
    <w:p w14:paraId="49C92657"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45"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Les caractéristiques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_Toc231815045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39</w:t>
        </w:r>
        <w:r w:rsidR="007D1C8C" w:rsidRPr="003D79FD">
          <w:rPr>
            <w:rFonts w:cstheme="majorBidi"/>
            <w:noProof/>
            <w:webHidden/>
            <w:sz w:val="22"/>
          </w:rPr>
          <w:fldChar w:fldCharType="end"/>
        </w:r>
      </w:hyperlink>
    </w:p>
    <w:p w14:paraId="44D0B724"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46"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Les principes fondamentaux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_Toc231815046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42</w:t>
        </w:r>
        <w:r w:rsidR="007D1C8C" w:rsidRPr="003D79FD">
          <w:rPr>
            <w:rFonts w:cstheme="majorBidi"/>
            <w:noProof/>
            <w:webHidden/>
            <w:sz w:val="22"/>
          </w:rPr>
          <w:fldChar w:fldCharType="end"/>
        </w:r>
      </w:hyperlink>
    </w:p>
    <w:p w14:paraId="160EAA4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47"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Organisation de coopération et de développement économiques OCDE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_Toc231815047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42</w:t>
        </w:r>
        <w:r w:rsidR="007D1C8C" w:rsidRPr="003D79FD">
          <w:rPr>
            <w:rFonts w:cstheme="majorBidi"/>
            <w:noProof/>
            <w:webHidden/>
            <w:sz w:val="22"/>
          </w:rPr>
          <w:fldChar w:fldCharType="end"/>
        </w:r>
      </w:hyperlink>
    </w:p>
    <w:p w14:paraId="4BA6791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54"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Selon le Comité de Bâle sur le contrôle bancaire (BCBS)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48</w:t>
        </w:r>
        <w:r w:rsidR="007D1C8C" w:rsidRPr="003D79FD">
          <w:rPr>
            <w:rFonts w:cstheme="majorBidi"/>
            <w:noProof/>
            <w:webHidden/>
            <w:sz w:val="22"/>
          </w:rPr>
          <w:fldChar w:fldCharType="end"/>
        </w:r>
      </w:hyperlink>
    </w:p>
    <w:p w14:paraId="4C7F923D"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55" w:history="1">
        <w:r w:rsidR="007D1C8C" w:rsidRPr="003D79FD">
          <w:rPr>
            <w:rStyle w:val="Lienhypertexte"/>
            <w:rFonts w:cstheme="majorBidi"/>
            <w:noProof/>
            <w:sz w:val="22"/>
          </w:rPr>
          <w:t>2.3.</w:t>
        </w:r>
        <w:r w:rsidR="007D1C8C" w:rsidRPr="003D79FD">
          <w:rPr>
            <w:rFonts w:eastAsiaTheme="minorEastAsia" w:cstheme="majorBidi"/>
            <w:noProof/>
            <w:sz w:val="22"/>
            <w:lang w:eastAsia="fr-FR"/>
          </w:rPr>
          <w:tab/>
        </w:r>
        <w:r w:rsidR="007D1C8C" w:rsidRPr="003D79FD">
          <w:rPr>
            <w:rStyle w:val="Lienhypertexte"/>
            <w:rFonts w:cstheme="majorBidi"/>
            <w:noProof/>
            <w:sz w:val="22"/>
          </w:rPr>
          <w:t>Selon La Société Financière Internationale (SFI)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49</w:t>
        </w:r>
        <w:r w:rsidR="007D1C8C" w:rsidRPr="003D79FD">
          <w:rPr>
            <w:rFonts w:cstheme="majorBidi"/>
            <w:noProof/>
            <w:webHidden/>
            <w:sz w:val="22"/>
          </w:rPr>
          <w:fldChar w:fldCharType="end"/>
        </w:r>
      </w:hyperlink>
    </w:p>
    <w:p w14:paraId="5519FAD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56" w:history="1">
        <w:r w:rsidR="007D1C8C" w:rsidRPr="003D79FD">
          <w:rPr>
            <w:rStyle w:val="Lienhypertexte"/>
            <w:rFonts w:cstheme="majorBidi"/>
            <w:noProof/>
            <w:sz w:val="22"/>
          </w:rPr>
          <w:t>2.4.</w:t>
        </w:r>
        <w:r w:rsidR="007D1C8C" w:rsidRPr="003D79FD">
          <w:rPr>
            <w:rFonts w:eastAsiaTheme="minorEastAsia" w:cstheme="majorBidi"/>
            <w:noProof/>
            <w:sz w:val="22"/>
            <w:lang w:eastAsia="fr-FR"/>
          </w:rPr>
          <w:tab/>
        </w:r>
        <w:r w:rsidR="007D1C8C" w:rsidRPr="003D79FD">
          <w:rPr>
            <w:rStyle w:val="Lienhypertexte"/>
            <w:rFonts w:cstheme="majorBidi"/>
            <w:noProof/>
            <w:sz w:val="22"/>
          </w:rPr>
          <w:t>Selon Le Fonds monétaire international (FMI)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50</w:t>
        </w:r>
        <w:r w:rsidR="007D1C8C" w:rsidRPr="003D79FD">
          <w:rPr>
            <w:rFonts w:cstheme="majorBidi"/>
            <w:noProof/>
            <w:webHidden/>
            <w:sz w:val="22"/>
          </w:rPr>
          <w:fldChar w:fldCharType="end"/>
        </w:r>
      </w:hyperlink>
    </w:p>
    <w:p w14:paraId="60B7D06E"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57" w:history="1">
        <w:r w:rsidR="007D1C8C" w:rsidRPr="003D79FD">
          <w:rPr>
            <w:rStyle w:val="Lienhypertexte"/>
            <w:rFonts w:cstheme="majorBidi"/>
            <w:noProof/>
            <w:sz w:val="22"/>
          </w:rPr>
          <w:t>2.5.</w:t>
        </w:r>
        <w:r w:rsidR="007D1C8C" w:rsidRPr="003D79FD">
          <w:rPr>
            <w:rFonts w:eastAsiaTheme="minorEastAsia" w:cstheme="majorBidi"/>
            <w:noProof/>
            <w:sz w:val="22"/>
            <w:lang w:eastAsia="fr-FR"/>
          </w:rPr>
          <w:tab/>
        </w:r>
        <w:r w:rsidR="007D1C8C" w:rsidRPr="003D79FD">
          <w:rPr>
            <w:rStyle w:val="Lienhypertexte"/>
            <w:rFonts w:cstheme="majorBidi"/>
            <w:noProof/>
            <w:sz w:val="22"/>
          </w:rPr>
          <w:t>Selon le réseau international de la gouvernance d'entreprise ICGN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51</w:t>
        </w:r>
        <w:r w:rsidR="007D1C8C" w:rsidRPr="003D79FD">
          <w:rPr>
            <w:rFonts w:cstheme="majorBidi"/>
            <w:noProof/>
            <w:webHidden/>
            <w:sz w:val="22"/>
          </w:rPr>
          <w:fldChar w:fldCharType="end"/>
        </w:r>
      </w:hyperlink>
    </w:p>
    <w:p w14:paraId="06C4081F"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58"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Les mécanismes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53</w:t>
        </w:r>
        <w:r w:rsidR="007D1C8C" w:rsidRPr="003D79FD">
          <w:rPr>
            <w:rFonts w:cstheme="majorBidi"/>
            <w:noProof/>
            <w:webHidden/>
            <w:sz w:val="22"/>
          </w:rPr>
          <w:fldChar w:fldCharType="end"/>
        </w:r>
      </w:hyperlink>
    </w:p>
    <w:p w14:paraId="29783FEA"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59"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Les mécanismes internes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_Toc231815059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53</w:t>
        </w:r>
        <w:r w:rsidR="007D1C8C" w:rsidRPr="003D79FD">
          <w:rPr>
            <w:rFonts w:cstheme="majorBidi"/>
            <w:noProof/>
            <w:webHidden/>
            <w:sz w:val="22"/>
          </w:rPr>
          <w:fldChar w:fldCharType="end"/>
        </w:r>
      </w:hyperlink>
    </w:p>
    <w:p w14:paraId="0538C5C2"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60" w:history="1">
        <w:r w:rsidR="007D1C8C" w:rsidRPr="003D79FD">
          <w:rPr>
            <w:rStyle w:val="Lienhypertexte"/>
            <w:rFonts w:cstheme="majorBidi"/>
            <w:noProof/>
            <w:sz w:val="22"/>
          </w:rPr>
          <w:t>3.1.1.</w:t>
        </w:r>
        <w:r w:rsidR="007D1C8C" w:rsidRPr="003D79FD">
          <w:rPr>
            <w:rFonts w:eastAsiaTheme="minorEastAsia" w:cstheme="majorBidi"/>
            <w:noProof/>
            <w:sz w:val="22"/>
            <w:lang w:eastAsia="fr-FR"/>
          </w:rPr>
          <w:tab/>
        </w:r>
        <w:r w:rsidR="007D1C8C" w:rsidRPr="003D79FD">
          <w:rPr>
            <w:rStyle w:val="Lienhypertexte"/>
            <w:rFonts w:cstheme="majorBidi"/>
            <w:noProof/>
            <w:sz w:val="22"/>
          </w:rPr>
          <w:t>Le conseil d’administration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_Toc231815060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53</w:t>
        </w:r>
        <w:r w:rsidR="007D1C8C" w:rsidRPr="003D79FD">
          <w:rPr>
            <w:rFonts w:cstheme="majorBidi"/>
            <w:noProof/>
            <w:webHidden/>
            <w:sz w:val="22"/>
          </w:rPr>
          <w:fldChar w:fldCharType="end"/>
        </w:r>
      </w:hyperlink>
    </w:p>
    <w:p w14:paraId="6E075D78"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68" w:history="1">
        <w:r w:rsidR="007D1C8C" w:rsidRPr="003D79FD">
          <w:rPr>
            <w:rStyle w:val="Lienhypertexte"/>
            <w:rFonts w:cstheme="majorBidi"/>
            <w:noProof/>
            <w:sz w:val="22"/>
          </w:rPr>
          <w:t>3.1.2.</w:t>
        </w:r>
        <w:r w:rsidR="007D1C8C" w:rsidRPr="003D79FD">
          <w:rPr>
            <w:rFonts w:eastAsiaTheme="minorEastAsia" w:cstheme="majorBidi"/>
            <w:noProof/>
            <w:sz w:val="22"/>
            <w:lang w:eastAsia="fr-FR"/>
          </w:rPr>
          <w:tab/>
        </w:r>
        <w:r w:rsidR="007D1C8C" w:rsidRPr="003D79FD">
          <w:rPr>
            <w:rStyle w:val="Lienhypertexte"/>
            <w:rFonts w:cstheme="majorBidi"/>
            <w:noProof/>
            <w:sz w:val="22"/>
          </w:rPr>
          <w:t>Le comité des comptes ou comité d’audit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_Toc231815068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57</w:t>
        </w:r>
        <w:r w:rsidR="007D1C8C" w:rsidRPr="003D79FD">
          <w:rPr>
            <w:rFonts w:cstheme="majorBidi"/>
            <w:noProof/>
            <w:webHidden/>
            <w:sz w:val="22"/>
          </w:rPr>
          <w:fldChar w:fldCharType="end"/>
        </w:r>
      </w:hyperlink>
    </w:p>
    <w:p w14:paraId="2B99B510"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69" w:history="1">
        <w:r w:rsidR="007D1C8C" w:rsidRPr="003D79FD">
          <w:rPr>
            <w:rStyle w:val="Lienhypertexte"/>
            <w:rFonts w:cstheme="majorBidi"/>
            <w:noProof/>
            <w:sz w:val="22"/>
          </w:rPr>
          <w:t>3.1.3.</w:t>
        </w:r>
        <w:r w:rsidR="007D1C8C" w:rsidRPr="003D79FD">
          <w:rPr>
            <w:rFonts w:eastAsiaTheme="minorEastAsia" w:cstheme="majorBidi"/>
            <w:noProof/>
            <w:sz w:val="22"/>
            <w:lang w:eastAsia="fr-FR"/>
          </w:rPr>
          <w:tab/>
        </w:r>
        <w:r w:rsidR="007D1C8C" w:rsidRPr="003D79FD">
          <w:rPr>
            <w:rStyle w:val="Lienhypertexte"/>
            <w:rFonts w:cstheme="majorBidi"/>
            <w:noProof/>
            <w:sz w:val="22"/>
          </w:rPr>
          <w:t>Le comité de rémunération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_Toc231815069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58</w:t>
        </w:r>
        <w:r w:rsidR="007D1C8C" w:rsidRPr="003D79FD">
          <w:rPr>
            <w:rFonts w:cstheme="majorBidi"/>
            <w:noProof/>
            <w:webHidden/>
            <w:sz w:val="22"/>
          </w:rPr>
          <w:fldChar w:fldCharType="end"/>
        </w:r>
      </w:hyperlink>
    </w:p>
    <w:p w14:paraId="42C3F304"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0" w:history="1">
        <w:r w:rsidR="007D1C8C" w:rsidRPr="003D79FD">
          <w:rPr>
            <w:rStyle w:val="Lienhypertexte"/>
            <w:rFonts w:cstheme="majorBidi"/>
            <w:noProof/>
            <w:sz w:val="22"/>
          </w:rPr>
          <w:t>3.1.4.</w:t>
        </w:r>
        <w:r w:rsidR="007D1C8C" w:rsidRPr="003D79FD">
          <w:rPr>
            <w:rFonts w:eastAsiaTheme="minorEastAsia" w:cstheme="majorBidi"/>
            <w:noProof/>
            <w:sz w:val="22"/>
            <w:lang w:eastAsia="fr-FR"/>
          </w:rPr>
          <w:tab/>
        </w:r>
        <w:r w:rsidR="007D1C8C" w:rsidRPr="003D79FD">
          <w:rPr>
            <w:rStyle w:val="Lienhypertexte"/>
            <w:rFonts w:cstheme="majorBidi"/>
            <w:noProof/>
            <w:sz w:val="22"/>
          </w:rPr>
          <w:t>Le comité de nomination ou comité de sélection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58</w:t>
        </w:r>
        <w:r w:rsidR="007D1C8C" w:rsidRPr="003D79FD">
          <w:rPr>
            <w:rFonts w:cstheme="majorBidi"/>
            <w:noProof/>
            <w:webHidden/>
            <w:sz w:val="22"/>
          </w:rPr>
          <w:fldChar w:fldCharType="end"/>
        </w:r>
      </w:hyperlink>
    </w:p>
    <w:p w14:paraId="724EAFE0"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1" w:history="1">
        <w:r w:rsidR="007D1C8C" w:rsidRPr="003D79FD">
          <w:rPr>
            <w:rStyle w:val="Lienhypertexte"/>
            <w:rFonts w:cstheme="majorBidi"/>
            <w:noProof/>
            <w:sz w:val="22"/>
          </w:rPr>
          <w:t>3.1.5.</w:t>
        </w:r>
        <w:r w:rsidR="007D1C8C" w:rsidRPr="003D79FD">
          <w:rPr>
            <w:rFonts w:eastAsiaTheme="minorEastAsia" w:cstheme="majorBidi"/>
            <w:noProof/>
            <w:sz w:val="22"/>
            <w:lang w:eastAsia="fr-FR"/>
          </w:rPr>
          <w:tab/>
        </w:r>
        <w:r w:rsidR="007D1C8C" w:rsidRPr="003D79FD">
          <w:rPr>
            <w:rStyle w:val="Lienhypertexte"/>
            <w:rFonts w:cstheme="majorBidi"/>
            <w:noProof/>
            <w:sz w:val="22"/>
          </w:rPr>
          <w:t>Le comité de gestion des risques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59</w:t>
        </w:r>
        <w:r w:rsidR="007D1C8C" w:rsidRPr="003D79FD">
          <w:rPr>
            <w:rFonts w:cstheme="majorBidi"/>
            <w:noProof/>
            <w:webHidden/>
            <w:sz w:val="22"/>
          </w:rPr>
          <w:fldChar w:fldCharType="end"/>
        </w:r>
      </w:hyperlink>
    </w:p>
    <w:p w14:paraId="4FBE12E5"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2" w:history="1">
        <w:r w:rsidR="007D1C8C" w:rsidRPr="003D79FD">
          <w:rPr>
            <w:rStyle w:val="Lienhypertexte"/>
            <w:rFonts w:cstheme="majorBidi"/>
            <w:noProof/>
            <w:sz w:val="22"/>
          </w:rPr>
          <w:t>3.1.6.</w:t>
        </w:r>
        <w:r w:rsidR="007D1C8C" w:rsidRPr="003D79FD">
          <w:rPr>
            <w:rFonts w:eastAsiaTheme="minorEastAsia" w:cstheme="majorBidi"/>
            <w:noProof/>
            <w:sz w:val="22"/>
            <w:lang w:eastAsia="fr-FR"/>
          </w:rPr>
          <w:tab/>
        </w:r>
        <w:r w:rsidR="007D1C8C" w:rsidRPr="003D79FD">
          <w:rPr>
            <w:rStyle w:val="Lienhypertexte"/>
            <w:rFonts w:cstheme="majorBidi"/>
            <w:noProof/>
            <w:sz w:val="22"/>
          </w:rPr>
          <w:t>L’audit interne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59</w:t>
        </w:r>
        <w:r w:rsidR="007D1C8C" w:rsidRPr="003D79FD">
          <w:rPr>
            <w:rFonts w:cstheme="majorBidi"/>
            <w:noProof/>
            <w:webHidden/>
            <w:sz w:val="22"/>
          </w:rPr>
          <w:fldChar w:fldCharType="end"/>
        </w:r>
      </w:hyperlink>
    </w:p>
    <w:p w14:paraId="49E7B20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73"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Les mécanismes externes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60</w:t>
        </w:r>
        <w:r w:rsidR="007D1C8C" w:rsidRPr="003D79FD">
          <w:rPr>
            <w:rFonts w:cstheme="majorBidi"/>
            <w:noProof/>
            <w:webHidden/>
            <w:sz w:val="22"/>
          </w:rPr>
          <w:fldChar w:fldCharType="end"/>
        </w:r>
      </w:hyperlink>
    </w:p>
    <w:p w14:paraId="58A5CAC0"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4" w:history="1">
        <w:r w:rsidR="007D1C8C" w:rsidRPr="003D79FD">
          <w:rPr>
            <w:rStyle w:val="Lienhypertexte"/>
            <w:rFonts w:cstheme="majorBidi"/>
            <w:noProof/>
            <w:sz w:val="22"/>
          </w:rPr>
          <w:t>3.2.1.</w:t>
        </w:r>
        <w:r w:rsidR="007D1C8C" w:rsidRPr="003D79FD">
          <w:rPr>
            <w:rFonts w:eastAsiaTheme="minorEastAsia" w:cstheme="majorBidi"/>
            <w:noProof/>
            <w:sz w:val="22"/>
            <w:lang w:eastAsia="fr-FR"/>
          </w:rPr>
          <w:tab/>
        </w:r>
        <w:r w:rsidR="007D1C8C" w:rsidRPr="003D79FD">
          <w:rPr>
            <w:rStyle w:val="Lienhypertexte"/>
            <w:rFonts w:cstheme="majorBidi"/>
            <w:noProof/>
            <w:sz w:val="22"/>
          </w:rPr>
          <w:t>Le marché des biens et services ou la discipline par la concurrence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60</w:t>
        </w:r>
        <w:r w:rsidR="007D1C8C" w:rsidRPr="003D79FD">
          <w:rPr>
            <w:rFonts w:cstheme="majorBidi"/>
            <w:noProof/>
            <w:webHidden/>
            <w:sz w:val="22"/>
          </w:rPr>
          <w:fldChar w:fldCharType="end"/>
        </w:r>
      </w:hyperlink>
    </w:p>
    <w:p w14:paraId="6B600C87"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5" w:history="1">
        <w:r w:rsidR="007D1C8C" w:rsidRPr="003D79FD">
          <w:rPr>
            <w:rStyle w:val="Lienhypertexte"/>
            <w:rFonts w:cstheme="majorBidi"/>
            <w:noProof/>
            <w:sz w:val="22"/>
          </w:rPr>
          <w:t>3.2.2.</w:t>
        </w:r>
        <w:r w:rsidR="007D1C8C" w:rsidRPr="003D79FD">
          <w:rPr>
            <w:rFonts w:eastAsiaTheme="minorEastAsia" w:cstheme="majorBidi"/>
            <w:noProof/>
            <w:sz w:val="22"/>
            <w:lang w:eastAsia="fr-FR"/>
          </w:rPr>
          <w:tab/>
        </w:r>
        <w:r w:rsidR="007D1C8C" w:rsidRPr="003D79FD">
          <w:rPr>
            <w:rStyle w:val="Lienhypertexte"/>
            <w:rFonts w:cstheme="majorBidi"/>
            <w:noProof/>
            <w:sz w:val="22"/>
          </w:rPr>
          <w:t>Marché de travail (des managers)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61</w:t>
        </w:r>
        <w:r w:rsidR="007D1C8C" w:rsidRPr="003D79FD">
          <w:rPr>
            <w:rFonts w:cstheme="majorBidi"/>
            <w:noProof/>
            <w:webHidden/>
            <w:sz w:val="22"/>
          </w:rPr>
          <w:fldChar w:fldCharType="end"/>
        </w:r>
      </w:hyperlink>
    </w:p>
    <w:p w14:paraId="5ECD7CA5"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6" w:history="1">
        <w:r w:rsidR="007D1C8C" w:rsidRPr="003D79FD">
          <w:rPr>
            <w:rStyle w:val="Lienhypertexte"/>
            <w:rFonts w:cstheme="majorBidi"/>
            <w:noProof/>
            <w:sz w:val="22"/>
          </w:rPr>
          <w:t>3.2.3.</w:t>
        </w:r>
        <w:r w:rsidR="007D1C8C" w:rsidRPr="003D79FD">
          <w:rPr>
            <w:rFonts w:eastAsiaTheme="minorEastAsia" w:cstheme="majorBidi"/>
            <w:noProof/>
            <w:sz w:val="22"/>
            <w:lang w:eastAsia="fr-FR"/>
          </w:rPr>
          <w:tab/>
        </w:r>
        <w:r w:rsidR="007D1C8C" w:rsidRPr="003D79FD">
          <w:rPr>
            <w:rStyle w:val="Lienhypertexte"/>
            <w:rFonts w:cstheme="majorBidi"/>
            <w:noProof/>
            <w:sz w:val="22"/>
          </w:rPr>
          <w:t>Marché des prises de contrôle (Offres Publiques d’Achat et Offre Publique d’Echange)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61</w:t>
        </w:r>
        <w:r w:rsidR="007D1C8C" w:rsidRPr="003D79FD">
          <w:rPr>
            <w:rFonts w:cstheme="majorBidi"/>
            <w:noProof/>
            <w:webHidden/>
            <w:sz w:val="22"/>
          </w:rPr>
          <w:fldChar w:fldCharType="end"/>
        </w:r>
      </w:hyperlink>
    </w:p>
    <w:p w14:paraId="0C33AB79"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7" w:history="1">
        <w:r w:rsidR="007D1C8C" w:rsidRPr="003D79FD">
          <w:rPr>
            <w:rStyle w:val="Lienhypertexte"/>
            <w:rFonts w:cstheme="majorBidi"/>
            <w:noProof/>
            <w:sz w:val="22"/>
          </w:rPr>
          <w:t>3.2.4.</w:t>
        </w:r>
        <w:r w:rsidR="007D1C8C" w:rsidRPr="003D79FD">
          <w:rPr>
            <w:rFonts w:eastAsiaTheme="minorEastAsia" w:cstheme="majorBidi"/>
            <w:noProof/>
            <w:sz w:val="22"/>
            <w:lang w:eastAsia="fr-FR"/>
          </w:rPr>
          <w:tab/>
        </w:r>
        <w:r w:rsidR="007D1C8C" w:rsidRPr="003D79FD">
          <w:rPr>
            <w:rStyle w:val="Lienhypertexte"/>
            <w:rFonts w:cstheme="majorBidi"/>
            <w:noProof/>
            <w:sz w:val="22"/>
          </w:rPr>
          <w:t>Le marché financier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62</w:t>
        </w:r>
        <w:r w:rsidR="007D1C8C" w:rsidRPr="003D79FD">
          <w:rPr>
            <w:rFonts w:cstheme="majorBidi"/>
            <w:noProof/>
            <w:webHidden/>
            <w:sz w:val="22"/>
          </w:rPr>
          <w:fldChar w:fldCharType="end"/>
        </w:r>
      </w:hyperlink>
    </w:p>
    <w:p w14:paraId="3545F927"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8" w:history="1">
        <w:r w:rsidR="007D1C8C" w:rsidRPr="003D79FD">
          <w:rPr>
            <w:rStyle w:val="Lienhypertexte"/>
            <w:rFonts w:cstheme="majorBidi"/>
            <w:noProof/>
            <w:sz w:val="22"/>
          </w:rPr>
          <w:t>3.2.5.</w:t>
        </w:r>
        <w:r w:rsidR="007D1C8C" w:rsidRPr="003D79FD">
          <w:rPr>
            <w:rFonts w:eastAsiaTheme="minorEastAsia" w:cstheme="majorBidi"/>
            <w:noProof/>
            <w:sz w:val="22"/>
            <w:lang w:eastAsia="fr-FR"/>
          </w:rPr>
          <w:tab/>
        </w:r>
        <w:r w:rsidR="007D1C8C" w:rsidRPr="003D79FD">
          <w:rPr>
            <w:rStyle w:val="Lienhypertexte"/>
            <w:rFonts w:cstheme="majorBidi"/>
            <w:noProof/>
            <w:sz w:val="22"/>
          </w:rPr>
          <w:t>Les agences de réglementation, système légal et environnement politique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62</w:t>
        </w:r>
        <w:r w:rsidR="007D1C8C" w:rsidRPr="003D79FD">
          <w:rPr>
            <w:rFonts w:cstheme="majorBidi"/>
            <w:noProof/>
            <w:webHidden/>
            <w:sz w:val="22"/>
          </w:rPr>
          <w:fldChar w:fldCharType="end"/>
        </w:r>
      </w:hyperlink>
    </w:p>
    <w:p w14:paraId="58742FD9"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79" w:history="1">
        <w:r w:rsidR="007D1C8C" w:rsidRPr="003D79FD">
          <w:rPr>
            <w:rStyle w:val="Lienhypertexte"/>
            <w:rFonts w:cstheme="majorBidi"/>
            <w:noProof/>
            <w:sz w:val="22"/>
          </w:rPr>
          <w:t>3.2.6.</w:t>
        </w:r>
        <w:r w:rsidR="007D1C8C" w:rsidRPr="003D79FD">
          <w:rPr>
            <w:rFonts w:eastAsiaTheme="minorEastAsia" w:cstheme="majorBidi"/>
            <w:noProof/>
            <w:sz w:val="22"/>
            <w:lang w:eastAsia="fr-FR"/>
          </w:rPr>
          <w:tab/>
        </w:r>
        <w:r w:rsidR="007D1C8C" w:rsidRPr="003D79FD">
          <w:rPr>
            <w:rStyle w:val="Lienhypertexte"/>
            <w:rFonts w:cstheme="majorBidi"/>
            <w:noProof/>
            <w:sz w:val="22"/>
          </w:rPr>
          <w:t>L’audit externe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_Toc231815079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62</w:t>
        </w:r>
        <w:r w:rsidR="007D1C8C" w:rsidRPr="003D79FD">
          <w:rPr>
            <w:rFonts w:cstheme="majorBidi"/>
            <w:noProof/>
            <w:webHidden/>
            <w:sz w:val="22"/>
          </w:rPr>
          <w:fldChar w:fldCharType="end"/>
        </w:r>
      </w:hyperlink>
    </w:p>
    <w:p w14:paraId="7C5C7A22"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80"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Les objectifs et l’importance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63</w:t>
        </w:r>
        <w:r w:rsidR="007D1C8C" w:rsidRPr="003D79FD">
          <w:rPr>
            <w:rFonts w:cstheme="majorBidi"/>
            <w:noProof/>
            <w:webHidden/>
            <w:sz w:val="22"/>
          </w:rPr>
          <w:fldChar w:fldCharType="end"/>
        </w:r>
      </w:hyperlink>
    </w:p>
    <w:p w14:paraId="02C6768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81" w:history="1">
        <w:r w:rsidR="007D1C8C" w:rsidRPr="003D79FD">
          <w:rPr>
            <w:rStyle w:val="Lienhypertexte"/>
            <w:rFonts w:cstheme="majorBidi"/>
            <w:noProof/>
            <w:sz w:val="22"/>
          </w:rPr>
          <w:t>4.1.</w:t>
        </w:r>
        <w:r w:rsidR="007D1C8C" w:rsidRPr="003D79FD">
          <w:rPr>
            <w:rFonts w:eastAsiaTheme="minorEastAsia" w:cstheme="majorBidi"/>
            <w:noProof/>
            <w:sz w:val="22"/>
            <w:lang w:eastAsia="fr-FR"/>
          </w:rPr>
          <w:tab/>
        </w:r>
        <w:r w:rsidR="007D1C8C" w:rsidRPr="003D79FD">
          <w:rPr>
            <w:rStyle w:val="Lienhypertexte"/>
            <w:rFonts w:cstheme="majorBidi"/>
            <w:noProof/>
            <w:sz w:val="22"/>
          </w:rPr>
          <w:t>Les objectifs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63</w:t>
        </w:r>
        <w:r w:rsidR="007D1C8C" w:rsidRPr="003D79FD">
          <w:rPr>
            <w:rFonts w:cstheme="majorBidi"/>
            <w:noProof/>
            <w:webHidden/>
            <w:sz w:val="22"/>
          </w:rPr>
          <w:fldChar w:fldCharType="end"/>
        </w:r>
      </w:hyperlink>
    </w:p>
    <w:p w14:paraId="12BE86A5"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82"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L’importance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64</w:t>
        </w:r>
        <w:r w:rsidR="007D1C8C" w:rsidRPr="003D79FD">
          <w:rPr>
            <w:rFonts w:cstheme="majorBidi"/>
            <w:noProof/>
            <w:webHidden/>
            <w:sz w:val="22"/>
          </w:rPr>
          <w:fldChar w:fldCharType="end"/>
        </w:r>
      </w:hyperlink>
    </w:p>
    <w:p w14:paraId="32401ABF" w14:textId="77777777" w:rsidR="007D1C8C" w:rsidRPr="003D79FD" w:rsidRDefault="00351FDE" w:rsidP="009F60D1">
      <w:pPr>
        <w:pStyle w:val="TM1"/>
        <w:rPr>
          <w:rFonts w:eastAsiaTheme="minorEastAsia"/>
          <w:lang w:eastAsia="fr-FR"/>
        </w:rPr>
      </w:pPr>
      <w:hyperlink w:anchor="_Toc231815083" w:history="1">
        <w:r w:rsidR="007D1C8C" w:rsidRPr="003D79FD">
          <w:rPr>
            <w:rStyle w:val="Lienhypertexte"/>
            <w:rFonts w:cstheme="majorBidi"/>
            <w:sz w:val="22"/>
            <w:szCs w:val="22"/>
          </w:rPr>
          <w:t>Conclusion du chapitre :</w:t>
        </w:r>
        <w:r w:rsidR="007D1C8C" w:rsidRPr="003D79FD">
          <w:rPr>
            <w:webHidden/>
          </w:rPr>
          <w:tab/>
        </w:r>
        <w:r w:rsidR="007D1C8C" w:rsidRPr="003D79FD">
          <w:rPr>
            <w:webHidden/>
          </w:rPr>
          <w:fldChar w:fldCharType="begin"/>
        </w:r>
        <w:r w:rsidR="007D1C8C" w:rsidRPr="003D79FD">
          <w:rPr>
            <w:webHidden/>
          </w:rPr>
          <w:instrText xml:space="preserve"> PAGEREF _Toc231815083 \h </w:instrText>
        </w:r>
        <w:r w:rsidR="007D1C8C" w:rsidRPr="003D79FD">
          <w:rPr>
            <w:webHidden/>
          </w:rPr>
        </w:r>
        <w:r w:rsidR="007D1C8C" w:rsidRPr="003D79FD">
          <w:rPr>
            <w:webHidden/>
          </w:rPr>
          <w:fldChar w:fldCharType="separate"/>
        </w:r>
        <w:r w:rsidR="00E74A88">
          <w:rPr>
            <w:webHidden/>
          </w:rPr>
          <w:t>65</w:t>
        </w:r>
        <w:r w:rsidR="007D1C8C" w:rsidRPr="003D79FD">
          <w:rPr>
            <w:webHidden/>
          </w:rPr>
          <w:fldChar w:fldCharType="end"/>
        </w:r>
      </w:hyperlink>
    </w:p>
    <w:p w14:paraId="604EE1B5" w14:textId="77777777" w:rsidR="007D1C8C" w:rsidRPr="003D79FD" w:rsidRDefault="00351FDE" w:rsidP="009F60D1">
      <w:pPr>
        <w:pStyle w:val="TM1"/>
        <w:rPr>
          <w:rFonts w:eastAsiaTheme="minorEastAsia"/>
          <w:lang w:eastAsia="fr-FR"/>
        </w:rPr>
      </w:pPr>
      <w:hyperlink w:anchor="_Toc231815084" w:history="1">
        <w:r w:rsidR="007D1C8C" w:rsidRPr="003D79FD">
          <w:rPr>
            <w:rStyle w:val="Lienhypertexte"/>
            <w:rFonts w:cstheme="majorBidi"/>
            <w:sz w:val="22"/>
            <w:szCs w:val="22"/>
          </w:rPr>
          <w:t>Chapitre 02 : La responsabilité sociale des entreprises comme levier d’intégrité pour les entreprises :</w:t>
        </w:r>
        <w:r w:rsidR="007D1C8C" w:rsidRPr="003D79FD">
          <w:rPr>
            <w:webHidden/>
          </w:rPr>
          <w:tab/>
        </w:r>
        <w:r w:rsidR="007D1C8C" w:rsidRPr="003D79FD">
          <w:rPr>
            <w:webHidden/>
          </w:rPr>
          <w:fldChar w:fldCharType="begin"/>
        </w:r>
        <w:r w:rsidR="007D1C8C" w:rsidRPr="003D79FD">
          <w:rPr>
            <w:webHidden/>
          </w:rPr>
          <w:instrText xml:space="preserve"> PAGEREF _Toc231815084 \h </w:instrText>
        </w:r>
        <w:r w:rsidR="007D1C8C" w:rsidRPr="003D79FD">
          <w:rPr>
            <w:webHidden/>
          </w:rPr>
        </w:r>
        <w:r w:rsidR="007D1C8C" w:rsidRPr="003D79FD">
          <w:rPr>
            <w:webHidden/>
          </w:rPr>
          <w:fldChar w:fldCharType="separate"/>
        </w:r>
        <w:r w:rsidR="00E74A88">
          <w:rPr>
            <w:webHidden/>
          </w:rPr>
          <w:t>67</w:t>
        </w:r>
        <w:r w:rsidR="007D1C8C" w:rsidRPr="003D79FD">
          <w:rPr>
            <w:webHidden/>
          </w:rPr>
          <w:fldChar w:fldCharType="end"/>
        </w:r>
      </w:hyperlink>
    </w:p>
    <w:p w14:paraId="4D35D22B" w14:textId="77777777" w:rsidR="007D1C8C" w:rsidRPr="003D79FD" w:rsidRDefault="00351FDE" w:rsidP="009F60D1">
      <w:pPr>
        <w:pStyle w:val="TM1"/>
        <w:rPr>
          <w:rFonts w:eastAsiaTheme="minorEastAsia"/>
          <w:lang w:eastAsia="fr-FR"/>
        </w:rPr>
      </w:pPr>
      <w:hyperlink w:anchor="_Toc231815085" w:history="1">
        <w:r w:rsidR="007D1C8C" w:rsidRPr="003D79FD">
          <w:rPr>
            <w:rStyle w:val="Lienhypertexte"/>
            <w:rFonts w:cstheme="majorBidi"/>
            <w:sz w:val="22"/>
            <w:szCs w:val="22"/>
          </w:rPr>
          <w:t>Introduction du chapitre :</w:t>
        </w:r>
        <w:r w:rsidR="007D1C8C" w:rsidRPr="003D79FD">
          <w:rPr>
            <w:webHidden/>
          </w:rPr>
          <w:tab/>
        </w:r>
        <w:r w:rsidR="007D1C8C" w:rsidRPr="003D79FD">
          <w:rPr>
            <w:webHidden/>
          </w:rPr>
          <w:fldChar w:fldCharType="begin"/>
        </w:r>
        <w:r w:rsidR="007D1C8C" w:rsidRPr="003D79FD">
          <w:rPr>
            <w:webHidden/>
          </w:rPr>
          <w:instrText xml:space="preserve"> PAGEREF _Toc231815085 \h </w:instrText>
        </w:r>
        <w:r w:rsidR="007D1C8C" w:rsidRPr="003D79FD">
          <w:rPr>
            <w:webHidden/>
          </w:rPr>
        </w:r>
        <w:r w:rsidR="007D1C8C" w:rsidRPr="003D79FD">
          <w:rPr>
            <w:webHidden/>
          </w:rPr>
          <w:fldChar w:fldCharType="separate"/>
        </w:r>
        <w:r w:rsidR="00E74A88">
          <w:rPr>
            <w:webHidden/>
          </w:rPr>
          <w:t>67</w:t>
        </w:r>
        <w:r w:rsidR="007D1C8C" w:rsidRPr="003D79FD">
          <w:rPr>
            <w:webHidden/>
          </w:rPr>
          <w:fldChar w:fldCharType="end"/>
        </w:r>
      </w:hyperlink>
    </w:p>
    <w:p w14:paraId="24CC874D" w14:textId="77777777" w:rsidR="007D1C8C" w:rsidRPr="003D79FD" w:rsidRDefault="00351FDE" w:rsidP="009F60D1">
      <w:pPr>
        <w:pStyle w:val="TM1"/>
        <w:rPr>
          <w:rFonts w:eastAsiaTheme="minorEastAsia"/>
          <w:lang w:eastAsia="fr-FR"/>
        </w:rPr>
      </w:pPr>
      <w:hyperlink w:anchor="_Toc231815086" w:history="1">
        <w:r w:rsidR="007D1C8C" w:rsidRPr="003D79FD">
          <w:rPr>
            <w:rStyle w:val="Lienhypertexte"/>
            <w:rFonts w:cstheme="majorBidi"/>
            <w:sz w:val="22"/>
            <w:szCs w:val="22"/>
          </w:rPr>
          <w:t>Section 01 : La notion de la responsabilité sociétale des entreprises :</w:t>
        </w:r>
        <w:r w:rsidR="007D1C8C" w:rsidRPr="003D79FD">
          <w:rPr>
            <w:webHidden/>
          </w:rPr>
          <w:tab/>
        </w:r>
        <w:r w:rsidR="007D1C8C" w:rsidRPr="003D79FD">
          <w:rPr>
            <w:webHidden/>
          </w:rPr>
          <w:fldChar w:fldCharType="begin"/>
        </w:r>
        <w:r w:rsidR="007D1C8C" w:rsidRPr="003D79FD">
          <w:rPr>
            <w:webHidden/>
          </w:rPr>
          <w:instrText xml:space="preserve"> PAGEREF _Toc231815086 \h </w:instrText>
        </w:r>
        <w:r w:rsidR="007D1C8C" w:rsidRPr="003D79FD">
          <w:rPr>
            <w:webHidden/>
          </w:rPr>
        </w:r>
        <w:r w:rsidR="007D1C8C" w:rsidRPr="003D79FD">
          <w:rPr>
            <w:webHidden/>
          </w:rPr>
          <w:fldChar w:fldCharType="separate"/>
        </w:r>
        <w:r w:rsidR="00E74A88">
          <w:rPr>
            <w:webHidden/>
          </w:rPr>
          <w:t>69</w:t>
        </w:r>
        <w:r w:rsidR="007D1C8C" w:rsidRPr="003D79FD">
          <w:rPr>
            <w:webHidden/>
          </w:rPr>
          <w:fldChar w:fldCharType="end"/>
        </w:r>
      </w:hyperlink>
    </w:p>
    <w:p w14:paraId="556F59FB"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87"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De la genèse aux origines conceptuelles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69</w:t>
        </w:r>
        <w:r w:rsidR="007D1C8C" w:rsidRPr="003D79FD">
          <w:rPr>
            <w:rFonts w:cstheme="majorBidi"/>
            <w:noProof/>
            <w:webHidden/>
            <w:sz w:val="22"/>
          </w:rPr>
          <w:fldChar w:fldCharType="end"/>
        </w:r>
      </w:hyperlink>
    </w:p>
    <w:p w14:paraId="2BDBD73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88"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Les origines philosophiques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70</w:t>
        </w:r>
        <w:r w:rsidR="007D1C8C" w:rsidRPr="003D79FD">
          <w:rPr>
            <w:rFonts w:cstheme="majorBidi"/>
            <w:noProof/>
            <w:webHidden/>
            <w:sz w:val="22"/>
          </w:rPr>
          <w:fldChar w:fldCharType="end"/>
        </w:r>
      </w:hyperlink>
    </w:p>
    <w:p w14:paraId="2BDB2095"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89"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Les origines éthiques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_Toc231815089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71</w:t>
        </w:r>
        <w:r w:rsidR="007D1C8C" w:rsidRPr="003D79FD">
          <w:rPr>
            <w:rFonts w:cstheme="majorBidi"/>
            <w:noProof/>
            <w:webHidden/>
            <w:sz w:val="22"/>
          </w:rPr>
          <w:fldChar w:fldCharType="end"/>
        </w:r>
      </w:hyperlink>
    </w:p>
    <w:p w14:paraId="107DCD4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90" w:history="1">
        <w:r w:rsidR="007D1C8C" w:rsidRPr="003D79FD">
          <w:rPr>
            <w:rStyle w:val="Lienhypertexte"/>
            <w:rFonts w:cstheme="majorBidi"/>
            <w:noProof/>
            <w:sz w:val="22"/>
          </w:rPr>
          <w:t>1.3.</w:t>
        </w:r>
        <w:r w:rsidR="007D1C8C" w:rsidRPr="003D79FD">
          <w:rPr>
            <w:rFonts w:eastAsiaTheme="minorEastAsia" w:cstheme="majorBidi"/>
            <w:noProof/>
            <w:sz w:val="22"/>
            <w:lang w:eastAsia="fr-FR"/>
          </w:rPr>
          <w:tab/>
        </w:r>
        <w:r w:rsidR="007D1C8C" w:rsidRPr="003D79FD">
          <w:rPr>
            <w:rStyle w:val="Lienhypertexte"/>
            <w:rFonts w:cstheme="majorBidi"/>
            <w:noProof/>
            <w:sz w:val="22"/>
          </w:rPr>
          <w:t>Les origines socioculturelles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72</w:t>
        </w:r>
        <w:r w:rsidR="007D1C8C" w:rsidRPr="003D79FD">
          <w:rPr>
            <w:rFonts w:cstheme="majorBidi"/>
            <w:noProof/>
            <w:webHidden/>
            <w:sz w:val="22"/>
          </w:rPr>
          <w:fldChar w:fldCharType="end"/>
        </w:r>
      </w:hyperlink>
    </w:p>
    <w:p w14:paraId="453995EE"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091"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La progression de la responsabilité sociale des entreprises : Revue historique en stratégie management</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73</w:t>
        </w:r>
        <w:r w:rsidR="007D1C8C" w:rsidRPr="003D79FD">
          <w:rPr>
            <w:rFonts w:cstheme="majorBidi"/>
            <w:noProof/>
            <w:webHidden/>
            <w:sz w:val="22"/>
          </w:rPr>
          <w:fldChar w:fldCharType="end"/>
        </w:r>
      </w:hyperlink>
    </w:p>
    <w:p w14:paraId="4D39A39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92"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L’entreprise comme acteur socio-économique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73</w:t>
        </w:r>
        <w:r w:rsidR="007D1C8C" w:rsidRPr="003D79FD">
          <w:rPr>
            <w:rFonts w:cstheme="majorBidi"/>
            <w:noProof/>
            <w:webHidden/>
            <w:sz w:val="22"/>
          </w:rPr>
          <w:fldChar w:fldCharType="end"/>
        </w:r>
      </w:hyperlink>
    </w:p>
    <w:p w14:paraId="37452F9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093"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L’enchainement évolutif du concept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74</w:t>
        </w:r>
        <w:r w:rsidR="007D1C8C" w:rsidRPr="003D79FD">
          <w:rPr>
            <w:rFonts w:cstheme="majorBidi"/>
            <w:noProof/>
            <w:webHidden/>
            <w:sz w:val="22"/>
          </w:rPr>
          <w:fldChar w:fldCharType="end"/>
        </w:r>
      </w:hyperlink>
    </w:p>
    <w:p w14:paraId="7440ABD8"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94" w:history="1">
        <w:r w:rsidR="007D1C8C" w:rsidRPr="003D79FD">
          <w:rPr>
            <w:rStyle w:val="Lienhypertexte"/>
            <w:rFonts w:eastAsia="Times New Roman" w:cstheme="majorBidi"/>
            <w:noProof/>
            <w:sz w:val="22"/>
            <w:lang w:eastAsia="fr-FR"/>
          </w:rPr>
          <w:t>2.2.1.</w:t>
        </w:r>
        <w:r w:rsidR="007D1C8C" w:rsidRPr="003D79FD">
          <w:rPr>
            <w:rFonts w:eastAsiaTheme="minorEastAsia" w:cstheme="majorBidi"/>
            <w:noProof/>
            <w:sz w:val="22"/>
            <w:lang w:eastAsia="fr-FR"/>
          </w:rPr>
          <w:tab/>
        </w:r>
        <w:r w:rsidR="007D1C8C" w:rsidRPr="003D79FD">
          <w:rPr>
            <w:rStyle w:val="Lienhypertexte"/>
            <w:rFonts w:eastAsia="Times New Roman" w:cstheme="majorBidi"/>
            <w:noProof/>
            <w:sz w:val="22"/>
            <w:lang w:eastAsia="fr-FR"/>
          </w:rPr>
          <w:t>Les principales évolutions théoriques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74</w:t>
        </w:r>
        <w:r w:rsidR="007D1C8C" w:rsidRPr="003D79FD">
          <w:rPr>
            <w:rFonts w:cstheme="majorBidi"/>
            <w:noProof/>
            <w:webHidden/>
            <w:sz w:val="22"/>
          </w:rPr>
          <w:fldChar w:fldCharType="end"/>
        </w:r>
      </w:hyperlink>
    </w:p>
    <w:p w14:paraId="700D6970"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095" w:history="1">
        <w:r w:rsidR="007D1C8C" w:rsidRPr="003D79FD">
          <w:rPr>
            <w:rStyle w:val="Lienhypertexte"/>
            <w:rFonts w:cstheme="majorBidi"/>
            <w:noProof/>
            <w:sz w:val="22"/>
          </w:rPr>
          <w:t>2.2.2.</w:t>
        </w:r>
        <w:r w:rsidR="007D1C8C" w:rsidRPr="003D79FD">
          <w:rPr>
            <w:rFonts w:eastAsiaTheme="minorEastAsia" w:cstheme="majorBidi"/>
            <w:noProof/>
            <w:sz w:val="22"/>
            <w:lang w:eastAsia="fr-FR"/>
          </w:rPr>
          <w:tab/>
        </w:r>
        <w:r w:rsidR="007D1C8C" w:rsidRPr="003D79FD">
          <w:rPr>
            <w:rStyle w:val="Lienhypertexte"/>
            <w:rFonts w:cstheme="majorBidi"/>
            <w:noProof/>
            <w:sz w:val="22"/>
          </w:rPr>
          <w:t>Le développement historique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_Toc231815095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76</w:t>
        </w:r>
        <w:r w:rsidR="007D1C8C" w:rsidRPr="003D79FD">
          <w:rPr>
            <w:rFonts w:cstheme="majorBidi"/>
            <w:noProof/>
            <w:webHidden/>
            <w:sz w:val="22"/>
          </w:rPr>
          <w:fldChar w:fldCharType="end"/>
        </w:r>
      </w:hyperlink>
    </w:p>
    <w:p w14:paraId="4D92E426"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02"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Les définitions de la responsabilité sociale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82</w:t>
        </w:r>
        <w:r w:rsidR="007D1C8C" w:rsidRPr="003D79FD">
          <w:rPr>
            <w:rFonts w:cstheme="majorBidi"/>
            <w:noProof/>
            <w:webHidden/>
            <w:sz w:val="22"/>
          </w:rPr>
          <w:fldChar w:fldCharType="end"/>
        </w:r>
      </w:hyperlink>
    </w:p>
    <w:p w14:paraId="17476664"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03"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 une obligation individuelle fondamentale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83</w:t>
        </w:r>
        <w:r w:rsidR="007D1C8C" w:rsidRPr="003D79FD">
          <w:rPr>
            <w:rFonts w:cstheme="majorBidi"/>
            <w:noProof/>
            <w:webHidden/>
            <w:sz w:val="22"/>
          </w:rPr>
          <w:fldChar w:fldCharType="end"/>
        </w:r>
      </w:hyperlink>
    </w:p>
    <w:p w14:paraId="292FC2FA"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04"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 une dimension collective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83</w:t>
        </w:r>
        <w:r w:rsidR="007D1C8C" w:rsidRPr="003D79FD">
          <w:rPr>
            <w:rFonts w:cstheme="majorBidi"/>
            <w:noProof/>
            <w:webHidden/>
            <w:sz w:val="22"/>
          </w:rPr>
          <w:fldChar w:fldCharType="end"/>
        </w:r>
      </w:hyperlink>
    </w:p>
    <w:p w14:paraId="2857B09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05" w:history="1">
        <w:r w:rsidR="007D1C8C" w:rsidRPr="003D79FD">
          <w:rPr>
            <w:rStyle w:val="Lienhypertexte"/>
            <w:rFonts w:cstheme="majorBidi"/>
            <w:noProof/>
            <w:sz w:val="22"/>
          </w:rPr>
          <w:t>3.3.</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des entreprises (RSE) : une application organisationnelle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84</w:t>
        </w:r>
        <w:r w:rsidR="007D1C8C" w:rsidRPr="003D79FD">
          <w:rPr>
            <w:rFonts w:cstheme="majorBidi"/>
            <w:noProof/>
            <w:webHidden/>
            <w:sz w:val="22"/>
          </w:rPr>
          <w:fldChar w:fldCharType="end"/>
        </w:r>
      </w:hyperlink>
    </w:p>
    <w:p w14:paraId="471E3412"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06" w:history="1">
        <w:r w:rsidR="007D1C8C" w:rsidRPr="003D79FD">
          <w:rPr>
            <w:rStyle w:val="Lienhypertexte"/>
            <w:rFonts w:cstheme="majorBidi"/>
            <w:noProof/>
            <w:sz w:val="22"/>
          </w:rPr>
          <w:t>3.3.1.</w:t>
        </w:r>
        <w:r w:rsidR="007D1C8C" w:rsidRPr="003D79FD">
          <w:rPr>
            <w:rFonts w:eastAsiaTheme="minorEastAsia" w:cstheme="majorBidi"/>
            <w:noProof/>
            <w:sz w:val="22"/>
            <w:lang w:eastAsia="fr-FR"/>
          </w:rPr>
          <w:tab/>
        </w:r>
        <w:r w:rsidR="007D1C8C" w:rsidRPr="003D79FD">
          <w:rPr>
            <w:rStyle w:val="Lienhypertexte"/>
            <w:rFonts w:cstheme="majorBidi"/>
            <w:noProof/>
            <w:sz w:val="22"/>
          </w:rPr>
          <w:t>La définition de la RSE selon certains auteurs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84</w:t>
        </w:r>
        <w:r w:rsidR="007D1C8C" w:rsidRPr="003D79FD">
          <w:rPr>
            <w:rFonts w:cstheme="majorBidi"/>
            <w:noProof/>
            <w:webHidden/>
            <w:sz w:val="22"/>
          </w:rPr>
          <w:fldChar w:fldCharType="end"/>
        </w:r>
      </w:hyperlink>
    </w:p>
    <w:p w14:paraId="6CC07E9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07" w:history="1">
        <w:r w:rsidR="007D1C8C" w:rsidRPr="003D79FD">
          <w:rPr>
            <w:rStyle w:val="Lienhypertexte"/>
            <w:rFonts w:cstheme="majorBidi"/>
            <w:noProof/>
            <w:sz w:val="22"/>
          </w:rPr>
          <w:t>3.3.2.</w:t>
        </w:r>
        <w:r w:rsidR="007D1C8C" w:rsidRPr="003D79FD">
          <w:rPr>
            <w:rFonts w:eastAsiaTheme="minorEastAsia" w:cstheme="majorBidi"/>
            <w:noProof/>
            <w:sz w:val="22"/>
            <w:lang w:eastAsia="fr-FR"/>
          </w:rPr>
          <w:tab/>
        </w:r>
        <w:r w:rsidR="007D1C8C" w:rsidRPr="003D79FD">
          <w:rPr>
            <w:rStyle w:val="Lienhypertexte"/>
            <w:rFonts w:cstheme="majorBidi"/>
            <w:noProof/>
            <w:sz w:val="22"/>
          </w:rPr>
          <w:t>La définition de la RSE suivant les normes et les standards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86</w:t>
        </w:r>
        <w:r w:rsidR="007D1C8C" w:rsidRPr="003D79FD">
          <w:rPr>
            <w:rFonts w:cstheme="majorBidi"/>
            <w:noProof/>
            <w:webHidden/>
            <w:sz w:val="22"/>
          </w:rPr>
          <w:fldChar w:fldCharType="end"/>
        </w:r>
      </w:hyperlink>
    </w:p>
    <w:p w14:paraId="2FC63257"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08"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lang w:bidi="ar-DZ"/>
          </w:rPr>
          <w:t>Encadrement institutionnelle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87</w:t>
        </w:r>
        <w:r w:rsidR="007D1C8C" w:rsidRPr="003D79FD">
          <w:rPr>
            <w:rFonts w:cstheme="majorBidi"/>
            <w:noProof/>
            <w:webHidden/>
            <w:sz w:val="22"/>
          </w:rPr>
          <w:fldChar w:fldCharType="end"/>
        </w:r>
      </w:hyperlink>
    </w:p>
    <w:p w14:paraId="6185FD4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09" w:history="1">
        <w:r w:rsidR="007D1C8C" w:rsidRPr="003D79FD">
          <w:rPr>
            <w:rStyle w:val="Lienhypertexte"/>
            <w:rFonts w:cstheme="majorBidi"/>
            <w:noProof/>
            <w:sz w:val="22"/>
            <w:lang w:bidi="ar-DZ"/>
          </w:rPr>
          <w:t>4.1.</w:t>
        </w:r>
        <w:r w:rsidR="007D1C8C" w:rsidRPr="003D79FD">
          <w:rPr>
            <w:rFonts w:eastAsiaTheme="minorEastAsia" w:cstheme="majorBidi"/>
            <w:noProof/>
            <w:sz w:val="22"/>
            <w:lang w:eastAsia="fr-FR"/>
          </w:rPr>
          <w:tab/>
        </w:r>
        <w:r w:rsidR="007D1C8C" w:rsidRPr="003D79FD">
          <w:rPr>
            <w:rStyle w:val="Lienhypertexte"/>
            <w:rFonts w:cstheme="majorBidi"/>
            <w:noProof/>
            <w:sz w:val="22"/>
            <w:lang w:bidi="ar-DZ"/>
          </w:rPr>
          <w:t>Les principes de l’OCDE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_Toc231815109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87</w:t>
        </w:r>
        <w:r w:rsidR="007D1C8C" w:rsidRPr="003D79FD">
          <w:rPr>
            <w:rFonts w:cstheme="majorBidi"/>
            <w:noProof/>
            <w:webHidden/>
            <w:sz w:val="22"/>
          </w:rPr>
          <w:fldChar w:fldCharType="end"/>
        </w:r>
      </w:hyperlink>
    </w:p>
    <w:p w14:paraId="6C51BC05"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0"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L’organisation Internationale du Travail (OIT)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88</w:t>
        </w:r>
        <w:r w:rsidR="007D1C8C" w:rsidRPr="003D79FD">
          <w:rPr>
            <w:rFonts w:cstheme="majorBidi"/>
            <w:noProof/>
            <w:webHidden/>
            <w:sz w:val="22"/>
          </w:rPr>
          <w:fldChar w:fldCharType="end"/>
        </w:r>
      </w:hyperlink>
    </w:p>
    <w:p w14:paraId="16A6ED0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1" w:history="1">
        <w:r w:rsidR="007D1C8C" w:rsidRPr="003D79FD">
          <w:rPr>
            <w:rStyle w:val="Lienhypertexte"/>
            <w:rFonts w:cstheme="majorBidi"/>
            <w:noProof/>
            <w:sz w:val="22"/>
          </w:rPr>
          <w:t>4.3.</w:t>
        </w:r>
        <w:r w:rsidR="007D1C8C" w:rsidRPr="003D79FD">
          <w:rPr>
            <w:rFonts w:eastAsiaTheme="minorEastAsia" w:cstheme="majorBidi"/>
            <w:noProof/>
            <w:sz w:val="22"/>
            <w:lang w:eastAsia="fr-FR"/>
          </w:rPr>
          <w:tab/>
        </w:r>
        <w:r w:rsidR="007D1C8C" w:rsidRPr="003D79FD">
          <w:rPr>
            <w:rStyle w:val="Lienhypertexte"/>
            <w:rFonts w:cstheme="majorBidi"/>
            <w:noProof/>
            <w:sz w:val="22"/>
          </w:rPr>
          <w:t>Pacte Mondial de l’ONU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89</w:t>
        </w:r>
        <w:r w:rsidR="007D1C8C" w:rsidRPr="003D79FD">
          <w:rPr>
            <w:rFonts w:cstheme="majorBidi"/>
            <w:noProof/>
            <w:webHidden/>
            <w:sz w:val="22"/>
          </w:rPr>
          <w:fldChar w:fldCharType="end"/>
        </w:r>
      </w:hyperlink>
    </w:p>
    <w:p w14:paraId="1CDEE31B"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2" w:history="1">
        <w:r w:rsidR="007D1C8C" w:rsidRPr="003D79FD">
          <w:rPr>
            <w:rStyle w:val="Lienhypertexte"/>
            <w:rFonts w:cstheme="majorBidi"/>
            <w:noProof/>
            <w:sz w:val="22"/>
          </w:rPr>
          <w:t>4.4.</w:t>
        </w:r>
        <w:r w:rsidR="007D1C8C" w:rsidRPr="003D79FD">
          <w:rPr>
            <w:rFonts w:eastAsiaTheme="minorEastAsia" w:cstheme="majorBidi"/>
            <w:noProof/>
            <w:sz w:val="22"/>
            <w:lang w:eastAsia="fr-FR"/>
          </w:rPr>
          <w:tab/>
        </w:r>
        <w:r w:rsidR="007D1C8C" w:rsidRPr="003D79FD">
          <w:rPr>
            <w:rStyle w:val="Lienhypertexte"/>
            <w:rFonts w:cstheme="majorBidi"/>
            <w:noProof/>
            <w:sz w:val="22"/>
          </w:rPr>
          <w:t>La Global Reporting Initiative (GRI)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90</w:t>
        </w:r>
        <w:r w:rsidR="007D1C8C" w:rsidRPr="003D79FD">
          <w:rPr>
            <w:rFonts w:cstheme="majorBidi"/>
            <w:noProof/>
            <w:webHidden/>
            <w:sz w:val="22"/>
          </w:rPr>
          <w:fldChar w:fldCharType="end"/>
        </w:r>
      </w:hyperlink>
    </w:p>
    <w:p w14:paraId="2DBB4EF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3" w:history="1">
        <w:r w:rsidR="007D1C8C" w:rsidRPr="003D79FD">
          <w:rPr>
            <w:rStyle w:val="Lienhypertexte"/>
            <w:rFonts w:cstheme="majorBidi"/>
            <w:noProof/>
            <w:sz w:val="22"/>
            <w:lang w:eastAsia="fr-FR"/>
          </w:rPr>
          <w:t>4.5.</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L ’Organisation Internationale de Normalisation ISO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91</w:t>
        </w:r>
        <w:r w:rsidR="007D1C8C" w:rsidRPr="003D79FD">
          <w:rPr>
            <w:rFonts w:cstheme="majorBidi"/>
            <w:noProof/>
            <w:webHidden/>
            <w:sz w:val="22"/>
          </w:rPr>
          <w:fldChar w:fldCharType="end"/>
        </w:r>
      </w:hyperlink>
    </w:p>
    <w:p w14:paraId="05D015A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4" w:history="1">
        <w:r w:rsidR="007D1C8C" w:rsidRPr="003D79FD">
          <w:rPr>
            <w:rStyle w:val="Lienhypertexte"/>
            <w:rFonts w:cstheme="majorBidi"/>
            <w:noProof/>
            <w:sz w:val="22"/>
          </w:rPr>
          <w:t>4.6.</w:t>
        </w:r>
        <w:r w:rsidR="007D1C8C" w:rsidRPr="003D79FD">
          <w:rPr>
            <w:rFonts w:eastAsiaTheme="minorEastAsia" w:cstheme="majorBidi"/>
            <w:noProof/>
            <w:sz w:val="22"/>
            <w:lang w:eastAsia="fr-FR"/>
          </w:rPr>
          <w:tab/>
        </w:r>
        <w:r w:rsidR="007D1C8C" w:rsidRPr="003D79FD">
          <w:rPr>
            <w:rStyle w:val="Lienhypertexte"/>
            <w:rFonts w:cstheme="majorBidi"/>
            <w:noProof/>
            <w:sz w:val="22"/>
          </w:rPr>
          <w:t>La norme EMAS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91</w:t>
        </w:r>
        <w:r w:rsidR="007D1C8C" w:rsidRPr="003D79FD">
          <w:rPr>
            <w:rFonts w:cstheme="majorBidi"/>
            <w:noProof/>
            <w:webHidden/>
            <w:sz w:val="22"/>
          </w:rPr>
          <w:fldChar w:fldCharType="end"/>
        </w:r>
      </w:hyperlink>
    </w:p>
    <w:p w14:paraId="1ADB2739" w14:textId="77777777" w:rsidR="007D1C8C" w:rsidRPr="003D79FD" w:rsidRDefault="00351FDE" w:rsidP="009F60D1">
      <w:pPr>
        <w:pStyle w:val="TM1"/>
        <w:rPr>
          <w:rFonts w:eastAsiaTheme="minorEastAsia"/>
          <w:lang w:eastAsia="fr-FR"/>
        </w:rPr>
      </w:pPr>
      <w:hyperlink w:anchor="_Toc231815115" w:history="1">
        <w:r w:rsidR="007D1C8C" w:rsidRPr="003D79FD">
          <w:rPr>
            <w:rStyle w:val="Lienhypertexte"/>
            <w:rFonts w:cstheme="majorBidi"/>
            <w:sz w:val="22"/>
            <w:szCs w:val="22"/>
          </w:rPr>
          <w:t>Section 02 : Le cadre opérationnelle de la responsabilité sociale des entreprises :</w:t>
        </w:r>
        <w:r w:rsidR="007D1C8C" w:rsidRPr="003D79FD">
          <w:rPr>
            <w:webHidden/>
          </w:rPr>
          <w:tab/>
        </w:r>
        <w:r w:rsidR="007D1C8C" w:rsidRPr="003D79FD">
          <w:rPr>
            <w:webHidden/>
          </w:rPr>
          <w:fldChar w:fldCharType="begin"/>
        </w:r>
        <w:r w:rsidR="007D1C8C" w:rsidRPr="003D79FD">
          <w:rPr>
            <w:webHidden/>
          </w:rPr>
          <w:instrText xml:space="preserve"> PAGEREF _Toc231815115 \h </w:instrText>
        </w:r>
        <w:r w:rsidR="007D1C8C" w:rsidRPr="003D79FD">
          <w:rPr>
            <w:webHidden/>
          </w:rPr>
        </w:r>
        <w:r w:rsidR="007D1C8C" w:rsidRPr="003D79FD">
          <w:rPr>
            <w:webHidden/>
          </w:rPr>
          <w:fldChar w:fldCharType="separate"/>
        </w:r>
        <w:r w:rsidR="00E74A88">
          <w:rPr>
            <w:webHidden/>
          </w:rPr>
          <w:t>92</w:t>
        </w:r>
        <w:r w:rsidR="007D1C8C" w:rsidRPr="003D79FD">
          <w:rPr>
            <w:webHidden/>
          </w:rPr>
          <w:fldChar w:fldCharType="end"/>
        </w:r>
      </w:hyperlink>
    </w:p>
    <w:p w14:paraId="647C65BC"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16"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Les principaux piliers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92</w:t>
        </w:r>
        <w:r w:rsidR="007D1C8C" w:rsidRPr="003D79FD">
          <w:rPr>
            <w:rFonts w:cstheme="majorBidi"/>
            <w:noProof/>
            <w:webHidden/>
            <w:sz w:val="22"/>
          </w:rPr>
          <w:fldChar w:fldCharType="end"/>
        </w:r>
      </w:hyperlink>
    </w:p>
    <w:p w14:paraId="1357C7B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7" w:history="1">
        <w:r w:rsidR="007D1C8C" w:rsidRPr="003D79FD">
          <w:rPr>
            <w:rStyle w:val="Lienhypertexte"/>
            <w:rFonts w:eastAsia="Times New Roman" w:cstheme="majorBidi"/>
            <w:noProof/>
            <w:sz w:val="22"/>
            <w:lang w:eastAsia="fr-FR"/>
          </w:rPr>
          <w:t>1.1.</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Les dimensions de la responsabilité sociale des entreprises</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92</w:t>
        </w:r>
        <w:r w:rsidR="007D1C8C" w:rsidRPr="003D79FD">
          <w:rPr>
            <w:rFonts w:cstheme="majorBidi"/>
            <w:noProof/>
            <w:webHidden/>
            <w:sz w:val="22"/>
          </w:rPr>
          <w:fldChar w:fldCharType="end"/>
        </w:r>
      </w:hyperlink>
    </w:p>
    <w:p w14:paraId="2994CEC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8"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Les principes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94</w:t>
        </w:r>
        <w:r w:rsidR="007D1C8C" w:rsidRPr="003D79FD">
          <w:rPr>
            <w:rFonts w:cstheme="majorBidi"/>
            <w:noProof/>
            <w:webHidden/>
            <w:sz w:val="22"/>
          </w:rPr>
          <w:fldChar w:fldCharType="end"/>
        </w:r>
      </w:hyperlink>
    </w:p>
    <w:p w14:paraId="4CCE983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19" w:history="1">
        <w:r w:rsidR="007D1C8C" w:rsidRPr="003D79FD">
          <w:rPr>
            <w:rStyle w:val="Lienhypertexte"/>
            <w:rFonts w:cstheme="majorBidi"/>
            <w:noProof/>
            <w:sz w:val="22"/>
          </w:rPr>
          <w:t>1.3.</w:t>
        </w:r>
        <w:r w:rsidR="007D1C8C" w:rsidRPr="003D79FD">
          <w:rPr>
            <w:rFonts w:eastAsiaTheme="minorEastAsia" w:cstheme="majorBidi"/>
            <w:noProof/>
            <w:sz w:val="22"/>
            <w:lang w:eastAsia="fr-FR"/>
          </w:rPr>
          <w:tab/>
        </w:r>
        <w:r w:rsidR="007D1C8C" w:rsidRPr="003D79FD">
          <w:rPr>
            <w:rStyle w:val="Lienhypertexte"/>
            <w:rFonts w:cstheme="majorBidi"/>
            <w:noProof/>
            <w:sz w:val="22"/>
          </w:rPr>
          <w:t>Les leviers de la performance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_Toc231815119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98</w:t>
        </w:r>
        <w:r w:rsidR="007D1C8C" w:rsidRPr="003D79FD">
          <w:rPr>
            <w:rFonts w:cstheme="majorBidi"/>
            <w:noProof/>
            <w:webHidden/>
            <w:sz w:val="22"/>
          </w:rPr>
          <w:fldChar w:fldCharType="end"/>
        </w:r>
      </w:hyperlink>
    </w:p>
    <w:p w14:paraId="2CB16419"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20"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Repères essentiels sur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99</w:t>
        </w:r>
        <w:r w:rsidR="007D1C8C" w:rsidRPr="003D79FD">
          <w:rPr>
            <w:rFonts w:cstheme="majorBidi"/>
            <w:noProof/>
            <w:webHidden/>
            <w:sz w:val="22"/>
          </w:rPr>
          <w:fldChar w:fldCharType="end"/>
        </w:r>
      </w:hyperlink>
    </w:p>
    <w:p w14:paraId="2C59D3D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21" w:history="1">
        <w:r w:rsidR="007D1C8C" w:rsidRPr="003D79FD">
          <w:rPr>
            <w:rStyle w:val="Lienhypertexte"/>
            <w:rFonts w:eastAsia="Times New Roman" w:cstheme="majorBidi"/>
            <w:noProof/>
            <w:sz w:val="22"/>
            <w:lang w:eastAsia="fr-FR"/>
          </w:rPr>
          <w:t>2.1.</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Les caractéristiques de la responsabilité sociale des entreprises</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99</w:t>
        </w:r>
        <w:r w:rsidR="007D1C8C" w:rsidRPr="003D79FD">
          <w:rPr>
            <w:rFonts w:cstheme="majorBidi"/>
            <w:noProof/>
            <w:webHidden/>
            <w:sz w:val="22"/>
          </w:rPr>
          <w:fldChar w:fldCharType="end"/>
        </w:r>
      </w:hyperlink>
    </w:p>
    <w:p w14:paraId="0D1FF6B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22"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Les enjeux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100</w:t>
        </w:r>
        <w:r w:rsidR="007D1C8C" w:rsidRPr="003D79FD">
          <w:rPr>
            <w:rFonts w:cstheme="majorBidi"/>
            <w:noProof/>
            <w:webHidden/>
            <w:sz w:val="22"/>
          </w:rPr>
          <w:fldChar w:fldCharType="end"/>
        </w:r>
      </w:hyperlink>
    </w:p>
    <w:p w14:paraId="1E493CCD"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23" w:history="1">
        <w:r w:rsidR="007D1C8C" w:rsidRPr="003D79FD">
          <w:rPr>
            <w:rStyle w:val="Lienhypertexte"/>
            <w:rFonts w:cstheme="majorBidi"/>
            <w:noProof/>
            <w:sz w:val="22"/>
            <w:lang w:bidi="ar-DZ"/>
          </w:rPr>
          <w:t>2.3.</w:t>
        </w:r>
        <w:r w:rsidR="007D1C8C" w:rsidRPr="003D79FD">
          <w:rPr>
            <w:rFonts w:eastAsiaTheme="minorEastAsia" w:cstheme="majorBidi"/>
            <w:noProof/>
            <w:sz w:val="22"/>
            <w:lang w:eastAsia="fr-FR"/>
          </w:rPr>
          <w:tab/>
        </w:r>
        <w:r w:rsidR="007D1C8C" w:rsidRPr="003D79FD">
          <w:rPr>
            <w:rStyle w:val="Lienhypertexte"/>
            <w:rFonts w:cstheme="majorBidi"/>
            <w:noProof/>
            <w:sz w:val="22"/>
          </w:rPr>
          <w:t>Les indicateurs de la responsabilité sociale des entreprises et modes de contrôle</w:t>
        </w:r>
        <w:r w:rsidR="007D1C8C" w:rsidRPr="003D79FD">
          <w:rPr>
            <w:rStyle w:val="Lienhypertexte"/>
            <w:rFonts w:cstheme="majorBidi"/>
            <w:noProof/>
            <w:sz w:val="22"/>
            <w:lang w:bidi="ar-DZ"/>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102</w:t>
        </w:r>
        <w:r w:rsidR="007D1C8C" w:rsidRPr="003D79FD">
          <w:rPr>
            <w:rFonts w:cstheme="majorBidi"/>
            <w:noProof/>
            <w:webHidden/>
            <w:sz w:val="22"/>
          </w:rPr>
          <w:fldChar w:fldCharType="end"/>
        </w:r>
      </w:hyperlink>
    </w:p>
    <w:p w14:paraId="7AAE4848"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24" w:history="1">
        <w:r w:rsidR="007D1C8C" w:rsidRPr="003D79FD">
          <w:rPr>
            <w:rStyle w:val="Lienhypertexte"/>
            <w:rFonts w:cstheme="majorBidi"/>
            <w:noProof/>
            <w:sz w:val="22"/>
            <w:lang w:bidi="ar-DZ"/>
          </w:rPr>
          <w:t>2.3.1.</w:t>
        </w:r>
        <w:r w:rsidR="007D1C8C" w:rsidRPr="003D79FD">
          <w:rPr>
            <w:rFonts w:eastAsiaTheme="minorEastAsia" w:cstheme="majorBidi"/>
            <w:noProof/>
            <w:sz w:val="22"/>
            <w:lang w:eastAsia="fr-FR"/>
          </w:rPr>
          <w:tab/>
        </w:r>
        <w:r w:rsidR="007D1C8C" w:rsidRPr="003D79FD">
          <w:rPr>
            <w:rStyle w:val="Lienhypertexte"/>
            <w:rFonts w:eastAsiaTheme="majorEastAsia" w:cstheme="majorBidi"/>
            <w:noProof/>
            <w:sz w:val="22"/>
          </w:rPr>
          <w:t>Les indicateurs internes</w:t>
        </w:r>
        <w:r w:rsidR="007D1C8C" w:rsidRPr="003D79FD">
          <w:rPr>
            <w:rStyle w:val="Lienhypertexte"/>
            <w:rFonts w:cstheme="majorBidi"/>
            <w:i/>
            <w:iCs/>
            <w:noProof/>
            <w:sz w:val="22"/>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102</w:t>
        </w:r>
        <w:r w:rsidR="007D1C8C" w:rsidRPr="003D79FD">
          <w:rPr>
            <w:rFonts w:cstheme="majorBidi"/>
            <w:noProof/>
            <w:webHidden/>
            <w:sz w:val="22"/>
          </w:rPr>
          <w:fldChar w:fldCharType="end"/>
        </w:r>
      </w:hyperlink>
    </w:p>
    <w:p w14:paraId="0B17DAC2"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25" w:history="1">
        <w:r w:rsidR="007D1C8C" w:rsidRPr="003D79FD">
          <w:rPr>
            <w:rStyle w:val="Lienhypertexte"/>
            <w:rFonts w:cstheme="majorBidi"/>
            <w:noProof/>
            <w:sz w:val="22"/>
          </w:rPr>
          <w:t>2.3.2.</w:t>
        </w:r>
        <w:r w:rsidR="007D1C8C" w:rsidRPr="003D79FD">
          <w:rPr>
            <w:rFonts w:eastAsiaTheme="minorEastAsia" w:cstheme="majorBidi"/>
            <w:noProof/>
            <w:sz w:val="22"/>
            <w:lang w:eastAsia="fr-FR"/>
          </w:rPr>
          <w:tab/>
        </w:r>
        <w:r w:rsidR="007D1C8C" w:rsidRPr="003D79FD">
          <w:rPr>
            <w:rStyle w:val="Lienhypertexte"/>
            <w:rFonts w:eastAsiaTheme="majorEastAsia" w:cstheme="majorBidi"/>
            <w:noProof/>
            <w:sz w:val="22"/>
          </w:rPr>
          <w:t>Les indicateurs externes</w:t>
        </w:r>
        <w:r w:rsidR="007D1C8C" w:rsidRPr="003D79FD">
          <w:rPr>
            <w:rStyle w:val="Lienhypertexte"/>
            <w:rFonts w:cstheme="majorBidi"/>
            <w:i/>
            <w:iCs/>
            <w:noProof/>
            <w:sz w:val="22"/>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104</w:t>
        </w:r>
        <w:r w:rsidR="007D1C8C" w:rsidRPr="003D79FD">
          <w:rPr>
            <w:rFonts w:cstheme="majorBidi"/>
            <w:noProof/>
            <w:webHidden/>
            <w:sz w:val="22"/>
          </w:rPr>
          <w:fldChar w:fldCharType="end"/>
        </w:r>
      </w:hyperlink>
    </w:p>
    <w:p w14:paraId="2D300DD5"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26" w:history="1">
        <w:r w:rsidR="007D1C8C" w:rsidRPr="003D79FD">
          <w:rPr>
            <w:rStyle w:val="Lienhypertexte"/>
            <w:rFonts w:cstheme="majorBidi"/>
            <w:noProof/>
            <w:sz w:val="22"/>
            <w:lang w:bidi="ar-DZ"/>
          </w:rPr>
          <w:t>2.3.3.</w:t>
        </w:r>
        <w:r w:rsidR="007D1C8C" w:rsidRPr="003D79FD">
          <w:rPr>
            <w:rFonts w:eastAsiaTheme="minorEastAsia" w:cstheme="majorBidi"/>
            <w:noProof/>
            <w:sz w:val="22"/>
            <w:lang w:eastAsia="fr-FR"/>
          </w:rPr>
          <w:tab/>
        </w:r>
        <w:r w:rsidR="007D1C8C" w:rsidRPr="003D79FD">
          <w:rPr>
            <w:rStyle w:val="Lienhypertexte"/>
            <w:rFonts w:eastAsiaTheme="majorEastAsia" w:cstheme="majorBidi"/>
            <w:noProof/>
            <w:sz w:val="22"/>
          </w:rPr>
          <w:t>Les indicateurs des parties prenantes</w:t>
        </w:r>
        <w:r w:rsidR="007D1C8C" w:rsidRPr="003D79FD">
          <w:rPr>
            <w:rStyle w:val="Lienhypertexte"/>
            <w:rFonts w:cstheme="majorBidi"/>
            <w:i/>
            <w:iCs/>
            <w:noProof/>
            <w:sz w:val="22"/>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105</w:t>
        </w:r>
        <w:r w:rsidR="007D1C8C" w:rsidRPr="003D79FD">
          <w:rPr>
            <w:rFonts w:cstheme="majorBidi"/>
            <w:noProof/>
            <w:webHidden/>
            <w:sz w:val="22"/>
          </w:rPr>
          <w:fldChar w:fldCharType="end"/>
        </w:r>
      </w:hyperlink>
    </w:p>
    <w:p w14:paraId="278F778D"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27"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Les axes d’action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111</w:t>
        </w:r>
        <w:r w:rsidR="007D1C8C" w:rsidRPr="003D79FD">
          <w:rPr>
            <w:rFonts w:cstheme="majorBidi"/>
            <w:noProof/>
            <w:webHidden/>
            <w:sz w:val="22"/>
          </w:rPr>
          <w:fldChar w:fldCharType="end"/>
        </w:r>
      </w:hyperlink>
    </w:p>
    <w:p w14:paraId="45EA2787"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28"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L’outillage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111</w:t>
        </w:r>
        <w:r w:rsidR="007D1C8C" w:rsidRPr="003D79FD">
          <w:rPr>
            <w:rFonts w:cstheme="majorBidi"/>
            <w:noProof/>
            <w:webHidden/>
            <w:sz w:val="22"/>
          </w:rPr>
          <w:fldChar w:fldCharType="end"/>
        </w:r>
      </w:hyperlink>
    </w:p>
    <w:p w14:paraId="42FB2E9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29"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La démarche de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_Toc231815129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114</w:t>
        </w:r>
        <w:r w:rsidR="007D1C8C" w:rsidRPr="003D79FD">
          <w:rPr>
            <w:rFonts w:cstheme="majorBidi"/>
            <w:noProof/>
            <w:webHidden/>
            <w:sz w:val="22"/>
          </w:rPr>
          <w:fldChar w:fldCharType="end"/>
        </w:r>
      </w:hyperlink>
    </w:p>
    <w:p w14:paraId="393690A6"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30" w:history="1">
        <w:r w:rsidR="007D1C8C" w:rsidRPr="003D79FD">
          <w:rPr>
            <w:rStyle w:val="Lienhypertexte"/>
            <w:rFonts w:cstheme="majorBidi"/>
            <w:noProof/>
            <w:sz w:val="22"/>
          </w:rPr>
          <w:t>3.2.1.</w:t>
        </w:r>
        <w:r w:rsidR="007D1C8C" w:rsidRPr="003D79FD">
          <w:rPr>
            <w:rFonts w:eastAsiaTheme="minorEastAsia" w:cstheme="majorBidi"/>
            <w:noProof/>
            <w:sz w:val="22"/>
            <w:lang w:eastAsia="fr-FR"/>
          </w:rPr>
          <w:tab/>
        </w:r>
        <w:r w:rsidR="007D1C8C" w:rsidRPr="003D79FD">
          <w:rPr>
            <w:rStyle w:val="Lienhypertexte"/>
            <w:rFonts w:cstheme="majorBidi"/>
            <w:noProof/>
            <w:sz w:val="22"/>
          </w:rPr>
          <w:t>La RSE en pratique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114</w:t>
        </w:r>
        <w:r w:rsidR="007D1C8C" w:rsidRPr="003D79FD">
          <w:rPr>
            <w:rFonts w:cstheme="majorBidi"/>
            <w:noProof/>
            <w:webHidden/>
            <w:sz w:val="22"/>
          </w:rPr>
          <w:fldChar w:fldCharType="end"/>
        </w:r>
      </w:hyperlink>
    </w:p>
    <w:p w14:paraId="7D580293"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31" w:history="1">
        <w:r w:rsidR="007D1C8C" w:rsidRPr="003D79FD">
          <w:rPr>
            <w:rStyle w:val="Lienhypertexte"/>
            <w:rFonts w:cstheme="majorBidi"/>
            <w:noProof/>
            <w:sz w:val="22"/>
          </w:rPr>
          <w:t>3.2.2.</w:t>
        </w:r>
        <w:r w:rsidR="007D1C8C" w:rsidRPr="003D79FD">
          <w:rPr>
            <w:rFonts w:eastAsiaTheme="minorEastAsia" w:cstheme="majorBidi"/>
            <w:noProof/>
            <w:sz w:val="22"/>
            <w:lang w:eastAsia="fr-FR"/>
          </w:rPr>
          <w:tab/>
        </w:r>
        <w:r w:rsidR="007D1C8C" w:rsidRPr="003D79FD">
          <w:rPr>
            <w:rStyle w:val="Lienhypertexte"/>
            <w:rFonts w:cstheme="majorBidi"/>
            <w:noProof/>
            <w:sz w:val="22"/>
          </w:rPr>
          <w:t>La mise en place de la démarche RSE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115</w:t>
        </w:r>
        <w:r w:rsidR="007D1C8C" w:rsidRPr="003D79FD">
          <w:rPr>
            <w:rFonts w:cstheme="majorBidi"/>
            <w:noProof/>
            <w:webHidden/>
            <w:sz w:val="22"/>
          </w:rPr>
          <w:fldChar w:fldCharType="end"/>
        </w:r>
      </w:hyperlink>
    </w:p>
    <w:p w14:paraId="3467AC2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32" w:history="1">
        <w:r w:rsidR="007D1C8C" w:rsidRPr="003D79FD">
          <w:rPr>
            <w:rStyle w:val="Lienhypertexte"/>
            <w:rFonts w:cstheme="majorBidi"/>
            <w:noProof/>
            <w:sz w:val="22"/>
          </w:rPr>
          <w:t>3.2.3.</w:t>
        </w:r>
        <w:r w:rsidR="007D1C8C" w:rsidRPr="003D79FD">
          <w:rPr>
            <w:rFonts w:eastAsiaTheme="minorEastAsia" w:cstheme="majorBidi"/>
            <w:noProof/>
            <w:sz w:val="22"/>
            <w:lang w:eastAsia="fr-FR"/>
          </w:rPr>
          <w:tab/>
        </w:r>
        <w:r w:rsidR="007D1C8C" w:rsidRPr="003D79FD">
          <w:rPr>
            <w:rStyle w:val="Lienhypertexte"/>
            <w:rFonts w:cstheme="majorBidi"/>
            <w:noProof/>
            <w:sz w:val="22"/>
          </w:rPr>
          <w:t>Évaluation de la démarche RSE d’une 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116</w:t>
        </w:r>
        <w:r w:rsidR="007D1C8C" w:rsidRPr="003D79FD">
          <w:rPr>
            <w:rFonts w:cstheme="majorBidi"/>
            <w:noProof/>
            <w:webHidden/>
            <w:sz w:val="22"/>
          </w:rPr>
          <w:fldChar w:fldCharType="end"/>
        </w:r>
      </w:hyperlink>
    </w:p>
    <w:p w14:paraId="08450E0C"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33"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dans le cadre de développement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117</w:t>
        </w:r>
        <w:r w:rsidR="007D1C8C" w:rsidRPr="003D79FD">
          <w:rPr>
            <w:rFonts w:cstheme="majorBidi"/>
            <w:noProof/>
            <w:webHidden/>
            <w:sz w:val="22"/>
          </w:rPr>
          <w:fldChar w:fldCharType="end"/>
        </w:r>
      </w:hyperlink>
    </w:p>
    <w:p w14:paraId="5C3891B6" w14:textId="77777777" w:rsidR="007D1C8C" w:rsidRPr="003D79FD" w:rsidRDefault="00351FDE">
      <w:pPr>
        <w:pStyle w:val="TM3"/>
        <w:tabs>
          <w:tab w:val="left" w:pos="1540"/>
          <w:tab w:val="right" w:leader="dot" w:pos="9060"/>
        </w:tabs>
        <w:rPr>
          <w:rFonts w:eastAsiaTheme="minorEastAsia" w:cstheme="majorBidi"/>
          <w:b/>
          <w:bCs/>
          <w:noProof/>
          <w:sz w:val="22"/>
          <w:lang w:eastAsia="fr-FR"/>
        </w:rPr>
      </w:pPr>
      <w:hyperlink w:anchor="_Toc231815134" w:history="1">
        <w:r w:rsidR="007D1C8C" w:rsidRPr="003D79FD">
          <w:rPr>
            <w:rStyle w:val="Lienhypertexte"/>
            <w:rFonts w:cstheme="majorBidi"/>
            <w:noProof/>
            <w:sz w:val="22"/>
          </w:rPr>
          <w:t>4.1.</w:t>
        </w:r>
        <w:r w:rsidR="007D1C8C" w:rsidRPr="003D79FD">
          <w:rPr>
            <w:rFonts w:eastAsiaTheme="minorEastAsia" w:cstheme="majorBidi"/>
            <w:noProof/>
            <w:sz w:val="22"/>
            <w:lang w:eastAsia="fr-FR"/>
          </w:rPr>
          <w:tab/>
        </w:r>
        <w:r w:rsidR="007D1C8C" w:rsidRPr="003D79FD">
          <w:rPr>
            <w:rStyle w:val="Lienhypertexte"/>
            <w:rFonts w:eastAsiaTheme="majorEastAsia" w:cstheme="majorBidi"/>
            <w:noProof/>
            <w:sz w:val="22"/>
          </w:rPr>
          <w:t>Le concept de développement durable</w:t>
        </w:r>
        <w:r w:rsidR="007D1C8C" w:rsidRPr="003D79FD">
          <w:rPr>
            <w:rStyle w:val="Lienhypertexte"/>
            <w:rFonts w:cstheme="majorBidi"/>
            <w:noProof/>
            <w:sz w:val="22"/>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117</w:t>
        </w:r>
        <w:r w:rsidR="007D1C8C" w:rsidRPr="003D79FD">
          <w:rPr>
            <w:rFonts w:cstheme="majorBidi"/>
            <w:noProof/>
            <w:webHidden/>
            <w:sz w:val="22"/>
          </w:rPr>
          <w:fldChar w:fldCharType="end"/>
        </w:r>
      </w:hyperlink>
    </w:p>
    <w:p w14:paraId="013AEB8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35"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Les caractéristiques de développement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118</w:t>
        </w:r>
        <w:r w:rsidR="007D1C8C" w:rsidRPr="003D79FD">
          <w:rPr>
            <w:rFonts w:cstheme="majorBidi"/>
            <w:noProof/>
            <w:webHidden/>
            <w:sz w:val="22"/>
          </w:rPr>
          <w:fldChar w:fldCharType="end"/>
        </w:r>
      </w:hyperlink>
    </w:p>
    <w:p w14:paraId="4C6A6FE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36" w:history="1">
        <w:r w:rsidR="007D1C8C" w:rsidRPr="003D79FD">
          <w:rPr>
            <w:rStyle w:val="Lienhypertexte"/>
            <w:rFonts w:cstheme="majorBidi"/>
            <w:noProof/>
            <w:sz w:val="22"/>
          </w:rPr>
          <w:t>4.3.</w:t>
        </w:r>
        <w:r w:rsidR="007D1C8C" w:rsidRPr="003D79FD">
          <w:rPr>
            <w:rFonts w:eastAsiaTheme="minorEastAsia" w:cstheme="majorBidi"/>
            <w:noProof/>
            <w:sz w:val="22"/>
            <w:lang w:eastAsia="fr-FR"/>
          </w:rPr>
          <w:tab/>
        </w:r>
        <w:r w:rsidR="007D1C8C" w:rsidRPr="003D79FD">
          <w:rPr>
            <w:rStyle w:val="Lienhypertexte"/>
            <w:rFonts w:cstheme="majorBidi"/>
            <w:noProof/>
            <w:sz w:val="22"/>
          </w:rPr>
          <w:t>Objectifs du développement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118</w:t>
        </w:r>
        <w:r w:rsidR="007D1C8C" w:rsidRPr="003D79FD">
          <w:rPr>
            <w:rFonts w:cstheme="majorBidi"/>
            <w:noProof/>
            <w:webHidden/>
            <w:sz w:val="22"/>
          </w:rPr>
          <w:fldChar w:fldCharType="end"/>
        </w:r>
      </w:hyperlink>
    </w:p>
    <w:p w14:paraId="2A541DA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37" w:history="1">
        <w:r w:rsidR="007D1C8C" w:rsidRPr="003D79FD">
          <w:rPr>
            <w:rStyle w:val="Lienhypertexte"/>
            <w:rFonts w:cstheme="majorBidi"/>
            <w:noProof/>
            <w:sz w:val="22"/>
          </w:rPr>
          <w:t>4.4.</w:t>
        </w:r>
        <w:r w:rsidR="007D1C8C" w:rsidRPr="003D79FD">
          <w:rPr>
            <w:rFonts w:eastAsiaTheme="minorEastAsia" w:cstheme="majorBidi"/>
            <w:noProof/>
            <w:sz w:val="22"/>
            <w:lang w:eastAsia="fr-FR"/>
          </w:rPr>
          <w:tab/>
        </w:r>
        <w:r w:rsidR="007D1C8C" w:rsidRPr="003D79FD">
          <w:rPr>
            <w:rStyle w:val="Lienhypertexte"/>
            <w:rFonts w:cstheme="majorBidi"/>
            <w:noProof/>
            <w:sz w:val="22"/>
          </w:rPr>
          <w:t>Lien entre la responsabilité sociale des entreprises et le développement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119</w:t>
        </w:r>
        <w:r w:rsidR="007D1C8C" w:rsidRPr="003D79FD">
          <w:rPr>
            <w:rFonts w:cstheme="majorBidi"/>
            <w:noProof/>
            <w:webHidden/>
            <w:sz w:val="22"/>
          </w:rPr>
          <w:fldChar w:fldCharType="end"/>
        </w:r>
      </w:hyperlink>
    </w:p>
    <w:p w14:paraId="7801829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38" w:history="1">
        <w:r w:rsidR="007D1C8C" w:rsidRPr="003D79FD">
          <w:rPr>
            <w:rStyle w:val="Lienhypertexte"/>
            <w:rFonts w:eastAsia="Times New Roman" w:cstheme="majorBidi"/>
            <w:noProof/>
            <w:sz w:val="22"/>
            <w:lang w:eastAsia="fr-FR"/>
          </w:rPr>
          <w:t>4.5.</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Bénéfices et limites de l’intégration du développement durable dans la stratégie de la RSE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_Toc231815138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120</w:t>
        </w:r>
        <w:r w:rsidR="007D1C8C" w:rsidRPr="003D79FD">
          <w:rPr>
            <w:rFonts w:cstheme="majorBidi"/>
            <w:noProof/>
            <w:webHidden/>
            <w:sz w:val="22"/>
          </w:rPr>
          <w:fldChar w:fldCharType="end"/>
        </w:r>
      </w:hyperlink>
    </w:p>
    <w:p w14:paraId="6CFB407A" w14:textId="77777777" w:rsidR="007D1C8C" w:rsidRPr="003D79FD" w:rsidRDefault="00351FDE" w:rsidP="009F60D1">
      <w:pPr>
        <w:pStyle w:val="TM1"/>
        <w:rPr>
          <w:rFonts w:eastAsiaTheme="minorEastAsia"/>
          <w:lang w:eastAsia="fr-FR"/>
        </w:rPr>
      </w:pPr>
      <w:hyperlink w:anchor="_Toc231815139" w:history="1">
        <w:r w:rsidR="007D1C8C" w:rsidRPr="003D79FD">
          <w:rPr>
            <w:rStyle w:val="Lienhypertexte"/>
            <w:rFonts w:cstheme="majorBidi"/>
            <w:sz w:val="22"/>
            <w:szCs w:val="22"/>
          </w:rPr>
          <w:t>Section 03 : Le cadre opérationnelle de la responsabilité sociale des entreprises :</w:t>
        </w:r>
        <w:r w:rsidR="007D1C8C" w:rsidRPr="003D79FD">
          <w:rPr>
            <w:webHidden/>
          </w:rPr>
          <w:tab/>
        </w:r>
        <w:r w:rsidR="007D1C8C" w:rsidRPr="003D79FD">
          <w:rPr>
            <w:webHidden/>
          </w:rPr>
          <w:fldChar w:fldCharType="begin"/>
        </w:r>
        <w:r w:rsidR="007D1C8C" w:rsidRPr="003D79FD">
          <w:rPr>
            <w:webHidden/>
          </w:rPr>
          <w:instrText xml:space="preserve"> PAGEREF _Toc231815139 \h </w:instrText>
        </w:r>
        <w:r w:rsidR="007D1C8C" w:rsidRPr="003D79FD">
          <w:rPr>
            <w:webHidden/>
          </w:rPr>
        </w:r>
        <w:r w:rsidR="007D1C8C" w:rsidRPr="003D79FD">
          <w:rPr>
            <w:webHidden/>
          </w:rPr>
          <w:fldChar w:fldCharType="separate"/>
        </w:r>
        <w:r w:rsidR="00E74A88">
          <w:rPr>
            <w:webHidden/>
          </w:rPr>
          <w:t>120</w:t>
        </w:r>
        <w:r w:rsidR="007D1C8C" w:rsidRPr="003D79FD">
          <w:rPr>
            <w:webHidden/>
          </w:rPr>
          <w:fldChar w:fldCharType="end"/>
        </w:r>
      </w:hyperlink>
    </w:p>
    <w:p w14:paraId="7DE58AEB"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40"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Les motivations de l’intégration de la RSE dans la gestion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120</w:t>
        </w:r>
        <w:r w:rsidR="007D1C8C" w:rsidRPr="003D79FD">
          <w:rPr>
            <w:rFonts w:cstheme="majorBidi"/>
            <w:noProof/>
            <w:webHidden/>
            <w:sz w:val="22"/>
          </w:rPr>
          <w:fldChar w:fldCharType="end"/>
        </w:r>
      </w:hyperlink>
    </w:p>
    <w:p w14:paraId="6A0F4A4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1"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Les motivations stratégiques : construire un avantage concurrentiel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121</w:t>
        </w:r>
        <w:r w:rsidR="007D1C8C" w:rsidRPr="003D79FD">
          <w:rPr>
            <w:rFonts w:cstheme="majorBidi"/>
            <w:noProof/>
            <w:webHidden/>
            <w:sz w:val="22"/>
          </w:rPr>
          <w:fldChar w:fldCharType="end"/>
        </w:r>
      </w:hyperlink>
    </w:p>
    <w:p w14:paraId="67A1C88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2" w:history="1">
        <w:r w:rsidR="007D1C8C" w:rsidRPr="003D79FD">
          <w:rPr>
            <w:rStyle w:val="Lienhypertexte"/>
            <w:rFonts w:eastAsia="Times New Roman" w:cstheme="majorBidi"/>
            <w:noProof/>
            <w:sz w:val="22"/>
            <w:lang w:eastAsia="fr-FR"/>
          </w:rPr>
          <w:t>1.2.</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Les motivations juridiques et organisationnelles : La conformité comme fondement essentiel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121</w:t>
        </w:r>
        <w:r w:rsidR="007D1C8C" w:rsidRPr="003D79FD">
          <w:rPr>
            <w:rFonts w:cstheme="majorBidi"/>
            <w:noProof/>
            <w:webHidden/>
            <w:sz w:val="22"/>
          </w:rPr>
          <w:fldChar w:fldCharType="end"/>
        </w:r>
      </w:hyperlink>
    </w:p>
    <w:p w14:paraId="4496E67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3" w:history="1">
        <w:r w:rsidR="007D1C8C" w:rsidRPr="003D79FD">
          <w:rPr>
            <w:rStyle w:val="Lienhypertexte"/>
            <w:rFonts w:eastAsia="Times New Roman" w:cstheme="majorBidi"/>
            <w:noProof/>
            <w:sz w:val="22"/>
            <w:lang w:eastAsia="fr-FR"/>
          </w:rPr>
          <w:t>1.3.</w:t>
        </w:r>
        <w:r w:rsidR="007D1C8C" w:rsidRPr="003D79FD">
          <w:rPr>
            <w:rFonts w:eastAsiaTheme="minorEastAsia" w:cstheme="majorBidi"/>
            <w:noProof/>
            <w:sz w:val="22"/>
            <w:lang w:eastAsia="fr-FR"/>
          </w:rPr>
          <w:tab/>
        </w:r>
        <w:r w:rsidR="007D1C8C" w:rsidRPr="003D79FD">
          <w:rPr>
            <w:rStyle w:val="Lienhypertexte"/>
            <w:rFonts w:eastAsia="Times New Roman" w:cstheme="majorBidi"/>
            <w:noProof/>
            <w:sz w:val="22"/>
            <w:lang w:eastAsia="fr-FR"/>
          </w:rPr>
          <w:t>Les motivations économiques et financières : améliorer la performance et la rentabilité de l’entreprise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121</w:t>
        </w:r>
        <w:r w:rsidR="007D1C8C" w:rsidRPr="003D79FD">
          <w:rPr>
            <w:rFonts w:cstheme="majorBidi"/>
            <w:noProof/>
            <w:webHidden/>
            <w:sz w:val="22"/>
          </w:rPr>
          <w:fldChar w:fldCharType="end"/>
        </w:r>
      </w:hyperlink>
    </w:p>
    <w:p w14:paraId="6C1453F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4" w:history="1">
        <w:r w:rsidR="007D1C8C" w:rsidRPr="003D79FD">
          <w:rPr>
            <w:rStyle w:val="Lienhypertexte"/>
            <w:rFonts w:eastAsia="Times New Roman" w:cstheme="majorBidi"/>
            <w:noProof/>
            <w:sz w:val="22"/>
            <w:lang w:eastAsia="fr-FR"/>
          </w:rPr>
          <w:t>1.4.</w:t>
        </w:r>
        <w:r w:rsidR="007D1C8C" w:rsidRPr="003D79FD">
          <w:rPr>
            <w:rFonts w:eastAsiaTheme="minorEastAsia" w:cstheme="majorBidi"/>
            <w:noProof/>
            <w:sz w:val="22"/>
            <w:lang w:eastAsia="fr-FR"/>
          </w:rPr>
          <w:tab/>
        </w:r>
        <w:r w:rsidR="007D1C8C" w:rsidRPr="003D79FD">
          <w:rPr>
            <w:rStyle w:val="Lienhypertexte"/>
            <w:rFonts w:cstheme="majorBidi"/>
            <w:noProof/>
            <w:sz w:val="22"/>
          </w:rPr>
          <w:t>Les motivations communicationnelles et l’image de l’entreprise (Corporate Image)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122</w:t>
        </w:r>
        <w:r w:rsidR="007D1C8C" w:rsidRPr="003D79FD">
          <w:rPr>
            <w:rFonts w:cstheme="majorBidi"/>
            <w:noProof/>
            <w:webHidden/>
            <w:sz w:val="22"/>
          </w:rPr>
          <w:fldChar w:fldCharType="end"/>
        </w:r>
      </w:hyperlink>
    </w:p>
    <w:p w14:paraId="62E745A3"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45" w:history="1">
        <w:r w:rsidR="007D1C8C" w:rsidRPr="003D79FD">
          <w:rPr>
            <w:rStyle w:val="Lienhypertexte"/>
            <w:rFonts w:eastAsia="Times New Roman" w:cstheme="majorBidi"/>
            <w:noProof/>
            <w:sz w:val="22"/>
            <w:lang w:eastAsia="fr-FR"/>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De la responsabilité sociale a une responsabilité socio-sociétale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122</w:t>
        </w:r>
        <w:r w:rsidR="007D1C8C" w:rsidRPr="003D79FD">
          <w:rPr>
            <w:rFonts w:cstheme="majorBidi"/>
            <w:noProof/>
            <w:webHidden/>
            <w:sz w:val="22"/>
          </w:rPr>
          <w:fldChar w:fldCharType="end"/>
        </w:r>
      </w:hyperlink>
    </w:p>
    <w:p w14:paraId="5D675C8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6"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L’émergence de la dimension sociétale (RSTE):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123</w:t>
        </w:r>
        <w:r w:rsidR="007D1C8C" w:rsidRPr="003D79FD">
          <w:rPr>
            <w:rFonts w:cstheme="majorBidi"/>
            <w:noProof/>
            <w:webHidden/>
            <w:sz w:val="22"/>
          </w:rPr>
          <w:fldChar w:fldCharType="end"/>
        </w:r>
      </w:hyperlink>
    </w:p>
    <w:p w14:paraId="61565AF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47" w:history="1">
        <w:r w:rsidR="007D1C8C" w:rsidRPr="003D79FD">
          <w:rPr>
            <w:rStyle w:val="Lienhypertexte"/>
            <w:rFonts w:eastAsia="Times New Roman" w:cstheme="majorBidi"/>
            <w:noProof/>
            <w:sz w:val="22"/>
            <w:lang w:eastAsia="fr-FR"/>
          </w:rPr>
          <w:t>2.2.</w:t>
        </w:r>
        <w:r w:rsidR="007D1C8C" w:rsidRPr="003D79FD">
          <w:rPr>
            <w:rFonts w:eastAsiaTheme="minorEastAsia" w:cstheme="majorBidi"/>
            <w:noProof/>
            <w:sz w:val="22"/>
            <w:lang w:eastAsia="fr-FR"/>
          </w:rPr>
          <w:tab/>
        </w:r>
        <w:r w:rsidR="007D1C8C" w:rsidRPr="003D79FD">
          <w:rPr>
            <w:rStyle w:val="Lienhypertexte"/>
            <w:rFonts w:eastAsia="Times New Roman" w:cstheme="majorBidi"/>
            <w:noProof/>
            <w:sz w:val="22"/>
            <w:lang w:eastAsia="fr-FR"/>
          </w:rPr>
          <w:t>La responsabilité Intégralement socio-sociétale (RISSE)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125</w:t>
        </w:r>
        <w:r w:rsidR="007D1C8C" w:rsidRPr="003D79FD">
          <w:rPr>
            <w:rFonts w:cstheme="majorBidi"/>
            <w:noProof/>
            <w:webHidden/>
            <w:sz w:val="22"/>
          </w:rPr>
          <w:fldChar w:fldCharType="end"/>
        </w:r>
      </w:hyperlink>
    </w:p>
    <w:p w14:paraId="48EDD74E"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48" w:history="1">
        <w:r w:rsidR="007D1C8C" w:rsidRPr="003D79FD">
          <w:rPr>
            <w:rStyle w:val="Lienhypertexte"/>
            <w:rFonts w:cstheme="majorBidi"/>
            <w:noProof/>
            <w:sz w:val="22"/>
          </w:rPr>
          <w:t>2.2.1.</w:t>
        </w:r>
        <w:r w:rsidR="007D1C8C" w:rsidRPr="003D79FD">
          <w:rPr>
            <w:rFonts w:eastAsiaTheme="minorEastAsia" w:cstheme="majorBidi"/>
            <w:noProof/>
            <w:sz w:val="22"/>
            <w:lang w:eastAsia="fr-FR"/>
          </w:rPr>
          <w:tab/>
        </w:r>
        <w:r w:rsidR="007D1C8C" w:rsidRPr="003D79FD">
          <w:rPr>
            <w:rStyle w:val="Lienhypertexte"/>
            <w:rFonts w:cstheme="majorBidi"/>
            <w:noProof/>
            <w:sz w:val="22"/>
          </w:rPr>
          <w:t>Les obligations et engagements de l’entreprise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125</w:t>
        </w:r>
        <w:r w:rsidR="007D1C8C" w:rsidRPr="003D79FD">
          <w:rPr>
            <w:rFonts w:cstheme="majorBidi"/>
            <w:noProof/>
            <w:webHidden/>
            <w:sz w:val="22"/>
          </w:rPr>
          <w:fldChar w:fldCharType="end"/>
        </w:r>
      </w:hyperlink>
    </w:p>
    <w:p w14:paraId="6769B00A"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49" w:history="1">
        <w:r w:rsidR="007D1C8C" w:rsidRPr="003D79FD">
          <w:rPr>
            <w:rStyle w:val="Lienhypertexte"/>
            <w:rFonts w:cstheme="majorBidi"/>
            <w:noProof/>
            <w:sz w:val="22"/>
          </w:rPr>
          <w:t>2.2.2.</w:t>
        </w:r>
        <w:r w:rsidR="007D1C8C" w:rsidRPr="003D79FD">
          <w:rPr>
            <w:rFonts w:eastAsiaTheme="minorEastAsia" w:cstheme="majorBidi"/>
            <w:noProof/>
            <w:sz w:val="22"/>
            <w:lang w:eastAsia="fr-FR"/>
          </w:rPr>
          <w:tab/>
        </w:r>
        <w:r w:rsidR="007D1C8C" w:rsidRPr="003D79FD">
          <w:rPr>
            <w:rStyle w:val="Lienhypertexte"/>
            <w:rFonts w:cstheme="majorBidi"/>
            <w:noProof/>
            <w:sz w:val="22"/>
          </w:rPr>
          <w:t>Les principes fondamentaux de la RISSE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_Toc231815149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126</w:t>
        </w:r>
        <w:r w:rsidR="007D1C8C" w:rsidRPr="003D79FD">
          <w:rPr>
            <w:rFonts w:cstheme="majorBidi"/>
            <w:noProof/>
            <w:webHidden/>
            <w:sz w:val="22"/>
          </w:rPr>
          <w:fldChar w:fldCharType="end"/>
        </w:r>
      </w:hyperlink>
    </w:p>
    <w:p w14:paraId="5C934E44"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50" w:history="1">
        <w:r w:rsidR="007D1C8C" w:rsidRPr="003D79FD">
          <w:rPr>
            <w:rStyle w:val="Lienhypertexte"/>
            <w:rFonts w:cstheme="majorBidi"/>
            <w:noProof/>
            <w:sz w:val="22"/>
          </w:rPr>
          <w:t>2.2.3.</w:t>
        </w:r>
        <w:r w:rsidR="007D1C8C" w:rsidRPr="003D79FD">
          <w:rPr>
            <w:rFonts w:eastAsiaTheme="minorEastAsia" w:cstheme="majorBidi"/>
            <w:noProof/>
            <w:sz w:val="22"/>
            <w:lang w:eastAsia="fr-FR"/>
          </w:rPr>
          <w:tab/>
        </w:r>
        <w:r w:rsidR="007D1C8C" w:rsidRPr="003D79FD">
          <w:rPr>
            <w:rStyle w:val="Lienhypertexte"/>
            <w:rFonts w:cstheme="majorBidi"/>
            <w:noProof/>
            <w:sz w:val="22"/>
          </w:rPr>
          <w:t>Les objectifs de la RISSE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126</w:t>
        </w:r>
        <w:r w:rsidR="007D1C8C" w:rsidRPr="003D79FD">
          <w:rPr>
            <w:rFonts w:cstheme="majorBidi"/>
            <w:noProof/>
            <w:webHidden/>
            <w:sz w:val="22"/>
          </w:rPr>
          <w:fldChar w:fldCharType="end"/>
        </w:r>
      </w:hyperlink>
    </w:p>
    <w:p w14:paraId="1A2E705B"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51" w:history="1">
        <w:r w:rsidR="007D1C8C" w:rsidRPr="003D79FD">
          <w:rPr>
            <w:rStyle w:val="Lienhypertexte"/>
            <w:rFonts w:eastAsia="Times New Roman" w:cstheme="majorBidi"/>
            <w:noProof/>
            <w:sz w:val="22"/>
            <w:lang w:eastAsia="fr-FR"/>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des entreprises entre adhésion et constatation</w:t>
        </w:r>
        <w:r w:rsidR="007D1C8C" w:rsidRPr="003D79FD">
          <w:rPr>
            <w:rStyle w:val="Lienhypertexte"/>
            <w:rFonts w:eastAsia="Times New Roman" w:cstheme="majorBidi"/>
            <w:noProof/>
            <w:sz w:val="22"/>
            <w:lang w:eastAsia="fr-FR"/>
          </w:rPr>
          <w:t>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127</w:t>
        </w:r>
        <w:r w:rsidR="007D1C8C" w:rsidRPr="003D79FD">
          <w:rPr>
            <w:rFonts w:cstheme="majorBidi"/>
            <w:noProof/>
            <w:webHidden/>
            <w:sz w:val="22"/>
          </w:rPr>
          <w:fldChar w:fldCharType="end"/>
        </w:r>
      </w:hyperlink>
    </w:p>
    <w:p w14:paraId="02990AE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52" w:history="1">
        <w:r w:rsidR="007D1C8C" w:rsidRPr="003D79FD">
          <w:rPr>
            <w:rStyle w:val="Lienhypertexte"/>
            <w:rFonts w:eastAsia="Times New Roman" w:cstheme="majorBidi"/>
            <w:noProof/>
            <w:sz w:val="22"/>
            <w:lang w:eastAsia="fr-FR"/>
          </w:rPr>
          <w:t>3.1.</w:t>
        </w:r>
        <w:r w:rsidR="007D1C8C" w:rsidRPr="003D79FD">
          <w:rPr>
            <w:rFonts w:eastAsiaTheme="minorEastAsia" w:cstheme="majorBidi"/>
            <w:noProof/>
            <w:sz w:val="22"/>
            <w:lang w:eastAsia="fr-FR"/>
          </w:rPr>
          <w:tab/>
        </w:r>
        <w:r w:rsidR="007D1C8C" w:rsidRPr="003D79FD">
          <w:rPr>
            <w:rStyle w:val="Lienhypertexte"/>
            <w:rFonts w:eastAsia="Times New Roman" w:cstheme="majorBidi"/>
            <w:noProof/>
            <w:sz w:val="22"/>
            <w:lang w:eastAsia="fr-FR"/>
          </w:rPr>
          <w:t>La responsabilité sociale des entreprises comme adhésion volontaire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127</w:t>
        </w:r>
        <w:r w:rsidR="007D1C8C" w:rsidRPr="003D79FD">
          <w:rPr>
            <w:rFonts w:cstheme="majorBidi"/>
            <w:noProof/>
            <w:webHidden/>
            <w:sz w:val="22"/>
          </w:rPr>
          <w:fldChar w:fldCharType="end"/>
        </w:r>
      </w:hyperlink>
    </w:p>
    <w:p w14:paraId="44433FF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53"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des entreprises comme constatation de pressions externes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128</w:t>
        </w:r>
        <w:r w:rsidR="007D1C8C" w:rsidRPr="003D79FD">
          <w:rPr>
            <w:rFonts w:cstheme="majorBidi"/>
            <w:noProof/>
            <w:webHidden/>
            <w:sz w:val="22"/>
          </w:rPr>
          <w:fldChar w:fldCharType="end"/>
        </w:r>
      </w:hyperlink>
    </w:p>
    <w:p w14:paraId="62F8D11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54" w:history="1">
        <w:r w:rsidR="007D1C8C" w:rsidRPr="003D79FD">
          <w:rPr>
            <w:rStyle w:val="Lienhypertexte"/>
            <w:rFonts w:eastAsia="Times New Roman" w:cstheme="majorBidi"/>
            <w:noProof/>
            <w:sz w:val="22"/>
            <w:lang w:eastAsia="fr-FR"/>
          </w:rPr>
          <w:t>3.3.</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Une réalité hybride entre adhésion et constatation</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128</w:t>
        </w:r>
        <w:r w:rsidR="007D1C8C" w:rsidRPr="003D79FD">
          <w:rPr>
            <w:rFonts w:cstheme="majorBidi"/>
            <w:noProof/>
            <w:webHidden/>
            <w:sz w:val="22"/>
          </w:rPr>
          <w:fldChar w:fldCharType="end"/>
        </w:r>
      </w:hyperlink>
    </w:p>
    <w:p w14:paraId="7E7AA709"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55"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La relation entre la responsabilité sociale des entreprises et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128</w:t>
        </w:r>
        <w:r w:rsidR="007D1C8C" w:rsidRPr="003D79FD">
          <w:rPr>
            <w:rFonts w:cstheme="majorBidi"/>
            <w:noProof/>
            <w:webHidden/>
            <w:sz w:val="22"/>
          </w:rPr>
          <w:fldChar w:fldCharType="end"/>
        </w:r>
      </w:hyperlink>
    </w:p>
    <w:p w14:paraId="4267073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56" w:history="1">
        <w:r w:rsidR="007D1C8C" w:rsidRPr="003D79FD">
          <w:rPr>
            <w:rStyle w:val="Lienhypertexte"/>
            <w:rFonts w:eastAsia="Times New Roman" w:cstheme="majorBidi"/>
            <w:noProof/>
            <w:sz w:val="22"/>
            <w:lang w:eastAsia="fr-FR"/>
          </w:rPr>
          <w:t>4.1.</w:t>
        </w:r>
        <w:r w:rsidR="007D1C8C" w:rsidRPr="003D79FD">
          <w:rPr>
            <w:rFonts w:eastAsiaTheme="minorEastAsia" w:cstheme="majorBidi"/>
            <w:noProof/>
            <w:sz w:val="22"/>
            <w:lang w:eastAsia="fr-FR"/>
          </w:rPr>
          <w:tab/>
        </w:r>
        <w:r w:rsidR="007D1C8C" w:rsidRPr="003D79FD">
          <w:rPr>
            <w:rStyle w:val="Lienhypertexte"/>
            <w:rFonts w:cstheme="majorBidi"/>
            <w:noProof/>
            <w:sz w:val="22"/>
            <w:lang w:eastAsia="fr-FR"/>
          </w:rPr>
          <w:t>La convergence conceptuelle entre La responsabilité sociale et gouvernance d’entreprise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129</w:t>
        </w:r>
        <w:r w:rsidR="007D1C8C" w:rsidRPr="003D79FD">
          <w:rPr>
            <w:rFonts w:cstheme="majorBidi"/>
            <w:noProof/>
            <w:webHidden/>
            <w:sz w:val="22"/>
          </w:rPr>
          <w:fldChar w:fldCharType="end"/>
        </w:r>
      </w:hyperlink>
    </w:p>
    <w:p w14:paraId="058DC2D9"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57" w:history="1">
        <w:r w:rsidR="007D1C8C" w:rsidRPr="003D79FD">
          <w:rPr>
            <w:rStyle w:val="Lienhypertexte"/>
            <w:rFonts w:cstheme="majorBidi"/>
            <w:noProof/>
            <w:sz w:val="22"/>
          </w:rPr>
          <w:t>4.1.1.</w:t>
        </w:r>
        <w:r w:rsidR="007D1C8C" w:rsidRPr="003D79FD">
          <w:rPr>
            <w:rFonts w:eastAsiaTheme="minorEastAsia" w:cstheme="majorBidi"/>
            <w:noProof/>
            <w:sz w:val="22"/>
            <w:lang w:eastAsia="fr-FR"/>
          </w:rPr>
          <w:tab/>
        </w:r>
        <w:r w:rsidR="007D1C8C" w:rsidRPr="003D79FD">
          <w:rPr>
            <w:rStyle w:val="Lienhypertexte"/>
            <w:rFonts w:cstheme="majorBidi"/>
            <w:noProof/>
            <w:sz w:val="22"/>
          </w:rPr>
          <w:t>Du modèle actionnarial au modèle partenarial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_Toc231815157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129</w:t>
        </w:r>
        <w:r w:rsidR="007D1C8C" w:rsidRPr="003D79FD">
          <w:rPr>
            <w:rFonts w:cstheme="majorBidi"/>
            <w:noProof/>
            <w:webHidden/>
            <w:sz w:val="22"/>
          </w:rPr>
          <w:fldChar w:fldCharType="end"/>
        </w:r>
      </w:hyperlink>
    </w:p>
    <w:p w14:paraId="2A78B2D5"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160" w:history="1">
        <w:r w:rsidR="007D1C8C" w:rsidRPr="003D79FD">
          <w:rPr>
            <w:rStyle w:val="Lienhypertexte"/>
            <w:rFonts w:cstheme="majorBidi"/>
            <w:noProof/>
            <w:sz w:val="22"/>
          </w:rPr>
          <w:t>4.1.2.</w:t>
        </w:r>
        <w:r w:rsidR="007D1C8C" w:rsidRPr="003D79FD">
          <w:rPr>
            <w:rFonts w:eastAsiaTheme="minorEastAsia" w:cstheme="majorBidi"/>
            <w:noProof/>
            <w:sz w:val="22"/>
            <w:lang w:eastAsia="fr-FR"/>
          </w:rPr>
          <w:tab/>
        </w:r>
        <w:r w:rsidR="007D1C8C" w:rsidRPr="003D79FD">
          <w:rPr>
            <w:rStyle w:val="Lienhypertexte"/>
            <w:rFonts w:cstheme="majorBidi"/>
            <w:noProof/>
            <w:sz w:val="22"/>
          </w:rPr>
          <w:t>La responsabilité sociale des entreprises comme extension des principes de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129</w:t>
        </w:r>
        <w:r w:rsidR="007D1C8C" w:rsidRPr="003D79FD">
          <w:rPr>
            <w:rFonts w:cstheme="majorBidi"/>
            <w:noProof/>
            <w:webHidden/>
            <w:sz w:val="22"/>
          </w:rPr>
          <w:fldChar w:fldCharType="end"/>
        </w:r>
      </w:hyperlink>
    </w:p>
    <w:p w14:paraId="73717177" w14:textId="77777777" w:rsidR="007D1C8C" w:rsidRPr="003D79FD" w:rsidRDefault="00351FDE">
      <w:pPr>
        <w:pStyle w:val="TM3"/>
        <w:tabs>
          <w:tab w:val="left" w:pos="1320"/>
          <w:tab w:val="right" w:leader="dot" w:pos="9060"/>
        </w:tabs>
        <w:rPr>
          <w:rFonts w:eastAsiaTheme="minorEastAsia" w:cstheme="majorBidi"/>
          <w:noProof/>
          <w:sz w:val="22"/>
          <w:lang w:eastAsia="fr-FR"/>
        </w:rPr>
      </w:pPr>
      <w:hyperlink w:anchor="_Toc231815161" w:history="1">
        <w:r w:rsidR="007D1C8C" w:rsidRPr="003D79FD">
          <w:rPr>
            <w:rStyle w:val="Lienhypertexte"/>
            <w:rFonts w:eastAsia="Times New Roman" w:cstheme="majorBidi"/>
            <w:noProof/>
            <w:sz w:val="22"/>
            <w:rtl/>
            <w:lang w:eastAsia="fr-FR"/>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L’intégration de la responsabilité sociale dans les diapositives de la gouvernance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130</w:t>
        </w:r>
        <w:r w:rsidR="007D1C8C" w:rsidRPr="003D79FD">
          <w:rPr>
            <w:rFonts w:cstheme="majorBidi"/>
            <w:noProof/>
            <w:webHidden/>
            <w:sz w:val="22"/>
          </w:rPr>
          <w:fldChar w:fldCharType="end"/>
        </w:r>
      </w:hyperlink>
    </w:p>
    <w:p w14:paraId="621AC522" w14:textId="77777777" w:rsidR="007D1C8C" w:rsidRPr="003D79FD" w:rsidRDefault="00351FDE" w:rsidP="009F60D1">
      <w:pPr>
        <w:pStyle w:val="TM1"/>
        <w:rPr>
          <w:rFonts w:eastAsiaTheme="minorEastAsia"/>
          <w:lang w:eastAsia="fr-FR"/>
        </w:rPr>
      </w:pPr>
      <w:hyperlink w:anchor="_Toc231815162" w:history="1">
        <w:r w:rsidR="007D1C8C" w:rsidRPr="003D79FD">
          <w:rPr>
            <w:rStyle w:val="Lienhypertexte"/>
            <w:rFonts w:cstheme="majorBidi"/>
            <w:sz w:val="22"/>
            <w:szCs w:val="22"/>
            <w:lang w:eastAsia="fr-FR"/>
          </w:rPr>
          <w:t>Conclusion du chapitre :</w:t>
        </w:r>
        <w:r w:rsidR="007D1C8C" w:rsidRPr="003D79FD">
          <w:rPr>
            <w:webHidden/>
          </w:rPr>
          <w:tab/>
        </w:r>
        <w:r w:rsidR="007D1C8C" w:rsidRPr="003D79FD">
          <w:rPr>
            <w:webHidden/>
          </w:rPr>
          <w:fldChar w:fldCharType="begin"/>
        </w:r>
        <w:r w:rsidR="007D1C8C" w:rsidRPr="003D79FD">
          <w:rPr>
            <w:webHidden/>
          </w:rPr>
          <w:instrText xml:space="preserve"> PAGEREF _Toc231815162 \h </w:instrText>
        </w:r>
        <w:r w:rsidR="007D1C8C" w:rsidRPr="003D79FD">
          <w:rPr>
            <w:webHidden/>
          </w:rPr>
        </w:r>
        <w:r w:rsidR="007D1C8C" w:rsidRPr="003D79FD">
          <w:rPr>
            <w:webHidden/>
          </w:rPr>
          <w:fldChar w:fldCharType="separate"/>
        </w:r>
        <w:r w:rsidR="00E74A88">
          <w:rPr>
            <w:webHidden/>
          </w:rPr>
          <w:t>132</w:t>
        </w:r>
        <w:r w:rsidR="007D1C8C" w:rsidRPr="003D79FD">
          <w:rPr>
            <w:webHidden/>
          </w:rPr>
          <w:fldChar w:fldCharType="end"/>
        </w:r>
      </w:hyperlink>
    </w:p>
    <w:p w14:paraId="3809A090" w14:textId="77777777" w:rsidR="007D1C8C" w:rsidRPr="003D79FD" w:rsidRDefault="00351FDE" w:rsidP="009F60D1">
      <w:pPr>
        <w:pStyle w:val="TM1"/>
        <w:rPr>
          <w:rFonts w:eastAsiaTheme="minorEastAsia"/>
          <w:lang w:eastAsia="fr-FR"/>
        </w:rPr>
      </w:pPr>
      <w:hyperlink w:anchor="_Toc231815163" w:history="1">
        <w:r w:rsidR="007D1C8C" w:rsidRPr="003D79FD">
          <w:rPr>
            <w:rStyle w:val="Lienhypertexte"/>
            <w:rFonts w:eastAsia="Times New Roman" w:cstheme="majorBidi"/>
            <w:sz w:val="22"/>
            <w:szCs w:val="22"/>
          </w:rPr>
          <w:t>Chapitre 03 : Etude de cas « L’Algérienne des Industries Textiles : TAYAL SPA » :</w:t>
        </w:r>
        <w:r w:rsidR="007D1C8C" w:rsidRPr="003D79FD">
          <w:rPr>
            <w:webHidden/>
          </w:rPr>
          <w:tab/>
        </w:r>
        <w:r w:rsidR="007D1C8C" w:rsidRPr="003D79FD">
          <w:rPr>
            <w:webHidden/>
          </w:rPr>
          <w:fldChar w:fldCharType="begin"/>
        </w:r>
        <w:r w:rsidR="007D1C8C" w:rsidRPr="003D79FD">
          <w:rPr>
            <w:webHidden/>
          </w:rPr>
          <w:instrText xml:space="preserve"> PAGEREF _Toc231815163 \h </w:instrText>
        </w:r>
        <w:r w:rsidR="007D1C8C" w:rsidRPr="003D79FD">
          <w:rPr>
            <w:webHidden/>
          </w:rPr>
        </w:r>
        <w:r w:rsidR="007D1C8C" w:rsidRPr="003D79FD">
          <w:rPr>
            <w:webHidden/>
          </w:rPr>
          <w:fldChar w:fldCharType="separate"/>
        </w:r>
        <w:r w:rsidR="00E74A88">
          <w:rPr>
            <w:webHidden/>
          </w:rPr>
          <w:t>135</w:t>
        </w:r>
        <w:r w:rsidR="007D1C8C" w:rsidRPr="003D79FD">
          <w:rPr>
            <w:webHidden/>
          </w:rPr>
          <w:fldChar w:fldCharType="end"/>
        </w:r>
      </w:hyperlink>
    </w:p>
    <w:p w14:paraId="64618DC6" w14:textId="77777777" w:rsidR="007D1C8C" w:rsidRPr="003D79FD" w:rsidRDefault="00351FDE" w:rsidP="009F60D1">
      <w:pPr>
        <w:pStyle w:val="TM1"/>
        <w:rPr>
          <w:rFonts w:eastAsiaTheme="minorEastAsia"/>
          <w:lang w:eastAsia="fr-FR"/>
        </w:rPr>
      </w:pPr>
      <w:hyperlink w:anchor="_Toc231815164" w:history="1">
        <w:r w:rsidR="007D1C8C" w:rsidRPr="003D79FD">
          <w:rPr>
            <w:rStyle w:val="Lienhypertexte"/>
            <w:rFonts w:cstheme="majorBidi"/>
            <w:sz w:val="22"/>
            <w:szCs w:val="22"/>
          </w:rPr>
          <w:t>Introduction du chapitre :</w:t>
        </w:r>
        <w:r w:rsidR="007D1C8C" w:rsidRPr="003D79FD">
          <w:rPr>
            <w:webHidden/>
          </w:rPr>
          <w:tab/>
        </w:r>
        <w:r w:rsidR="007D1C8C" w:rsidRPr="003D79FD">
          <w:rPr>
            <w:webHidden/>
          </w:rPr>
          <w:fldChar w:fldCharType="begin"/>
        </w:r>
        <w:r w:rsidR="007D1C8C" w:rsidRPr="003D79FD">
          <w:rPr>
            <w:webHidden/>
          </w:rPr>
          <w:instrText xml:space="preserve"> PAGEREF _Toc231815164 \h </w:instrText>
        </w:r>
        <w:r w:rsidR="007D1C8C" w:rsidRPr="003D79FD">
          <w:rPr>
            <w:webHidden/>
          </w:rPr>
        </w:r>
        <w:r w:rsidR="007D1C8C" w:rsidRPr="003D79FD">
          <w:rPr>
            <w:webHidden/>
          </w:rPr>
          <w:fldChar w:fldCharType="separate"/>
        </w:r>
        <w:r w:rsidR="00E74A88">
          <w:rPr>
            <w:webHidden/>
          </w:rPr>
          <w:t>135</w:t>
        </w:r>
        <w:r w:rsidR="007D1C8C" w:rsidRPr="003D79FD">
          <w:rPr>
            <w:webHidden/>
          </w:rPr>
          <w:fldChar w:fldCharType="end"/>
        </w:r>
      </w:hyperlink>
    </w:p>
    <w:p w14:paraId="0D88E07D" w14:textId="77777777" w:rsidR="007D1C8C" w:rsidRPr="003D79FD" w:rsidRDefault="00351FDE" w:rsidP="009F60D1">
      <w:pPr>
        <w:pStyle w:val="TM1"/>
        <w:rPr>
          <w:rFonts w:eastAsiaTheme="minorEastAsia"/>
          <w:lang w:eastAsia="fr-FR"/>
        </w:rPr>
      </w:pPr>
      <w:hyperlink w:anchor="_Toc231815165" w:history="1">
        <w:r w:rsidR="007D1C8C" w:rsidRPr="003D79FD">
          <w:rPr>
            <w:rStyle w:val="Lienhypertexte"/>
            <w:rFonts w:eastAsia="Times New Roman" w:cstheme="majorBidi"/>
            <w:sz w:val="22"/>
            <w:szCs w:val="22"/>
          </w:rPr>
          <w:t>Section 01 : Profil institutionnel de la société « TAYAL SPA » :</w:t>
        </w:r>
        <w:r w:rsidR="007D1C8C" w:rsidRPr="003D79FD">
          <w:rPr>
            <w:webHidden/>
          </w:rPr>
          <w:tab/>
        </w:r>
        <w:r w:rsidR="007D1C8C" w:rsidRPr="003D79FD">
          <w:rPr>
            <w:webHidden/>
          </w:rPr>
          <w:fldChar w:fldCharType="begin"/>
        </w:r>
        <w:r w:rsidR="007D1C8C" w:rsidRPr="003D79FD">
          <w:rPr>
            <w:webHidden/>
          </w:rPr>
          <w:instrText xml:space="preserve"> PAGEREF _Toc231815165 \h </w:instrText>
        </w:r>
        <w:r w:rsidR="007D1C8C" w:rsidRPr="003D79FD">
          <w:rPr>
            <w:webHidden/>
          </w:rPr>
        </w:r>
        <w:r w:rsidR="007D1C8C" w:rsidRPr="003D79FD">
          <w:rPr>
            <w:webHidden/>
          </w:rPr>
          <w:fldChar w:fldCharType="separate"/>
        </w:r>
        <w:r w:rsidR="00E74A88">
          <w:rPr>
            <w:webHidden/>
          </w:rPr>
          <w:t>135</w:t>
        </w:r>
        <w:r w:rsidR="007D1C8C" w:rsidRPr="003D79FD">
          <w:rPr>
            <w:webHidden/>
          </w:rPr>
          <w:fldChar w:fldCharType="end"/>
        </w:r>
      </w:hyperlink>
    </w:p>
    <w:p w14:paraId="5718E30A"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66"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Historique et création de l’entreprise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135</w:t>
        </w:r>
        <w:r w:rsidR="007D1C8C" w:rsidRPr="003D79FD">
          <w:rPr>
            <w:rFonts w:cstheme="majorBidi"/>
            <w:noProof/>
            <w:webHidden/>
            <w:sz w:val="22"/>
          </w:rPr>
          <w:fldChar w:fldCharType="end"/>
        </w:r>
      </w:hyperlink>
    </w:p>
    <w:p w14:paraId="70CAE95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67"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Phase de conception et de planification (2013–2015)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136</w:t>
        </w:r>
        <w:r w:rsidR="007D1C8C" w:rsidRPr="003D79FD">
          <w:rPr>
            <w:rFonts w:cstheme="majorBidi"/>
            <w:noProof/>
            <w:webHidden/>
            <w:sz w:val="22"/>
          </w:rPr>
          <w:fldChar w:fldCharType="end"/>
        </w:r>
      </w:hyperlink>
    </w:p>
    <w:p w14:paraId="3366D8B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68"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Phase de lancement du projet industriel (2016)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136</w:t>
        </w:r>
        <w:r w:rsidR="007D1C8C" w:rsidRPr="003D79FD">
          <w:rPr>
            <w:rFonts w:cstheme="majorBidi"/>
            <w:noProof/>
            <w:webHidden/>
            <w:sz w:val="22"/>
          </w:rPr>
          <w:fldChar w:fldCharType="end"/>
        </w:r>
      </w:hyperlink>
    </w:p>
    <w:p w14:paraId="0B93E4BB"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69" w:history="1">
        <w:r w:rsidR="007D1C8C" w:rsidRPr="003D79FD">
          <w:rPr>
            <w:rStyle w:val="Lienhypertexte"/>
            <w:rFonts w:cstheme="majorBidi"/>
            <w:noProof/>
            <w:sz w:val="22"/>
          </w:rPr>
          <w:t>1.3.</w:t>
        </w:r>
        <w:r w:rsidR="007D1C8C" w:rsidRPr="003D79FD">
          <w:rPr>
            <w:rFonts w:eastAsiaTheme="minorEastAsia" w:cstheme="majorBidi"/>
            <w:noProof/>
            <w:sz w:val="22"/>
            <w:lang w:eastAsia="fr-FR"/>
          </w:rPr>
          <w:tab/>
        </w:r>
        <w:r w:rsidR="007D1C8C" w:rsidRPr="003D79FD">
          <w:rPr>
            <w:rStyle w:val="Lienhypertexte"/>
            <w:rFonts w:cstheme="majorBidi"/>
            <w:noProof/>
            <w:sz w:val="22"/>
          </w:rPr>
          <w:t>Phase de mise en exploitation et début des activités (2018)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_Toc231815169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136</w:t>
        </w:r>
        <w:r w:rsidR="007D1C8C" w:rsidRPr="003D79FD">
          <w:rPr>
            <w:rFonts w:cstheme="majorBidi"/>
            <w:noProof/>
            <w:webHidden/>
            <w:sz w:val="22"/>
          </w:rPr>
          <w:fldChar w:fldCharType="end"/>
        </w:r>
      </w:hyperlink>
    </w:p>
    <w:p w14:paraId="43BA990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70" w:history="1">
        <w:r w:rsidR="007D1C8C" w:rsidRPr="003D79FD">
          <w:rPr>
            <w:rStyle w:val="Lienhypertexte"/>
            <w:rFonts w:cstheme="majorBidi"/>
            <w:noProof/>
            <w:sz w:val="22"/>
          </w:rPr>
          <w:t>1.4.</w:t>
        </w:r>
        <w:r w:rsidR="007D1C8C" w:rsidRPr="003D79FD">
          <w:rPr>
            <w:rFonts w:eastAsiaTheme="minorEastAsia" w:cstheme="majorBidi"/>
            <w:noProof/>
            <w:sz w:val="22"/>
            <w:lang w:eastAsia="fr-FR"/>
          </w:rPr>
          <w:tab/>
        </w:r>
        <w:r w:rsidR="007D1C8C" w:rsidRPr="003D79FD">
          <w:rPr>
            <w:rStyle w:val="Lienhypertexte"/>
            <w:rFonts w:cstheme="majorBidi"/>
            <w:noProof/>
            <w:sz w:val="22"/>
          </w:rPr>
          <w:t>Phase d’expansion et de consolidation (2019–2026)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_Toc231815170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137</w:t>
        </w:r>
        <w:r w:rsidR="007D1C8C" w:rsidRPr="003D79FD">
          <w:rPr>
            <w:rFonts w:cstheme="majorBidi"/>
            <w:noProof/>
            <w:webHidden/>
            <w:sz w:val="22"/>
          </w:rPr>
          <w:fldChar w:fldCharType="end"/>
        </w:r>
      </w:hyperlink>
    </w:p>
    <w:p w14:paraId="688D52C5"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71"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Aperçu générale sur l’entreprise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_Toc231815171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137</w:t>
        </w:r>
        <w:r w:rsidR="007D1C8C" w:rsidRPr="003D79FD">
          <w:rPr>
            <w:rFonts w:cstheme="majorBidi"/>
            <w:noProof/>
            <w:webHidden/>
            <w:sz w:val="22"/>
          </w:rPr>
          <w:fldChar w:fldCharType="end"/>
        </w:r>
      </w:hyperlink>
    </w:p>
    <w:p w14:paraId="10AD365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72"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Localisation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_Toc231815172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137</w:t>
        </w:r>
        <w:r w:rsidR="007D1C8C" w:rsidRPr="003D79FD">
          <w:rPr>
            <w:rFonts w:cstheme="majorBidi"/>
            <w:noProof/>
            <w:webHidden/>
            <w:sz w:val="22"/>
          </w:rPr>
          <w:fldChar w:fldCharType="end"/>
        </w:r>
      </w:hyperlink>
    </w:p>
    <w:p w14:paraId="600B9614" w14:textId="77777777" w:rsidR="007D1C8C" w:rsidRPr="003D79FD" w:rsidRDefault="00351FDE">
      <w:pPr>
        <w:pStyle w:val="TM3"/>
        <w:tabs>
          <w:tab w:val="right" w:leader="dot" w:pos="9060"/>
        </w:tabs>
        <w:rPr>
          <w:rFonts w:eastAsiaTheme="minorEastAsia" w:cstheme="majorBidi"/>
          <w:noProof/>
          <w:sz w:val="22"/>
          <w:lang w:eastAsia="fr-FR"/>
        </w:rPr>
      </w:pPr>
      <w:hyperlink w:anchor="_Toc231815173" w:history="1">
        <w:r w:rsidR="007D1C8C" w:rsidRPr="003D79FD">
          <w:rPr>
            <w:rStyle w:val="Lienhypertexte"/>
            <w:rFonts w:cstheme="majorBidi"/>
            <w:noProof/>
            <w:sz w:val="22"/>
          </w:rPr>
          <w:t>Zone industrielle de Sidi Khettab) p, Section 22 îlots, propriété 20, Relizane 48029, Algérie.</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_Toc231815173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137</w:t>
        </w:r>
        <w:r w:rsidR="007D1C8C" w:rsidRPr="003D79FD">
          <w:rPr>
            <w:rFonts w:cstheme="majorBidi"/>
            <w:noProof/>
            <w:webHidden/>
            <w:sz w:val="22"/>
          </w:rPr>
          <w:fldChar w:fldCharType="end"/>
        </w:r>
      </w:hyperlink>
    </w:p>
    <w:p w14:paraId="3789669E"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74"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Mission, Vision et Valeurs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_Toc231815174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137</w:t>
        </w:r>
        <w:r w:rsidR="007D1C8C" w:rsidRPr="003D79FD">
          <w:rPr>
            <w:rFonts w:cstheme="majorBidi"/>
            <w:noProof/>
            <w:webHidden/>
            <w:sz w:val="22"/>
          </w:rPr>
          <w:fldChar w:fldCharType="end"/>
        </w:r>
      </w:hyperlink>
    </w:p>
    <w:p w14:paraId="2D327DB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0" w:history="1">
        <w:r w:rsidR="007D1C8C" w:rsidRPr="003D79FD">
          <w:rPr>
            <w:rStyle w:val="Lienhypertexte"/>
            <w:rFonts w:cstheme="majorBidi"/>
            <w:noProof/>
            <w:sz w:val="22"/>
          </w:rPr>
          <w:t>2.3.</w:t>
        </w:r>
        <w:r w:rsidR="007D1C8C" w:rsidRPr="003D79FD">
          <w:rPr>
            <w:rFonts w:eastAsiaTheme="minorEastAsia" w:cstheme="majorBidi"/>
            <w:noProof/>
            <w:sz w:val="22"/>
            <w:lang w:eastAsia="fr-FR"/>
          </w:rPr>
          <w:tab/>
        </w:r>
        <w:r w:rsidR="007D1C8C" w:rsidRPr="003D79FD">
          <w:rPr>
            <w:rStyle w:val="Lienhypertexte"/>
            <w:rFonts w:cstheme="majorBidi"/>
            <w:noProof/>
            <w:sz w:val="22"/>
          </w:rPr>
          <w:t>Organisation et Structure de l’Entreprise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138</w:t>
        </w:r>
        <w:r w:rsidR="007D1C8C" w:rsidRPr="003D79FD">
          <w:rPr>
            <w:rFonts w:cstheme="majorBidi"/>
            <w:noProof/>
            <w:webHidden/>
            <w:sz w:val="22"/>
          </w:rPr>
          <w:fldChar w:fldCharType="end"/>
        </w:r>
      </w:hyperlink>
    </w:p>
    <w:p w14:paraId="050D7F7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1" w:history="1">
        <w:r w:rsidR="007D1C8C" w:rsidRPr="003D79FD">
          <w:rPr>
            <w:rStyle w:val="Lienhypertexte"/>
            <w:rFonts w:cstheme="majorBidi"/>
            <w:noProof/>
            <w:sz w:val="22"/>
          </w:rPr>
          <w:t>2.4.</w:t>
        </w:r>
        <w:r w:rsidR="007D1C8C" w:rsidRPr="003D79FD">
          <w:rPr>
            <w:rFonts w:eastAsiaTheme="minorEastAsia" w:cstheme="majorBidi"/>
            <w:noProof/>
            <w:sz w:val="22"/>
            <w:lang w:eastAsia="fr-FR"/>
          </w:rPr>
          <w:tab/>
        </w:r>
        <w:r w:rsidR="007D1C8C" w:rsidRPr="003D79FD">
          <w:rPr>
            <w:rStyle w:val="Lienhypertexte"/>
            <w:rFonts w:cstheme="majorBidi"/>
            <w:noProof/>
            <w:sz w:val="22"/>
          </w:rPr>
          <w:t>Ressources humaines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140</w:t>
        </w:r>
        <w:r w:rsidR="007D1C8C" w:rsidRPr="003D79FD">
          <w:rPr>
            <w:rFonts w:cstheme="majorBidi"/>
            <w:noProof/>
            <w:webHidden/>
            <w:sz w:val="22"/>
          </w:rPr>
          <w:fldChar w:fldCharType="end"/>
        </w:r>
      </w:hyperlink>
    </w:p>
    <w:p w14:paraId="71DEE11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2" w:history="1">
        <w:r w:rsidR="007D1C8C" w:rsidRPr="003D79FD">
          <w:rPr>
            <w:rStyle w:val="Lienhypertexte"/>
            <w:rFonts w:cstheme="majorBidi"/>
            <w:noProof/>
            <w:sz w:val="22"/>
          </w:rPr>
          <w:t>2.5.</w:t>
        </w:r>
        <w:r w:rsidR="007D1C8C" w:rsidRPr="003D79FD">
          <w:rPr>
            <w:rFonts w:eastAsiaTheme="minorEastAsia" w:cstheme="majorBidi"/>
            <w:noProof/>
            <w:sz w:val="22"/>
            <w:lang w:eastAsia="fr-FR"/>
          </w:rPr>
          <w:tab/>
        </w:r>
        <w:r w:rsidR="007D1C8C" w:rsidRPr="003D79FD">
          <w:rPr>
            <w:rStyle w:val="Lienhypertexte"/>
            <w:rFonts w:cstheme="majorBidi"/>
            <w:noProof/>
            <w:sz w:val="22"/>
          </w:rPr>
          <w:t>Gouvernance qualité et positionnement international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140</w:t>
        </w:r>
        <w:r w:rsidR="007D1C8C" w:rsidRPr="003D79FD">
          <w:rPr>
            <w:rFonts w:cstheme="majorBidi"/>
            <w:noProof/>
            <w:webHidden/>
            <w:sz w:val="22"/>
          </w:rPr>
          <w:fldChar w:fldCharType="end"/>
        </w:r>
      </w:hyperlink>
    </w:p>
    <w:p w14:paraId="0E6E6E2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6" w:history="1">
        <w:r w:rsidR="007D1C8C" w:rsidRPr="003D79FD">
          <w:rPr>
            <w:rStyle w:val="Lienhypertexte"/>
            <w:rFonts w:cstheme="majorBidi"/>
            <w:noProof/>
            <w:sz w:val="22"/>
          </w:rPr>
          <w:t>2.6.</w:t>
        </w:r>
        <w:r w:rsidR="007D1C8C" w:rsidRPr="003D79FD">
          <w:rPr>
            <w:rFonts w:eastAsiaTheme="minorEastAsia" w:cstheme="majorBidi"/>
            <w:noProof/>
            <w:sz w:val="22"/>
            <w:lang w:eastAsia="fr-FR"/>
          </w:rPr>
          <w:tab/>
        </w:r>
        <w:r w:rsidR="007D1C8C" w:rsidRPr="003D79FD">
          <w:rPr>
            <w:rStyle w:val="Lienhypertexte"/>
            <w:rFonts w:cstheme="majorBidi"/>
            <w:noProof/>
            <w:sz w:val="22"/>
          </w:rPr>
          <w:t>Le développement durable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143</w:t>
        </w:r>
        <w:r w:rsidR="007D1C8C" w:rsidRPr="003D79FD">
          <w:rPr>
            <w:rFonts w:cstheme="majorBidi"/>
            <w:noProof/>
            <w:webHidden/>
            <w:sz w:val="22"/>
          </w:rPr>
          <w:fldChar w:fldCharType="end"/>
        </w:r>
      </w:hyperlink>
    </w:p>
    <w:p w14:paraId="3D8386C9"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187"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L’organigramme de TAYAL SPA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143</w:t>
        </w:r>
        <w:r w:rsidR="007D1C8C" w:rsidRPr="003D79FD">
          <w:rPr>
            <w:rFonts w:cstheme="majorBidi"/>
            <w:noProof/>
            <w:webHidden/>
            <w:sz w:val="22"/>
          </w:rPr>
          <w:fldChar w:fldCharType="end"/>
        </w:r>
      </w:hyperlink>
    </w:p>
    <w:p w14:paraId="79D69998"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8" w:history="1">
        <w:r w:rsidR="007D1C8C" w:rsidRPr="003D79FD">
          <w:rPr>
            <w:rStyle w:val="Lienhypertexte"/>
            <w:rFonts w:cstheme="majorBidi"/>
            <w:noProof/>
            <w:sz w:val="22"/>
          </w:rPr>
          <w:t>3.1.</w:t>
        </w:r>
        <w:r w:rsidR="007D1C8C" w:rsidRPr="003D79FD">
          <w:rPr>
            <w:rFonts w:eastAsiaTheme="minorEastAsia" w:cstheme="majorBidi"/>
            <w:noProof/>
            <w:sz w:val="22"/>
            <w:lang w:eastAsia="fr-FR"/>
          </w:rPr>
          <w:tab/>
        </w:r>
        <w:r w:rsidR="007D1C8C" w:rsidRPr="003D79FD">
          <w:rPr>
            <w:rStyle w:val="Lienhypertexte"/>
            <w:rFonts w:cstheme="majorBidi"/>
            <w:noProof/>
            <w:sz w:val="22"/>
          </w:rPr>
          <w:t>Le conseil d’administration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146</w:t>
        </w:r>
        <w:r w:rsidR="007D1C8C" w:rsidRPr="003D79FD">
          <w:rPr>
            <w:rFonts w:cstheme="majorBidi"/>
            <w:noProof/>
            <w:webHidden/>
            <w:sz w:val="22"/>
          </w:rPr>
          <w:fldChar w:fldCharType="end"/>
        </w:r>
      </w:hyperlink>
    </w:p>
    <w:p w14:paraId="38CF4E7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89" w:history="1">
        <w:r w:rsidR="007D1C8C" w:rsidRPr="003D79FD">
          <w:rPr>
            <w:rStyle w:val="Lienhypertexte"/>
            <w:rFonts w:cstheme="majorBidi"/>
            <w:noProof/>
            <w:sz w:val="22"/>
          </w:rPr>
          <w:t>3.2.</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générale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_Toc231815189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146</w:t>
        </w:r>
        <w:r w:rsidR="007D1C8C" w:rsidRPr="003D79FD">
          <w:rPr>
            <w:rFonts w:cstheme="majorBidi"/>
            <w:noProof/>
            <w:webHidden/>
            <w:sz w:val="22"/>
          </w:rPr>
          <w:fldChar w:fldCharType="end"/>
        </w:r>
      </w:hyperlink>
    </w:p>
    <w:p w14:paraId="0402C50A"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0" w:history="1">
        <w:r w:rsidR="007D1C8C" w:rsidRPr="003D79FD">
          <w:rPr>
            <w:rStyle w:val="Lienhypertexte"/>
            <w:rFonts w:eastAsia="Times New Roman" w:cstheme="majorBidi"/>
            <w:noProof/>
            <w:sz w:val="22"/>
            <w:lang w:eastAsia="fr-FR"/>
          </w:rPr>
          <w:t>3.3.</w:t>
        </w:r>
        <w:r w:rsidR="007D1C8C" w:rsidRPr="003D79FD">
          <w:rPr>
            <w:rFonts w:eastAsiaTheme="minorEastAsia" w:cstheme="majorBidi"/>
            <w:noProof/>
            <w:sz w:val="22"/>
            <w:lang w:eastAsia="fr-FR"/>
          </w:rPr>
          <w:tab/>
        </w:r>
        <w:r w:rsidR="007D1C8C" w:rsidRPr="003D79FD">
          <w:rPr>
            <w:rStyle w:val="Lienhypertexte"/>
            <w:rFonts w:eastAsia="Times New Roman" w:cstheme="majorBidi"/>
            <w:noProof/>
            <w:sz w:val="22"/>
            <w:lang w:eastAsia="fr-FR"/>
          </w:rPr>
          <w:t>La direction audit interne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146</w:t>
        </w:r>
        <w:r w:rsidR="007D1C8C" w:rsidRPr="003D79FD">
          <w:rPr>
            <w:rFonts w:cstheme="majorBidi"/>
            <w:noProof/>
            <w:webHidden/>
            <w:sz w:val="22"/>
          </w:rPr>
          <w:fldChar w:fldCharType="end"/>
        </w:r>
      </w:hyperlink>
    </w:p>
    <w:p w14:paraId="794DC9E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1" w:history="1">
        <w:r w:rsidR="007D1C8C" w:rsidRPr="003D79FD">
          <w:rPr>
            <w:rStyle w:val="Lienhypertexte"/>
            <w:rFonts w:cstheme="majorBidi"/>
            <w:noProof/>
            <w:sz w:val="22"/>
          </w:rPr>
          <w:t>3.4.</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Production Textile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147</w:t>
        </w:r>
        <w:r w:rsidR="007D1C8C" w:rsidRPr="003D79FD">
          <w:rPr>
            <w:rFonts w:cstheme="majorBidi"/>
            <w:noProof/>
            <w:webHidden/>
            <w:sz w:val="22"/>
          </w:rPr>
          <w:fldChar w:fldCharType="end"/>
        </w:r>
      </w:hyperlink>
    </w:p>
    <w:p w14:paraId="38468DE3"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2" w:history="1">
        <w:r w:rsidR="007D1C8C" w:rsidRPr="003D79FD">
          <w:rPr>
            <w:rStyle w:val="Lienhypertexte"/>
            <w:rFonts w:cstheme="majorBidi"/>
            <w:noProof/>
            <w:sz w:val="22"/>
          </w:rPr>
          <w:t>3.5.</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Production Confection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147</w:t>
        </w:r>
        <w:r w:rsidR="007D1C8C" w:rsidRPr="003D79FD">
          <w:rPr>
            <w:rFonts w:cstheme="majorBidi"/>
            <w:noProof/>
            <w:webHidden/>
            <w:sz w:val="22"/>
          </w:rPr>
          <w:fldChar w:fldCharType="end"/>
        </w:r>
      </w:hyperlink>
    </w:p>
    <w:p w14:paraId="05BE0C85"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3" w:history="1">
        <w:r w:rsidR="007D1C8C" w:rsidRPr="003D79FD">
          <w:rPr>
            <w:rStyle w:val="Lienhypertexte"/>
            <w:rFonts w:cstheme="majorBidi"/>
            <w:noProof/>
            <w:sz w:val="22"/>
          </w:rPr>
          <w:t>3.6.</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commerciale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147</w:t>
        </w:r>
        <w:r w:rsidR="007D1C8C" w:rsidRPr="003D79FD">
          <w:rPr>
            <w:rFonts w:cstheme="majorBidi"/>
            <w:noProof/>
            <w:webHidden/>
            <w:sz w:val="22"/>
          </w:rPr>
          <w:fldChar w:fldCharType="end"/>
        </w:r>
      </w:hyperlink>
    </w:p>
    <w:p w14:paraId="66F2EFA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4" w:history="1">
        <w:r w:rsidR="007D1C8C" w:rsidRPr="003D79FD">
          <w:rPr>
            <w:rStyle w:val="Lienhypertexte"/>
            <w:rFonts w:cstheme="majorBidi"/>
            <w:noProof/>
            <w:sz w:val="22"/>
          </w:rPr>
          <w:t>3.7.</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des Ressources Humaines et Administration Générale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148</w:t>
        </w:r>
        <w:r w:rsidR="007D1C8C" w:rsidRPr="003D79FD">
          <w:rPr>
            <w:rFonts w:cstheme="majorBidi"/>
            <w:noProof/>
            <w:webHidden/>
            <w:sz w:val="22"/>
          </w:rPr>
          <w:fldChar w:fldCharType="end"/>
        </w:r>
      </w:hyperlink>
    </w:p>
    <w:p w14:paraId="10DFDEDD"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5" w:history="1">
        <w:r w:rsidR="007D1C8C" w:rsidRPr="003D79FD">
          <w:rPr>
            <w:rStyle w:val="Lienhypertexte"/>
            <w:rFonts w:cstheme="majorBidi"/>
            <w:noProof/>
            <w:sz w:val="22"/>
          </w:rPr>
          <w:t>3.8.</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Finances &amp; Comptabilité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148</w:t>
        </w:r>
        <w:r w:rsidR="007D1C8C" w:rsidRPr="003D79FD">
          <w:rPr>
            <w:rFonts w:cstheme="majorBidi"/>
            <w:noProof/>
            <w:webHidden/>
            <w:sz w:val="22"/>
          </w:rPr>
          <w:fldChar w:fldCharType="end"/>
        </w:r>
      </w:hyperlink>
    </w:p>
    <w:p w14:paraId="777582E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6" w:history="1">
        <w:r w:rsidR="007D1C8C" w:rsidRPr="003D79FD">
          <w:rPr>
            <w:rStyle w:val="Lienhypertexte"/>
            <w:rFonts w:cstheme="majorBidi"/>
            <w:noProof/>
            <w:sz w:val="22"/>
          </w:rPr>
          <w:t>3.9.</w:t>
        </w:r>
        <w:r w:rsidR="007D1C8C" w:rsidRPr="003D79FD">
          <w:rPr>
            <w:rFonts w:eastAsiaTheme="minorEastAsia" w:cstheme="majorBidi"/>
            <w:noProof/>
            <w:sz w:val="22"/>
            <w:lang w:eastAsia="fr-FR"/>
          </w:rPr>
          <w:tab/>
        </w:r>
        <w:r w:rsidR="007D1C8C" w:rsidRPr="003D79FD">
          <w:rPr>
            <w:rStyle w:val="Lienhypertexte"/>
            <w:rFonts w:cstheme="majorBidi"/>
            <w:noProof/>
            <w:sz w:val="22"/>
          </w:rPr>
          <w:t>La direction Supply Chain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148</w:t>
        </w:r>
        <w:r w:rsidR="007D1C8C" w:rsidRPr="003D79FD">
          <w:rPr>
            <w:rFonts w:cstheme="majorBidi"/>
            <w:noProof/>
            <w:webHidden/>
            <w:sz w:val="22"/>
          </w:rPr>
          <w:fldChar w:fldCharType="end"/>
        </w:r>
      </w:hyperlink>
    </w:p>
    <w:p w14:paraId="722C923D"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7" w:history="1">
        <w:r w:rsidR="007D1C8C" w:rsidRPr="003D79FD">
          <w:rPr>
            <w:rStyle w:val="Lienhypertexte"/>
            <w:rFonts w:cstheme="majorBidi"/>
            <w:noProof/>
            <w:sz w:val="22"/>
          </w:rPr>
          <w:t>3.11.</w:t>
        </w:r>
        <w:r w:rsidR="007D1C8C" w:rsidRPr="003D79FD">
          <w:rPr>
            <w:rFonts w:eastAsiaTheme="minorEastAsia" w:cstheme="majorBidi"/>
            <w:noProof/>
            <w:sz w:val="22"/>
            <w:lang w:eastAsia="fr-FR"/>
          </w:rPr>
          <w:tab/>
        </w:r>
        <w:r w:rsidR="007D1C8C" w:rsidRPr="003D79FD">
          <w:rPr>
            <w:rStyle w:val="Lienhypertexte"/>
            <w:rFonts w:cstheme="majorBidi"/>
            <w:noProof/>
            <w:sz w:val="22"/>
          </w:rPr>
          <w:t>Le département IT &amp; Sécurité des Systèmes d’Information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149</w:t>
        </w:r>
        <w:r w:rsidR="007D1C8C" w:rsidRPr="003D79FD">
          <w:rPr>
            <w:rFonts w:cstheme="majorBidi"/>
            <w:noProof/>
            <w:webHidden/>
            <w:sz w:val="22"/>
          </w:rPr>
          <w:fldChar w:fldCharType="end"/>
        </w:r>
      </w:hyperlink>
    </w:p>
    <w:p w14:paraId="32F32DC4"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8" w:history="1">
        <w:r w:rsidR="007D1C8C" w:rsidRPr="003D79FD">
          <w:rPr>
            <w:rStyle w:val="Lienhypertexte"/>
            <w:rFonts w:cstheme="majorBidi"/>
            <w:noProof/>
            <w:sz w:val="22"/>
          </w:rPr>
          <w:t>3.12.</w:t>
        </w:r>
        <w:r w:rsidR="007D1C8C" w:rsidRPr="003D79FD">
          <w:rPr>
            <w:rFonts w:eastAsiaTheme="minorEastAsia" w:cstheme="majorBidi"/>
            <w:noProof/>
            <w:sz w:val="22"/>
            <w:lang w:eastAsia="fr-FR"/>
          </w:rPr>
          <w:tab/>
        </w:r>
        <w:r w:rsidR="007D1C8C" w:rsidRPr="003D79FD">
          <w:rPr>
            <w:rStyle w:val="Lienhypertexte"/>
            <w:rFonts w:cstheme="majorBidi"/>
            <w:noProof/>
            <w:sz w:val="22"/>
          </w:rPr>
          <w:t>Le département QHSE / Sécurité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149</w:t>
        </w:r>
        <w:r w:rsidR="007D1C8C" w:rsidRPr="003D79FD">
          <w:rPr>
            <w:rFonts w:cstheme="majorBidi"/>
            <w:noProof/>
            <w:webHidden/>
            <w:sz w:val="22"/>
          </w:rPr>
          <w:fldChar w:fldCharType="end"/>
        </w:r>
      </w:hyperlink>
    </w:p>
    <w:p w14:paraId="362F789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199" w:history="1">
        <w:r w:rsidR="007D1C8C" w:rsidRPr="003D79FD">
          <w:rPr>
            <w:rStyle w:val="Lienhypertexte"/>
            <w:rFonts w:cstheme="majorBidi"/>
            <w:noProof/>
            <w:sz w:val="22"/>
          </w:rPr>
          <w:t>3.13.</w:t>
        </w:r>
        <w:r w:rsidR="007D1C8C" w:rsidRPr="003D79FD">
          <w:rPr>
            <w:rFonts w:eastAsiaTheme="minorEastAsia" w:cstheme="majorBidi"/>
            <w:noProof/>
            <w:sz w:val="22"/>
            <w:lang w:eastAsia="fr-FR"/>
          </w:rPr>
          <w:tab/>
        </w:r>
        <w:r w:rsidR="007D1C8C" w:rsidRPr="003D79FD">
          <w:rPr>
            <w:rStyle w:val="Lienhypertexte"/>
            <w:rFonts w:cstheme="majorBidi"/>
            <w:noProof/>
            <w:sz w:val="22"/>
          </w:rPr>
          <w:t>Le département communication, relations publiques et marketing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_Toc231815199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149</w:t>
        </w:r>
        <w:r w:rsidR="007D1C8C" w:rsidRPr="003D79FD">
          <w:rPr>
            <w:rFonts w:cstheme="majorBidi"/>
            <w:noProof/>
            <w:webHidden/>
            <w:sz w:val="22"/>
          </w:rPr>
          <w:fldChar w:fldCharType="end"/>
        </w:r>
      </w:hyperlink>
    </w:p>
    <w:p w14:paraId="56312DA3"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00" w:history="1">
        <w:r w:rsidR="007D1C8C" w:rsidRPr="003D79FD">
          <w:rPr>
            <w:rStyle w:val="Lienhypertexte"/>
            <w:rFonts w:cstheme="majorBidi"/>
            <w:noProof/>
            <w:sz w:val="22"/>
          </w:rPr>
          <w:t>4.</w:t>
        </w:r>
        <w:r w:rsidR="007D1C8C" w:rsidRPr="003D79FD">
          <w:rPr>
            <w:rFonts w:eastAsiaTheme="minorEastAsia" w:cstheme="majorBidi"/>
            <w:noProof/>
            <w:sz w:val="22"/>
            <w:lang w:eastAsia="fr-FR"/>
          </w:rPr>
          <w:tab/>
        </w:r>
        <w:r w:rsidR="007D1C8C" w:rsidRPr="003D79FD">
          <w:rPr>
            <w:rStyle w:val="Lienhypertexte"/>
            <w:rFonts w:cstheme="majorBidi"/>
            <w:noProof/>
            <w:sz w:val="22"/>
          </w:rPr>
          <w:t>L’approche systémique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150</w:t>
        </w:r>
        <w:r w:rsidR="007D1C8C" w:rsidRPr="003D79FD">
          <w:rPr>
            <w:rFonts w:cstheme="majorBidi"/>
            <w:noProof/>
            <w:webHidden/>
            <w:sz w:val="22"/>
          </w:rPr>
          <w:fldChar w:fldCharType="end"/>
        </w:r>
      </w:hyperlink>
    </w:p>
    <w:p w14:paraId="37B0B3B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01" w:history="1">
        <w:r w:rsidR="007D1C8C" w:rsidRPr="003D79FD">
          <w:rPr>
            <w:rStyle w:val="Lienhypertexte"/>
            <w:rFonts w:cstheme="majorBidi"/>
            <w:noProof/>
            <w:sz w:val="22"/>
          </w:rPr>
          <w:t>4.1.</w:t>
        </w:r>
        <w:r w:rsidR="007D1C8C" w:rsidRPr="003D79FD">
          <w:rPr>
            <w:rFonts w:eastAsiaTheme="minorEastAsia" w:cstheme="majorBidi"/>
            <w:noProof/>
            <w:sz w:val="22"/>
            <w:lang w:eastAsia="fr-FR"/>
          </w:rPr>
          <w:tab/>
        </w:r>
        <w:r w:rsidR="007D1C8C" w:rsidRPr="003D79FD">
          <w:rPr>
            <w:rStyle w:val="Lienhypertexte"/>
            <w:rFonts w:cstheme="majorBidi"/>
            <w:noProof/>
            <w:sz w:val="22"/>
          </w:rPr>
          <w:t>Méthodologie de recherche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150</w:t>
        </w:r>
        <w:r w:rsidR="007D1C8C" w:rsidRPr="003D79FD">
          <w:rPr>
            <w:rFonts w:cstheme="majorBidi"/>
            <w:noProof/>
            <w:webHidden/>
            <w:sz w:val="22"/>
          </w:rPr>
          <w:fldChar w:fldCharType="end"/>
        </w:r>
      </w:hyperlink>
    </w:p>
    <w:p w14:paraId="10EA28E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02" w:history="1">
        <w:r w:rsidR="007D1C8C" w:rsidRPr="003D79FD">
          <w:rPr>
            <w:rStyle w:val="Lienhypertexte"/>
            <w:rFonts w:cstheme="majorBidi"/>
            <w:noProof/>
            <w:sz w:val="22"/>
          </w:rPr>
          <w:t>4.2.</w:t>
        </w:r>
        <w:r w:rsidR="007D1C8C" w:rsidRPr="003D79FD">
          <w:rPr>
            <w:rFonts w:eastAsiaTheme="minorEastAsia" w:cstheme="majorBidi"/>
            <w:noProof/>
            <w:sz w:val="22"/>
            <w:lang w:eastAsia="fr-FR"/>
          </w:rPr>
          <w:tab/>
        </w:r>
        <w:r w:rsidR="007D1C8C" w:rsidRPr="003D79FD">
          <w:rPr>
            <w:rStyle w:val="Lienhypertexte"/>
            <w:rFonts w:cstheme="majorBidi"/>
            <w:noProof/>
            <w:sz w:val="22"/>
          </w:rPr>
          <w:t>Méthode d’étude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150</w:t>
        </w:r>
        <w:r w:rsidR="007D1C8C" w:rsidRPr="003D79FD">
          <w:rPr>
            <w:rFonts w:cstheme="majorBidi"/>
            <w:noProof/>
            <w:webHidden/>
            <w:sz w:val="22"/>
          </w:rPr>
          <w:fldChar w:fldCharType="end"/>
        </w:r>
      </w:hyperlink>
    </w:p>
    <w:p w14:paraId="022EED3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03" w:history="1">
        <w:r w:rsidR="007D1C8C" w:rsidRPr="003D79FD">
          <w:rPr>
            <w:rStyle w:val="Lienhypertexte"/>
            <w:rFonts w:cstheme="majorBidi"/>
            <w:noProof/>
            <w:sz w:val="22"/>
          </w:rPr>
          <w:t>4.3.</w:t>
        </w:r>
        <w:r w:rsidR="007D1C8C" w:rsidRPr="003D79FD">
          <w:rPr>
            <w:rFonts w:eastAsiaTheme="minorEastAsia" w:cstheme="majorBidi"/>
            <w:noProof/>
            <w:sz w:val="22"/>
            <w:lang w:eastAsia="fr-FR"/>
          </w:rPr>
          <w:tab/>
        </w:r>
        <w:r w:rsidR="007D1C8C" w:rsidRPr="003D79FD">
          <w:rPr>
            <w:rStyle w:val="Lienhypertexte"/>
            <w:rFonts w:cstheme="majorBidi"/>
            <w:noProof/>
            <w:sz w:val="22"/>
          </w:rPr>
          <w:t>Communauté et échantillon de recherche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151</w:t>
        </w:r>
        <w:r w:rsidR="007D1C8C" w:rsidRPr="003D79FD">
          <w:rPr>
            <w:rFonts w:cstheme="majorBidi"/>
            <w:noProof/>
            <w:webHidden/>
            <w:sz w:val="22"/>
          </w:rPr>
          <w:fldChar w:fldCharType="end"/>
        </w:r>
      </w:hyperlink>
    </w:p>
    <w:p w14:paraId="5D4F60FF"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04" w:history="1">
        <w:r w:rsidR="007D1C8C" w:rsidRPr="003D79FD">
          <w:rPr>
            <w:rStyle w:val="Lienhypertexte"/>
            <w:rFonts w:cstheme="majorBidi"/>
            <w:noProof/>
            <w:sz w:val="22"/>
          </w:rPr>
          <w:t>5.</w:t>
        </w:r>
        <w:r w:rsidR="007D1C8C" w:rsidRPr="003D79FD">
          <w:rPr>
            <w:rFonts w:eastAsiaTheme="minorEastAsia" w:cstheme="majorBidi"/>
            <w:noProof/>
            <w:sz w:val="22"/>
            <w:lang w:eastAsia="fr-FR"/>
          </w:rPr>
          <w:tab/>
        </w:r>
        <w:r w:rsidR="007D1C8C" w:rsidRPr="003D79FD">
          <w:rPr>
            <w:rStyle w:val="Lienhypertexte"/>
            <w:rFonts w:cstheme="majorBidi"/>
            <w:noProof/>
            <w:sz w:val="22"/>
          </w:rPr>
          <w:t>Outils de collecte de données et méthodes de traitement statistique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152</w:t>
        </w:r>
        <w:r w:rsidR="007D1C8C" w:rsidRPr="003D79FD">
          <w:rPr>
            <w:rFonts w:cstheme="majorBidi"/>
            <w:noProof/>
            <w:webHidden/>
            <w:sz w:val="22"/>
          </w:rPr>
          <w:fldChar w:fldCharType="end"/>
        </w:r>
      </w:hyperlink>
    </w:p>
    <w:p w14:paraId="494906CE"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05" w:history="1">
        <w:r w:rsidR="007D1C8C" w:rsidRPr="003D79FD">
          <w:rPr>
            <w:rStyle w:val="Lienhypertexte"/>
            <w:rFonts w:cstheme="majorBidi"/>
            <w:noProof/>
            <w:sz w:val="22"/>
          </w:rPr>
          <w:t>5.1.</w:t>
        </w:r>
        <w:r w:rsidR="007D1C8C" w:rsidRPr="003D79FD">
          <w:rPr>
            <w:rFonts w:eastAsiaTheme="minorEastAsia" w:cstheme="majorBidi"/>
            <w:noProof/>
            <w:sz w:val="22"/>
            <w:lang w:eastAsia="fr-FR"/>
          </w:rPr>
          <w:tab/>
        </w:r>
        <w:r w:rsidR="007D1C8C" w:rsidRPr="003D79FD">
          <w:rPr>
            <w:rStyle w:val="Lienhypertexte"/>
            <w:rFonts w:cstheme="majorBidi"/>
            <w:noProof/>
            <w:sz w:val="22"/>
          </w:rPr>
          <w:t>Outils de collecte de données de la recherche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152</w:t>
        </w:r>
        <w:r w:rsidR="007D1C8C" w:rsidRPr="003D79FD">
          <w:rPr>
            <w:rFonts w:cstheme="majorBidi"/>
            <w:noProof/>
            <w:webHidden/>
            <w:sz w:val="22"/>
          </w:rPr>
          <w:fldChar w:fldCharType="end"/>
        </w:r>
      </w:hyperlink>
    </w:p>
    <w:p w14:paraId="1196FA76"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06" w:history="1">
        <w:r w:rsidR="007D1C8C" w:rsidRPr="003D79FD">
          <w:rPr>
            <w:rStyle w:val="Lienhypertexte"/>
            <w:rFonts w:cstheme="majorBidi"/>
            <w:noProof/>
            <w:sz w:val="22"/>
          </w:rPr>
          <w:t>5.1.1.</w:t>
        </w:r>
        <w:r w:rsidR="007D1C8C" w:rsidRPr="003D79FD">
          <w:rPr>
            <w:rFonts w:eastAsiaTheme="minorEastAsia" w:cstheme="majorBidi"/>
            <w:noProof/>
            <w:sz w:val="22"/>
            <w:lang w:eastAsia="fr-FR"/>
          </w:rPr>
          <w:tab/>
        </w:r>
        <w:r w:rsidR="007D1C8C" w:rsidRPr="003D79FD">
          <w:rPr>
            <w:rStyle w:val="Lienhypertexte"/>
            <w:rFonts w:cstheme="majorBidi"/>
            <w:noProof/>
            <w:sz w:val="22"/>
          </w:rPr>
          <w:t>Le questionnaire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152</w:t>
        </w:r>
        <w:r w:rsidR="007D1C8C" w:rsidRPr="003D79FD">
          <w:rPr>
            <w:rFonts w:cstheme="majorBidi"/>
            <w:noProof/>
            <w:webHidden/>
            <w:sz w:val="22"/>
          </w:rPr>
          <w:fldChar w:fldCharType="end"/>
        </w:r>
      </w:hyperlink>
    </w:p>
    <w:p w14:paraId="68132A60"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07" w:history="1">
        <w:r w:rsidR="007D1C8C" w:rsidRPr="003D79FD">
          <w:rPr>
            <w:rStyle w:val="Lienhypertexte"/>
            <w:rFonts w:cstheme="majorBidi"/>
            <w:noProof/>
            <w:sz w:val="22"/>
          </w:rPr>
          <w:t>5.1.2.</w:t>
        </w:r>
        <w:r w:rsidR="007D1C8C" w:rsidRPr="003D79FD">
          <w:rPr>
            <w:rFonts w:eastAsiaTheme="minorEastAsia" w:cstheme="majorBidi"/>
            <w:noProof/>
            <w:sz w:val="22"/>
            <w:lang w:eastAsia="fr-FR"/>
          </w:rPr>
          <w:tab/>
        </w:r>
        <w:r w:rsidR="007D1C8C" w:rsidRPr="003D79FD">
          <w:rPr>
            <w:rStyle w:val="Lienhypertexte"/>
            <w:rFonts w:cstheme="majorBidi"/>
            <w:noProof/>
            <w:sz w:val="22"/>
          </w:rPr>
          <w:t>Structure du questionnaire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152</w:t>
        </w:r>
        <w:r w:rsidR="007D1C8C" w:rsidRPr="003D79FD">
          <w:rPr>
            <w:rFonts w:cstheme="majorBidi"/>
            <w:noProof/>
            <w:webHidden/>
            <w:sz w:val="22"/>
          </w:rPr>
          <w:fldChar w:fldCharType="end"/>
        </w:r>
      </w:hyperlink>
    </w:p>
    <w:p w14:paraId="424D96D7"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08" w:history="1">
        <w:r w:rsidR="007D1C8C" w:rsidRPr="003D79FD">
          <w:rPr>
            <w:rStyle w:val="Lienhypertexte"/>
            <w:rFonts w:cstheme="majorBidi"/>
            <w:noProof/>
            <w:sz w:val="22"/>
          </w:rPr>
          <w:t>5.1.3.</w:t>
        </w:r>
        <w:r w:rsidR="007D1C8C" w:rsidRPr="003D79FD">
          <w:rPr>
            <w:rFonts w:eastAsiaTheme="minorEastAsia" w:cstheme="majorBidi"/>
            <w:noProof/>
            <w:sz w:val="22"/>
            <w:lang w:eastAsia="fr-FR"/>
          </w:rPr>
          <w:tab/>
        </w:r>
        <w:r w:rsidR="007D1C8C" w:rsidRPr="003D79FD">
          <w:rPr>
            <w:rStyle w:val="Lienhypertexte"/>
            <w:rFonts w:cstheme="majorBidi"/>
            <w:noProof/>
            <w:sz w:val="22"/>
          </w:rPr>
          <w:t>L’interview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153</w:t>
        </w:r>
        <w:r w:rsidR="007D1C8C" w:rsidRPr="003D79FD">
          <w:rPr>
            <w:rFonts w:cstheme="majorBidi"/>
            <w:noProof/>
            <w:webHidden/>
            <w:sz w:val="22"/>
          </w:rPr>
          <w:fldChar w:fldCharType="end"/>
        </w:r>
      </w:hyperlink>
    </w:p>
    <w:p w14:paraId="35A09A83"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09" w:history="1">
        <w:r w:rsidR="007D1C8C" w:rsidRPr="003D79FD">
          <w:rPr>
            <w:rStyle w:val="Lienhypertexte"/>
            <w:rFonts w:cstheme="majorBidi"/>
            <w:noProof/>
            <w:sz w:val="22"/>
          </w:rPr>
          <w:t>5.1.4.</w:t>
        </w:r>
        <w:r w:rsidR="007D1C8C" w:rsidRPr="003D79FD">
          <w:rPr>
            <w:rFonts w:eastAsiaTheme="minorEastAsia" w:cstheme="majorBidi"/>
            <w:noProof/>
            <w:sz w:val="22"/>
            <w:lang w:eastAsia="fr-FR"/>
          </w:rPr>
          <w:tab/>
        </w:r>
        <w:r w:rsidR="007D1C8C" w:rsidRPr="003D79FD">
          <w:rPr>
            <w:rStyle w:val="Lienhypertexte"/>
            <w:rFonts w:cstheme="majorBidi"/>
            <w:noProof/>
            <w:sz w:val="22"/>
          </w:rPr>
          <w:t>L’observation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_Toc231815209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154</w:t>
        </w:r>
        <w:r w:rsidR="007D1C8C" w:rsidRPr="003D79FD">
          <w:rPr>
            <w:rFonts w:cstheme="majorBidi"/>
            <w:noProof/>
            <w:webHidden/>
            <w:sz w:val="22"/>
          </w:rPr>
          <w:fldChar w:fldCharType="end"/>
        </w:r>
      </w:hyperlink>
    </w:p>
    <w:p w14:paraId="6D545659"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0" w:history="1">
        <w:r w:rsidR="007D1C8C" w:rsidRPr="003D79FD">
          <w:rPr>
            <w:rStyle w:val="Lienhypertexte"/>
            <w:rFonts w:cstheme="majorBidi"/>
            <w:noProof/>
            <w:sz w:val="22"/>
          </w:rPr>
          <w:t>5.2.</w:t>
        </w:r>
        <w:r w:rsidR="007D1C8C" w:rsidRPr="003D79FD">
          <w:rPr>
            <w:rFonts w:eastAsiaTheme="minorEastAsia" w:cstheme="majorBidi"/>
            <w:noProof/>
            <w:sz w:val="22"/>
            <w:lang w:eastAsia="fr-FR"/>
          </w:rPr>
          <w:tab/>
        </w:r>
        <w:r w:rsidR="007D1C8C" w:rsidRPr="003D79FD">
          <w:rPr>
            <w:rStyle w:val="Lienhypertexte"/>
            <w:rFonts w:cstheme="majorBidi"/>
            <w:noProof/>
            <w:sz w:val="22"/>
          </w:rPr>
          <w:t>Outils utilisés pour analyser le questionnaire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154</w:t>
        </w:r>
        <w:r w:rsidR="007D1C8C" w:rsidRPr="003D79FD">
          <w:rPr>
            <w:rFonts w:cstheme="majorBidi"/>
            <w:noProof/>
            <w:webHidden/>
            <w:sz w:val="22"/>
          </w:rPr>
          <w:fldChar w:fldCharType="end"/>
        </w:r>
      </w:hyperlink>
    </w:p>
    <w:p w14:paraId="57818E77" w14:textId="77777777" w:rsidR="007D1C8C" w:rsidRPr="003D79FD" w:rsidRDefault="00351FDE" w:rsidP="009F60D1">
      <w:pPr>
        <w:pStyle w:val="TM1"/>
        <w:rPr>
          <w:rFonts w:eastAsiaTheme="minorEastAsia"/>
          <w:lang w:eastAsia="fr-FR"/>
        </w:rPr>
      </w:pPr>
      <w:hyperlink w:anchor="_Toc231815211" w:history="1">
        <w:r w:rsidR="007D1C8C" w:rsidRPr="003D79FD">
          <w:rPr>
            <w:rStyle w:val="Lienhypertexte"/>
            <w:rFonts w:cstheme="majorBidi"/>
            <w:sz w:val="22"/>
            <w:szCs w:val="22"/>
          </w:rPr>
          <w:t>Section 02 : Analyse des données d’étude :</w:t>
        </w:r>
        <w:r w:rsidR="007D1C8C" w:rsidRPr="003D79FD">
          <w:rPr>
            <w:webHidden/>
          </w:rPr>
          <w:tab/>
        </w:r>
        <w:r w:rsidR="007D1C8C" w:rsidRPr="003D79FD">
          <w:rPr>
            <w:webHidden/>
          </w:rPr>
          <w:fldChar w:fldCharType="begin"/>
        </w:r>
        <w:r w:rsidR="007D1C8C" w:rsidRPr="003D79FD">
          <w:rPr>
            <w:webHidden/>
          </w:rPr>
          <w:instrText xml:space="preserve"> PAGEREF _Toc231815211 \h </w:instrText>
        </w:r>
        <w:r w:rsidR="007D1C8C" w:rsidRPr="003D79FD">
          <w:rPr>
            <w:webHidden/>
          </w:rPr>
        </w:r>
        <w:r w:rsidR="007D1C8C" w:rsidRPr="003D79FD">
          <w:rPr>
            <w:webHidden/>
          </w:rPr>
          <w:fldChar w:fldCharType="separate"/>
        </w:r>
        <w:r w:rsidR="00E74A88">
          <w:rPr>
            <w:webHidden/>
          </w:rPr>
          <w:t>155</w:t>
        </w:r>
        <w:r w:rsidR="007D1C8C" w:rsidRPr="003D79FD">
          <w:rPr>
            <w:webHidden/>
          </w:rPr>
          <w:fldChar w:fldCharType="end"/>
        </w:r>
      </w:hyperlink>
    </w:p>
    <w:p w14:paraId="20434812"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12"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Données générales des employés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155</w:t>
        </w:r>
        <w:r w:rsidR="007D1C8C" w:rsidRPr="003D79FD">
          <w:rPr>
            <w:rFonts w:cstheme="majorBidi"/>
            <w:noProof/>
            <w:webHidden/>
            <w:sz w:val="22"/>
          </w:rPr>
          <w:fldChar w:fldCharType="end"/>
        </w:r>
      </w:hyperlink>
    </w:p>
    <w:p w14:paraId="5030900A"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3"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selon Le sexe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155</w:t>
        </w:r>
        <w:r w:rsidR="007D1C8C" w:rsidRPr="003D79FD">
          <w:rPr>
            <w:rFonts w:cstheme="majorBidi"/>
            <w:noProof/>
            <w:webHidden/>
            <w:sz w:val="22"/>
          </w:rPr>
          <w:fldChar w:fldCharType="end"/>
        </w:r>
      </w:hyperlink>
    </w:p>
    <w:p w14:paraId="72129DA1"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4"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selon l’âge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156</w:t>
        </w:r>
        <w:r w:rsidR="007D1C8C" w:rsidRPr="003D79FD">
          <w:rPr>
            <w:rFonts w:cstheme="majorBidi"/>
            <w:noProof/>
            <w:webHidden/>
            <w:sz w:val="22"/>
          </w:rPr>
          <w:fldChar w:fldCharType="end"/>
        </w:r>
      </w:hyperlink>
    </w:p>
    <w:p w14:paraId="4F362D10"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5" w:history="1">
        <w:r w:rsidR="007D1C8C" w:rsidRPr="003D79FD">
          <w:rPr>
            <w:rStyle w:val="Lienhypertexte"/>
            <w:rFonts w:cstheme="majorBidi"/>
            <w:noProof/>
            <w:sz w:val="22"/>
          </w:rPr>
          <w:t>1.3.</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par niveaux d'étude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156</w:t>
        </w:r>
        <w:r w:rsidR="007D1C8C" w:rsidRPr="003D79FD">
          <w:rPr>
            <w:rFonts w:cstheme="majorBidi"/>
            <w:noProof/>
            <w:webHidden/>
            <w:sz w:val="22"/>
          </w:rPr>
          <w:fldChar w:fldCharType="end"/>
        </w:r>
      </w:hyperlink>
    </w:p>
    <w:p w14:paraId="6C6B9727"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6" w:history="1">
        <w:r w:rsidR="007D1C8C" w:rsidRPr="003D79FD">
          <w:rPr>
            <w:rStyle w:val="Lienhypertexte"/>
            <w:rFonts w:cstheme="majorBidi"/>
            <w:noProof/>
            <w:sz w:val="22"/>
          </w:rPr>
          <w:t>1.4.</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par domaines d'étude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157</w:t>
        </w:r>
        <w:r w:rsidR="007D1C8C" w:rsidRPr="003D79FD">
          <w:rPr>
            <w:rFonts w:cstheme="majorBidi"/>
            <w:noProof/>
            <w:webHidden/>
            <w:sz w:val="22"/>
          </w:rPr>
          <w:fldChar w:fldCharType="end"/>
        </w:r>
      </w:hyperlink>
    </w:p>
    <w:p w14:paraId="769292EC"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7" w:history="1">
        <w:r w:rsidR="007D1C8C" w:rsidRPr="003D79FD">
          <w:rPr>
            <w:rStyle w:val="Lienhypertexte"/>
            <w:rFonts w:cstheme="majorBidi"/>
            <w:noProof/>
            <w:sz w:val="22"/>
          </w:rPr>
          <w:t>1.5.</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par poste occupé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159</w:t>
        </w:r>
        <w:r w:rsidR="007D1C8C" w:rsidRPr="003D79FD">
          <w:rPr>
            <w:rFonts w:cstheme="majorBidi"/>
            <w:noProof/>
            <w:webHidden/>
            <w:sz w:val="22"/>
          </w:rPr>
          <w:fldChar w:fldCharType="end"/>
        </w:r>
      </w:hyperlink>
    </w:p>
    <w:p w14:paraId="701B6D54"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18" w:history="1">
        <w:r w:rsidR="007D1C8C" w:rsidRPr="003D79FD">
          <w:rPr>
            <w:rStyle w:val="Lienhypertexte"/>
            <w:rFonts w:cstheme="majorBidi"/>
            <w:noProof/>
            <w:sz w:val="22"/>
          </w:rPr>
          <w:t>1.6.</w:t>
        </w:r>
        <w:r w:rsidR="007D1C8C" w:rsidRPr="003D79FD">
          <w:rPr>
            <w:rFonts w:eastAsiaTheme="minorEastAsia" w:cstheme="majorBidi"/>
            <w:noProof/>
            <w:sz w:val="22"/>
            <w:lang w:eastAsia="fr-FR"/>
          </w:rPr>
          <w:tab/>
        </w:r>
        <w:r w:rsidR="007D1C8C" w:rsidRPr="003D79FD">
          <w:rPr>
            <w:rStyle w:val="Lienhypertexte"/>
            <w:rFonts w:cstheme="majorBidi"/>
            <w:noProof/>
            <w:sz w:val="22"/>
          </w:rPr>
          <w:t>Répartition de l’échantillon de recherche par expérience professionnelle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162</w:t>
        </w:r>
        <w:r w:rsidR="007D1C8C" w:rsidRPr="003D79FD">
          <w:rPr>
            <w:rFonts w:cstheme="majorBidi"/>
            <w:noProof/>
            <w:webHidden/>
            <w:sz w:val="22"/>
          </w:rPr>
          <w:fldChar w:fldCharType="end"/>
        </w:r>
      </w:hyperlink>
    </w:p>
    <w:p w14:paraId="673E2A9F"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19"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Analyse des données concernant la partie de la gouvernance d’entreprise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_Toc231815219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163</w:t>
        </w:r>
        <w:r w:rsidR="007D1C8C" w:rsidRPr="003D79FD">
          <w:rPr>
            <w:rFonts w:cstheme="majorBidi"/>
            <w:noProof/>
            <w:webHidden/>
            <w:sz w:val="22"/>
          </w:rPr>
          <w:fldChar w:fldCharType="end"/>
        </w:r>
      </w:hyperlink>
    </w:p>
    <w:p w14:paraId="56F6006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20"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La fiabilité de l’axe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_Toc231815220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164</w:t>
        </w:r>
        <w:r w:rsidR="007D1C8C" w:rsidRPr="003D79FD">
          <w:rPr>
            <w:rFonts w:cstheme="majorBidi"/>
            <w:noProof/>
            <w:webHidden/>
            <w:sz w:val="22"/>
          </w:rPr>
          <w:fldChar w:fldCharType="end"/>
        </w:r>
      </w:hyperlink>
    </w:p>
    <w:p w14:paraId="36799BA6"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21"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L’analyse de la partie des principes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_Toc231815221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164</w:t>
        </w:r>
        <w:r w:rsidR="007D1C8C" w:rsidRPr="003D79FD">
          <w:rPr>
            <w:rFonts w:cstheme="majorBidi"/>
            <w:noProof/>
            <w:webHidden/>
            <w:sz w:val="22"/>
          </w:rPr>
          <w:fldChar w:fldCharType="end"/>
        </w:r>
      </w:hyperlink>
    </w:p>
    <w:p w14:paraId="7255064B"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28" w:history="1">
        <w:r w:rsidR="007D1C8C" w:rsidRPr="003D79FD">
          <w:rPr>
            <w:rStyle w:val="Lienhypertexte"/>
            <w:rFonts w:cstheme="majorBidi"/>
            <w:noProof/>
            <w:sz w:val="22"/>
          </w:rPr>
          <w:t>3.</w:t>
        </w:r>
        <w:r w:rsidR="007D1C8C" w:rsidRPr="003D79FD">
          <w:rPr>
            <w:rFonts w:eastAsiaTheme="minorEastAsia" w:cstheme="majorBidi"/>
            <w:noProof/>
            <w:sz w:val="22"/>
            <w:lang w:eastAsia="fr-FR"/>
          </w:rPr>
          <w:tab/>
        </w:r>
        <w:r w:rsidR="007D1C8C" w:rsidRPr="003D79FD">
          <w:rPr>
            <w:rStyle w:val="Lienhypertexte"/>
            <w:rFonts w:cstheme="majorBidi"/>
            <w:noProof/>
            <w:sz w:val="22"/>
          </w:rPr>
          <w:t>L’analyse de la partie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_Toc231815228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173</w:t>
        </w:r>
        <w:r w:rsidR="007D1C8C" w:rsidRPr="003D79FD">
          <w:rPr>
            <w:rFonts w:cstheme="majorBidi"/>
            <w:noProof/>
            <w:webHidden/>
            <w:sz w:val="22"/>
          </w:rPr>
          <w:fldChar w:fldCharType="end"/>
        </w:r>
      </w:hyperlink>
    </w:p>
    <w:p w14:paraId="42DF6707" w14:textId="77777777" w:rsidR="007D1C8C" w:rsidRPr="003D79FD" w:rsidRDefault="00351FDE" w:rsidP="009F60D1">
      <w:pPr>
        <w:pStyle w:val="TM1"/>
        <w:rPr>
          <w:rFonts w:eastAsiaTheme="minorEastAsia"/>
          <w:lang w:eastAsia="fr-FR"/>
        </w:rPr>
      </w:pPr>
      <w:hyperlink w:anchor="_Toc231815229" w:history="1">
        <w:r w:rsidR="007D1C8C" w:rsidRPr="003D79FD">
          <w:rPr>
            <w:rStyle w:val="Lienhypertexte"/>
            <w:rFonts w:cstheme="majorBidi"/>
            <w:sz w:val="22"/>
            <w:szCs w:val="22"/>
          </w:rPr>
          <w:t>Section 03 : Tester les hypothèses et discuter des résultats de l’étude :</w:t>
        </w:r>
        <w:r w:rsidR="007D1C8C" w:rsidRPr="003D79FD">
          <w:rPr>
            <w:webHidden/>
          </w:rPr>
          <w:tab/>
        </w:r>
        <w:r w:rsidR="007D1C8C" w:rsidRPr="003D79FD">
          <w:rPr>
            <w:webHidden/>
          </w:rPr>
          <w:fldChar w:fldCharType="begin"/>
        </w:r>
        <w:r w:rsidR="007D1C8C" w:rsidRPr="003D79FD">
          <w:rPr>
            <w:webHidden/>
          </w:rPr>
          <w:instrText xml:space="preserve"> PAGEREF _Toc231815229 \h </w:instrText>
        </w:r>
        <w:r w:rsidR="007D1C8C" w:rsidRPr="003D79FD">
          <w:rPr>
            <w:webHidden/>
          </w:rPr>
        </w:r>
        <w:r w:rsidR="007D1C8C" w:rsidRPr="003D79FD">
          <w:rPr>
            <w:webHidden/>
          </w:rPr>
          <w:fldChar w:fldCharType="separate"/>
        </w:r>
        <w:r w:rsidR="00E74A88">
          <w:rPr>
            <w:webHidden/>
          </w:rPr>
          <w:t>178</w:t>
        </w:r>
        <w:r w:rsidR="007D1C8C" w:rsidRPr="003D79FD">
          <w:rPr>
            <w:webHidden/>
          </w:rPr>
          <w:fldChar w:fldCharType="end"/>
        </w:r>
      </w:hyperlink>
    </w:p>
    <w:p w14:paraId="0F805415"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30" w:history="1">
        <w:r w:rsidR="007D1C8C" w:rsidRPr="003D79FD">
          <w:rPr>
            <w:rStyle w:val="Lienhypertexte"/>
            <w:rFonts w:cstheme="majorBidi"/>
            <w:noProof/>
            <w:sz w:val="22"/>
          </w:rPr>
          <w:t>1.</w:t>
        </w:r>
        <w:r w:rsidR="007D1C8C" w:rsidRPr="003D79FD">
          <w:rPr>
            <w:rFonts w:eastAsiaTheme="minorEastAsia" w:cstheme="majorBidi"/>
            <w:noProof/>
            <w:sz w:val="22"/>
            <w:lang w:eastAsia="fr-FR"/>
          </w:rPr>
          <w:tab/>
        </w:r>
        <w:r w:rsidR="007D1C8C" w:rsidRPr="003D79FD">
          <w:rPr>
            <w:rStyle w:val="Lienhypertexte"/>
            <w:rFonts w:cstheme="majorBidi"/>
            <w:noProof/>
            <w:sz w:val="22"/>
          </w:rPr>
          <w:t>Coefficient de corrélation et Analyse de variance ANOVA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179</w:t>
        </w:r>
        <w:r w:rsidR="007D1C8C" w:rsidRPr="003D79FD">
          <w:rPr>
            <w:rFonts w:cstheme="majorBidi"/>
            <w:noProof/>
            <w:webHidden/>
            <w:sz w:val="22"/>
          </w:rPr>
          <w:fldChar w:fldCharType="end"/>
        </w:r>
      </w:hyperlink>
    </w:p>
    <w:p w14:paraId="4926699E"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31" w:history="1">
        <w:r w:rsidR="007D1C8C" w:rsidRPr="003D79FD">
          <w:rPr>
            <w:rStyle w:val="Lienhypertexte"/>
            <w:rFonts w:cstheme="majorBidi"/>
            <w:noProof/>
            <w:sz w:val="22"/>
          </w:rPr>
          <w:t>1.1.</w:t>
        </w:r>
        <w:r w:rsidR="007D1C8C" w:rsidRPr="003D79FD">
          <w:rPr>
            <w:rFonts w:eastAsiaTheme="minorEastAsia" w:cstheme="majorBidi"/>
            <w:noProof/>
            <w:sz w:val="22"/>
            <w:lang w:eastAsia="fr-FR"/>
          </w:rPr>
          <w:tab/>
        </w:r>
        <w:r w:rsidR="007D1C8C" w:rsidRPr="003D79FD">
          <w:rPr>
            <w:rStyle w:val="Lienhypertexte"/>
            <w:rFonts w:cstheme="majorBidi"/>
            <w:noProof/>
            <w:sz w:val="22"/>
          </w:rPr>
          <w:t>Coefficient de corrélation et de sélection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179</w:t>
        </w:r>
        <w:r w:rsidR="007D1C8C" w:rsidRPr="003D79FD">
          <w:rPr>
            <w:rFonts w:cstheme="majorBidi"/>
            <w:noProof/>
            <w:webHidden/>
            <w:sz w:val="22"/>
          </w:rPr>
          <w:fldChar w:fldCharType="end"/>
        </w:r>
      </w:hyperlink>
    </w:p>
    <w:p w14:paraId="61AEB0E2"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32" w:history="1">
        <w:r w:rsidR="007D1C8C" w:rsidRPr="003D79FD">
          <w:rPr>
            <w:rStyle w:val="Lienhypertexte"/>
            <w:rFonts w:cstheme="majorBidi"/>
            <w:noProof/>
            <w:sz w:val="22"/>
          </w:rPr>
          <w:t>1.2.</w:t>
        </w:r>
        <w:r w:rsidR="007D1C8C" w:rsidRPr="003D79FD">
          <w:rPr>
            <w:rFonts w:eastAsiaTheme="minorEastAsia" w:cstheme="majorBidi"/>
            <w:noProof/>
            <w:sz w:val="22"/>
            <w:lang w:eastAsia="fr-FR"/>
          </w:rPr>
          <w:tab/>
        </w:r>
        <w:r w:rsidR="007D1C8C" w:rsidRPr="003D79FD">
          <w:rPr>
            <w:rStyle w:val="Lienhypertexte"/>
            <w:rFonts w:cstheme="majorBidi"/>
            <w:noProof/>
            <w:sz w:val="22"/>
          </w:rPr>
          <w:t>Tester les hypothèses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179</w:t>
        </w:r>
        <w:r w:rsidR="007D1C8C" w:rsidRPr="003D79FD">
          <w:rPr>
            <w:rFonts w:cstheme="majorBidi"/>
            <w:noProof/>
            <w:webHidden/>
            <w:sz w:val="22"/>
          </w:rPr>
          <w:fldChar w:fldCharType="end"/>
        </w:r>
      </w:hyperlink>
    </w:p>
    <w:p w14:paraId="05C4A9D1"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3" w:history="1">
        <w:r w:rsidR="007D1C8C" w:rsidRPr="003D79FD">
          <w:rPr>
            <w:rStyle w:val="Lienhypertexte"/>
            <w:rFonts w:cstheme="majorBidi"/>
            <w:noProof/>
            <w:sz w:val="22"/>
          </w:rPr>
          <w:t>1.2.1.</w:t>
        </w:r>
        <w:r w:rsidR="007D1C8C" w:rsidRPr="003D79FD">
          <w:rPr>
            <w:rFonts w:eastAsiaTheme="minorEastAsia" w:cstheme="majorBidi"/>
            <w:noProof/>
            <w:sz w:val="22"/>
            <w:lang w:eastAsia="fr-FR"/>
          </w:rPr>
          <w:tab/>
        </w:r>
        <w:r w:rsidR="007D1C8C" w:rsidRPr="003D79FD">
          <w:rPr>
            <w:rStyle w:val="Lienhypertexte"/>
            <w:rFonts w:cstheme="majorBidi"/>
            <w:noProof/>
            <w:sz w:val="22"/>
          </w:rPr>
          <w:t>L’hypothèse principale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179</w:t>
        </w:r>
        <w:r w:rsidR="007D1C8C" w:rsidRPr="003D79FD">
          <w:rPr>
            <w:rFonts w:cstheme="majorBidi"/>
            <w:noProof/>
            <w:webHidden/>
            <w:sz w:val="22"/>
          </w:rPr>
          <w:fldChar w:fldCharType="end"/>
        </w:r>
      </w:hyperlink>
    </w:p>
    <w:p w14:paraId="64B376F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4" w:history="1">
        <w:r w:rsidR="007D1C8C" w:rsidRPr="003D79FD">
          <w:rPr>
            <w:rStyle w:val="Lienhypertexte"/>
            <w:rFonts w:cstheme="majorBidi"/>
            <w:noProof/>
            <w:sz w:val="22"/>
          </w:rPr>
          <w:t>1.2.2.</w:t>
        </w:r>
        <w:r w:rsidR="007D1C8C" w:rsidRPr="003D79FD">
          <w:rPr>
            <w:rFonts w:eastAsiaTheme="minorEastAsia" w:cstheme="majorBidi"/>
            <w:noProof/>
            <w:sz w:val="22"/>
            <w:lang w:eastAsia="fr-FR"/>
          </w:rPr>
          <w:tab/>
        </w:r>
        <w:r w:rsidR="007D1C8C" w:rsidRPr="003D79FD">
          <w:rPr>
            <w:rStyle w:val="Lienhypertexte"/>
            <w:rFonts w:cstheme="majorBidi"/>
            <w:noProof/>
            <w:sz w:val="22"/>
          </w:rPr>
          <w:t>La première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181</w:t>
        </w:r>
        <w:r w:rsidR="007D1C8C" w:rsidRPr="003D79FD">
          <w:rPr>
            <w:rFonts w:cstheme="majorBidi"/>
            <w:noProof/>
            <w:webHidden/>
            <w:sz w:val="22"/>
          </w:rPr>
          <w:fldChar w:fldCharType="end"/>
        </w:r>
      </w:hyperlink>
    </w:p>
    <w:p w14:paraId="53E8AD5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5" w:history="1">
        <w:r w:rsidR="007D1C8C" w:rsidRPr="003D79FD">
          <w:rPr>
            <w:rStyle w:val="Lienhypertexte"/>
            <w:rFonts w:cstheme="majorBidi"/>
            <w:noProof/>
            <w:sz w:val="22"/>
          </w:rPr>
          <w:t>1.2.3.</w:t>
        </w:r>
        <w:r w:rsidR="007D1C8C" w:rsidRPr="003D79FD">
          <w:rPr>
            <w:rFonts w:eastAsiaTheme="minorEastAsia" w:cstheme="majorBidi"/>
            <w:noProof/>
            <w:sz w:val="22"/>
            <w:lang w:eastAsia="fr-FR"/>
          </w:rPr>
          <w:tab/>
        </w:r>
        <w:r w:rsidR="007D1C8C" w:rsidRPr="003D79FD">
          <w:rPr>
            <w:rStyle w:val="Lienhypertexte"/>
            <w:rFonts w:cstheme="majorBidi"/>
            <w:noProof/>
            <w:sz w:val="22"/>
          </w:rPr>
          <w:t>La deuxième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183</w:t>
        </w:r>
        <w:r w:rsidR="007D1C8C" w:rsidRPr="003D79FD">
          <w:rPr>
            <w:rFonts w:cstheme="majorBidi"/>
            <w:noProof/>
            <w:webHidden/>
            <w:sz w:val="22"/>
          </w:rPr>
          <w:fldChar w:fldCharType="end"/>
        </w:r>
      </w:hyperlink>
    </w:p>
    <w:p w14:paraId="204FA061"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6" w:history="1">
        <w:r w:rsidR="007D1C8C" w:rsidRPr="003D79FD">
          <w:rPr>
            <w:rStyle w:val="Lienhypertexte"/>
            <w:rFonts w:cstheme="majorBidi"/>
            <w:noProof/>
            <w:sz w:val="22"/>
          </w:rPr>
          <w:t>1.2.4.</w:t>
        </w:r>
        <w:r w:rsidR="007D1C8C" w:rsidRPr="003D79FD">
          <w:rPr>
            <w:rFonts w:eastAsiaTheme="minorEastAsia" w:cstheme="majorBidi"/>
            <w:noProof/>
            <w:sz w:val="22"/>
            <w:lang w:eastAsia="fr-FR"/>
          </w:rPr>
          <w:tab/>
        </w:r>
        <w:r w:rsidR="007D1C8C" w:rsidRPr="003D79FD">
          <w:rPr>
            <w:rStyle w:val="Lienhypertexte"/>
            <w:rFonts w:cstheme="majorBidi"/>
            <w:noProof/>
            <w:sz w:val="22"/>
          </w:rPr>
          <w:t>La Troisième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_Toc231815236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185</w:t>
        </w:r>
        <w:r w:rsidR="007D1C8C" w:rsidRPr="003D79FD">
          <w:rPr>
            <w:rFonts w:cstheme="majorBidi"/>
            <w:noProof/>
            <w:webHidden/>
            <w:sz w:val="22"/>
          </w:rPr>
          <w:fldChar w:fldCharType="end"/>
        </w:r>
      </w:hyperlink>
    </w:p>
    <w:p w14:paraId="29C869AE"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7" w:history="1">
        <w:r w:rsidR="007D1C8C" w:rsidRPr="003D79FD">
          <w:rPr>
            <w:rStyle w:val="Lienhypertexte"/>
            <w:rFonts w:cstheme="majorBidi"/>
            <w:noProof/>
            <w:sz w:val="22"/>
          </w:rPr>
          <w:t>1.2.5.</w:t>
        </w:r>
        <w:r w:rsidR="007D1C8C" w:rsidRPr="003D79FD">
          <w:rPr>
            <w:rFonts w:eastAsiaTheme="minorEastAsia" w:cstheme="majorBidi"/>
            <w:noProof/>
            <w:sz w:val="22"/>
            <w:lang w:eastAsia="fr-FR"/>
          </w:rPr>
          <w:tab/>
        </w:r>
        <w:r w:rsidR="007D1C8C" w:rsidRPr="003D79FD">
          <w:rPr>
            <w:rStyle w:val="Lienhypertexte"/>
            <w:rFonts w:cstheme="majorBidi"/>
            <w:noProof/>
            <w:sz w:val="22"/>
          </w:rPr>
          <w:t>La Quatrième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_Toc231815237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186</w:t>
        </w:r>
        <w:r w:rsidR="007D1C8C" w:rsidRPr="003D79FD">
          <w:rPr>
            <w:rFonts w:cstheme="majorBidi"/>
            <w:noProof/>
            <w:webHidden/>
            <w:sz w:val="22"/>
          </w:rPr>
          <w:fldChar w:fldCharType="end"/>
        </w:r>
      </w:hyperlink>
    </w:p>
    <w:p w14:paraId="088AF3C8"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8" w:history="1">
        <w:r w:rsidR="007D1C8C" w:rsidRPr="003D79FD">
          <w:rPr>
            <w:rStyle w:val="Lienhypertexte"/>
            <w:rFonts w:cstheme="majorBidi"/>
            <w:noProof/>
            <w:sz w:val="22"/>
          </w:rPr>
          <w:t>1.2.6.</w:t>
        </w:r>
        <w:r w:rsidR="007D1C8C" w:rsidRPr="003D79FD">
          <w:rPr>
            <w:rFonts w:eastAsiaTheme="minorEastAsia" w:cstheme="majorBidi"/>
            <w:noProof/>
            <w:sz w:val="22"/>
            <w:lang w:eastAsia="fr-FR"/>
          </w:rPr>
          <w:tab/>
        </w:r>
        <w:r w:rsidR="007D1C8C" w:rsidRPr="003D79FD">
          <w:rPr>
            <w:rStyle w:val="Lienhypertexte"/>
            <w:rFonts w:cstheme="majorBidi"/>
            <w:noProof/>
            <w:sz w:val="22"/>
          </w:rPr>
          <w:t>La cinquième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_Toc231815238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188</w:t>
        </w:r>
        <w:r w:rsidR="007D1C8C" w:rsidRPr="003D79FD">
          <w:rPr>
            <w:rFonts w:cstheme="majorBidi"/>
            <w:noProof/>
            <w:webHidden/>
            <w:sz w:val="22"/>
          </w:rPr>
          <w:fldChar w:fldCharType="end"/>
        </w:r>
      </w:hyperlink>
    </w:p>
    <w:p w14:paraId="55B702A4"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39" w:history="1">
        <w:r w:rsidR="007D1C8C" w:rsidRPr="003D79FD">
          <w:rPr>
            <w:rStyle w:val="Lienhypertexte"/>
            <w:rFonts w:cstheme="majorBidi"/>
            <w:noProof/>
            <w:sz w:val="22"/>
          </w:rPr>
          <w:t>1.2.7.</w:t>
        </w:r>
        <w:r w:rsidR="007D1C8C" w:rsidRPr="003D79FD">
          <w:rPr>
            <w:rFonts w:eastAsiaTheme="minorEastAsia" w:cstheme="majorBidi"/>
            <w:noProof/>
            <w:sz w:val="22"/>
            <w:lang w:eastAsia="fr-FR"/>
          </w:rPr>
          <w:tab/>
        </w:r>
        <w:r w:rsidR="007D1C8C" w:rsidRPr="003D79FD">
          <w:rPr>
            <w:rStyle w:val="Lienhypertexte"/>
            <w:rFonts w:cstheme="majorBidi"/>
            <w:noProof/>
            <w:sz w:val="22"/>
          </w:rPr>
          <w:t>La sixième sous hypothèse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_Toc231815239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189</w:t>
        </w:r>
        <w:r w:rsidR="007D1C8C" w:rsidRPr="003D79FD">
          <w:rPr>
            <w:rFonts w:cstheme="majorBidi"/>
            <w:noProof/>
            <w:webHidden/>
            <w:sz w:val="22"/>
          </w:rPr>
          <w:fldChar w:fldCharType="end"/>
        </w:r>
      </w:hyperlink>
    </w:p>
    <w:p w14:paraId="68ED3640" w14:textId="77777777" w:rsidR="007D1C8C" w:rsidRPr="003D79FD" w:rsidRDefault="00351FDE">
      <w:pPr>
        <w:pStyle w:val="TM2"/>
        <w:tabs>
          <w:tab w:val="left" w:pos="1100"/>
          <w:tab w:val="right" w:leader="dot" w:pos="9060"/>
        </w:tabs>
        <w:rPr>
          <w:rFonts w:eastAsiaTheme="minorEastAsia" w:cstheme="majorBidi"/>
          <w:noProof/>
          <w:sz w:val="22"/>
          <w:lang w:eastAsia="fr-FR"/>
        </w:rPr>
      </w:pPr>
      <w:hyperlink w:anchor="_Toc231815240" w:history="1">
        <w:r w:rsidR="007D1C8C" w:rsidRPr="003D79FD">
          <w:rPr>
            <w:rStyle w:val="Lienhypertexte"/>
            <w:rFonts w:cstheme="majorBidi"/>
            <w:noProof/>
            <w:sz w:val="22"/>
          </w:rPr>
          <w:t>2.</w:t>
        </w:r>
        <w:r w:rsidR="007D1C8C" w:rsidRPr="003D79FD">
          <w:rPr>
            <w:rFonts w:eastAsiaTheme="minorEastAsia" w:cstheme="majorBidi"/>
            <w:noProof/>
            <w:sz w:val="22"/>
            <w:lang w:eastAsia="fr-FR"/>
          </w:rPr>
          <w:tab/>
        </w:r>
        <w:r w:rsidR="007D1C8C" w:rsidRPr="003D79FD">
          <w:rPr>
            <w:rStyle w:val="Lienhypertexte"/>
            <w:rFonts w:cstheme="majorBidi"/>
            <w:noProof/>
            <w:sz w:val="22"/>
          </w:rPr>
          <w:t>Discuter les résultats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_Toc231815240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191</w:t>
        </w:r>
        <w:r w:rsidR="007D1C8C" w:rsidRPr="003D79FD">
          <w:rPr>
            <w:rFonts w:cstheme="majorBidi"/>
            <w:noProof/>
            <w:webHidden/>
            <w:sz w:val="22"/>
          </w:rPr>
          <w:fldChar w:fldCharType="end"/>
        </w:r>
      </w:hyperlink>
    </w:p>
    <w:p w14:paraId="6F472BE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41" w:history="1">
        <w:r w:rsidR="007D1C8C" w:rsidRPr="003D79FD">
          <w:rPr>
            <w:rStyle w:val="Lienhypertexte"/>
            <w:rFonts w:cstheme="majorBidi"/>
            <w:noProof/>
            <w:sz w:val="22"/>
          </w:rPr>
          <w:t>2.1.</w:t>
        </w:r>
        <w:r w:rsidR="007D1C8C" w:rsidRPr="003D79FD">
          <w:rPr>
            <w:rFonts w:eastAsiaTheme="minorEastAsia" w:cstheme="majorBidi"/>
            <w:noProof/>
            <w:sz w:val="22"/>
            <w:lang w:eastAsia="fr-FR"/>
          </w:rPr>
          <w:tab/>
        </w:r>
        <w:r w:rsidR="007D1C8C" w:rsidRPr="003D79FD">
          <w:rPr>
            <w:rStyle w:val="Lienhypertexte"/>
            <w:rFonts w:cstheme="majorBidi"/>
            <w:noProof/>
            <w:sz w:val="22"/>
          </w:rPr>
          <w:t>Discutions des résultats de questionnaire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_Toc231815241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191</w:t>
        </w:r>
        <w:r w:rsidR="007D1C8C" w:rsidRPr="003D79FD">
          <w:rPr>
            <w:rFonts w:cstheme="majorBidi"/>
            <w:noProof/>
            <w:webHidden/>
            <w:sz w:val="22"/>
          </w:rPr>
          <w:fldChar w:fldCharType="end"/>
        </w:r>
      </w:hyperlink>
    </w:p>
    <w:p w14:paraId="186D653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42" w:history="1">
        <w:r w:rsidR="007D1C8C" w:rsidRPr="003D79FD">
          <w:rPr>
            <w:rStyle w:val="Lienhypertexte"/>
            <w:rFonts w:cstheme="majorBidi"/>
            <w:noProof/>
            <w:sz w:val="22"/>
          </w:rPr>
          <w:t>2.1.1.</w:t>
        </w:r>
        <w:r w:rsidR="007D1C8C" w:rsidRPr="003D79FD">
          <w:rPr>
            <w:rFonts w:eastAsiaTheme="minorEastAsia" w:cstheme="majorBidi"/>
            <w:noProof/>
            <w:sz w:val="22"/>
            <w:lang w:eastAsia="fr-FR"/>
          </w:rPr>
          <w:tab/>
        </w:r>
        <w:r w:rsidR="007D1C8C" w:rsidRPr="003D79FD">
          <w:rPr>
            <w:rStyle w:val="Lienhypertexte"/>
            <w:rFonts w:cstheme="majorBidi"/>
            <w:noProof/>
            <w:sz w:val="22"/>
          </w:rPr>
          <w:t>Les résultats de la première partie (donnée générale des employées)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_Toc231815242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191</w:t>
        </w:r>
        <w:r w:rsidR="007D1C8C" w:rsidRPr="003D79FD">
          <w:rPr>
            <w:rFonts w:cstheme="majorBidi"/>
            <w:noProof/>
            <w:webHidden/>
            <w:sz w:val="22"/>
          </w:rPr>
          <w:fldChar w:fldCharType="end"/>
        </w:r>
      </w:hyperlink>
    </w:p>
    <w:p w14:paraId="37D1A0EA"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43" w:history="1">
        <w:r w:rsidR="007D1C8C" w:rsidRPr="003D79FD">
          <w:rPr>
            <w:rStyle w:val="Lienhypertexte"/>
            <w:rFonts w:cstheme="majorBidi"/>
            <w:noProof/>
            <w:sz w:val="22"/>
          </w:rPr>
          <w:t>2.1.2.</w:t>
        </w:r>
        <w:r w:rsidR="007D1C8C" w:rsidRPr="003D79FD">
          <w:rPr>
            <w:rFonts w:eastAsiaTheme="minorEastAsia" w:cstheme="majorBidi"/>
            <w:noProof/>
            <w:sz w:val="22"/>
            <w:lang w:eastAsia="fr-FR"/>
          </w:rPr>
          <w:tab/>
        </w:r>
        <w:r w:rsidR="007D1C8C" w:rsidRPr="003D79FD">
          <w:rPr>
            <w:rStyle w:val="Lienhypertexte"/>
            <w:rFonts w:cstheme="majorBidi"/>
            <w:noProof/>
            <w:sz w:val="22"/>
          </w:rPr>
          <w:t>Les résultats de la deuxième partie (les principes de la gouvernance)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_Toc231815243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192</w:t>
        </w:r>
        <w:r w:rsidR="007D1C8C" w:rsidRPr="003D79FD">
          <w:rPr>
            <w:rFonts w:cstheme="majorBidi"/>
            <w:noProof/>
            <w:webHidden/>
            <w:sz w:val="22"/>
          </w:rPr>
          <w:fldChar w:fldCharType="end"/>
        </w:r>
      </w:hyperlink>
    </w:p>
    <w:p w14:paraId="0016FCFD" w14:textId="77777777" w:rsidR="007D1C8C" w:rsidRPr="003D79FD" w:rsidRDefault="00351FDE">
      <w:pPr>
        <w:pStyle w:val="TM4"/>
        <w:tabs>
          <w:tab w:val="left" w:pos="1764"/>
          <w:tab w:val="right" w:leader="dot" w:pos="9060"/>
        </w:tabs>
        <w:rPr>
          <w:rFonts w:eastAsiaTheme="minorEastAsia" w:cstheme="majorBidi"/>
          <w:noProof/>
          <w:sz w:val="22"/>
          <w:lang w:eastAsia="fr-FR"/>
        </w:rPr>
      </w:pPr>
      <w:hyperlink w:anchor="_Toc231815244" w:history="1">
        <w:r w:rsidR="007D1C8C" w:rsidRPr="003D79FD">
          <w:rPr>
            <w:rStyle w:val="Lienhypertexte"/>
            <w:rFonts w:cstheme="majorBidi"/>
            <w:noProof/>
            <w:sz w:val="22"/>
          </w:rPr>
          <w:t>2.1.3.</w:t>
        </w:r>
        <w:r w:rsidR="007D1C8C" w:rsidRPr="003D79FD">
          <w:rPr>
            <w:rFonts w:eastAsiaTheme="minorEastAsia" w:cstheme="majorBidi"/>
            <w:noProof/>
            <w:sz w:val="22"/>
            <w:lang w:eastAsia="fr-FR"/>
          </w:rPr>
          <w:tab/>
        </w:r>
        <w:r w:rsidR="007D1C8C" w:rsidRPr="003D79FD">
          <w:rPr>
            <w:rStyle w:val="Lienhypertexte"/>
            <w:rFonts w:cstheme="majorBidi"/>
            <w:noProof/>
            <w:sz w:val="22"/>
          </w:rPr>
          <w:t>Les résultats de la troisième partie (la responsabilité sociale des entreprises)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_Toc231815244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196</w:t>
        </w:r>
        <w:r w:rsidR="007D1C8C" w:rsidRPr="003D79FD">
          <w:rPr>
            <w:rFonts w:cstheme="majorBidi"/>
            <w:noProof/>
            <w:webHidden/>
            <w:sz w:val="22"/>
          </w:rPr>
          <w:fldChar w:fldCharType="end"/>
        </w:r>
      </w:hyperlink>
    </w:p>
    <w:p w14:paraId="0CF4306F" w14:textId="77777777" w:rsidR="007D1C8C" w:rsidRPr="003D79FD" w:rsidRDefault="00351FDE">
      <w:pPr>
        <w:pStyle w:val="TM3"/>
        <w:tabs>
          <w:tab w:val="left" w:pos="1540"/>
          <w:tab w:val="right" w:leader="dot" w:pos="9060"/>
        </w:tabs>
        <w:rPr>
          <w:rFonts w:eastAsiaTheme="minorEastAsia" w:cstheme="majorBidi"/>
          <w:noProof/>
          <w:sz w:val="22"/>
          <w:lang w:eastAsia="fr-FR"/>
        </w:rPr>
      </w:pPr>
      <w:hyperlink w:anchor="_Toc231815245" w:history="1">
        <w:r w:rsidR="007D1C8C" w:rsidRPr="003D79FD">
          <w:rPr>
            <w:rStyle w:val="Lienhypertexte"/>
            <w:rFonts w:cstheme="majorBidi"/>
            <w:noProof/>
            <w:sz w:val="22"/>
          </w:rPr>
          <w:t>2.2.</w:t>
        </w:r>
        <w:r w:rsidR="007D1C8C" w:rsidRPr="003D79FD">
          <w:rPr>
            <w:rFonts w:eastAsiaTheme="minorEastAsia" w:cstheme="majorBidi"/>
            <w:noProof/>
            <w:sz w:val="22"/>
            <w:lang w:eastAsia="fr-FR"/>
          </w:rPr>
          <w:tab/>
        </w:r>
        <w:r w:rsidR="007D1C8C" w:rsidRPr="003D79FD">
          <w:rPr>
            <w:rStyle w:val="Lienhypertexte"/>
            <w:rFonts w:cstheme="majorBidi"/>
            <w:noProof/>
            <w:sz w:val="22"/>
          </w:rPr>
          <w:t>Discuter de la validité des hypothèses :</w:t>
        </w:r>
        <w:r w:rsidR="007D1C8C" w:rsidRPr="003D79FD">
          <w:rPr>
            <w:rFonts w:cstheme="majorBidi"/>
            <w:noProof/>
            <w:webHidden/>
            <w:sz w:val="22"/>
          </w:rPr>
          <w:tab/>
        </w:r>
        <w:r w:rsidR="007D1C8C" w:rsidRPr="003D79FD">
          <w:rPr>
            <w:rFonts w:cstheme="majorBidi"/>
            <w:noProof/>
            <w:webHidden/>
            <w:sz w:val="22"/>
          </w:rPr>
          <w:fldChar w:fldCharType="begin"/>
        </w:r>
        <w:r w:rsidR="007D1C8C" w:rsidRPr="003D79FD">
          <w:rPr>
            <w:rFonts w:cstheme="majorBidi"/>
            <w:noProof/>
            <w:webHidden/>
            <w:sz w:val="22"/>
          </w:rPr>
          <w:instrText xml:space="preserve"> PAGEREF _Toc231815245 \h </w:instrText>
        </w:r>
        <w:r w:rsidR="007D1C8C" w:rsidRPr="003D79FD">
          <w:rPr>
            <w:rFonts w:cstheme="majorBidi"/>
            <w:noProof/>
            <w:webHidden/>
            <w:sz w:val="22"/>
          </w:rPr>
        </w:r>
        <w:r w:rsidR="007D1C8C" w:rsidRPr="003D79FD">
          <w:rPr>
            <w:rFonts w:cstheme="majorBidi"/>
            <w:noProof/>
            <w:webHidden/>
            <w:sz w:val="22"/>
          </w:rPr>
          <w:fldChar w:fldCharType="separate"/>
        </w:r>
        <w:r w:rsidR="00E74A88">
          <w:rPr>
            <w:rFonts w:cstheme="majorBidi"/>
            <w:noProof/>
            <w:webHidden/>
            <w:sz w:val="22"/>
          </w:rPr>
          <w:t>197</w:t>
        </w:r>
        <w:r w:rsidR="007D1C8C" w:rsidRPr="003D79FD">
          <w:rPr>
            <w:rFonts w:cstheme="majorBidi"/>
            <w:noProof/>
            <w:webHidden/>
            <w:sz w:val="22"/>
          </w:rPr>
          <w:fldChar w:fldCharType="end"/>
        </w:r>
      </w:hyperlink>
    </w:p>
    <w:p w14:paraId="0EF2C07C" w14:textId="77777777" w:rsidR="007D1C8C" w:rsidRPr="003D79FD" w:rsidRDefault="00351FDE" w:rsidP="009F60D1">
      <w:pPr>
        <w:pStyle w:val="TM1"/>
        <w:rPr>
          <w:rFonts w:eastAsiaTheme="minorEastAsia"/>
          <w:lang w:eastAsia="fr-FR"/>
        </w:rPr>
      </w:pPr>
      <w:hyperlink w:anchor="_Toc231815246" w:history="1">
        <w:r w:rsidR="007D1C8C" w:rsidRPr="003D79FD">
          <w:rPr>
            <w:rStyle w:val="Lienhypertexte"/>
            <w:rFonts w:cstheme="majorBidi"/>
            <w:sz w:val="22"/>
            <w:szCs w:val="22"/>
          </w:rPr>
          <w:t>Conclusion du chapitre :</w:t>
        </w:r>
        <w:r w:rsidR="007D1C8C" w:rsidRPr="003D79FD">
          <w:rPr>
            <w:webHidden/>
          </w:rPr>
          <w:tab/>
        </w:r>
        <w:r w:rsidR="007D1C8C" w:rsidRPr="003D79FD">
          <w:rPr>
            <w:webHidden/>
          </w:rPr>
          <w:fldChar w:fldCharType="begin"/>
        </w:r>
        <w:r w:rsidR="007D1C8C" w:rsidRPr="003D79FD">
          <w:rPr>
            <w:webHidden/>
          </w:rPr>
          <w:instrText xml:space="preserve"> PAGEREF _Toc231815246 \h </w:instrText>
        </w:r>
        <w:r w:rsidR="007D1C8C" w:rsidRPr="003D79FD">
          <w:rPr>
            <w:webHidden/>
          </w:rPr>
        </w:r>
        <w:r w:rsidR="007D1C8C" w:rsidRPr="003D79FD">
          <w:rPr>
            <w:webHidden/>
          </w:rPr>
          <w:fldChar w:fldCharType="separate"/>
        </w:r>
        <w:r w:rsidR="00E74A88">
          <w:rPr>
            <w:webHidden/>
          </w:rPr>
          <w:t>202</w:t>
        </w:r>
        <w:r w:rsidR="007D1C8C" w:rsidRPr="003D79FD">
          <w:rPr>
            <w:webHidden/>
          </w:rPr>
          <w:fldChar w:fldCharType="end"/>
        </w:r>
      </w:hyperlink>
    </w:p>
    <w:p w14:paraId="11CF11FC" w14:textId="77777777" w:rsidR="007D1C8C" w:rsidRPr="003D79FD" w:rsidRDefault="00351FDE" w:rsidP="009F60D1">
      <w:pPr>
        <w:pStyle w:val="TM1"/>
        <w:rPr>
          <w:rFonts w:eastAsiaTheme="minorEastAsia"/>
          <w:lang w:eastAsia="fr-FR"/>
        </w:rPr>
      </w:pPr>
      <w:hyperlink w:anchor="_Toc231815247" w:history="1">
        <w:r w:rsidR="007D1C8C" w:rsidRPr="003D79FD">
          <w:rPr>
            <w:rStyle w:val="Lienhypertexte"/>
            <w:rFonts w:cstheme="majorBidi"/>
            <w:sz w:val="22"/>
            <w:szCs w:val="22"/>
          </w:rPr>
          <w:t>Conclusion Générale :</w:t>
        </w:r>
        <w:r w:rsidR="007D1C8C" w:rsidRPr="003D79FD">
          <w:rPr>
            <w:webHidden/>
          </w:rPr>
          <w:tab/>
        </w:r>
        <w:r w:rsidR="007D1C8C" w:rsidRPr="003D79FD">
          <w:rPr>
            <w:webHidden/>
          </w:rPr>
          <w:fldChar w:fldCharType="begin"/>
        </w:r>
        <w:r w:rsidR="007D1C8C" w:rsidRPr="003D79FD">
          <w:rPr>
            <w:webHidden/>
          </w:rPr>
          <w:instrText xml:space="preserve"> PAGEREF _Toc231815247 \h </w:instrText>
        </w:r>
        <w:r w:rsidR="007D1C8C" w:rsidRPr="003D79FD">
          <w:rPr>
            <w:webHidden/>
          </w:rPr>
        </w:r>
        <w:r w:rsidR="007D1C8C" w:rsidRPr="003D79FD">
          <w:rPr>
            <w:webHidden/>
          </w:rPr>
          <w:fldChar w:fldCharType="separate"/>
        </w:r>
        <w:r w:rsidR="00E74A88">
          <w:rPr>
            <w:webHidden/>
          </w:rPr>
          <w:t>205</w:t>
        </w:r>
        <w:r w:rsidR="007D1C8C" w:rsidRPr="003D79FD">
          <w:rPr>
            <w:webHidden/>
          </w:rPr>
          <w:fldChar w:fldCharType="end"/>
        </w:r>
      </w:hyperlink>
    </w:p>
    <w:p w14:paraId="4FF1B606" w14:textId="77777777" w:rsidR="007D1C8C" w:rsidRPr="003D79FD" w:rsidRDefault="00351FDE" w:rsidP="009F60D1">
      <w:pPr>
        <w:pStyle w:val="TM1"/>
        <w:rPr>
          <w:rFonts w:eastAsiaTheme="minorEastAsia"/>
          <w:lang w:eastAsia="fr-FR"/>
        </w:rPr>
      </w:pPr>
      <w:hyperlink w:anchor="_Toc231815252" w:history="1">
        <w:r w:rsidR="007D1C8C" w:rsidRPr="003D79FD">
          <w:rPr>
            <w:rStyle w:val="Lienhypertexte"/>
            <w:rFonts w:cstheme="majorBidi"/>
            <w:sz w:val="22"/>
            <w:szCs w:val="22"/>
          </w:rPr>
          <w:t>Bibliographie</w:t>
        </w:r>
        <w:r w:rsidR="007D1C8C" w:rsidRPr="003D79FD">
          <w:rPr>
            <w:webHidden/>
          </w:rPr>
          <w:tab/>
        </w:r>
        <w:r w:rsidR="007D1C8C" w:rsidRPr="003D79FD">
          <w:rPr>
            <w:webHidden/>
          </w:rPr>
          <w:fldChar w:fldCharType="begin"/>
        </w:r>
        <w:r w:rsidR="007D1C8C" w:rsidRPr="003D79FD">
          <w:rPr>
            <w:webHidden/>
          </w:rPr>
          <w:instrText xml:space="preserve"> PAGEREF _Toc231815252 \h </w:instrText>
        </w:r>
        <w:r w:rsidR="007D1C8C" w:rsidRPr="003D79FD">
          <w:rPr>
            <w:webHidden/>
          </w:rPr>
        </w:r>
        <w:r w:rsidR="007D1C8C" w:rsidRPr="003D79FD">
          <w:rPr>
            <w:webHidden/>
          </w:rPr>
          <w:fldChar w:fldCharType="separate"/>
        </w:r>
        <w:r w:rsidR="00E74A88">
          <w:rPr>
            <w:webHidden/>
          </w:rPr>
          <w:t>210</w:t>
        </w:r>
        <w:r w:rsidR="007D1C8C" w:rsidRPr="003D79FD">
          <w:rPr>
            <w:webHidden/>
          </w:rPr>
          <w:fldChar w:fldCharType="end"/>
        </w:r>
      </w:hyperlink>
    </w:p>
    <w:p w14:paraId="06E0E4C9" w14:textId="77777777" w:rsidR="007D1C8C" w:rsidRPr="003D79FD" w:rsidRDefault="00351FDE" w:rsidP="009F60D1">
      <w:pPr>
        <w:pStyle w:val="TM1"/>
        <w:rPr>
          <w:rFonts w:eastAsiaTheme="minorEastAsia"/>
          <w:lang w:eastAsia="fr-FR"/>
        </w:rPr>
      </w:pPr>
      <w:hyperlink w:anchor="_Toc231815253" w:history="1">
        <w:r w:rsidR="007D1C8C" w:rsidRPr="003D79FD">
          <w:rPr>
            <w:rStyle w:val="Lienhypertexte"/>
            <w:rFonts w:cstheme="majorBidi"/>
            <w:sz w:val="22"/>
            <w:szCs w:val="22"/>
          </w:rPr>
          <w:t>Les annexes :</w:t>
        </w:r>
        <w:r w:rsidR="007D1C8C" w:rsidRPr="003D79FD">
          <w:rPr>
            <w:webHidden/>
          </w:rPr>
          <w:tab/>
        </w:r>
        <w:r w:rsidR="007D1C8C" w:rsidRPr="003D79FD">
          <w:rPr>
            <w:webHidden/>
          </w:rPr>
          <w:fldChar w:fldCharType="begin"/>
        </w:r>
        <w:r w:rsidR="007D1C8C" w:rsidRPr="003D79FD">
          <w:rPr>
            <w:webHidden/>
          </w:rPr>
          <w:instrText xml:space="preserve"> PAGEREF _Toc231815253 \h </w:instrText>
        </w:r>
        <w:r w:rsidR="007D1C8C" w:rsidRPr="003D79FD">
          <w:rPr>
            <w:webHidden/>
          </w:rPr>
        </w:r>
        <w:r w:rsidR="007D1C8C" w:rsidRPr="003D79FD">
          <w:rPr>
            <w:webHidden/>
          </w:rPr>
          <w:fldChar w:fldCharType="separate"/>
        </w:r>
        <w:r w:rsidR="00E74A88">
          <w:rPr>
            <w:webHidden/>
          </w:rPr>
          <w:t>221</w:t>
        </w:r>
        <w:r w:rsidR="007D1C8C" w:rsidRPr="003D79FD">
          <w:rPr>
            <w:webHidden/>
          </w:rPr>
          <w:fldChar w:fldCharType="end"/>
        </w:r>
      </w:hyperlink>
    </w:p>
    <w:p w14:paraId="7CB5A3CB" w14:textId="77777777" w:rsidR="007D1C8C" w:rsidRPr="003D79FD" w:rsidRDefault="00351FDE" w:rsidP="009F60D1">
      <w:pPr>
        <w:pStyle w:val="TM1"/>
        <w:rPr>
          <w:rFonts w:eastAsiaTheme="minorEastAsia"/>
          <w:lang w:eastAsia="fr-FR"/>
        </w:rPr>
      </w:pPr>
      <w:hyperlink w:anchor="_Toc231815254" w:history="1">
        <w:r w:rsidR="007D1C8C" w:rsidRPr="003D79FD">
          <w:rPr>
            <w:rStyle w:val="Lienhypertexte"/>
            <w:rFonts w:cstheme="majorBidi"/>
            <w:sz w:val="22"/>
            <w:szCs w:val="22"/>
          </w:rPr>
          <w:t>Table des matières :</w:t>
        </w:r>
        <w:r w:rsidR="007D1C8C" w:rsidRPr="003D79FD">
          <w:rPr>
            <w:webHidden/>
          </w:rPr>
          <w:tab/>
        </w:r>
        <w:r w:rsidR="007D1C8C" w:rsidRPr="003D79FD">
          <w:rPr>
            <w:webHidden/>
          </w:rPr>
          <w:fldChar w:fldCharType="begin"/>
        </w:r>
        <w:r w:rsidR="007D1C8C" w:rsidRPr="003D79FD">
          <w:rPr>
            <w:webHidden/>
          </w:rPr>
          <w:instrText xml:space="preserve"> PAGEREF _Toc231815254 \h </w:instrText>
        </w:r>
        <w:r w:rsidR="007D1C8C" w:rsidRPr="003D79FD">
          <w:rPr>
            <w:webHidden/>
          </w:rPr>
        </w:r>
        <w:r w:rsidR="007D1C8C" w:rsidRPr="003D79FD">
          <w:rPr>
            <w:webHidden/>
          </w:rPr>
          <w:fldChar w:fldCharType="separate"/>
        </w:r>
        <w:r w:rsidR="00E74A88">
          <w:rPr>
            <w:webHidden/>
          </w:rPr>
          <w:t>245</w:t>
        </w:r>
        <w:r w:rsidR="007D1C8C" w:rsidRPr="003D79FD">
          <w:rPr>
            <w:webHidden/>
          </w:rPr>
          <w:fldChar w:fldCharType="end"/>
        </w:r>
      </w:hyperlink>
    </w:p>
    <w:p w14:paraId="5F59AC76" w14:textId="77777777" w:rsidR="007D1C8C" w:rsidRPr="00974F52" w:rsidRDefault="007D1C8C" w:rsidP="009F60D1">
      <w:pPr>
        <w:pStyle w:val="TM1"/>
        <w:rPr>
          <w:rFonts w:eastAsiaTheme="minorEastAsia"/>
          <w:lang w:eastAsia="fr-FR"/>
        </w:rPr>
      </w:pPr>
      <w:r>
        <w:fldChar w:fldCharType="end"/>
      </w:r>
      <w:r w:rsidR="003173F3" w:rsidRPr="00974F52">
        <w:fldChar w:fldCharType="begin"/>
      </w:r>
      <w:r w:rsidR="003173F3" w:rsidRPr="00974F52">
        <w:instrText xml:space="preserve"> TOC \o "1-5" \h \z \u </w:instrText>
      </w:r>
      <w:r w:rsidR="003173F3" w:rsidRPr="00974F52">
        <w:fldChar w:fldCharType="separate"/>
      </w:r>
    </w:p>
    <w:p w14:paraId="0E3A25AE" w14:textId="77777777" w:rsidR="003173F3" w:rsidRPr="00974F52" w:rsidRDefault="003173F3" w:rsidP="009F60D1">
      <w:pPr>
        <w:pStyle w:val="TM1"/>
        <w:rPr>
          <w:lang w:eastAsia="fr-FR"/>
        </w:rPr>
      </w:pPr>
    </w:p>
    <w:p w14:paraId="67C42C85" w14:textId="77777777" w:rsidR="003173F3" w:rsidRDefault="003173F3" w:rsidP="003173F3">
      <w:pPr>
        <w:ind w:firstLine="0"/>
      </w:pPr>
      <w:r w:rsidRPr="00974F52">
        <w:rPr>
          <w:rFonts w:cstheme="majorBidi"/>
          <w:sz w:val="20"/>
          <w:szCs w:val="20"/>
        </w:rPr>
        <w:fldChar w:fldCharType="end"/>
      </w:r>
    </w:p>
    <w:p w14:paraId="6BECDFE0" w14:textId="77777777" w:rsidR="003173F3" w:rsidRDefault="003173F3" w:rsidP="003173F3"/>
    <w:p w14:paraId="79559459" w14:textId="77777777" w:rsidR="003173F3" w:rsidRPr="003173F3" w:rsidRDefault="003173F3" w:rsidP="003173F3">
      <w:pPr>
        <w:sectPr w:rsidR="003173F3" w:rsidRPr="003173F3" w:rsidSect="00D23BF3">
          <w:headerReference w:type="default" r:id="rId99"/>
          <w:pgSz w:w="11906" w:h="16838"/>
          <w:pgMar w:top="851" w:right="1418" w:bottom="1134" w:left="1418" w:header="709" w:footer="709" w:gutter="0"/>
          <w:cols w:space="708"/>
          <w:docGrid w:linePitch="360"/>
        </w:sectPr>
      </w:pPr>
    </w:p>
    <w:p w14:paraId="632923D3" w14:textId="77777777" w:rsidR="00AD137F" w:rsidRDefault="00AD137F" w:rsidP="00AD137F">
      <w:pPr>
        <w:pStyle w:val="Titre1"/>
      </w:pPr>
      <w:r>
        <w:lastRenderedPageBreak/>
        <w:t>Résumé :</w:t>
      </w:r>
    </w:p>
    <w:p w14:paraId="6A6DC8F1" w14:textId="77777777" w:rsidR="00771C26" w:rsidRPr="006F2513" w:rsidRDefault="00771C26" w:rsidP="00771C26">
      <w:pPr>
        <w:spacing w:line="276" w:lineRule="auto"/>
        <w:rPr>
          <w:rFonts w:cstheme="majorBidi"/>
          <w:sz w:val="22"/>
        </w:rPr>
      </w:pPr>
      <w:r w:rsidRPr="006F2513">
        <w:rPr>
          <w:rFonts w:cstheme="majorBidi"/>
          <w:sz w:val="22"/>
        </w:rPr>
        <w:t>Cette étude vise à analyser l’impact des six principes de la gouvernance d’entreprise, à savoir : l’existence d’un cadre efficace de gouvernance, la protection des droits des actionnaires, l’égalité de traitement des actionnaires, le rôle des parties prenantes, la divulgation et la transparence ainsi que la responsabilité du conseil d’administration, sur le renforcement de la responsabilité sociétale des entreprises au sein de TAYAL SPA Relizane.</w:t>
      </w:r>
    </w:p>
    <w:p w14:paraId="10C2AE9A" w14:textId="77777777" w:rsidR="00771C26" w:rsidRPr="006F2513" w:rsidRDefault="00771C26" w:rsidP="00771C26">
      <w:pPr>
        <w:spacing w:line="276" w:lineRule="auto"/>
        <w:rPr>
          <w:rFonts w:cstheme="majorBidi"/>
          <w:sz w:val="22"/>
        </w:rPr>
      </w:pPr>
      <w:r w:rsidRPr="006F2513">
        <w:rPr>
          <w:rFonts w:cstheme="majorBidi"/>
          <w:sz w:val="22"/>
        </w:rPr>
        <w:t xml:space="preserve"> L’étude s’est appuyée sur l’approche descriptive et analytique ainsi que sur la méthode de l’étude de cas, en utilisant le questionnaire comme principal outil de collecte des données. Au total, 302 questionnaires ont été distribués, dont 300 ont été récupérés et jugés exploitables pour l’analyse statistique à l’aide du logiciel SPSS v27. </w:t>
      </w:r>
    </w:p>
    <w:p w14:paraId="03140997" w14:textId="1E5A8EA7" w:rsidR="00771C26" w:rsidRPr="00771C26" w:rsidRDefault="00771C26" w:rsidP="00771C26">
      <w:pPr>
        <w:spacing w:line="276" w:lineRule="auto"/>
        <w:rPr>
          <w:rFonts w:cstheme="majorBidi"/>
          <w:sz w:val="22"/>
        </w:rPr>
      </w:pPr>
      <w:r w:rsidRPr="006F2513">
        <w:rPr>
          <w:rFonts w:cstheme="majorBidi"/>
          <w:sz w:val="22"/>
        </w:rPr>
        <w:t>Les résultats ont mis en évidence l’existence d’un effet positif statistiquement significatif de l’application des principes de gouvernance d’entreprise sur le renforcement de la responsabilité sociétale au sein de TAYAL SPA Relizane. À la lumière de ces résultats, l’étude recommande d’intégrer la responsabilité sociétale dans la stratégie globale des entreprises, à travers le renforcement des mécanismes de gouvernance, l’amélioration du niveau de transparence et l’implication des ressources humaines afin de soutenir le développement durable.</w:t>
      </w:r>
    </w:p>
    <w:p w14:paraId="0A4CAF94" w14:textId="55B93437" w:rsidR="00AD137F" w:rsidRPr="00AD137F" w:rsidRDefault="00AD137F" w:rsidP="00771C26">
      <w:pPr>
        <w:rPr>
          <w:sz w:val="22"/>
          <w:szCs w:val="20"/>
        </w:rPr>
      </w:pPr>
      <w:r w:rsidRPr="00AD137F">
        <w:rPr>
          <w:b/>
          <w:bCs/>
          <w:sz w:val="22"/>
          <w:szCs w:val="20"/>
        </w:rPr>
        <w:t>Mots-clés :</w:t>
      </w:r>
      <w:r w:rsidRPr="00AD137F">
        <w:rPr>
          <w:sz w:val="22"/>
          <w:szCs w:val="20"/>
        </w:rPr>
        <w:t xml:space="preserve"> </w:t>
      </w:r>
      <w:r w:rsidR="00771C26">
        <w:rPr>
          <w:rFonts w:cstheme="majorBidi"/>
          <w:sz w:val="22"/>
        </w:rPr>
        <w:t>R</w:t>
      </w:r>
      <w:r w:rsidR="00771C26" w:rsidRPr="006F2513">
        <w:rPr>
          <w:rFonts w:cstheme="majorBidi"/>
          <w:sz w:val="22"/>
        </w:rPr>
        <w:t xml:space="preserve">esponsabilité sociétale des entreprises, </w:t>
      </w:r>
      <w:r w:rsidR="00771C26">
        <w:rPr>
          <w:rFonts w:cstheme="majorBidi"/>
          <w:sz w:val="22"/>
        </w:rPr>
        <w:t>G</w:t>
      </w:r>
      <w:r w:rsidR="00771C26" w:rsidRPr="006F2513">
        <w:rPr>
          <w:rFonts w:cstheme="majorBidi"/>
          <w:sz w:val="22"/>
        </w:rPr>
        <w:t xml:space="preserve">ouvernance d’entreprise, </w:t>
      </w:r>
      <w:r w:rsidR="00771C26">
        <w:rPr>
          <w:rFonts w:cstheme="majorBidi"/>
          <w:sz w:val="22"/>
        </w:rPr>
        <w:t>D</w:t>
      </w:r>
      <w:r w:rsidR="00771C26" w:rsidRPr="006F2513">
        <w:rPr>
          <w:rFonts w:cstheme="majorBidi"/>
          <w:sz w:val="22"/>
        </w:rPr>
        <w:t xml:space="preserve">éveloppement durable, </w:t>
      </w:r>
      <w:r w:rsidR="00771C26">
        <w:rPr>
          <w:rFonts w:cstheme="majorBidi"/>
          <w:sz w:val="22"/>
        </w:rPr>
        <w:t>P</w:t>
      </w:r>
      <w:r w:rsidR="00771C26" w:rsidRPr="006F2513">
        <w:rPr>
          <w:rFonts w:cstheme="majorBidi"/>
          <w:sz w:val="22"/>
        </w:rPr>
        <w:t xml:space="preserve">arties prenantes, </w:t>
      </w:r>
      <w:r w:rsidR="00771C26">
        <w:rPr>
          <w:rFonts w:cstheme="majorBidi"/>
          <w:sz w:val="22"/>
        </w:rPr>
        <w:t>P</w:t>
      </w:r>
      <w:r w:rsidR="00771C26" w:rsidRPr="006F2513">
        <w:rPr>
          <w:rFonts w:cstheme="majorBidi"/>
          <w:sz w:val="22"/>
        </w:rPr>
        <w:t xml:space="preserve">erformance </w:t>
      </w:r>
      <w:r w:rsidR="00771C26">
        <w:rPr>
          <w:rFonts w:cstheme="majorBidi"/>
          <w:sz w:val="22"/>
        </w:rPr>
        <w:t>O</w:t>
      </w:r>
      <w:r w:rsidR="00771C26" w:rsidRPr="006F2513">
        <w:rPr>
          <w:rFonts w:cstheme="majorBidi"/>
          <w:sz w:val="22"/>
        </w:rPr>
        <w:t>rganisationnelle.</w:t>
      </w:r>
    </w:p>
    <w:p w14:paraId="3AF87477" w14:textId="77777777" w:rsidR="00AD137F" w:rsidRPr="00FD348E" w:rsidRDefault="00AD137F" w:rsidP="00AD137F">
      <w:pPr>
        <w:bidi/>
        <w:spacing w:before="0" w:beforeAutospacing="0" w:after="0" w:line="240" w:lineRule="auto"/>
        <w:ind w:firstLine="0"/>
        <w:jc w:val="left"/>
        <w:rPr>
          <w:rFonts w:ascii="Sakkal Majalla" w:eastAsia="Times New Roman" w:hAnsi="Sakkal Majalla" w:cs="Sakkal Majalla"/>
          <w:b/>
          <w:bCs/>
          <w:sz w:val="26"/>
          <w:szCs w:val="26"/>
          <w:lang w:eastAsia="fr-FR"/>
        </w:rPr>
      </w:pPr>
      <w:r w:rsidRPr="00FD348E">
        <w:rPr>
          <w:rFonts w:ascii="Sakkal Majalla" w:eastAsia="Times New Roman" w:hAnsi="Sakkal Majalla" w:cs="Sakkal Majalla" w:hint="cs"/>
          <w:b/>
          <w:bCs/>
          <w:sz w:val="26"/>
          <w:szCs w:val="26"/>
          <w:rtl/>
          <w:lang w:eastAsia="fr-FR"/>
        </w:rPr>
        <w:t>الملخص</w:t>
      </w:r>
      <w:r w:rsidRPr="00FD348E">
        <w:rPr>
          <w:rFonts w:ascii="Sakkal Majalla" w:eastAsia="Times New Roman" w:hAnsi="Sakkal Majalla" w:cs="Sakkal Majalla" w:hint="cs"/>
          <w:b/>
          <w:bCs/>
          <w:sz w:val="26"/>
          <w:szCs w:val="26"/>
          <w:lang w:eastAsia="fr-FR"/>
        </w:rPr>
        <w:t>:</w:t>
      </w:r>
    </w:p>
    <w:p w14:paraId="4EE94C93" w14:textId="77777777" w:rsidR="00FD348E" w:rsidRPr="00FD348E" w:rsidRDefault="00FD348E" w:rsidP="00FD348E">
      <w:pPr>
        <w:bidi/>
        <w:spacing w:line="240" w:lineRule="auto"/>
        <w:rPr>
          <w:rFonts w:ascii="Sakkal Majalla" w:hAnsi="Sakkal Majalla" w:cs="Sakkal Majalla"/>
          <w:sz w:val="26"/>
          <w:szCs w:val="26"/>
        </w:rPr>
      </w:pPr>
      <w:r w:rsidRPr="00FD348E">
        <w:rPr>
          <w:rFonts w:ascii="Sakkal Majalla" w:hAnsi="Sakkal Majalla" w:cs="Sakkal Majalla" w:hint="cs"/>
          <w:sz w:val="26"/>
          <w:szCs w:val="26"/>
          <w:rtl/>
        </w:rPr>
        <w:t xml:space="preserve">هدفت هذه الدراسة إلى تحليل أثر مبادئ حوكمة الشركات الستة، والمتمثلة في: الإطار الفعال للحوكمة، حماية حقوق المساهمين، المعاملة المتساوية للمساهمين، دور أصحاب المصالح، الإفصاح والشفافية، ومسؤولية مجلس الإدارة، في تعزيز المسؤولية الاجتماعية للمؤسسات داخل شركة </w:t>
      </w:r>
      <w:r w:rsidRPr="00FD348E">
        <w:rPr>
          <w:rFonts w:ascii="Sakkal Majalla" w:hAnsi="Sakkal Majalla" w:cs="Sakkal Majalla" w:hint="cs"/>
          <w:sz w:val="26"/>
          <w:szCs w:val="26"/>
        </w:rPr>
        <w:t>TAYAL SPA Relizane</w:t>
      </w:r>
      <w:r w:rsidRPr="00FD348E">
        <w:rPr>
          <w:rFonts w:ascii="Sakkal Majalla" w:hAnsi="Sakkal Majalla" w:cs="Sakkal Majalla" w:hint="cs"/>
          <w:sz w:val="26"/>
          <w:szCs w:val="26"/>
          <w:rtl/>
        </w:rPr>
        <w:t>.</w:t>
      </w:r>
    </w:p>
    <w:p w14:paraId="672B839C" w14:textId="77777777" w:rsidR="00FD348E" w:rsidRPr="00FD348E" w:rsidRDefault="00FD348E" w:rsidP="00FD348E">
      <w:pPr>
        <w:bidi/>
        <w:spacing w:line="240" w:lineRule="auto"/>
        <w:rPr>
          <w:rFonts w:ascii="Sakkal Majalla" w:hAnsi="Sakkal Majalla" w:cs="Sakkal Majalla"/>
          <w:sz w:val="26"/>
          <w:szCs w:val="26"/>
        </w:rPr>
      </w:pPr>
      <w:r w:rsidRPr="00FD348E">
        <w:rPr>
          <w:rFonts w:ascii="Sakkal Majalla" w:hAnsi="Sakkal Majalla" w:cs="Sakkal Majalla" w:hint="cs"/>
          <w:sz w:val="26"/>
          <w:szCs w:val="26"/>
          <w:rtl/>
        </w:rPr>
        <w:t xml:space="preserve">اعتمدت الدراسة على المنهج الوصفي التحليلي ومنهج دراسة الحالة، مع توظيف الاستبيان كأداة رئيسية لجمع البيانات. وقد تم توزيع 302 استمارة، استرجع منها 300 استمارة صالحة للتحليل الإحصائي باستخدام برنامج </w:t>
      </w:r>
      <w:r w:rsidRPr="00FD348E">
        <w:rPr>
          <w:rFonts w:ascii="Sakkal Majalla" w:hAnsi="Sakkal Majalla" w:cs="Sakkal Majalla" w:hint="cs"/>
          <w:sz w:val="26"/>
          <w:szCs w:val="26"/>
        </w:rPr>
        <w:t>SPSS v27</w:t>
      </w:r>
      <w:r w:rsidRPr="00FD348E">
        <w:rPr>
          <w:rFonts w:ascii="Sakkal Majalla" w:hAnsi="Sakkal Majalla" w:cs="Sakkal Majalla" w:hint="cs"/>
          <w:sz w:val="26"/>
          <w:szCs w:val="26"/>
          <w:rtl/>
        </w:rPr>
        <w:t>.</w:t>
      </w:r>
    </w:p>
    <w:p w14:paraId="0072CE3E" w14:textId="769C1347" w:rsidR="00FD348E" w:rsidRPr="00FD348E" w:rsidRDefault="00FD348E" w:rsidP="00FD348E">
      <w:pPr>
        <w:bidi/>
        <w:spacing w:line="240" w:lineRule="auto"/>
        <w:rPr>
          <w:rFonts w:ascii="Sakkal Majalla" w:hAnsi="Sakkal Majalla" w:cs="Sakkal Majalla"/>
          <w:sz w:val="26"/>
          <w:szCs w:val="26"/>
        </w:rPr>
      </w:pPr>
      <w:r w:rsidRPr="00FD348E">
        <w:rPr>
          <w:rFonts w:ascii="Sakkal Majalla" w:hAnsi="Sakkal Majalla" w:cs="Sakkal Majalla" w:hint="cs"/>
          <w:sz w:val="26"/>
          <w:szCs w:val="26"/>
          <w:rtl/>
        </w:rPr>
        <w:t xml:space="preserve">أظهرت نتائج الدراسة وجود أثر إيجابي ذي دلالة إحصائية لتطبيق مبادئ حوكمة الشركات في تعزيز المسؤولية الاجتماعية في شركة  </w:t>
      </w:r>
      <w:r w:rsidRPr="00FD348E">
        <w:rPr>
          <w:rFonts w:ascii="Sakkal Majalla" w:hAnsi="Sakkal Majalla" w:cs="Sakkal Majalla" w:hint="cs"/>
          <w:sz w:val="26"/>
          <w:szCs w:val="26"/>
        </w:rPr>
        <w:t>TAYAL SPA RELIZANE</w:t>
      </w:r>
      <w:r w:rsidRPr="00FD348E">
        <w:rPr>
          <w:rFonts w:ascii="Sakkal Majalla" w:hAnsi="Sakkal Majalla" w:cs="Sakkal Majalla" w:hint="cs"/>
          <w:sz w:val="26"/>
          <w:szCs w:val="26"/>
          <w:rtl/>
        </w:rPr>
        <w:t>. وفي ضوء هذه النتائج، أوصت الدراسة بضرورة إدماج المسؤولية الاجتماعية ضمن الاستراتيجية العامة للمؤسسات، من خلال تعزيز آليات الحوكمة، وتحسين مستوى الشفافية، وإشراك الموارد البشرية بما يدعم تحقيق التنمية المستدامة.</w:t>
      </w:r>
    </w:p>
    <w:p w14:paraId="20DD423E" w14:textId="77777777" w:rsidR="00FD348E" w:rsidRPr="00FD348E" w:rsidRDefault="00AD137F" w:rsidP="00FD348E">
      <w:pPr>
        <w:bidi/>
        <w:spacing w:line="240" w:lineRule="auto"/>
        <w:jc w:val="left"/>
        <w:rPr>
          <w:rFonts w:ascii="Sakkal Majalla" w:hAnsi="Sakkal Majalla" w:cs="Sakkal Majalla"/>
          <w:sz w:val="26"/>
          <w:szCs w:val="26"/>
        </w:rPr>
      </w:pPr>
      <w:r w:rsidRPr="00FD348E">
        <w:rPr>
          <w:rFonts w:cstheme="majorBidi"/>
          <w:b/>
          <w:bCs/>
          <w:sz w:val="26"/>
          <w:szCs w:val="26"/>
          <w:rtl/>
        </w:rPr>
        <w:t>الكلمات المفتاحية:</w:t>
      </w:r>
      <w:r w:rsidRPr="00FD348E">
        <w:rPr>
          <w:rFonts w:cstheme="majorBidi"/>
          <w:sz w:val="26"/>
          <w:szCs w:val="26"/>
          <w:rtl/>
        </w:rPr>
        <w:t xml:space="preserve"> </w:t>
      </w:r>
      <w:r w:rsidR="00FD348E" w:rsidRPr="00FD348E">
        <w:rPr>
          <w:rFonts w:ascii="Sakkal Majalla" w:hAnsi="Sakkal Majalla" w:cs="Sakkal Majalla" w:hint="cs"/>
          <w:sz w:val="26"/>
          <w:szCs w:val="26"/>
          <w:rtl/>
        </w:rPr>
        <w:t>المسؤولية الاجتماعية للمؤسسات، حوكمة الشركات، التنمية المستدامة، أصحاب المصالح، الأداء التنظيمي.</w:t>
      </w:r>
    </w:p>
    <w:p w14:paraId="09FD02C4" w14:textId="6342FF6A" w:rsidR="00AD137F" w:rsidRPr="00FD348E" w:rsidRDefault="00AD137F" w:rsidP="00AD137F">
      <w:pPr>
        <w:bidi/>
        <w:spacing w:before="0" w:beforeAutospacing="0"/>
        <w:rPr>
          <w:rFonts w:cstheme="majorBidi"/>
          <w:sz w:val="22"/>
        </w:rPr>
      </w:pPr>
    </w:p>
    <w:p w14:paraId="4A5FDF43" w14:textId="77777777" w:rsidR="005F1CF8" w:rsidRPr="00AD137F" w:rsidRDefault="005F1CF8" w:rsidP="00AD137F">
      <w:pPr>
        <w:bidi/>
        <w:spacing w:before="0" w:beforeAutospacing="0"/>
        <w:rPr>
          <w:rFonts w:cstheme="majorBidi"/>
          <w:sz w:val="22"/>
        </w:rPr>
      </w:pPr>
    </w:p>
    <w:sectPr w:rsidR="005F1CF8" w:rsidRPr="00AD137F" w:rsidSect="00D23BF3">
      <w:headerReference w:type="default" r:id="rId100"/>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91A66" w14:textId="77777777" w:rsidR="00351FDE" w:rsidRDefault="00351FDE" w:rsidP="00983713">
      <w:pPr>
        <w:spacing w:after="0" w:line="240" w:lineRule="auto"/>
      </w:pPr>
      <w:r>
        <w:separator/>
      </w:r>
    </w:p>
  </w:endnote>
  <w:endnote w:type="continuationSeparator" w:id="0">
    <w:p w14:paraId="4D85CF03" w14:textId="77777777" w:rsidR="00351FDE" w:rsidRDefault="00351FDE" w:rsidP="00983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akkal Majalla">
    <w:panose1 w:val="02000000000000000000"/>
    <w:charset w:val="B2"/>
    <w:family w:val="auto"/>
    <w:pitch w:val="variable"/>
    <w:sig w:usb0="A0002027" w:usb1="80000000" w:usb2="000001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C944F" w14:textId="77777777" w:rsidR="00A36231" w:rsidRDefault="00A36231" w:rsidP="007D1C8C">
    <w:pPr>
      <w:pStyle w:val="Pieddepage"/>
      <w:jc w:val="center"/>
    </w:pPr>
  </w:p>
  <w:p w14:paraId="67E294D5" w14:textId="77777777" w:rsidR="00A36231" w:rsidRDefault="00A36231" w:rsidP="00633938">
    <w:pPr>
      <w:pStyle w:val="Pieddepage"/>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1F18D" w14:textId="77777777" w:rsidR="00A36231" w:rsidRDefault="00A36231" w:rsidP="007D1C8C">
    <w:pPr>
      <w:pStyle w:val="Pieddepage"/>
    </w:pPr>
  </w:p>
  <w:p w14:paraId="655C57F5" w14:textId="77777777" w:rsidR="00A36231" w:rsidRDefault="00A36231" w:rsidP="000665C8">
    <w:pPr>
      <w:pStyle w:val="Pieddepage"/>
      <w:tabs>
        <w:tab w:val="clear" w:pos="4536"/>
        <w:tab w:val="clear" w:pos="9072"/>
        <w:tab w:val="left" w:pos="8115"/>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29F2" w14:textId="77777777" w:rsidR="00A36231" w:rsidRDefault="00A36231" w:rsidP="000665C8">
    <w:pPr>
      <w:pStyle w:val="Pieddepage"/>
      <w:tabs>
        <w:tab w:val="clear" w:pos="4536"/>
        <w:tab w:val="clear" w:pos="9072"/>
        <w:tab w:val="left" w:pos="8115"/>
      </w:tabs>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0215970"/>
      <w:docPartObj>
        <w:docPartGallery w:val="Page Numbers (Bottom of Page)"/>
        <w:docPartUnique/>
      </w:docPartObj>
    </w:sdtPr>
    <w:sdtEndPr/>
    <w:sdtContent>
      <w:p w14:paraId="177BDF74" w14:textId="77777777" w:rsidR="00A36231" w:rsidRDefault="00A36231">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23776" behindDoc="0" locked="0" layoutInCell="1" allowOverlap="1" wp14:anchorId="6654AFB5" wp14:editId="59E59A4E">
                  <wp:simplePos x="0" y="0"/>
                  <wp:positionH relativeFrom="margin">
                    <wp:align>center</wp:align>
                  </wp:positionH>
                  <wp:positionV relativeFrom="bottomMargin">
                    <wp:align>center</wp:align>
                  </wp:positionV>
                  <wp:extent cx="1282700" cy="343535"/>
                  <wp:effectExtent l="9525" t="9525" r="12700" b="8890"/>
                  <wp:wrapNone/>
                  <wp:docPr id="468" name="Forme libr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6FECF41C" w14:textId="77777777" w:rsidR="00A36231" w:rsidRDefault="00A36231" w:rsidP="00246D53">
                              <w:pPr>
                                <w:ind w:firstLine="0"/>
                                <w:jc w:val="center"/>
                              </w:pPr>
                              <w:r>
                                <w:fldChar w:fldCharType="begin"/>
                              </w:r>
                              <w:r>
                                <w:instrText>PAGE    \* MERGEFORMAT</w:instrText>
                              </w:r>
                              <w:r>
                                <w:fldChar w:fldCharType="separate"/>
                              </w:r>
                              <w:r w:rsidR="00E74A88" w:rsidRPr="00E74A88">
                                <w:rPr>
                                  <w:noProof/>
                                  <w:color w:val="808080" w:themeColor="text1" w:themeTint="7F"/>
                                </w:rPr>
                                <w:t>162</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4AFB5" id="Forme libre 468" o:spid="_x0000_s1140" style="position:absolute;left:0;text-align:left;margin-left:0;margin-top:0;width:101pt;height:27.05pt;z-index:25172377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6FECF41C" w14:textId="77777777" w:rsidR="00A36231" w:rsidRDefault="00A36231" w:rsidP="00246D53">
                        <w:pPr>
                          <w:ind w:firstLine="0"/>
                          <w:jc w:val="center"/>
                        </w:pPr>
                        <w:r>
                          <w:fldChar w:fldCharType="begin"/>
                        </w:r>
                        <w:r>
                          <w:instrText>PAGE    \* MERGEFORMAT</w:instrText>
                        </w:r>
                        <w:r>
                          <w:fldChar w:fldCharType="separate"/>
                        </w:r>
                        <w:r w:rsidR="00E74A88" w:rsidRPr="00E74A88">
                          <w:rPr>
                            <w:noProof/>
                            <w:color w:val="808080" w:themeColor="text1" w:themeTint="7F"/>
                          </w:rPr>
                          <w:t>162</w:t>
                        </w:r>
                        <w:r>
                          <w:rPr>
                            <w:color w:val="808080" w:themeColor="text1" w:themeTint="7F"/>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043761"/>
      <w:docPartObj>
        <w:docPartGallery w:val="Page Numbers (Bottom of Page)"/>
        <w:docPartUnique/>
      </w:docPartObj>
    </w:sdtPr>
    <w:sdtEndPr/>
    <w:sdtContent>
      <w:p w14:paraId="61363701" w14:textId="77777777" w:rsidR="00A36231" w:rsidRDefault="00A36231" w:rsidP="000665C8">
        <w:pPr>
          <w:pStyle w:val="Pieddepage"/>
          <w:tabs>
            <w:tab w:val="clear" w:pos="4536"/>
            <w:tab w:val="clear" w:pos="9072"/>
            <w:tab w:val="left" w:pos="8115"/>
          </w:tabs>
          <w:ind w:firstLine="0"/>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11488" behindDoc="0" locked="0" layoutInCell="1" allowOverlap="1" wp14:anchorId="5C5C3ACD" wp14:editId="5948B505">
                  <wp:simplePos x="0" y="0"/>
                  <wp:positionH relativeFrom="margin">
                    <wp:align>center</wp:align>
                  </wp:positionH>
                  <wp:positionV relativeFrom="bottomMargin">
                    <wp:align>center</wp:align>
                  </wp:positionV>
                  <wp:extent cx="1282700" cy="343535"/>
                  <wp:effectExtent l="9525" t="9525" r="12700" b="8890"/>
                  <wp:wrapNone/>
                  <wp:docPr id="520" name="Forme libr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587D8F13"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2</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C3ACD" id="Forme libre 520" o:spid="_x0000_s1141" style="position:absolute;left:0;text-align:left;margin-left:0;margin-top:0;width:101pt;height:27.05pt;z-index:2517114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587D8F13"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2</w:t>
                        </w:r>
                        <w:r>
                          <w:rPr>
                            <w:color w:val="808080" w:themeColor="text1" w:themeTint="7F"/>
                          </w:rPr>
                          <w:fldChar w:fldCharType="end"/>
                        </w:r>
                      </w:p>
                    </w:txbxContent>
                  </v:textbox>
                  <w10:wrap anchorx="margin" anchory="margin"/>
                </v:shape>
              </w:pict>
            </mc:Fallback>
          </mc:AlternateConten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A663D" w14:textId="77777777" w:rsidR="00A36231" w:rsidRDefault="00A36231" w:rsidP="000665C8">
    <w:pPr>
      <w:pStyle w:val="Pieddepage"/>
      <w:tabs>
        <w:tab w:val="clear" w:pos="4536"/>
        <w:tab w:val="clear" w:pos="9072"/>
        <w:tab w:val="left" w:pos="8115"/>
      </w:tabs>
      <w:ind w:firstLine="0"/>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15584" behindDoc="0" locked="0" layoutInCell="1" allowOverlap="1" wp14:anchorId="6CF10DA3" wp14:editId="76A5115C">
              <wp:simplePos x="0" y="0"/>
              <wp:positionH relativeFrom="margin">
                <wp:align>center</wp:align>
              </wp:positionH>
              <wp:positionV relativeFrom="bottomMargin">
                <wp:posOffset>171450</wp:posOffset>
              </wp:positionV>
              <wp:extent cx="1282700" cy="343535"/>
              <wp:effectExtent l="0" t="0" r="12700" b="18415"/>
              <wp:wrapNone/>
              <wp:docPr id="539" name="Forme libr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2151C8A1"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66</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10DA3" id="Forme libre 539" o:spid="_x0000_s1142" style="position:absolute;left:0;text-align:left;margin-left:0;margin-top:13.5pt;width:101pt;height:27.05pt;z-index:25171558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2151C8A1"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66</w:t>
                    </w:r>
                    <w:r>
                      <w:rPr>
                        <w:color w:val="808080" w:themeColor="text1" w:themeTint="7F"/>
                      </w:rPr>
                      <w:fldChar w:fldCharType="end"/>
                    </w:r>
                  </w:p>
                </w:txbxContent>
              </v:textbox>
              <w10:wrap anchorx="margin" anchory="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69339" w14:textId="77777777" w:rsidR="00A36231" w:rsidRDefault="00A36231" w:rsidP="000665C8">
    <w:pPr>
      <w:pStyle w:val="Pieddepage"/>
      <w:tabs>
        <w:tab w:val="clear" w:pos="4536"/>
        <w:tab w:val="clear" w:pos="9072"/>
        <w:tab w:val="left" w:pos="8115"/>
      </w:tabs>
      <w:ind w:firstLine="0"/>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17632" behindDoc="0" locked="0" layoutInCell="1" allowOverlap="1" wp14:anchorId="6E66F056" wp14:editId="7E1F0641">
              <wp:simplePos x="0" y="0"/>
              <wp:positionH relativeFrom="margin">
                <wp:align>center</wp:align>
              </wp:positionH>
              <wp:positionV relativeFrom="bottomMargin">
                <wp:posOffset>171450</wp:posOffset>
              </wp:positionV>
              <wp:extent cx="1282700" cy="343535"/>
              <wp:effectExtent l="0" t="0" r="12700" b="18415"/>
              <wp:wrapNone/>
              <wp:docPr id="540" name="Forme libr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4F59409"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204</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6F056" id="Forme libre 540" o:spid="_x0000_s1143" style="position:absolute;left:0;text-align:left;margin-left:0;margin-top:13.5pt;width:101pt;height:27.05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34F59409" w14:textId="77777777" w:rsidR="00A36231" w:rsidRDefault="00A36231" w:rsidP="00B164D2">
                    <w:pPr>
                      <w:ind w:firstLine="0"/>
                      <w:jc w:val="center"/>
                    </w:pPr>
                    <w:r>
                      <w:fldChar w:fldCharType="begin"/>
                    </w:r>
                    <w:r>
                      <w:instrText>PAGE    \* MERGEFORMAT</w:instrText>
                    </w:r>
                    <w:r>
                      <w:fldChar w:fldCharType="separate"/>
                    </w:r>
                    <w:r w:rsidR="00E74A88" w:rsidRPr="00E74A88">
                      <w:rPr>
                        <w:noProof/>
                        <w:color w:val="808080" w:themeColor="text1" w:themeTint="7F"/>
                      </w:rPr>
                      <w:t>204</w:t>
                    </w:r>
                    <w:r>
                      <w:rPr>
                        <w:color w:val="808080" w:themeColor="text1" w:themeTint="7F"/>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749B9" w14:textId="77777777" w:rsidR="00351FDE" w:rsidRDefault="00351FDE" w:rsidP="00194123">
      <w:pPr>
        <w:spacing w:after="0" w:line="240" w:lineRule="auto"/>
        <w:ind w:firstLine="0"/>
      </w:pPr>
      <w:r>
        <w:separator/>
      </w:r>
    </w:p>
  </w:footnote>
  <w:footnote w:type="continuationSeparator" w:id="0">
    <w:p w14:paraId="6BF751E4" w14:textId="77777777" w:rsidR="00351FDE" w:rsidRDefault="00351FDE" w:rsidP="00983713">
      <w:pPr>
        <w:spacing w:after="0" w:line="240" w:lineRule="auto"/>
      </w:pPr>
      <w:r>
        <w:continuationSeparator/>
      </w:r>
    </w:p>
  </w:footnote>
  <w:footnote w:id="1">
    <w:p w14:paraId="58C9223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52058B">
        <w:rPr>
          <w:rStyle w:val="Appelnotedebasdep"/>
          <w:rFonts w:cstheme="majorBidi"/>
          <w:sz w:val="18"/>
          <w:szCs w:val="18"/>
        </w:rPr>
        <w:footnoteRef/>
      </w:r>
      <w:r w:rsidRPr="0052058B">
        <w:rPr>
          <w:rFonts w:cstheme="majorBidi"/>
          <w:sz w:val="18"/>
          <w:szCs w:val="18"/>
          <w:lang w:val="en-AE"/>
        </w:rPr>
        <w:t xml:space="preserve"> </w:t>
      </w:r>
      <w:r w:rsidRPr="00B0321D">
        <w:rPr>
          <w:rFonts w:cstheme="majorBidi"/>
          <w:sz w:val="18"/>
          <w:szCs w:val="18"/>
          <w:lang w:val="en-AE"/>
        </w:rPr>
        <w:t>The OECD Principles of Corporate Governance, first issued in 1999 and updated in 2015.</w:t>
      </w:r>
    </w:p>
  </w:footnote>
  <w:footnote w:id="2">
    <w:p w14:paraId="3731AD95" w14:textId="77777777" w:rsidR="00A36231" w:rsidRPr="00B0321D" w:rsidRDefault="00A36231" w:rsidP="007E5F60">
      <w:pPr>
        <w:pStyle w:val="Notedebasdepage"/>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R. Zaman, T. Jain, G. Samara et D. Jamali, « Corporate Governance Meets Corporate Social Responsibility: Mapping the Interface », Business &amp; Society, vol. 61, n° 3, 2022, p.700.</w:t>
      </w:r>
    </w:p>
  </w:footnote>
  <w:footnote w:id="3">
    <w:p w14:paraId="07DD09A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Gérard Charreaux et Philippe Desbrières, « Gouvernance des entreprises : valeur partenariale contre-valeur actionnariale », </w:t>
      </w:r>
      <w:r w:rsidRPr="00B0321D">
        <w:rPr>
          <w:rFonts w:cstheme="majorBidi"/>
          <w:i/>
          <w:iCs/>
          <w:sz w:val="18"/>
          <w:szCs w:val="18"/>
        </w:rPr>
        <w:t>Finance Contrôle Stratégie</w:t>
      </w:r>
      <w:r w:rsidRPr="00B0321D">
        <w:rPr>
          <w:rFonts w:cstheme="majorBidi"/>
          <w:sz w:val="18"/>
          <w:szCs w:val="18"/>
        </w:rPr>
        <w:t>, vol. 1, n° 2, 1998, p. 68-69.</w:t>
      </w:r>
    </w:p>
  </w:footnote>
  <w:footnote w:id="4">
    <w:p w14:paraId="45C8A51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AGUILERA Ruth V., JACKSON Gregory, « The Cross-National Diversity of Corporate Governance: Dimensions and Determinants », Academy of Management Review, Vol. 28, N°3, 2003, pp. 447–465.</w:t>
      </w:r>
    </w:p>
  </w:footnote>
  <w:footnote w:id="5">
    <w:p w14:paraId="3D7301A8"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KAKABADSE Nada K., ROZUEL Cécile, LEE-DAVIES Linda, « Corporate Social Responsibility and Stakeholder Approach: A Conceptual Review », International Journal of Business Governance and Ethics, Vol. 1, N°4, 2005, pp. 277–302.</w:t>
      </w:r>
    </w:p>
  </w:footnote>
  <w:footnote w:id="6">
    <w:p w14:paraId="001365BF" w14:textId="77777777" w:rsidR="00A36231" w:rsidRPr="00B0321D" w:rsidRDefault="00A36231" w:rsidP="00B0321D">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KHAN Habib-Uz-Zaman, « The Effect of Corporate Governance Elements on Corporate Social Responsibility (CSR) Reporting: Empirical Evidence from Private Commercial Banks of Bangladesh », International Journal of Law and Management, Vol. 52, N°2, 2010, pp. 82–109.</w:t>
      </w:r>
    </w:p>
  </w:footnote>
  <w:footnote w:id="7">
    <w:p w14:paraId="03331074" w14:textId="77777777" w:rsidR="00A36231" w:rsidRPr="00B0321D" w:rsidRDefault="00A36231" w:rsidP="00B0321D">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w:t>
      </w:r>
      <w:r w:rsidRPr="00B0321D">
        <w:rPr>
          <w:rStyle w:val="lev"/>
          <w:rFonts w:cstheme="majorBidi"/>
          <w:sz w:val="18"/>
          <w:szCs w:val="18"/>
          <w:lang w:val="en-AE"/>
        </w:rPr>
        <w:t>AL-TAEE Mohammed,</w:t>
      </w:r>
      <w:r w:rsidRPr="00B0321D">
        <w:rPr>
          <w:rFonts w:cstheme="majorBidi"/>
          <w:sz w:val="18"/>
          <w:szCs w:val="18"/>
          <w:lang w:val="en-AE"/>
        </w:rPr>
        <w:t xml:space="preserve"> « The Relationship Between Corporate Strategy &amp; Corporate Social Responsibility – A Case Study on Zarqa University »,</w:t>
      </w:r>
      <w:r w:rsidRPr="00B0321D">
        <w:rPr>
          <w:rStyle w:val="Accentuation"/>
          <w:rFonts w:cstheme="majorBidi"/>
          <w:i w:val="0"/>
          <w:iCs w:val="0"/>
          <w:sz w:val="18"/>
          <w:szCs w:val="18"/>
          <w:lang w:val="en-AE"/>
        </w:rPr>
        <w:t>Economie et société</w:t>
      </w:r>
      <w:r w:rsidRPr="00B0321D">
        <w:rPr>
          <w:rFonts w:cstheme="majorBidi"/>
          <w:sz w:val="18"/>
          <w:szCs w:val="18"/>
          <w:lang w:val="en-AE"/>
        </w:rPr>
        <w:t>, Vol. 09, N°09, 2013, p 50.</w:t>
      </w:r>
    </w:p>
  </w:footnote>
  <w:footnote w:id="8">
    <w:p w14:paraId="590AF13B" w14:textId="77777777" w:rsidR="00A36231" w:rsidRPr="00B0321D" w:rsidRDefault="00A36231" w:rsidP="00AC40D1">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SAHRAOUI Hamoudi Hadj, « Corporate Social Responsibility as a Means of Performance Enhancement: The Case of a Cement Plant in Sétif (Algeria) », Journal of Finance and Banking Review, Vol. 01, N°01,Décembre 2016, pp. 40–46.</w:t>
      </w:r>
    </w:p>
  </w:footnote>
  <w:footnote w:id="9">
    <w:p w14:paraId="13D549AF" w14:textId="77777777" w:rsidR="00A36231" w:rsidRPr="00B0321D" w:rsidRDefault="00A36231" w:rsidP="00B0321D">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DJEMAI Sabrina, ABEDOU Abderrahmane, « La RSE un outil de développement des territoires et de ses acteurs : Cas de l’entreprise Cevital », Finance and Business Economies Review, Vol. 2, N°3, 2018, pp. 642–658.</w:t>
      </w:r>
    </w:p>
  </w:footnote>
  <w:footnote w:id="10">
    <w:p w14:paraId="78787964" w14:textId="77777777" w:rsidR="00A36231" w:rsidRPr="00B0321D" w:rsidRDefault="00A36231" w:rsidP="00491F4A">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lang w:bidi="ar-DZ"/>
        </w:rPr>
        <w:t>د</w:t>
      </w:r>
      <w:r w:rsidRPr="00B0321D">
        <w:rPr>
          <w:rFonts w:cstheme="majorBidi"/>
          <w:sz w:val="18"/>
          <w:szCs w:val="18"/>
          <w:rtl/>
        </w:rPr>
        <w:t>فون محمد، «دور المسؤولية الاجتماعية الأخلاقية في تفعيل حوكمة الشركات»، مجلة التراث، المجلد 9، العدد 2</w:t>
      </w:r>
      <w:r w:rsidRPr="00B0321D">
        <w:rPr>
          <w:rFonts w:cstheme="majorBidi"/>
          <w:sz w:val="18"/>
          <w:szCs w:val="18"/>
        </w:rPr>
        <w:t>2019,</w:t>
      </w:r>
      <w:r w:rsidRPr="00B0321D">
        <w:rPr>
          <w:rFonts w:cstheme="majorBidi"/>
          <w:sz w:val="18"/>
          <w:szCs w:val="18"/>
          <w:rtl/>
        </w:rPr>
        <w:t>، الصفحات 135–152</w:t>
      </w:r>
      <w:r w:rsidRPr="00B0321D">
        <w:rPr>
          <w:rFonts w:cstheme="majorBidi"/>
          <w:sz w:val="18"/>
          <w:szCs w:val="18"/>
        </w:rPr>
        <w:t>.</w:t>
      </w:r>
    </w:p>
  </w:footnote>
  <w:footnote w:id="11">
    <w:p w14:paraId="40D5E1B9" w14:textId="77777777" w:rsidR="00A36231" w:rsidRPr="00B0321D" w:rsidRDefault="00A36231" w:rsidP="00B0321D">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BELGAT Amira, HAMANA Kamel, « The Role of Transparency and Disclosure in the Adoption of Social Responsibility Dimensions – A Case Study of Naftal Annaba »,</w:t>
      </w:r>
      <w:r w:rsidRPr="00B0321D">
        <w:rPr>
          <w:rFonts w:cstheme="majorBidi"/>
          <w:i/>
          <w:iCs/>
          <w:sz w:val="18"/>
          <w:szCs w:val="18"/>
          <w:rtl/>
        </w:rPr>
        <w:t xml:space="preserve"> </w:t>
      </w:r>
      <w:r w:rsidRPr="00B0321D">
        <w:rPr>
          <w:rFonts w:cstheme="majorBidi"/>
          <w:sz w:val="18"/>
          <w:szCs w:val="18"/>
          <w:lang w:val="en-AE"/>
        </w:rPr>
        <w:t>Algerian Review of Economic Development, Vol. 08, N°02, 2021, pp. 399–414.</w:t>
      </w:r>
    </w:p>
  </w:footnote>
  <w:footnote w:id="12">
    <w:p w14:paraId="68413B5D" w14:textId="77777777" w:rsidR="00A36231" w:rsidRPr="00B0321D" w:rsidRDefault="00A36231" w:rsidP="00B0321D">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ZERROUKI Imene</w:t>
      </w:r>
      <w:r w:rsidRPr="00B0321D">
        <w:rPr>
          <w:rFonts w:cstheme="majorBidi"/>
          <w:b/>
          <w:bCs/>
          <w:sz w:val="18"/>
          <w:szCs w:val="18"/>
        </w:rPr>
        <w:t xml:space="preserve"> </w:t>
      </w:r>
      <w:r w:rsidRPr="00B0321D">
        <w:rPr>
          <w:rFonts w:cstheme="majorBidi"/>
          <w:i/>
          <w:iCs/>
          <w:sz w:val="18"/>
          <w:szCs w:val="18"/>
        </w:rPr>
        <w:t xml:space="preserve">« Gouvernance et responsabilité sociétale de l’entreprise en Algérie : Quelle réalité ? Cas de l’entreprise économique SOCOTHYD », </w:t>
      </w:r>
      <w:r w:rsidRPr="00B0321D">
        <w:rPr>
          <w:rFonts w:cstheme="majorBidi"/>
          <w:sz w:val="18"/>
          <w:szCs w:val="18"/>
        </w:rPr>
        <w:t>Journal of North African Economies</w:t>
      </w:r>
      <w:r w:rsidRPr="00B0321D">
        <w:rPr>
          <w:rFonts w:cstheme="majorBidi"/>
          <w:i/>
          <w:iCs/>
          <w:sz w:val="18"/>
          <w:szCs w:val="18"/>
        </w:rPr>
        <w:t>,</w:t>
      </w:r>
      <w:r w:rsidRPr="00B0321D">
        <w:rPr>
          <w:rFonts w:cstheme="majorBidi"/>
          <w:sz w:val="18"/>
          <w:szCs w:val="18"/>
        </w:rPr>
        <w:t xml:space="preserve"> Vol</w:t>
      </w:r>
      <w:r>
        <w:rPr>
          <w:rFonts w:cstheme="majorBidi"/>
          <w:sz w:val="18"/>
          <w:szCs w:val="18"/>
        </w:rPr>
        <w:t>. 16, N°2,</w:t>
      </w:r>
      <w:r w:rsidRPr="00B0321D">
        <w:rPr>
          <w:rFonts w:cstheme="majorBidi"/>
          <w:sz w:val="18"/>
          <w:szCs w:val="18"/>
        </w:rPr>
        <w:t xml:space="preserve"> 2023, p. 741.</w:t>
      </w:r>
    </w:p>
  </w:footnote>
  <w:footnote w:id="13">
    <w:p w14:paraId="298F51BA" w14:textId="77777777" w:rsidR="00A36231" w:rsidRPr="00B0321D" w:rsidRDefault="00A36231" w:rsidP="00B0321D">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BESSAID Oussama Nabil, « The Role of Social Responsibility in Improving Ethics Corporate Governance – Case of Enterprise Sonatrach », </w:t>
      </w:r>
      <w:r w:rsidRPr="00B0321D">
        <w:rPr>
          <w:rFonts w:cstheme="majorBidi"/>
          <w:i/>
          <w:iCs/>
          <w:sz w:val="18"/>
          <w:szCs w:val="18"/>
          <w:lang w:val="en-AE"/>
        </w:rPr>
        <w:t>Journal of North African Economies</w:t>
      </w:r>
      <w:r w:rsidRPr="00B0321D">
        <w:rPr>
          <w:rFonts w:cstheme="majorBidi"/>
          <w:sz w:val="18"/>
          <w:szCs w:val="18"/>
          <w:lang w:val="en-AE"/>
        </w:rPr>
        <w:t>, Vol. 19, N°32, 2025 p. 215.</w:t>
      </w:r>
    </w:p>
  </w:footnote>
  <w:footnote w:id="14">
    <w:p w14:paraId="7A3F187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Meziani Henen, Chelil Abdellatif, « Les mécanismes de contrôle dans la gouvernance d’entreprise en Algérie (le cas de l’entreprise STARR Tlemcen)», Revue des sciences économiques, vol 1, n°1,2014, p.170.</w:t>
      </w:r>
    </w:p>
  </w:footnote>
  <w:footnote w:id="15">
    <w:p w14:paraId="619AB3D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RACHEDI Abdelkader, MAARIF Mohamed, BENHAMIDA Mohammed, «Les modèles de la gouvernance de l’entreprise», les cahiers du mecas, vol 10, n°1, 2014, p 101.</w:t>
      </w:r>
    </w:p>
  </w:footnote>
  <w:footnote w:id="16">
    <w:p w14:paraId="06F34AA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L.Cardinal, C.Andrew, «La démocratie à l’épreuve de la gouvernance »,1 Ed, Presses de l’Université d’Ottawa, 2001, p 09.</w:t>
      </w:r>
    </w:p>
  </w:footnote>
  <w:footnote w:id="17">
    <w:p w14:paraId="3E83BDF0"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DINAOUI Mehdi, EL GNAOUI Leila, «La gouvernance et la performance des organisations : une étude de cas des organisations de l’économie sociale et solidaire dans la région de Souss – Massa », Revue Française d’Economie et de Gestion, Vol 04, N°09, 2023, p 110.</w:t>
      </w:r>
    </w:p>
  </w:footnote>
  <w:footnote w:id="18">
    <w:p w14:paraId="5F1A6EC9"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Christian Rouillard, Nathalie Burlone, « l’état et la société civile sous le joug de la gouvernance», collection gouvernance et gestion publique, les Presses de l’Université Laval, Canada, 2011, p24.</w:t>
      </w:r>
    </w:p>
  </w:footnote>
  <w:footnote w:id="19">
    <w:p w14:paraId="1419039E"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 NORTON, « International Financial Institutions and the Movement Toward Greater Accountability and Transparency: The Case of Legal Reform Programmes and the Problem of Evaluation », International Lawyer, Vol35, N°01, 2001, p 1452.</w:t>
      </w:r>
    </w:p>
  </w:footnote>
  <w:footnote w:id="20">
    <w:p w14:paraId="1EAC7BC6"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World Bank, “Development in practice : Governance – the World’s Bank experience,” Report n° 13134, 1994, p 42.</w:t>
      </w:r>
    </w:p>
  </w:footnote>
  <w:footnote w:id="21">
    <w:p w14:paraId="5A15175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L. Cardinal, C. Andrew,op.cit., p 75.</w:t>
      </w:r>
    </w:p>
  </w:footnote>
  <w:footnote w:id="22">
    <w:p w14:paraId="762C8E0F"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P. HIRST, G. THOMPSON, « Globalization and the future of the Nation State », Economy and Society, vol 24,n°3, 1995, p. 422.</w:t>
      </w:r>
    </w:p>
  </w:footnote>
  <w:footnote w:id="23">
    <w:p w14:paraId="2652DD8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RODERICK RHODES, « The New Governance: Governing without Government »,Vol 44 ,1996, p 652.</w:t>
      </w:r>
    </w:p>
  </w:footnote>
  <w:footnote w:id="24">
    <w:p w14:paraId="54090BC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CHARREAUX Gérard, « Le gouvernement de l’entreprise : corporate gouvernance, théorie et faits », 1 Ed, Economica, Paris, 1997, p.540.</w:t>
      </w:r>
    </w:p>
  </w:footnote>
  <w:footnote w:id="25">
    <w:p w14:paraId="7A15068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SMOUTS, Marie-Claude (dir.), « Les nouvelles relations internationales. Pratiques et théories », Presses de la Fondation Nationale des Sciences Politiques, Paris, 1998, p238.</w:t>
      </w:r>
    </w:p>
  </w:footnote>
  <w:footnote w:id="26">
    <w:p w14:paraId="13A7C52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Patrice Charlier, « Gouvernance, enracinement et performance des entreprises familiales européennes », la comptabilité, le contrôle et l’audit entre changement et stabilité, HAL Id : halshs-00522463, 2010, p 15, disponible sur </w:t>
      </w:r>
      <w:hyperlink r:id="rId1" w:history="1">
        <w:r w:rsidRPr="00B0321D">
          <w:rPr>
            <w:rStyle w:val="Lienhypertexte"/>
            <w:rFonts w:cstheme="majorBidi"/>
            <w:sz w:val="18"/>
            <w:szCs w:val="18"/>
          </w:rPr>
          <w:t>https://shs.hal.science/halshs-00522463v1/document</w:t>
        </w:r>
      </w:hyperlink>
      <w:r w:rsidRPr="00B0321D">
        <w:rPr>
          <w:rFonts w:cstheme="majorBidi"/>
          <w:sz w:val="18"/>
          <w:szCs w:val="18"/>
        </w:rPr>
        <w:t xml:space="preserve"> , consulter le 04/04/2026.</w:t>
      </w:r>
    </w:p>
  </w:footnote>
  <w:footnote w:id="27">
    <w:p w14:paraId="264342D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Pierre Cabane, « Manuel de gouvernance d'entreprise les meilleur pratique pour créer de la valeur »,2ed, groupe EYROLLES, Paris, 2013, p24.</w:t>
      </w:r>
    </w:p>
  </w:footnote>
  <w:footnote w:id="28">
    <w:p w14:paraId="7D68B5A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LACROIX Isabelle &amp; ST</w:t>
      </w:r>
      <w:r w:rsidRPr="00B0321D">
        <w:rPr>
          <w:rFonts w:cstheme="majorBidi"/>
          <w:sz w:val="18"/>
          <w:szCs w:val="18"/>
        </w:rPr>
        <w:noBreakHyphen/>
        <w:t>ARNAUD Pier</w:t>
      </w:r>
      <w:r w:rsidRPr="00B0321D">
        <w:rPr>
          <w:rFonts w:cstheme="majorBidi"/>
          <w:sz w:val="18"/>
          <w:szCs w:val="18"/>
        </w:rPr>
        <w:noBreakHyphen/>
        <w:t>Olivier, « La gouvernance : tenter une définition », Cahiers de recherche en politique appliquée, Vol. IV, Numéro 3, Automne 2012, p.24.</w:t>
      </w:r>
    </w:p>
  </w:footnote>
  <w:footnote w:id="29">
    <w:p w14:paraId="350DCFAA" w14:textId="77777777" w:rsidR="00A36231" w:rsidRPr="00B0321D" w:rsidRDefault="00A36231" w:rsidP="0052058B">
      <w:pPr>
        <w:pStyle w:val="Notedebasdepage"/>
        <w:spacing w:before="0" w:beforeAutospacing="0" w:after="160" w:line="360" w:lineRule="auto"/>
        <w:ind w:firstLine="0"/>
        <w:rPr>
          <w:rFonts w:cstheme="majorBidi"/>
          <w:sz w:val="18"/>
          <w:szCs w:val="18"/>
          <w:lang w:bidi="ar-DZ"/>
        </w:rPr>
      </w:pPr>
      <w:r w:rsidRPr="00B0321D">
        <w:rPr>
          <w:rStyle w:val="Appelnotedebasdep"/>
          <w:rFonts w:cstheme="majorBidi"/>
          <w:sz w:val="18"/>
          <w:szCs w:val="18"/>
        </w:rPr>
        <w:footnoteRef/>
      </w:r>
      <w:r w:rsidRPr="00B0321D">
        <w:rPr>
          <w:rFonts w:cstheme="majorBidi"/>
          <w:sz w:val="18"/>
          <w:szCs w:val="18"/>
        </w:rPr>
        <w:t>Yakoubi khelifa, Badaoui Imane, « Gouvernance et qualité de transmission des entreprises familiales »</w:t>
      </w:r>
      <w:r w:rsidRPr="00B0321D">
        <w:rPr>
          <w:rFonts w:cstheme="majorBidi"/>
          <w:sz w:val="18"/>
          <w:szCs w:val="18"/>
          <w:lang w:bidi="ar-DZ"/>
        </w:rPr>
        <w:t>,</w:t>
      </w:r>
      <w:r w:rsidRPr="00B0321D">
        <w:rPr>
          <w:rFonts w:cstheme="majorBidi"/>
          <w:sz w:val="18"/>
          <w:szCs w:val="18"/>
        </w:rPr>
        <w:t xml:space="preserve"> </w:t>
      </w:r>
      <w:r w:rsidRPr="00B0321D">
        <w:rPr>
          <w:rFonts w:cstheme="majorBidi"/>
          <w:sz w:val="18"/>
          <w:szCs w:val="18"/>
          <w:lang w:bidi="ar-DZ"/>
        </w:rPr>
        <w:t>Revue de recherches quantitatives et qualitatives en sciences économiques et administratives, vol 04, n 02, p113.</w:t>
      </w:r>
    </w:p>
  </w:footnote>
  <w:footnote w:id="30">
    <w:p w14:paraId="6DE47A4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LACROIX Isabelle &amp; ST</w:t>
      </w:r>
      <w:r w:rsidRPr="00B0321D">
        <w:rPr>
          <w:rFonts w:cstheme="majorBidi"/>
          <w:sz w:val="18"/>
          <w:szCs w:val="18"/>
        </w:rPr>
        <w:noBreakHyphen/>
        <w:t>ARNAUD Pier</w:t>
      </w:r>
      <w:r w:rsidRPr="00B0321D">
        <w:rPr>
          <w:rFonts w:cstheme="majorBidi"/>
          <w:sz w:val="18"/>
          <w:szCs w:val="18"/>
        </w:rPr>
        <w:noBreakHyphen/>
        <w:t xml:space="preserve">Olivier, op.cit. , p23. </w:t>
      </w:r>
    </w:p>
  </w:footnote>
  <w:footnote w:id="31">
    <w:p w14:paraId="7135027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 w:history="1">
        <w:r w:rsidRPr="00B0321D">
          <w:rPr>
            <w:rStyle w:val="Lienhypertexte"/>
            <w:rFonts w:cstheme="majorBidi"/>
            <w:sz w:val="18"/>
            <w:szCs w:val="18"/>
          </w:rPr>
          <w:t>https://www.alvi-management.fr/definition-de-la-gouvernance/</w:t>
        </w:r>
      </w:hyperlink>
      <w:r w:rsidRPr="00B0321D">
        <w:rPr>
          <w:rFonts w:cstheme="majorBidi"/>
          <w:sz w:val="18"/>
          <w:szCs w:val="18"/>
        </w:rPr>
        <w:t xml:space="preserve"> , consulter le 06/04/2026.</w:t>
      </w:r>
    </w:p>
  </w:footnote>
  <w:footnote w:id="32">
    <w:p w14:paraId="19AC5A1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Jean-Pierre Le Goff, « Le mythe de l'entreprise : critique de l'idéologie managériale», vol 11, n°61, 1993, pp143-144.</w:t>
      </w:r>
    </w:p>
  </w:footnote>
  <w:footnote w:id="33">
    <w:p w14:paraId="0408C328"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RODERICK RHODES, op.cit.,p 652.</w:t>
      </w:r>
    </w:p>
  </w:footnote>
  <w:footnote w:id="34">
    <w:p w14:paraId="5F337BBE"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Kooiman Jan, « Governing as Governance »,Sage Publications LTD,London, 2003, p20.</w:t>
      </w:r>
    </w:p>
  </w:footnote>
  <w:footnote w:id="35">
    <w:p w14:paraId="551F1A4A"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Stoker Gerry, « Governance as Theory : Five Propositions », International Social Science Journal, vol 50, n°155, 1998, pp. 17</w:t>
      </w:r>
      <w:r w:rsidRPr="00B0321D">
        <w:rPr>
          <w:rFonts w:cstheme="majorBidi"/>
          <w:sz w:val="18"/>
          <w:szCs w:val="18"/>
          <w:lang w:val="en-AE"/>
        </w:rPr>
        <w:noBreakHyphen/>
        <w:t>28.</w:t>
      </w:r>
    </w:p>
  </w:footnote>
  <w:footnote w:id="36">
    <w:p w14:paraId="254062C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Commission européenne, « Livre blanc sur la gouvernance européenne », Bruxelles, 2001, pp. 8</w:t>
      </w:r>
      <w:r w:rsidRPr="00B0321D">
        <w:rPr>
          <w:rFonts w:cstheme="majorBidi"/>
          <w:sz w:val="18"/>
          <w:szCs w:val="18"/>
        </w:rPr>
        <w:noBreakHyphen/>
        <w:t>14.</w:t>
      </w:r>
    </w:p>
  </w:footnote>
  <w:footnote w:id="37">
    <w:p w14:paraId="321B04C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Stoker Gerry,op.cit.,pp17-28.</w:t>
      </w:r>
    </w:p>
  </w:footnote>
  <w:footnote w:id="38">
    <w:p w14:paraId="51920F0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Kooiman Jan,op.cit.,p20.</w:t>
      </w:r>
    </w:p>
  </w:footnote>
  <w:footnote w:id="39">
    <w:p w14:paraId="6B57016A"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Stoker Gerry, op.cit.,pp17-28.</w:t>
      </w:r>
    </w:p>
  </w:footnote>
  <w:footnote w:id="40">
    <w:p w14:paraId="03DE2E1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3" w:history="1">
        <w:r w:rsidRPr="00B0321D">
          <w:rPr>
            <w:rStyle w:val="Lienhypertexte"/>
            <w:rFonts w:cstheme="majorBidi"/>
            <w:sz w:val="18"/>
            <w:szCs w:val="18"/>
          </w:rPr>
          <w:t>https://books.openedition.org/uop/1645?lang=fr</w:t>
        </w:r>
      </w:hyperlink>
      <w:r w:rsidRPr="00B0321D">
        <w:rPr>
          <w:rFonts w:cstheme="majorBidi"/>
          <w:sz w:val="18"/>
          <w:szCs w:val="18"/>
        </w:rPr>
        <w:t xml:space="preserve"> , consulter le 26/03/2026.</w:t>
      </w:r>
    </w:p>
  </w:footnote>
  <w:footnote w:id="41">
    <w:p w14:paraId="7D9B792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Gaoussou Diarra, Patrick plane, « La Banque mondiale et la genèse de la notion de bonne gouvernance », Mondes en développement, vol 40, n°158, 2012, pp 51-55.</w:t>
      </w:r>
    </w:p>
  </w:footnote>
  <w:footnote w:id="42">
    <w:p w14:paraId="5084BC7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Kaufmann Daniel, Aart Kraay , Pablo Zoido</w:t>
      </w:r>
      <w:r w:rsidRPr="00B0321D">
        <w:rPr>
          <w:rFonts w:cstheme="majorBidi"/>
          <w:sz w:val="18"/>
          <w:szCs w:val="18"/>
          <w:lang w:val="en-AE"/>
        </w:rPr>
        <w:noBreakHyphen/>
        <w:t>Lobatón, « Governance Matters », World Bank Policy Research Working Paper n°2196, 1999, p 10.</w:t>
      </w:r>
    </w:p>
  </w:footnote>
  <w:footnote w:id="43">
    <w:p w14:paraId="0F3F0AA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Gaoussou Diarra, Patrick plane, op.cit., pp 51-55.</w:t>
      </w:r>
    </w:p>
  </w:footnote>
  <w:footnote w:id="44">
    <w:p w14:paraId="0088985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Jean-Claude Juncker, « LIVRE BLANC SUR L’AVENIR DE L’EUROPE », Commission européenne BELGIQUE, 2017, p 32.</w:t>
      </w:r>
    </w:p>
  </w:footnote>
  <w:footnote w:id="45">
    <w:p w14:paraId="1348014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World bank, « G</w:t>
      </w:r>
      <w:r w:rsidRPr="00B0321D">
        <w:rPr>
          <w:rStyle w:val="Accentuation"/>
          <w:rFonts w:cstheme="majorBidi"/>
          <w:sz w:val="18"/>
          <w:szCs w:val="18"/>
          <w:lang w:val="en-AE"/>
        </w:rPr>
        <w:t>overnance and Development »</w:t>
      </w:r>
      <w:r w:rsidRPr="00B0321D">
        <w:rPr>
          <w:rFonts w:cstheme="majorBidi"/>
          <w:i/>
          <w:iCs/>
          <w:sz w:val="18"/>
          <w:szCs w:val="18"/>
          <w:lang w:val="en-AE"/>
        </w:rPr>
        <w:t xml:space="preserve">, </w:t>
      </w:r>
      <w:r w:rsidRPr="00B0321D">
        <w:rPr>
          <w:rFonts w:cstheme="majorBidi"/>
          <w:sz w:val="18"/>
          <w:szCs w:val="18"/>
          <w:lang w:val="en-AE"/>
        </w:rPr>
        <w:t>Washington D.C., 1992,pp1-15.</w:t>
      </w:r>
    </w:p>
  </w:footnote>
  <w:footnote w:id="46">
    <w:p w14:paraId="4C655D21" w14:textId="77777777" w:rsidR="00A36231" w:rsidRPr="00B0321D" w:rsidRDefault="00A36231" w:rsidP="0052058B">
      <w:pPr>
        <w:pStyle w:val="Notedebasdepage"/>
        <w:spacing w:before="0" w:beforeAutospacing="0" w:after="160" w:line="360" w:lineRule="auto"/>
        <w:ind w:firstLine="0"/>
        <w:rPr>
          <w:rFonts w:cstheme="majorBidi"/>
          <w:b/>
          <w:bCs/>
          <w:sz w:val="18"/>
          <w:szCs w:val="18"/>
          <w:lang w:val="en-AE"/>
        </w:rPr>
      </w:pPr>
      <w:r w:rsidRPr="00B0321D">
        <w:rPr>
          <w:rStyle w:val="Appelnotedebasdep"/>
          <w:rFonts w:cstheme="majorBidi"/>
          <w:sz w:val="18"/>
          <w:szCs w:val="18"/>
        </w:rPr>
        <w:footnoteRef/>
      </w:r>
      <w:r w:rsidRPr="00B0321D">
        <w:rPr>
          <w:rFonts w:cstheme="majorBidi"/>
          <w:sz w:val="18"/>
          <w:szCs w:val="18"/>
          <w:lang w:val="en-AE"/>
        </w:rPr>
        <w:t>Organisation for Economic Co-operation and Development(OCDE), « Citizens as Partners: Information, Consultation and Public Participation in Policy-Making », Paris, 2001,p73.</w:t>
      </w:r>
    </w:p>
  </w:footnote>
  <w:footnote w:id="47">
    <w:p w14:paraId="67B28EA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World bank, « World Development Report 2000/2001: Attacking Poverty », Washington D.C., 2001,p 88.</w:t>
      </w:r>
    </w:p>
  </w:footnote>
  <w:footnote w:id="48">
    <w:p w14:paraId="48173565" w14:textId="77777777" w:rsidR="00A36231" w:rsidRPr="00B0321D" w:rsidRDefault="00A36231" w:rsidP="0052058B">
      <w:pPr>
        <w:pStyle w:val="Notedebasdepage"/>
        <w:spacing w:before="0" w:beforeAutospacing="0" w:after="160" w:line="360" w:lineRule="auto"/>
        <w:ind w:firstLine="0"/>
        <w:rPr>
          <w:rFonts w:cstheme="majorBidi"/>
          <w:b/>
          <w:bCs/>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Deepa Narayan, « Voices of the Poor », World Bank, Washington D.C., 2000,p 176.</w:t>
      </w:r>
    </w:p>
  </w:footnote>
  <w:footnote w:id="49">
    <w:p w14:paraId="3D683B48" w14:textId="77777777" w:rsidR="00A36231" w:rsidRPr="00B0321D" w:rsidRDefault="00A36231" w:rsidP="0052058B">
      <w:pPr>
        <w:pStyle w:val="Notedebasdepage"/>
        <w:spacing w:before="0" w:beforeAutospacing="0" w:after="160" w:line="360" w:lineRule="auto"/>
        <w:ind w:firstLine="0"/>
        <w:rPr>
          <w:rFonts w:cstheme="majorBidi"/>
          <w:b/>
          <w:bCs/>
          <w:sz w:val="18"/>
          <w:szCs w:val="18"/>
          <w:lang w:val="en-AE"/>
        </w:rPr>
      </w:pPr>
      <w:r w:rsidRPr="00B0321D">
        <w:rPr>
          <w:rStyle w:val="Appelnotedebasdep"/>
          <w:rFonts w:cstheme="majorBidi"/>
          <w:sz w:val="18"/>
          <w:szCs w:val="18"/>
        </w:rPr>
        <w:footnoteRef/>
      </w:r>
      <w:r w:rsidRPr="00B0321D">
        <w:rPr>
          <w:rFonts w:cstheme="majorBidi"/>
          <w:sz w:val="18"/>
          <w:szCs w:val="18"/>
          <w:lang w:val="en-AE"/>
        </w:rPr>
        <w:t>John Rawls, « A Theory of Justice », Ed 1,Harvard University Press, Cambridge :Massachusetts, 1971,p83.</w:t>
      </w:r>
    </w:p>
  </w:footnote>
  <w:footnote w:id="50">
    <w:p w14:paraId="62B71FF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Amartya Sen, «  Development as Freedom »,Ed 1, Oxford University Press, Oxford, 1999,p87.</w:t>
      </w:r>
    </w:p>
  </w:footnote>
  <w:footnote w:id="51">
    <w:p w14:paraId="2651DBF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World bank, « World Development Report 2006: Equity and Development », Washington D.C., 2006,p3.</w:t>
      </w:r>
    </w:p>
    <w:p w14:paraId="2D6F492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p>
  </w:footnote>
  <w:footnote w:id="52">
    <w:p w14:paraId="215705A9"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AMAKHIR HICHAM, BENGHAZALA ZAKARIA, « Le Cadre Théorique de la Gouvernance des Entreprises : Un Essai de Synthèse », International Journal of Financial Accountability, Economics, Management, and Auditing, vol05, n°.2, 2023, p270.</w:t>
      </w:r>
    </w:p>
  </w:footnote>
  <w:footnote w:id="53">
    <w:p w14:paraId="2280F4B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Hamida Adja, Kechad Rabah, Colot Olivier, « Apport de l’Audit Interne à la Gouvernance des Entreprises : Cas de l’Algérie », Revue des Réformes Economiques et Intégration En Economie Mondiale, vol 15, N1, 2021, p458.</w:t>
      </w:r>
    </w:p>
  </w:footnote>
  <w:footnote w:id="54">
    <w:p w14:paraId="483905E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Gomez, P.Y, Référentiel pour une gouvernance raisonnable des entreprises françaises[en ligne], 2009, disponible sur : </w:t>
      </w:r>
      <w:hyperlink r:id="rId4" w:history="1">
        <w:r w:rsidRPr="00B0321D">
          <w:rPr>
            <w:rStyle w:val="Lienhypertexte"/>
            <w:rFonts w:cstheme="majorBidi"/>
            <w:sz w:val="18"/>
            <w:szCs w:val="18"/>
          </w:rPr>
          <w:t>https://www.ifge-online.org/wp-content/uploads/2015/06/R%C3%A9f%C3%A9rentiel-IFGE-Mai-2015-planche1.pdf</w:t>
        </w:r>
      </w:hyperlink>
      <w:r w:rsidRPr="00B0321D">
        <w:rPr>
          <w:rStyle w:val="Lienhypertexte"/>
          <w:rFonts w:cstheme="majorBidi"/>
          <w:sz w:val="18"/>
          <w:szCs w:val="18"/>
        </w:rPr>
        <w:t>,</w:t>
      </w:r>
      <w:r w:rsidRPr="00B0321D">
        <w:rPr>
          <w:rFonts w:cstheme="majorBidi"/>
          <w:sz w:val="18"/>
          <w:szCs w:val="18"/>
        </w:rPr>
        <w:t xml:space="preserve"> consulter le 29/03/2026.</w:t>
      </w:r>
    </w:p>
  </w:footnote>
  <w:footnote w:id="55">
    <w:p w14:paraId="4EA3EDD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Commission nationale gouvernance d’entreprise, « code spécifique de bonne pratiques de gouvernance des PME et entreprises familials », annexe au code marocain de bonne pratique de gouvernance d’entreprise, Décembre 2008, P.12</w:t>
      </w:r>
    </w:p>
  </w:footnote>
  <w:footnote w:id="56">
    <w:p w14:paraId="01E9490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Jules Roger FEUDJO, Georges Kriyoss MFOUAPON, « La gouvernance stratégique : vers une nouvelle vision de l’organisation du pouvoir au sein des champions nationaux », Journal of Academic Finance, Vol. 12, n° 1, 2021, p 174.</w:t>
      </w:r>
    </w:p>
  </w:footnote>
  <w:footnote w:id="57">
    <w:p w14:paraId="6DA329D1" w14:textId="77777777" w:rsidR="00A36231" w:rsidRPr="0082159F" w:rsidRDefault="00A36231" w:rsidP="0082159F">
      <w:pPr>
        <w:pStyle w:val="Notedebasdepage"/>
        <w:ind w:firstLine="0"/>
      </w:pPr>
      <w:r>
        <w:rPr>
          <w:rStyle w:val="Appelnotedebasdep"/>
        </w:rPr>
        <w:footnoteRef/>
      </w:r>
      <w:r w:rsidRPr="0082159F">
        <w:t xml:space="preserve"> </w:t>
      </w:r>
      <w:hyperlink r:id="rId5" w:history="1">
        <w:r w:rsidRPr="0082159F">
          <w:rPr>
            <w:rStyle w:val="Lienhypertexte"/>
          </w:rPr>
          <w:t>https://fr.scribd.com/document/850198762/Gouvernance-d-entreprise-Support1</w:t>
        </w:r>
      </w:hyperlink>
      <w:r w:rsidRPr="0082159F">
        <w:t xml:space="preserve"> , consult</w:t>
      </w:r>
      <w:r>
        <w:t>er le 06/02/2026.</w:t>
      </w:r>
    </w:p>
  </w:footnote>
  <w:footnote w:id="58">
    <w:p w14:paraId="27883170"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Sara EL ASSRI, Samir ERRABIH, « Émergence historique de la Gouvernance d'Entreprise Historical emergence of Corporate Governance », International Journal of Accounting, Finance, Auditing, Management and Economics, Vol 4, N 1, 2023, p 121.</w:t>
      </w:r>
    </w:p>
  </w:footnote>
  <w:footnote w:id="59">
    <w:p w14:paraId="2EDD5F7E"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Brian R. Cheffins, « Corporate Governance Reform: Britain as an Exporter », SSRN Electronic journal,Vol 08 , issue 1,2000, p38.</w:t>
      </w:r>
    </w:p>
  </w:footnote>
  <w:footnote w:id="60">
    <w:p w14:paraId="7DA53B63"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John Pound,« The Rise of the Political Model of Corporate Governance and Corporate Control »,Ed1, Harvard University, 1992,p70.</w:t>
      </w:r>
    </w:p>
  </w:footnote>
  <w:footnote w:id="61">
    <w:p w14:paraId="46E4444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Philip H. Zalecki, « The Corporate Governance Roles of the Inside and Outside Directors », University of Toledo Law Review, vol. 24, 1993,p 840.</w:t>
      </w:r>
    </w:p>
  </w:footnote>
  <w:footnote w:id="62">
    <w:p w14:paraId="3E1BD5E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Ocasio W. and J. Joseph,« Cultural Adaptation and Institutional Change: The Evolution of Vocabularies of Corporate Governance , 1972-2003 », Poetics, vol. 33, issue 3-4,2005, p 165.</w:t>
      </w:r>
    </w:p>
  </w:footnote>
  <w:footnote w:id="63">
    <w:p w14:paraId="4CEA83D1"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John C. Coffee,</w:t>
      </w:r>
      <w:r w:rsidRPr="00B0321D">
        <w:rPr>
          <w:rFonts w:eastAsia="Times New Roman" w:cstheme="majorBidi"/>
          <w:b/>
          <w:bCs/>
          <w:color w:val="222222"/>
          <w:kern w:val="36"/>
          <w:sz w:val="18"/>
          <w:szCs w:val="18"/>
          <w:lang w:val="en-AE" w:eastAsia="fr-FR"/>
        </w:rPr>
        <w:t> « </w:t>
      </w:r>
      <w:r w:rsidRPr="00B0321D">
        <w:rPr>
          <w:rFonts w:cstheme="majorBidi"/>
          <w:sz w:val="18"/>
          <w:szCs w:val="18"/>
          <w:lang w:val="en-AE"/>
        </w:rPr>
        <w:t>Gatekeepers: The Professions and Corporate Governance »,Ed 1,Oxford University Press, New York, 2006.</w:t>
      </w:r>
    </w:p>
  </w:footnote>
  <w:footnote w:id="64">
    <w:p w14:paraId="5BCFD4E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John C. Coates, « The Goals and Promise of the Sarbanes–Oxley Act »,Journal of Economic Perspectives,Vol.21, issue 1,2007,p 92.</w:t>
      </w:r>
    </w:p>
  </w:footnote>
  <w:footnote w:id="65">
    <w:p w14:paraId="4F274B94"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Ruth V. Aguilera,Gregory Jackson, « The cross</w:t>
      </w:r>
      <w:r w:rsidRPr="00B0321D">
        <w:rPr>
          <w:rFonts w:cstheme="majorBidi"/>
          <w:sz w:val="18"/>
          <w:szCs w:val="18"/>
          <w:lang w:val="en-AE"/>
        </w:rPr>
        <w:noBreakHyphen/>
        <w:t>national diversity of corporate governance: Dimensions and determinants »,Academy of Management Review, vol.28, issue 03,p 450.</w:t>
      </w:r>
    </w:p>
  </w:footnote>
  <w:footnote w:id="66">
    <w:p w14:paraId="318B464E"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CHRIEF Wahida, «La gouvernance d’entreprise : approche théorique », Journal of Contemporary Business and Economic Studies, vol.06, n° 02,2023, p377.</w:t>
      </w:r>
    </w:p>
  </w:footnote>
  <w:footnote w:id="67">
    <w:p w14:paraId="4714FA7F" w14:textId="77777777" w:rsidR="00A36231" w:rsidRPr="00B44E67"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6" w:anchor=":~:text=La%20gouvernance%20d'entreprise%20contribue,%C3%A0%20l'%C3%A9dification%20de%20soci%C3%A9t%C3%A9s" w:history="1">
        <w:r w:rsidRPr="00B44E67">
          <w:rPr>
            <w:rStyle w:val="Lienhypertexte"/>
            <w:rFonts w:cstheme="majorBidi"/>
            <w:sz w:val="18"/>
            <w:szCs w:val="18"/>
          </w:rPr>
          <w:t>https://www.oecd.org/fr/gouvernementdentreprise/#:~:text=La%20gouvernance%20d'entreprise%20contribue,%C3%A0%20l'%C3%A9dification%20de%20soci%C3%A9t%C3%A9s</w:t>
        </w:r>
      </w:hyperlink>
      <w:r w:rsidRPr="00B44E67">
        <w:rPr>
          <w:rFonts w:cstheme="majorBidi"/>
          <w:sz w:val="18"/>
          <w:szCs w:val="18"/>
        </w:rPr>
        <w:t xml:space="preserve"> , consulter le 05/04/2026.</w:t>
      </w:r>
    </w:p>
  </w:footnote>
  <w:footnote w:id="68">
    <w:p w14:paraId="0ADAC40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Principes de gouvernement d’entreprise de L’OCDE édition 4, Disponible sur l’adresse suivante </w:t>
      </w:r>
      <w:hyperlink r:id="rId7" w:history="1">
        <w:r w:rsidRPr="00B0321D">
          <w:rPr>
            <w:rStyle w:val="Lienhypertexte"/>
            <w:rFonts w:cstheme="majorBidi"/>
            <w:sz w:val="18"/>
            <w:szCs w:val="18"/>
          </w:rPr>
          <w:t>www.oecd.org</w:t>
        </w:r>
      </w:hyperlink>
      <w:r w:rsidRPr="00B0321D">
        <w:rPr>
          <w:rFonts w:cstheme="majorBidi"/>
          <w:sz w:val="18"/>
          <w:szCs w:val="18"/>
        </w:rPr>
        <w:t xml:space="preserve"> , p 11.</w:t>
      </w:r>
    </w:p>
  </w:footnote>
  <w:footnote w:id="69">
    <w:p w14:paraId="059E73D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LAMKARAF IKRAM, ZAAM HOURIA, « L’AUDIT INTERNE AU SERVICE DE LA GOUVERNANCE D’ENTREPRISE », Revue du Contrôle de la Comptabilité et de l’Audit, vol.3, n°2, 2019, p 565.</w:t>
      </w:r>
    </w:p>
  </w:footnote>
  <w:footnote w:id="70">
    <w:p w14:paraId="2ACDF2C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GUIDE Comment élaborer et mettre en œuvre un code de bonnes pratiques de gouvernance d’entreprise ?, disponible sur : </w:t>
      </w:r>
      <w:hyperlink r:id="rId8" w:history="1">
        <w:r w:rsidRPr="00B0321D">
          <w:rPr>
            <w:rStyle w:val="Lienhypertexte"/>
            <w:rFonts w:cstheme="majorBidi"/>
            <w:sz w:val="18"/>
            <w:szCs w:val="18"/>
          </w:rPr>
          <w:t>https://www.ifc.org/content/dam/ifc/doc/2000/presentation-vol-1-good-corporate-governance-practices.pdf</w:t>
        </w:r>
      </w:hyperlink>
      <w:r w:rsidRPr="00B0321D">
        <w:rPr>
          <w:rFonts w:cstheme="majorBidi"/>
          <w:sz w:val="18"/>
          <w:szCs w:val="18"/>
        </w:rPr>
        <w:t xml:space="preserve"> , consulter le 05/04/2026.</w:t>
      </w:r>
    </w:p>
  </w:footnote>
  <w:footnote w:id="71">
    <w:p w14:paraId="39E71AE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CHRIEF Wahida , op.cit. , p.380.</w:t>
      </w:r>
    </w:p>
  </w:footnote>
  <w:footnote w:id="72">
    <w:p w14:paraId="71FEDCC3"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World Bank, « Governance: The World Bank’s Experience »,op.cit.,p43.</w:t>
      </w:r>
    </w:p>
  </w:footnote>
  <w:footnote w:id="73">
    <w:p w14:paraId="5968196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KHEDIM Amal, GRARI Yamina, « La gouvernance au sein de l’entreprise », Al-Bashaer Economic Journal, vol 2, Numéro : 03, Mars 2016, p215.</w:t>
      </w:r>
    </w:p>
  </w:footnote>
  <w:footnote w:id="74">
    <w:p w14:paraId="09A45CB8"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Shleifer, Andrei, and Robert Vishny , </w:t>
      </w:r>
      <w:r w:rsidRPr="00B0321D">
        <w:rPr>
          <w:rFonts w:cstheme="majorBidi"/>
          <w:i/>
          <w:iCs/>
          <w:sz w:val="18"/>
          <w:szCs w:val="18"/>
          <w:lang w:val="en-AE"/>
        </w:rPr>
        <w:t>« </w:t>
      </w:r>
      <w:r w:rsidRPr="00B0321D">
        <w:rPr>
          <w:rStyle w:val="Accentuation"/>
          <w:rFonts w:cstheme="majorBidi"/>
          <w:sz w:val="18"/>
          <w:szCs w:val="18"/>
          <w:lang w:val="en-AE"/>
        </w:rPr>
        <w:t xml:space="preserve">A survey of corporate governance »,The Journal of Finance, volume 52,issue </w:t>
      </w:r>
      <w:r w:rsidRPr="00B0321D">
        <w:rPr>
          <w:rFonts w:cstheme="majorBidi"/>
          <w:sz w:val="18"/>
          <w:szCs w:val="18"/>
          <w:lang w:val="en-AE"/>
        </w:rPr>
        <w:t>2,1997,p 737.</w:t>
      </w:r>
    </w:p>
  </w:footnote>
  <w:footnote w:id="75">
    <w:p w14:paraId="0185A47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Guy HERMET, « Dictionnaire de la science politique et des institutions politiques », 3e édition, Armand Colin, Paris, 1998, p. 114.</w:t>
      </w:r>
    </w:p>
  </w:footnote>
  <w:footnote w:id="76">
    <w:p w14:paraId="7F02FD6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Jean-Jacques Caussain, «L'influence mondiale et européenne», Cahiers de droit de l'entreprise, vol. 5,2005, p 35.</w:t>
      </w:r>
    </w:p>
  </w:footnote>
  <w:footnote w:id="77">
    <w:p w14:paraId="30BF937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Keasey.K, Thompson .S, Wright.M, « Corporate Governance Accountability, enterprise and international comparisons », The Wiley Finance Series, 2005,p 10.</w:t>
      </w:r>
    </w:p>
  </w:footnote>
  <w:footnote w:id="78">
    <w:p w14:paraId="4089DD3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Ettahri Younes, El aaroubi Sijaj, « La gouvernance des entreprises cotées : Une analyse théorique », Revue Marocaine de Gestion et d’Economie, vol 5, 2011, p74.</w:t>
      </w:r>
    </w:p>
  </w:footnote>
  <w:footnote w:id="79">
    <w:p w14:paraId="03F8EA7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Jensen, M.C. et Meckling, « Theory of the Firm: Management Behaviour, Agency Cost and Ownership Structure », Journal of Financial Economic, vol 03, issue 04, 1976, p 310.</w:t>
      </w:r>
    </w:p>
  </w:footnote>
  <w:footnote w:id="80">
    <w:p w14:paraId="7F479C63"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AMAKHIR HICHAM, BENGHAZALA ZAKARIA, op.cit, pp 268-269.</w:t>
      </w:r>
    </w:p>
  </w:footnote>
  <w:footnote w:id="81">
    <w:p w14:paraId="794774E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9" w:history="1">
        <w:r w:rsidRPr="00B0321D">
          <w:rPr>
            <w:rStyle w:val="Lienhypertexte"/>
            <w:rFonts w:cstheme="majorBidi"/>
            <w:sz w:val="18"/>
            <w:szCs w:val="18"/>
          </w:rPr>
          <w:t>https://www.maxicours.com/se/cours/la-rationalite-limitee/</w:t>
        </w:r>
      </w:hyperlink>
      <w:r w:rsidRPr="00B0321D">
        <w:rPr>
          <w:rFonts w:cstheme="majorBidi"/>
          <w:sz w:val="18"/>
          <w:szCs w:val="18"/>
        </w:rPr>
        <w:t xml:space="preserve"> , consulter le 22/04/2026.</w:t>
      </w:r>
    </w:p>
  </w:footnote>
  <w:footnote w:id="82">
    <w:p w14:paraId="455CB45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Salah BELHADJ, « La rationalité et l’analyse des politiques publiques », La Revue algérienne des études politiques, vol 03, n°02, 2016, p 178.</w:t>
      </w:r>
    </w:p>
  </w:footnote>
  <w:footnote w:id="83">
    <w:p w14:paraId="107F08C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Ettahri Younes, El aaroubi Sijaj, op.cit., p 76.</w:t>
      </w:r>
    </w:p>
  </w:footnote>
  <w:footnote w:id="84">
    <w:p w14:paraId="74819E3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Christian Barrère, « pour une théorie critique des droits de propriété », Actuel Marx, n°29, 2001, p 15.</w:t>
      </w:r>
    </w:p>
  </w:footnote>
  <w:footnote w:id="85">
    <w:p w14:paraId="2B9F02C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0" w:history="1">
        <w:r w:rsidRPr="00B0321D">
          <w:rPr>
            <w:rStyle w:val="Lienhypertexte"/>
            <w:rFonts w:cstheme="majorBidi"/>
            <w:sz w:val="18"/>
            <w:szCs w:val="18"/>
          </w:rPr>
          <w:t>https://fr.scribd.com/document/462187215/Theorie-de-l-enracinement</w:t>
        </w:r>
      </w:hyperlink>
      <w:r w:rsidRPr="00B0321D">
        <w:rPr>
          <w:rFonts w:cstheme="majorBidi"/>
          <w:sz w:val="18"/>
          <w:szCs w:val="18"/>
        </w:rPr>
        <w:t xml:space="preserve"> , consulter le 23/04/2026.</w:t>
      </w:r>
    </w:p>
  </w:footnote>
  <w:footnote w:id="86">
    <w:p w14:paraId="0E3AC76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Benoît Pigé, « Enracinement des dirigeants et richesse des actionnaires », Finance Contrôle Stratégie, Vol.1, N°3, septembre 1998, p 140.</w:t>
      </w:r>
    </w:p>
  </w:footnote>
  <w:footnote w:id="87">
    <w:p w14:paraId="0000102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Paquerot M, «L'enracinement des dirigeants et ses effets», Revue Française de Gestion, n° 111, 1996, p 215.</w:t>
      </w:r>
    </w:p>
  </w:footnote>
  <w:footnote w:id="88">
    <w:p w14:paraId="1D78BDA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Ettahri Younes, El aaroubi Sijaj, op.cit., p 79.</w:t>
      </w:r>
    </w:p>
  </w:footnote>
  <w:footnote w:id="89">
    <w:p w14:paraId="3C10717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AMAKHIR HICHAM, BENGHAZALA ZAKARIA, op.cit, pp  273-274.</w:t>
      </w:r>
    </w:p>
  </w:footnote>
  <w:footnote w:id="90">
    <w:p w14:paraId="5DDD6933" w14:textId="77777777" w:rsidR="00A36231" w:rsidRPr="00B0321D" w:rsidRDefault="00A36231" w:rsidP="008E5C6F">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Eric-Alain ZOUKOUA, « LA COMPLEMENTARITE DES APPROCHES THEORIQUES DE LA GOUVERNANCE : APPLICATION AU SECTEUR ASSOCIATIF », HAL Id : halshs-00558358, 2011, pp 4-5, disponible sur </w:t>
      </w:r>
      <w:hyperlink r:id="rId11" w:history="1">
        <w:r w:rsidRPr="00B0321D">
          <w:rPr>
            <w:rStyle w:val="Lienhypertexte"/>
            <w:rFonts w:cstheme="majorBidi"/>
            <w:sz w:val="18"/>
            <w:szCs w:val="18"/>
          </w:rPr>
          <w:t>https://shs.hal.science/halshs-00558358v1/document</w:t>
        </w:r>
      </w:hyperlink>
      <w:r w:rsidRPr="00B0321D">
        <w:rPr>
          <w:rFonts w:cstheme="majorBidi"/>
          <w:sz w:val="18"/>
          <w:szCs w:val="18"/>
        </w:rPr>
        <w:t xml:space="preserve"> , consulter le 10/04/2026</w:t>
      </w:r>
    </w:p>
  </w:footnote>
  <w:footnote w:id="91">
    <w:p w14:paraId="12199F40" w14:textId="77777777" w:rsidR="00A36231" w:rsidRPr="00771C26"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771C26">
        <w:rPr>
          <w:rFonts w:cstheme="majorBidi"/>
          <w:sz w:val="18"/>
          <w:szCs w:val="18"/>
        </w:rPr>
        <w:t xml:space="preserve"> Ibid., p5.</w:t>
      </w:r>
    </w:p>
  </w:footnote>
  <w:footnote w:id="92">
    <w:p w14:paraId="7BFF05EE" w14:textId="77777777" w:rsidR="00A36231" w:rsidRPr="00FB1481" w:rsidRDefault="00A36231" w:rsidP="00FB1481">
      <w:pPr>
        <w:pStyle w:val="Notedebasdepage"/>
        <w:ind w:firstLine="0"/>
        <w:rPr>
          <w:rFonts w:cstheme="majorBidi"/>
          <w:sz w:val="18"/>
          <w:szCs w:val="18"/>
        </w:rPr>
      </w:pPr>
      <w:r w:rsidRPr="00B0321D">
        <w:rPr>
          <w:rStyle w:val="Appelnotedebasdep"/>
          <w:rFonts w:cstheme="majorBidi"/>
          <w:sz w:val="18"/>
          <w:szCs w:val="18"/>
        </w:rPr>
        <w:footnoteRef/>
      </w:r>
      <w:r w:rsidRPr="00FB1481">
        <w:rPr>
          <w:rFonts w:cstheme="majorBidi"/>
          <w:sz w:val="18"/>
          <w:szCs w:val="18"/>
        </w:rPr>
        <w:t xml:space="preserve"> </w:t>
      </w:r>
      <w:r>
        <w:rPr>
          <w:rFonts w:cstheme="majorBidi"/>
          <w:sz w:val="18"/>
          <w:szCs w:val="18"/>
        </w:rPr>
        <w:t>Brédart</w:t>
      </w:r>
      <w:r w:rsidRPr="00FB1481">
        <w:rPr>
          <w:rFonts w:cstheme="majorBidi"/>
          <w:sz w:val="18"/>
          <w:szCs w:val="18"/>
        </w:rPr>
        <w:t xml:space="preserve"> Xavier, « Les systèmes nationaux de gouvernance </w:t>
      </w:r>
      <w:r>
        <w:rPr>
          <w:rFonts w:cstheme="majorBidi"/>
          <w:sz w:val="18"/>
          <w:szCs w:val="18"/>
        </w:rPr>
        <w:t xml:space="preserve">: typologies et évolution », </w:t>
      </w:r>
      <w:r w:rsidRPr="00FB1481">
        <w:rPr>
          <w:rFonts w:cstheme="majorBidi"/>
          <w:sz w:val="18"/>
          <w:szCs w:val="18"/>
        </w:rPr>
        <w:t>Revue des Sciences de Gestion</w:t>
      </w:r>
      <w:r>
        <w:rPr>
          <w:rFonts w:cstheme="majorBidi"/>
          <w:sz w:val="18"/>
          <w:szCs w:val="18"/>
        </w:rPr>
        <w:t>,</w:t>
      </w:r>
      <w:r w:rsidRPr="00FB1481">
        <w:rPr>
          <w:sz w:val="24"/>
          <w:szCs w:val="22"/>
        </w:rPr>
        <w:t xml:space="preserve"> </w:t>
      </w:r>
      <w:r w:rsidRPr="00FB1481">
        <w:rPr>
          <w:rFonts w:cstheme="majorBidi"/>
          <w:sz w:val="18"/>
          <w:szCs w:val="18"/>
        </w:rPr>
        <w:t>n° 275</w:t>
      </w:r>
      <w:r>
        <w:rPr>
          <w:rFonts w:cstheme="majorBidi"/>
          <w:sz w:val="18"/>
          <w:szCs w:val="18"/>
        </w:rPr>
        <w:t>, 2015, p34.</w:t>
      </w:r>
    </w:p>
  </w:footnote>
  <w:footnote w:id="93">
    <w:p w14:paraId="019377B2" w14:textId="77777777" w:rsidR="00A36231" w:rsidRPr="001C59F0" w:rsidRDefault="00A36231" w:rsidP="001C59F0">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Pr>
          <w:rFonts w:cstheme="majorBidi"/>
          <w:sz w:val="18"/>
          <w:szCs w:val="18"/>
        </w:rPr>
        <w:t>Brédart</w:t>
      </w:r>
      <w:r w:rsidRPr="00FB1481">
        <w:rPr>
          <w:rFonts w:cstheme="majorBidi"/>
          <w:sz w:val="18"/>
          <w:szCs w:val="18"/>
        </w:rPr>
        <w:t xml:space="preserve"> Xavier</w:t>
      </w:r>
      <w:r w:rsidRPr="001C59F0">
        <w:rPr>
          <w:rFonts w:cstheme="majorBidi"/>
          <w:sz w:val="18"/>
          <w:szCs w:val="18"/>
        </w:rPr>
        <w:t>, op.cit.</w:t>
      </w:r>
      <w:r>
        <w:rPr>
          <w:rFonts w:cstheme="majorBidi"/>
          <w:sz w:val="18"/>
          <w:szCs w:val="18"/>
        </w:rPr>
        <w:t>, p 35</w:t>
      </w:r>
      <w:r w:rsidRPr="001C59F0">
        <w:rPr>
          <w:rFonts w:cstheme="majorBidi"/>
          <w:sz w:val="18"/>
          <w:szCs w:val="18"/>
        </w:rPr>
        <w:t>.</w:t>
      </w:r>
    </w:p>
  </w:footnote>
  <w:footnote w:id="94">
    <w:p w14:paraId="1163A17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Julian Franks et Colin Mayer, « Corporate Ownership and Control in the U.K., Germany, and France », Journal of Applied Corporate Finance, vol. 9, issue 4, 1997, p 38.</w:t>
      </w:r>
    </w:p>
  </w:footnote>
  <w:footnote w:id="95">
    <w:p w14:paraId="3634FAE4"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P.W. MOERLAND, « Alternative disciplinary mechanisms in different corporate systems », Journal of Economic Behavior and Organization, vol 26, 1995, p21.</w:t>
      </w:r>
    </w:p>
  </w:footnote>
  <w:footnote w:id="96">
    <w:p w14:paraId="2989BA7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Mazaru Yoshimori « Whose company is it? The concept of the corporation in Japan and the west », Long range planning: LRP; international journal of strategic management, vol. 28, n°4, 1995, pp 39-41.</w:t>
      </w:r>
    </w:p>
  </w:footnote>
  <w:footnote w:id="97">
    <w:p w14:paraId="23C2F08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2" w:history="1">
        <w:r w:rsidRPr="00B0321D">
          <w:rPr>
            <w:rStyle w:val="Lienhypertexte"/>
            <w:rFonts w:cstheme="majorBidi"/>
            <w:sz w:val="18"/>
            <w:szCs w:val="18"/>
          </w:rPr>
          <w:t>https://www.alternatives-economiques.fr/dominique-plihon/entreprises-gouvernance-hybride/00023658</w:t>
        </w:r>
      </w:hyperlink>
      <w:r w:rsidRPr="00B0321D">
        <w:rPr>
          <w:rFonts w:cstheme="majorBidi"/>
          <w:sz w:val="18"/>
          <w:szCs w:val="18"/>
        </w:rPr>
        <w:t xml:space="preserve"> , consulter le 19/04/2026.</w:t>
      </w:r>
    </w:p>
  </w:footnote>
  <w:footnote w:id="98">
    <w:p w14:paraId="08920C3D"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رافع كمال، قطاف</w:t>
      </w:r>
      <w:r w:rsidRPr="00B0321D">
        <w:rPr>
          <w:rFonts w:cstheme="majorBidi"/>
          <w:sz w:val="18"/>
          <w:szCs w:val="18"/>
        </w:rPr>
        <w:t xml:space="preserve"> </w:t>
      </w:r>
      <w:r w:rsidRPr="00B0321D">
        <w:rPr>
          <w:rFonts w:cstheme="majorBidi"/>
          <w:sz w:val="18"/>
          <w:szCs w:val="18"/>
          <w:rtl/>
        </w:rPr>
        <w:t>عبد القادر وماحي محمد،</w:t>
      </w:r>
      <w:r w:rsidRPr="00B0321D">
        <w:rPr>
          <w:rFonts w:cstheme="majorBidi"/>
          <w:sz w:val="18"/>
          <w:szCs w:val="18"/>
        </w:rPr>
        <w:t xml:space="preserve">» </w:t>
      </w:r>
      <w:r w:rsidRPr="00B0321D">
        <w:rPr>
          <w:rFonts w:cstheme="majorBidi"/>
          <w:sz w:val="18"/>
          <w:szCs w:val="18"/>
          <w:rtl/>
        </w:rPr>
        <w:t>مدى إمكانية تطبيق حوكمة الشركات والمسؤولية الاجتماعية في المؤسسات الاقتصادية: المشاكل والآليات المقترحة لتفعيلها – حالة الجزائر</w:t>
      </w:r>
      <w:r w:rsidRPr="00B0321D">
        <w:rPr>
          <w:rFonts w:cstheme="majorBidi"/>
          <w:sz w:val="18"/>
          <w:szCs w:val="18"/>
        </w:rPr>
        <w:t> «</w:t>
      </w:r>
      <w:r w:rsidRPr="00B0321D">
        <w:rPr>
          <w:rFonts w:cstheme="majorBidi"/>
          <w:sz w:val="18"/>
          <w:szCs w:val="18"/>
          <w:rtl/>
        </w:rPr>
        <w:t xml:space="preserve">، مجلة آفاق للعلوم، المجلد 07، العدد 01، 2022، ص </w:t>
      </w:r>
      <w:r w:rsidRPr="00B0321D">
        <w:rPr>
          <w:rFonts w:cstheme="majorBidi"/>
          <w:sz w:val="18"/>
          <w:szCs w:val="18"/>
        </w:rPr>
        <w:t>5</w:t>
      </w:r>
      <w:r w:rsidRPr="00B0321D">
        <w:rPr>
          <w:rFonts w:cstheme="majorBidi"/>
          <w:sz w:val="18"/>
          <w:szCs w:val="18"/>
          <w:rtl/>
        </w:rPr>
        <w:t>89</w:t>
      </w:r>
      <w:r w:rsidRPr="00B0321D">
        <w:rPr>
          <w:rFonts w:cstheme="majorBidi"/>
          <w:sz w:val="18"/>
          <w:szCs w:val="18"/>
        </w:rPr>
        <w:t>.</w:t>
      </w:r>
    </w:p>
  </w:footnote>
  <w:footnote w:id="99">
    <w:p w14:paraId="65EC458B" w14:textId="77777777" w:rsidR="00A36231" w:rsidRPr="00B0321D" w:rsidRDefault="00A36231" w:rsidP="00343E64">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Malika AMGHAR, Moussa BOUKRIF, «La gouvernance d’entreprise : un concept ambivalent, quelle application pour le contexte algérien ? », Revue DIRASSAT, vol 8, n°3, 2017, p 283.</w:t>
      </w:r>
    </w:p>
  </w:footnote>
  <w:footnote w:id="100">
    <w:p w14:paraId="3434C6FB" w14:textId="77777777" w:rsidR="00A36231" w:rsidRPr="00B0321D" w:rsidRDefault="00A36231" w:rsidP="002127AA">
      <w:pPr>
        <w:pStyle w:val="Notedebasdepage"/>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Mal</w:t>
      </w:r>
      <w:r>
        <w:rPr>
          <w:rFonts w:cstheme="majorBidi"/>
          <w:sz w:val="18"/>
          <w:szCs w:val="18"/>
          <w:lang w:val="en-AE"/>
        </w:rPr>
        <w:t>ika AMGHAR, Moussa BOUKRIF,</w:t>
      </w:r>
      <w:r w:rsidRPr="00873B48">
        <w:rPr>
          <w:rFonts w:cstheme="majorBidi"/>
          <w:sz w:val="18"/>
          <w:szCs w:val="18"/>
          <w:lang w:val="en-AE"/>
        </w:rPr>
        <w:t>op.cit.</w:t>
      </w:r>
      <w:r w:rsidRPr="00B0321D">
        <w:rPr>
          <w:rFonts w:cstheme="majorBidi"/>
          <w:sz w:val="18"/>
          <w:szCs w:val="18"/>
          <w:lang w:val="en-AE"/>
        </w:rPr>
        <w:t>,p 284.</w:t>
      </w:r>
    </w:p>
  </w:footnote>
  <w:footnote w:id="101">
    <w:p w14:paraId="67C24AB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OCDE, « Principes de gouvernement d'entreprise de l'OCDE », OECD/LEGAL/0327, p7.</w:t>
      </w:r>
    </w:p>
  </w:footnote>
  <w:footnote w:id="102">
    <w:p w14:paraId="23B9763F" w14:textId="77777777" w:rsidR="00A36231" w:rsidRPr="00B0321D" w:rsidRDefault="00A36231" w:rsidP="00577546">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Mokhtar HAFS, « Les droits des actionnaires dans la société par actions », Revue des études juridiques comparées, vol 8, n°1, 2022, p 1025. </w:t>
      </w:r>
    </w:p>
  </w:footnote>
  <w:footnote w:id="103">
    <w:p w14:paraId="1CFA1CF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OCDE, « Principes de gouvernement d'entreprise de l'OCDE », op.cit., p8.</w:t>
      </w:r>
    </w:p>
  </w:footnote>
  <w:footnote w:id="104">
    <w:p w14:paraId="4235ED8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OCDE, « Principes de gouvernement d’entreprise de l’OCDE », ORGANISATION DE COOPÉRATION ET DE DÉVELOPPEMENT ÉCONOMIQUES, France, 2004, p20.</w:t>
      </w:r>
    </w:p>
  </w:footnote>
  <w:footnote w:id="105">
    <w:p w14:paraId="29E6E81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OCDE, « Principes de gouvernement d’entreprise du G20 et de l’OCDE », Rapport de l'OCDE aux ministres des Finances et aux gouverneurs des banques centrales du G20, 2015, pp39-41.</w:t>
      </w:r>
    </w:p>
  </w:footnote>
  <w:footnote w:id="106">
    <w:p w14:paraId="1A62276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OCDE, « Principes de l’OCDE relatifs au gouvernement d’entreprise », Réunion du Conseil de l'OCDE au niveau ministériel, 1999, p21.</w:t>
      </w:r>
    </w:p>
  </w:footnote>
  <w:footnote w:id="107">
    <w:p w14:paraId="428E4F9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OCDE, « Recommandation du Conseil relative aux Principes de gouvernance d’entreprise », OECD/LEGAL/0413, pp 35-45.</w:t>
      </w:r>
    </w:p>
  </w:footnote>
  <w:footnote w:id="108">
    <w:p w14:paraId="689138E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Comité de Bâle sur le contrôle bancaire, « Renforcement de la gouvernance d’entreprise dans les établissements bancaires », Banque des Règlements Internationaux, 2006, p20.</w:t>
      </w:r>
    </w:p>
  </w:footnote>
  <w:footnote w:id="109">
    <w:p w14:paraId="26404A29"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د. ولد محمد عيسى محمد محمود</w:t>
      </w:r>
      <w:r w:rsidRPr="00B0321D">
        <w:rPr>
          <w:rFonts w:cstheme="majorBidi"/>
          <w:sz w:val="18"/>
          <w:szCs w:val="18"/>
          <w:rtl/>
          <w:lang w:bidi="ar-DZ"/>
        </w:rPr>
        <w:t>،</w:t>
      </w:r>
      <w:r w:rsidRPr="00B0321D">
        <w:rPr>
          <w:rFonts w:cstheme="majorBidi"/>
          <w:sz w:val="18"/>
          <w:szCs w:val="18"/>
        </w:rPr>
        <w:t>» </w:t>
      </w:r>
      <w:r w:rsidRPr="00B0321D">
        <w:rPr>
          <w:rFonts w:cstheme="majorBidi"/>
          <w:sz w:val="18"/>
          <w:szCs w:val="18"/>
          <w:rtl/>
        </w:rPr>
        <w:t>قراءة في نظام حوكمة الشركات</w:t>
      </w:r>
      <w:r w:rsidRPr="00B0321D">
        <w:rPr>
          <w:rFonts w:cstheme="majorBidi"/>
          <w:sz w:val="18"/>
          <w:szCs w:val="18"/>
        </w:rPr>
        <w:t> «</w:t>
      </w:r>
      <w:r w:rsidRPr="00B0321D">
        <w:rPr>
          <w:rFonts w:cstheme="majorBidi"/>
          <w:sz w:val="18"/>
          <w:szCs w:val="18"/>
          <w:rtl/>
        </w:rPr>
        <w:t xml:space="preserve">، مجلة الاستراتيجية والتنمية، المجلد 3، العدد 5، </w:t>
      </w:r>
      <w:r w:rsidRPr="00B0321D">
        <w:rPr>
          <w:rFonts w:cstheme="majorBidi"/>
          <w:sz w:val="18"/>
          <w:szCs w:val="18"/>
        </w:rPr>
        <w:t>2013</w:t>
      </w:r>
      <w:r w:rsidRPr="00B0321D">
        <w:rPr>
          <w:rFonts w:cstheme="majorBidi"/>
          <w:sz w:val="18"/>
          <w:szCs w:val="18"/>
          <w:rtl/>
          <w:lang w:bidi="ar-DZ"/>
        </w:rPr>
        <w:t>،</w:t>
      </w:r>
      <w:r w:rsidRPr="00B0321D">
        <w:rPr>
          <w:rFonts w:cstheme="majorBidi"/>
          <w:sz w:val="18"/>
          <w:szCs w:val="18"/>
          <w:rtl/>
        </w:rPr>
        <w:t xml:space="preserve"> ص 260.</w:t>
      </w:r>
    </w:p>
  </w:footnote>
  <w:footnote w:id="110">
    <w:p w14:paraId="0B69DDBD" w14:textId="77777777" w:rsidR="00A36231" w:rsidRPr="00B0321D" w:rsidRDefault="00A36231" w:rsidP="0052058B">
      <w:pPr>
        <w:pStyle w:val="Notedebasdepage"/>
        <w:bidi/>
        <w:spacing w:before="0" w:beforeAutospacing="0" w:after="160" w:line="360" w:lineRule="auto"/>
        <w:ind w:firstLine="0"/>
        <w:rPr>
          <w:rFonts w:cstheme="majorBidi"/>
          <w:sz w:val="18"/>
          <w:szCs w:val="18"/>
          <w:lang w:bidi="ar-DZ"/>
        </w:rPr>
      </w:pPr>
      <w:r w:rsidRPr="00B0321D">
        <w:rPr>
          <w:rStyle w:val="Appelnotedebasdep"/>
          <w:rFonts w:cstheme="majorBidi"/>
          <w:sz w:val="18"/>
          <w:szCs w:val="18"/>
        </w:rPr>
        <w:footnoteRef/>
      </w:r>
      <w:r w:rsidRPr="00B0321D">
        <w:rPr>
          <w:rFonts w:cstheme="majorBidi"/>
          <w:sz w:val="18"/>
          <w:szCs w:val="18"/>
          <w:rtl/>
        </w:rPr>
        <w:t>لیلى غضبان،</w:t>
      </w:r>
      <w:r w:rsidRPr="00B0321D">
        <w:rPr>
          <w:rFonts w:cstheme="majorBidi"/>
          <w:sz w:val="18"/>
          <w:szCs w:val="18"/>
        </w:rPr>
        <w:t>»</w:t>
      </w:r>
      <w:r w:rsidRPr="00B0321D">
        <w:rPr>
          <w:rStyle w:val="Accentuation"/>
          <w:rFonts w:cstheme="majorBidi"/>
          <w:sz w:val="18"/>
          <w:szCs w:val="18"/>
          <w:rtl/>
        </w:rPr>
        <w:t xml:space="preserve"> مبادئ حوكمة الشركات– دراسة حالة الجزائر</w:t>
      </w:r>
      <w:r w:rsidRPr="00B0321D">
        <w:rPr>
          <w:rStyle w:val="Accentuation"/>
          <w:rFonts w:cstheme="majorBidi"/>
          <w:sz w:val="18"/>
          <w:szCs w:val="18"/>
        </w:rPr>
        <w:t> «</w:t>
      </w:r>
      <w:r w:rsidRPr="00B0321D">
        <w:rPr>
          <w:rStyle w:val="Accentuation"/>
          <w:rFonts w:cstheme="majorBidi"/>
          <w:sz w:val="18"/>
          <w:szCs w:val="18"/>
          <w:rtl/>
        </w:rPr>
        <w:t>،</w:t>
      </w:r>
      <w:r w:rsidRPr="00B0321D">
        <w:rPr>
          <w:rStyle w:val="Accentuation"/>
          <w:rFonts w:cstheme="majorBidi"/>
          <w:sz w:val="18"/>
          <w:szCs w:val="18"/>
        </w:rPr>
        <w:t> </w:t>
      </w:r>
      <w:r w:rsidRPr="00B0321D">
        <w:rPr>
          <w:rStyle w:val="Accentuation"/>
          <w:rFonts w:cstheme="majorBidi"/>
          <w:sz w:val="18"/>
          <w:szCs w:val="18"/>
          <w:rtl/>
        </w:rPr>
        <w:t>مجلة</w:t>
      </w:r>
      <w:r w:rsidRPr="00B0321D">
        <w:rPr>
          <w:rFonts w:cstheme="majorBidi"/>
          <w:sz w:val="18"/>
          <w:szCs w:val="18"/>
          <w:rtl/>
        </w:rPr>
        <w:t xml:space="preserve"> الدراسات القانونية والاقتصادية، المجلد 05، العدد 02، المركز الجامعي سي الحواس، بريكة – الجزائر، سنة 2022، ص</w:t>
      </w:r>
      <w:r w:rsidRPr="00B0321D">
        <w:rPr>
          <w:rFonts w:cstheme="majorBidi"/>
          <w:sz w:val="18"/>
          <w:szCs w:val="18"/>
        </w:rPr>
        <w:t>0</w:t>
      </w:r>
      <w:r w:rsidRPr="00B0321D">
        <w:rPr>
          <w:rFonts w:cstheme="majorBidi"/>
          <w:sz w:val="18"/>
          <w:szCs w:val="18"/>
          <w:rtl/>
        </w:rPr>
        <w:t>29.</w:t>
      </w:r>
    </w:p>
  </w:footnote>
  <w:footnote w:id="111">
    <w:p w14:paraId="776C6324" w14:textId="77777777" w:rsidR="00A36231" w:rsidRPr="00B0321D" w:rsidRDefault="00A36231" w:rsidP="00577546">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ICGN Global Governance Principles Influence, British Library Cataloguing in Publication Data, 2001, p 6, Disponible sur </w:t>
      </w:r>
      <w:hyperlink r:id="rId13" w:history="1">
        <w:r w:rsidRPr="00B0321D">
          <w:rPr>
            <w:rStyle w:val="Lienhypertexte"/>
            <w:rFonts w:cstheme="majorBidi"/>
            <w:sz w:val="18"/>
            <w:szCs w:val="18"/>
          </w:rPr>
          <w:t>https://www.icgn.org/sites/default/files/20211/ICGN%20Global%20Governance%20Principles%202021.pdf</w:t>
        </w:r>
      </w:hyperlink>
      <w:r w:rsidRPr="00B0321D">
        <w:rPr>
          <w:rFonts w:cstheme="majorBidi"/>
          <w:sz w:val="18"/>
          <w:szCs w:val="18"/>
        </w:rPr>
        <w:t xml:space="preserve"> , consulter le 20/03/2026.</w:t>
      </w:r>
    </w:p>
  </w:footnote>
  <w:footnote w:id="112">
    <w:p w14:paraId="142440DC" w14:textId="77777777" w:rsidR="00A36231" w:rsidRPr="00B0321D" w:rsidRDefault="00A36231" w:rsidP="002127AA">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ICGN Global Governance Principles Influence, op.cit, p7.</w:t>
      </w:r>
    </w:p>
  </w:footnote>
  <w:footnote w:id="113">
    <w:p w14:paraId="4DD8F73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A. Naciri, « Traité de gouvernance d’entreprise : l’approche scolaire », Ed 1, Presses de l’Université du Québec, 2011, p. 179.</w:t>
      </w:r>
    </w:p>
  </w:footnote>
  <w:footnote w:id="114">
    <w:p w14:paraId="1791A54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CHARREAUX Gérard, « Le conseil d’administration dans les théories de la gouvernance », La Revue du Financier, n°127, 2000, pp 4-10. </w:t>
      </w:r>
    </w:p>
  </w:footnote>
  <w:footnote w:id="115">
    <w:p w14:paraId="497F08AF"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DIAMOND, D., &amp; DYBVIG, P, « Bank run, Insurance and Liquidity », Journal of Political Economy, vol 91,issue 03, 1983, p130.</w:t>
      </w:r>
    </w:p>
  </w:footnote>
  <w:footnote w:id="116">
    <w:p w14:paraId="297D04A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CHARREAUX Gérard, op.cit., p12.</w:t>
      </w:r>
    </w:p>
  </w:footnote>
  <w:footnote w:id="117">
    <w:p w14:paraId="3C27734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Wirtz P., « Les meilleures pratiques de gouvernance d’entreprise ». Édition La Découverte, Paris, 2008, p29.</w:t>
      </w:r>
    </w:p>
  </w:footnote>
  <w:footnote w:id="118">
    <w:p w14:paraId="507E15A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Zahra, S. et Pearce, J., « Boards of directors and corporate financial performance : A review and integrative model ». Journal of Management, Vol. 15, n° 2, 1989, p 302.</w:t>
      </w:r>
    </w:p>
  </w:footnote>
  <w:footnote w:id="119">
    <w:p w14:paraId="10117D9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Parrat, F., « Théories et pratiques de la gouvernance d’entreprise ». Ed. Maxima, 2014, P 64.</w:t>
      </w:r>
    </w:p>
  </w:footnote>
  <w:footnote w:id="120">
    <w:p w14:paraId="0A0CB0A1"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rPr>
        <w:t xml:space="preserve">Appercel, R. et Valognes, F., « Audit et contrôle interne », Ed. </w:t>
      </w:r>
      <w:r w:rsidRPr="00B0321D">
        <w:rPr>
          <w:rFonts w:cstheme="majorBidi"/>
          <w:sz w:val="18"/>
          <w:szCs w:val="18"/>
          <w:lang w:val="en-AE"/>
        </w:rPr>
        <w:t>Ellipses, Paris, 2022, P 2.</w:t>
      </w:r>
    </w:p>
  </w:footnote>
  <w:footnote w:id="121">
    <w:p w14:paraId="23E0B3A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Jensen, M. C, « The Modem Industrial Revolution, Exit, and the Failure of Internal Control Systems », Journal of Finance, vol 48, n°3, 1993, p 25.</w:t>
      </w:r>
    </w:p>
  </w:footnote>
  <w:footnote w:id="122">
    <w:p w14:paraId="7E580898"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Carter, C. B. and Lorsch, J, « Back to the drawing Board: Designing corporate boards for a complex world »,Boston,MA : Harvard Business School Press, 2003, p839.</w:t>
      </w:r>
    </w:p>
  </w:footnote>
  <w:footnote w:id="123">
    <w:p w14:paraId="124E98A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FRC The UK corporate governance code, London : Financial Reporting Council, 2010, p20.</w:t>
      </w:r>
    </w:p>
  </w:footnote>
  <w:footnote w:id="124">
    <w:p w14:paraId="6C42BB4B"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Mohamed BENZBIR ,Mohamed HAMDAOUI, « Governance mechanisms and corporate performance: a systematic review of the literature »,Internatinal Journal of Accounting,Finance,Auditing,Management and Economics,Vol. 4, issue 1, 2023, p 205.</w:t>
      </w:r>
    </w:p>
  </w:footnote>
  <w:footnote w:id="125">
    <w:p w14:paraId="571825C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Sirine TOUMI, « L’IMPACT DES MECANISMES DE GOUVERNANCE DANS LA GESTION DES RISQUES BANCAIRES ET LA PERFORMANCE DES BANQUES », Thèse de doctorat en Sciences Economiques, Université Nice Sophia Antipolis-Université de Tunis (cotutelle), 12 décembre 2016, p17.</w:t>
      </w:r>
    </w:p>
  </w:footnote>
  <w:footnote w:id="126">
    <w:p w14:paraId="546E351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Cabane P, op.cit., page 197.</w:t>
      </w:r>
    </w:p>
  </w:footnote>
  <w:footnote w:id="127">
    <w:p w14:paraId="22F849A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Sirine TOUMI, op.cit., 37.</w:t>
      </w:r>
    </w:p>
  </w:footnote>
  <w:footnote w:id="128">
    <w:p w14:paraId="2A2DE39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PIOT.C, KERMICHE.L, «A quoi serve les comités d’audit ? », comptabilité-contrôle-audit, Numéro thématique, Décembre 2009, p 11.</w:t>
      </w:r>
    </w:p>
  </w:footnote>
  <w:footnote w:id="129">
    <w:p w14:paraId="3D809E2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Ploix, H, « Le dirigeant et le gouvernement d’entreprise », Ed. Village mondial (Pearson Education), 2003, page 78.</w:t>
      </w:r>
    </w:p>
  </w:footnote>
  <w:footnote w:id="130">
    <w:p w14:paraId="0A3FFB8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4" w:history="1">
        <w:r w:rsidRPr="00B0321D">
          <w:rPr>
            <w:rStyle w:val="Lienhypertexte"/>
            <w:rFonts w:cstheme="majorBidi"/>
            <w:sz w:val="18"/>
            <w:szCs w:val="18"/>
          </w:rPr>
          <w:t>https://www.ifa-asso.com/</w:t>
        </w:r>
      </w:hyperlink>
      <w:r w:rsidRPr="00B0321D">
        <w:rPr>
          <w:rFonts w:cstheme="majorBidi"/>
          <w:sz w:val="18"/>
          <w:szCs w:val="18"/>
        </w:rPr>
        <w:t xml:space="preserve"> , consulter le 25/04/2026.</w:t>
      </w:r>
    </w:p>
  </w:footnote>
  <w:footnote w:id="131">
    <w:p w14:paraId="53A1878B"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IDRISSI, N., &amp; CHARIF, A., « The impact of the internal governance mechanisms on the value creation »,International Journal of Accounting-Finance-Auditing, Management and Economics, vol. 3, n° 3-2, 2022,p 177. </w:t>
      </w:r>
    </w:p>
  </w:footnote>
  <w:footnote w:id="132">
    <w:p w14:paraId="76D9B1F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Klein, A, « Firm Performance and Board Committee Structure », Journal of Law an Economics, Vol.41, 1998, p. 137.</w:t>
      </w:r>
    </w:p>
  </w:footnote>
  <w:footnote w:id="133">
    <w:p w14:paraId="188E369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Mongiardino, A. and Plath, C, « Risk governance at large banks: Have any lessons been learned », Journal of Risk Management in Financial Institutions, vol. 3, 2010, p116.</w:t>
      </w:r>
    </w:p>
  </w:footnote>
  <w:footnote w:id="134">
    <w:p w14:paraId="22D1061D" w14:textId="77777777" w:rsidR="00A36231" w:rsidRPr="00B0321D" w:rsidRDefault="00A36231" w:rsidP="00356CCD">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Style w:val="citation-59"/>
          <w:rFonts w:cstheme="majorBidi"/>
          <w:sz w:val="18"/>
          <w:szCs w:val="18"/>
        </w:rPr>
        <w:t>IIA, « Code de déontologie », Cadre de référence internationale des pratiques professi</w:t>
      </w:r>
      <w:r>
        <w:rPr>
          <w:rStyle w:val="citation-59"/>
          <w:rFonts w:cstheme="majorBidi"/>
          <w:sz w:val="18"/>
          <w:szCs w:val="18"/>
        </w:rPr>
        <w:t>onnelles (CRIPP), Édition 2017 ,</w:t>
      </w:r>
      <w:r w:rsidRPr="00B0321D">
        <w:rPr>
          <w:rStyle w:val="citation-59"/>
          <w:rFonts w:cstheme="majorBidi"/>
          <w:sz w:val="18"/>
          <w:szCs w:val="18"/>
        </w:rPr>
        <w:t>p 1.</w:t>
      </w:r>
    </w:p>
  </w:footnote>
  <w:footnote w:id="135">
    <w:p w14:paraId="47E45669" w14:textId="77777777" w:rsidR="00A36231" w:rsidRPr="00B0321D" w:rsidRDefault="00A36231" w:rsidP="00EB3186">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Pr>
          <w:rFonts w:cstheme="majorBidi"/>
          <w:sz w:val="18"/>
          <w:szCs w:val="18"/>
        </w:rPr>
        <w:t>IIA</w:t>
      </w:r>
      <w:r w:rsidRPr="00B0321D">
        <w:rPr>
          <w:rFonts w:cstheme="majorBidi"/>
          <w:sz w:val="18"/>
          <w:szCs w:val="18"/>
        </w:rPr>
        <w:t xml:space="preserve">, « L’audit interne et l’audit externe : des rôles distincts dans la gouvernance organisationnelle », n° 8, </w:t>
      </w:r>
      <w:r w:rsidRPr="00356CCD">
        <w:rPr>
          <w:rFonts w:cstheme="majorBidi"/>
          <w:sz w:val="18"/>
          <w:szCs w:val="18"/>
        </w:rPr>
        <w:t>Perspectives internationales</w:t>
      </w:r>
      <w:r w:rsidRPr="00B0321D">
        <w:rPr>
          <w:rFonts w:cstheme="majorBidi"/>
          <w:sz w:val="18"/>
          <w:szCs w:val="18"/>
        </w:rPr>
        <w:t>, 2017, p 5.</w:t>
      </w:r>
    </w:p>
  </w:footnote>
  <w:footnote w:id="136">
    <w:p w14:paraId="1DD3C5C0"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5" w:history="1">
        <w:r w:rsidRPr="00B0321D">
          <w:rPr>
            <w:rStyle w:val="Lienhypertexte"/>
            <w:rFonts w:cstheme="majorBidi"/>
            <w:sz w:val="18"/>
            <w:szCs w:val="18"/>
          </w:rPr>
          <w:t>https://fr.scribd.com/document/468606073/299981623-Demarche-de-l-Audit-Interne-1</w:t>
        </w:r>
      </w:hyperlink>
      <w:r w:rsidRPr="00B0321D">
        <w:rPr>
          <w:rFonts w:cstheme="majorBidi"/>
          <w:sz w:val="18"/>
          <w:szCs w:val="18"/>
        </w:rPr>
        <w:t xml:space="preserve"> , consulter le 25/04/2026.</w:t>
      </w:r>
    </w:p>
  </w:footnote>
  <w:footnote w:id="137">
    <w:p w14:paraId="605614C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Caby, J., Hirigoyen G., « création de valeur et gouvernance d’entreprise », édition 3, Economica, paris, 2005, p 103.</w:t>
      </w:r>
    </w:p>
  </w:footnote>
  <w:footnote w:id="138">
    <w:p w14:paraId="6168728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Charreaux, G., « Le conseil d’administration dans les théories de la gouvernance », op.cit., p 13.</w:t>
      </w:r>
    </w:p>
  </w:footnote>
  <w:footnote w:id="139">
    <w:p w14:paraId="7EFDB8F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Dhahri-Sellami N., « Convergence entre les institutions de gouvernance publique et privée : rôle des Systèmes Nationaux de Gouvernance. Cas des pays du Maghreb : Tunisie-Algérie-Maroc ». Thèse de Doctorat en Sciences Économiques, Université de Bordeaux IV-Université de Tunis (cotutelle), 2012, p 52.</w:t>
      </w:r>
    </w:p>
  </w:footnote>
  <w:footnote w:id="140">
    <w:p w14:paraId="66AEEB5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Bancel F., « La gouvernance des entreprises ». Édition Economica, Paris, 1997, p 24.</w:t>
      </w:r>
    </w:p>
  </w:footnote>
  <w:footnote w:id="141">
    <w:p w14:paraId="5F869D2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IDRISSI, N. &amp; LOULID, A., « Effet des mécanismes de gouvernance sur la performance des sociétés marocaines cotées en bourse », Revue du Contrôle de la Comptabilité et de l’Audit, vol 2, n° 1, 2018, p 102.</w:t>
      </w:r>
    </w:p>
  </w:footnote>
  <w:footnote w:id="142">
    <w:p w14:paraId="4A47BE6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Charreaux G., « Le gouvernement des entreprises ; corporate gouvernance : théories et faits », op.cit., p421-469.</w:t>
      </w:r>
    </w:p>
  </w:footnote>
  <w:footnote w:id="143">
    <w:p w14:paraId="3D5F679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6" w:history="1">
        <w:r w:rsidRPr="00B0321D">
          <w:rPr>
            <w:rStyle w:val="Lienhypertexte"/>
            <w:rFonts w:cstheme="majorBidi"/>
            <w:sz w:val="18"/>
            <w:szCs w:val="18"/>
          </w:rPr>
          <w:t>https://www.petite-entreprise.net/P-2884-84-G1-definition-l-audit-externe.html</w:t>
        </w:r>
      </w:hyperlink>
      <w:r w:rsidRPr="00B0321D">
        <w:rPr>
          <w:rFonts w:cstheme="majorBidi"/>
          <w:sz w:val="18"/>
          <w:szCs w:val="18"/>
        </w:rPr>
        <w:t xml:space="preserve"> , consulter le 26/04/2026.</w:t>
      </w:r>
    </w:p>
  </w:footnote>
  <w:footnote w:id="144">
    <w:p w14:paraId="10157887"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 xml:space="preserve">إبراهيم إسحاق نسمان، </w:t>
      </w:r>
      <w:r w:rsidRPr="00B0321D">
        <w:rPr>
          <w:rFonts w:cstheme="majorBidi"/>
          <w:sz w:val="18"/>
          <w:szCs w:val="18"/>
        </w:rPr>
        <w:t>»</w:t>
      </w:r>
      <w:r w:rsidRPr="00B0321D">
        <w:rPr>
          <w:rFonts w:cstheme="majorBidi"/>
          <w:sz w:val="18"/>
          <w:szCs w:val="18"/>
          <w:rtl/>
        </w:rPr>
        <w:t>دور إدارة المراجعة الداخلية في تفعيل مبادئ الحوكمة -دراسة تطبيقية على قطاع المصارف العاملة في</w:t>
      </w:r>
      <w:r w:rsidRPr="00B0321D">
        <w:rPr>
          <w:rFonts w:cstheme="majorBidi"/>
          <w:sz w:val="18"/>
          <w:szCs w:val="18"/>
        </w:rPr>
        <w:t xml:space="preserve"> </w:t>
      </w:r>
      <w:r w:rsidRPr="00B0321D">
        <w:rPr>
          <w:rFonts w:cstheme="majorBidi"/>
          <w:sz w:val="18"/>
          <w:szCs w:val="18"/>
          <w:rtl/>
        </w:rPr>
        <w:t>فلسطين</w:t>
      </w:r>
      <w:r w:rsidRPr="00B0321D">
        <w:rPr>
          <w:rFonts w:cstheme="majorBidi"/>
          <w:sz w:val="18"/>
          <w:szCs w:val="18"/>
        </w:rPr>
        <w:t>«</w:t>
      </w:r>
      <w:r w:rsidRPr="00B0321D">
        <w:rPr>
          <w:rFonts w:cstheme="majorBidi"/>
          <w:sz w:val="18"/>
          <w:szCs w:val="18"/>
          <w:rtl/>
        </w:rPr>
        <w:t>، مذكرة ماجستير</w:t>
      </w:r>
      <w:r w:rsidRPr="00B0321D">
        <w:rPr>
          <w:rFonts w:cstheme="majorBidi"/>
          <w:sz w:val="18"/>
          <w:szCs w:val="18"/>
        </w:rPr>
        <w:t xml:space="preserve"> </w:t>
      </w:r>
      <w:r w:rsidRPr="00B0321D">
        <w:rPr>
          <w:rFonts w:cstheme="majorBidi"/>
          <w:sz w:val="18"/>
          <w:szCs w:val="18"/>
          <w:rtl/>
        </w:rPr>
        <w:t>في المحاسبة والتمويل، كلية التجارة، الجامعة الإسلامية، غزة، 2009، ص</w:t>
      </w:r>
      <w:r w:rsidRPr="00B0321D">
        <w:rPr>
          <w:rFonts w:cstheme="majorBidi"/>
          <w:sz w:val="18"/>
          <w:szCs w:val="18"/>
        </w:rPr>
        <w:t>.20</w:t>
      </w:r>
    </w:p>
  </w:footnote>
  <w:footnote w:id="145">
    <w:p w14:paraId="22BD8BC4"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عدنان درويش، حوكمة الشركات ودور مجلس الإدارة، اتحاد المصارف العربية، الطبعة الأولى، بيروت، لبنان، 2007، ص ص</w:t>
      </w:r>
      <w:r w:rsidRPr="00B0321D">
        <w:rPr>
          <w:rFonts w:cstheme="majorBidi"/>
          <w:sz w:val="18"/>
          <w:szCs w:val="18"/>
        </w:rPr>
        <w:t xml:space="preserve">. 33-32 </w:t>
      </w:r>
    </w:p>
  </w:footnote>
  <w:footnote w:id="146">
    <w:p w14:paraId="5CA7A4EF"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 xml:space="preserve">بشرى عبد الوهاب، محمد حسن، دليل مقترح لتفعيل لجنة التدقيق لدعم تنفيذ حوكمة الشركات وآليتها، مجلة الغري للعلوم الاقتصادية والإدارية، كلية الإدارة والاقتصاد، جامعة الكوفة، العراق، المجلد 8، العدد 22، </w:t>
      </w:r>
      <w:r w:rsidRPr="00B0321D">
        <w:rPr>
          <w:rStyle w:val="lev"/>
          <w:rFonts w:cstheme="majorBidi"/>
          <w:sz w:val="18"/>
          <w:szCs w:val="18"/>
        </w:rPr>
        <w:t>2012</w:t>
      </w:r>
      <w:r w:rsidRPr="00B0321D">
        <w:rPr>
          <w:rFonts w:cstheme="majorBidi"/>
          <w:sz w:val="18"/>
          <w:szCs w:val="18"/>
          <w:rtl/>
        </w:rPr>
        <w:t xml:space="preserve">، ص </w:t>
      </w:r>
      <w:r w:rsidRPr="00B0321D">
        <w:rPr>
          <w:rFonts w:cstheme="majorBidi"/>
          <w:sz w:val="18"/>
          <w:szCs w:val="18"/>
        </w:rPr>
        <w:t>6</w:t>
      </w:r>
      <w:r w:rsidRPr="00B0321D">
        <w:rPr>
          <w:rFonts w:cstheme="majorBidi"/>
          <w:sz w:val="18"/>
          <w:szCs w:val="18"/>
          <w:rtl/>
        </w:rPr>
        <w:t>20</w:t>
      </w:r>
      <w:r w:rsidRPr="00B0321D">
        <w:rPr>
          <w:rFonts w:cstheme="majorBidi"/>
          <w:sz w:val="18"/>
          <w:szCs w:val="18"/>
        </w:rPr>
        <w:t>.</w:t>
      </w:r>
    </w:p>
  </w:footnote>
  <w:footnote w:id="147">
    <w:p w14:paraId="266F50A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Rapport sur le développement en Afrique, « Chapitre 7 : La gouvernance d’entreprise », 2011, p 150.</w:t>
      </w:r>
    </w:p>
  </w:footnote>
  <w:footnote w:id="148">
    <w:p w14:paraId="1775B26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Porter Michael E., Kramer Mark R., « Strategy and Society: The Link Between Competitive Advantage and Corporate Social Responsibility », Harvard Business Review, Vol. 84, N°12, 2006, p. 79.</w:t>
      </w:r>
    </w:p>
    <w:p w14:paraId="1949881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p>
    <w:p w14:paraId="34F77596"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p>
  </w:footnote>
  <w:footnote w:id="149">
    <w:p w14:paraId="1466C60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AGUILERA Ruth V., JACKSON Gregory, « The Cross-National Diversity of Corporate Governance: Dimensions and Determinants », </w:t>
      </w:r>
      <w:r w:rsidRPr="00B0321D">
        <w:rPr>
          <w:rFonts w:cstheme="majorBidi"/>
          <w:i/>
          <w:iCs/>
          <w:sz w:val="18"/>
          <w:szCs w:val="18"/>
          <w:lang w:val="en-AE"/>
        </w:rPr>
        <w:t>Academy of Management Review</w:t>
      </w:r>
      <w:r w:rsidRPr="00B0321D">
        <w:rPr>
          <w:rFonts w:cstheme="majorBidi"/>
          <w:sz w:val="18"/>
          <w:szCs w:val="18"/>
          <w:lang w:val="en-AE"/>
        </w:rPr>
        <w:t>, Vol. 28, N°3, 2003, p. 451.</w:t>
      </w:r>
    </w:p>
  </w:footnote>
  <w:footnote w:id="150">
    <w:p w14:paraId="45C889E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PASQUERO Jean, « Éthique des affaires, responsabilité sociale et gouvernance sociétale : démêler l’écheveau », Gestion, Vol. 32, N°1, Québec, Canada, 2007, p.114.</w:t>
      </w:r>
    </w:p>
  </w:footnote>
  <w:footnote w:id="151">
    <w:p w14:paraId="39606BE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IGALENS Jacques, GOND Jean-Pascal, </w:t>
      </w:r>
      <w:r w:rsidRPr="00B0321D">
        <w:rPr>
          <w:rFonts w:cstheme="majorBidi"/>
          <w:i/>
          <w:iCs/>
          <w:sz w:val="18"/>
          <w:szCs w:val="18"/>
        </w:rPr>
        <w:t>La responsabilité sociale de l’entreprise</w:t>
      </w:r>
      <w:r w:rsidRPr="00B0321D">
        <w:rPr>
          <w:rFonts w:cstheme="majorBidi"/>
          <w:sz w:val="18"/>
          <w:szCs w:val="18"/>
        </w:rPr>
        <w:t>, Humensis, Paris, 2017, p. 14.</w:t>
      </w:r>
    </w:p>
  </w:footnote>
  <w:footnote w:id="152">
    <w:p w14:paraId="4318E4E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CARROLL Archie B., BUCHHOLTZ Ann K., </w:t>
      </w:r>
      <w:r w:rsidRPr="00B0321D">
        <w:rPr>
          <w:rStyle w:val="Accentuation"/>
          <w:rFonts w:cstheme="majorBidi"/>
          <w:sz w:val="18"/>
          <w:szCs w:val="18"/>
          <w:lang w:val="en-AE"/>
        </w:rPr>
        <w:t>Business &amp; Society: Ethics and Stakeholder Management</w:t>
      </w:r>
      <w:r w:rsidRPr="00B0321D">
        <w:rPr>
          <w:rFonts w:cstheme="majorBidi"/>
          <w:sz w:val="18"/>
          <w:szCs w:val="18"/>
          <w:lang w:val="en-AE"/>
        </w:rPr>
        <w:t>, 3rd edition, South-Western College Publishing, Cincinnati, États-Unis, 1996, p.657.</w:t>
      </w:r>
    </w:p>
  </w:footnote>
  <w:footnote w:id="153">
    <w:p w14:paraId="2D120CD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BALLET Jérôme, DE BRY Françoise, </w:t>
      </w:r>
      <w:r w:rsidRPr="00B0321D">
        <w:rPr>
          <w:rStyle w:val="Accentuation"/>
          <w:rFonts w:cstheme="majorBidi"/>
          <w:sz w:val="18"/>
          <w:szCs w:val="18"/>
        </w:rPr>
        <w:t>L’entreprise et l’éthique</w:t>
      </w:r>
      <w:r w:rsidRPr="00B0321D">
        <w:rPr>
          <w:rFonts w:cstheme="majorBidi"/>
          <w:sz w:val="18"/>
          <w:szCs w:val="18"/>
        </w:rPr>
        <w:t>, Éditions du Seuil, paris, 2001, p.75.</w:t>
      </w:r>
    </w:p>
  </w:footnote>
  <w:footnote w:id="154">
    <w:p w14:paraId="28828FC9"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PASQUERO Jean, op cit., p117.</w:t>
      </w:r>
    </w:p>
  </w:footnote>
  <w:footnote w:id="155">
    <w:p w14:paraId="33D2CE0A" w14:textId="77777777" w:rsidR="00A36231" w:rsidRPr="00B0321D" w:rsidRDefault="00A36231" w:rsidP="0052058B">
      <w:pPr>
        <w:pStyle w:val="Notedebasdepage"/>
        <w:spacing w:before="0" w:beforeAutospacing="0" w:after="160" w:line="360" w:lineRule="auto"/>
        <w:ind w:firstLine="0"/>
        <w:rPr>
          <w:rFonts w:cstheme="majorBidi"/>
          <w:sz w:val="18"/>
          <w:szCs w:val="18"/>
          <w:rtl/>
        </w:rPr>
      </w:pPr>
      <w:r w:rsidRPr="00B0321D">
        <w:rPr>
          <w:rStyle w:val="Appelnotedebasdep"/>
          <w:rFonts w:cstheme="majorBidi"/>
          <w:sz w:val="18"/>
          <w:szCs w:val="18"/>
        </w:rPr>
        <w:footnoteRef/>
      </w:r>
      <w:r w:rsidRPr="00B0321D">
        <w:rPr>
          <w:rFonts w:cstheme="majorBidi"/>
          <w:sz w:val="18"/>
          <w:szCs w:val="18"/>
        </w:rPr>
        <w:t xml:space="preserve"> ARISTOTE, </w:t>
      </w:r>
      <w:r w:rsidRPr="00B0321D">
        <w:rPr>
          <w:rFonts w:cstheme="majorBidi"/>
          <w:i/>
          <w:iCs/>
          <w:sz w:val="18"/>
          <w:szCs w:val="18"/>
        </w:rPr>
        <w:t>Éthique à Nicomaque</w:t>
      </w:r>
      <w:r w:rsidRPr="00B0321D">
        <w:rPr>
          <w:rFonts w:cstheme="majorBidi"/>
          <w:sz w:val="18"/>
          <w:szCs w:val="18"/>
        </w:rPr>
        <w:t>, Livre VI, éd. Jean-Yves Château (dir.), Collection « Tradition de la pensée classique », Librairie Philosophique J. Vrin, Paris, 1997, p.271.</w:t>
      </w:r>
    </w:p>
  </w:footnote>
  <w:footnote w:id="156">
    <w:p w14:paraId="39371C11"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EPSTEIN Edwin M., « Religion and Business – The Critical Role of Religious Traditions in Management Education », Journal of Business Ethics, Vol. 38, N°1–2, 2002, p.94.</w:t>
      </w:r>
    </w:p>
  </w:footnote>
  <w:footnote w:id="157">
    <w:p w14:paraId="123C8821" w14:textId="77777777" w:rsidR="00A36231" w:rsidRPr="00B0321D" w:rsidRDefault="00A36231" w:rsidP="0052058B">
      <w:pPr>
        <w:pStyle w:val="Notedebasdepage"/>
        <w:spacing w:before="0" w:beforeAutospacing="0" w:after="160" w:line="360" w:lineRule="auto"/>
        <w:ind w:firstLine="0"/>
        <w:rPr>
          <w:rFonts w:cstheme="majorBidi"/>
          <w:sz w:val="18"/>
          <w:szCs w:val="18"/>
          <w:rtl/>
          <w:lang w:bidi="ar-DZ"/>
        </w:rPr>
      </w:pPr>
      <w:r w:rsidRPr="00B0321D">
        <w:rPr>
          <w:rStyle w:val="Appelnotedebasdep"/>
          <w:rFonts w:cstheme="majorBidi"/>
          <w:sz w:val="18"/>
          <w:szCs w:val="18"/>
        </w:rPr>
        <w:footnoteRef/>
      </w:r>
      <w:r w:rsidRPr="00B0321D">
        <w:rPr>
          <w:rFonts w:cstheme="majorBidi"/>
          <w:sz w:val="18"/>
          <w:szCs w:val="18"/>
          <w:lang w:bidi="ar-DZ"/>
        </w:rPr>
        <w:t>KANT Emmanuel, Fondements de la métaphysique des mœurs, Le Livre de Poche, Collection « Les Classiques de la philosophie », Paris, 1993, p. 111.</w:t>
      </w:r>
    </w:p>
  </w:footnote>
  <w:footnote w:id="158">
    <w:p w14:paraId="373F063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PASQUERO Jean, op.cit., p118.</w:t>
      </w:r>
    </w:p>
  </w:footnote>
  <w:footnote w:id="159">
    <w:p w14:paraId="07DD8C73" w14:textId="77777777" w:rsidR="00A36231" w:rsidRPr="00B0321D" w:rsidRDefault="00A36231" w:rsidP="003D0E92">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DUBRION Benjamin, « Gestion des ressources humaines et responsabilité sociale des entreprises : éclairer des évolutions nouvelles à la lumière de questionnements anciens », Management &amp; Avenir, vol 39, N°9, Paris, 2010, p. 44.</w:t>
      </w:r>
    </w:p>
  </w:footnote>
  <w:footnote w:id="160">
    <w:p w14:paraId="5961DAE9" w14:textId="77777777" w:rsidR="00A36231" w:rsidRPr="00B0321D" w:rsidRDefault="00A36231" w:rsidP="003D0E92">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PASQUERO Jean, « Business Ethics and National Identity in Quebec: Distinctiveness and Directions », Journal of Business Ethics, Vol. 16, N°06,1997, p. 629.</w:t>
      </w:r>
    </w:p>
  </w:footnote>
  <w:footnote w:id="161">
    <w:p w14:paraId="1A181342" w14:textId="77777777" w:rsidR="00A36231" w:rsidRPr="00B0321D" w:rsidRDefault="00A36231" w:rsidP="003D0E92">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DONALDSON Thomas, PRESTON Lee E., « The Stakeholder Theory of the Corporation: Concepts, Evidence, and Implications », Academy of Management Review, Vol. 20, N°01,New York, 1995, p.78.</w:t>
      </w:r>
    </w:p>
  </w:footnote>
  <w:footnote w:id="162">
    <w:p w14:paraId="28A7930F"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FREEMAN R. Edward, « Strategic Management: A Stakeholder Approach », Pitman Publishing, Boston, 1984, p. 46.</w:t>
      </w:r>
    </w:p>
  </w:footnote>
  <w:footnote w:id="163">
    <w:p w14:paraId="3FC17640"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tl/>
        </w:rPr>
        <w:t xml:space="preserve">عبد الرزاق سالم الرحاحلة، المسؤولية الاجتماعية، دار الإعصار العلمي للنشر والتوزيع، الأردن ،2011 ص </w:t>
      </w:r>
      <w:r w:rsidRPr="00B0321D">
        <w:rPr>
          <w:rFonts w:cstheme="majorBidi"/>
          <w:sz w:val="18"/>
          <w:szCs w:val="18"/>
        </w:rPr>
        <w:t>.75</w:t>
      </w:r>
    </w:p>
  </w:footnote>
  <w:footnote w:id="164">
    <w:p w14:paraId="7BE239E2" w14:textId="77777777" w:rsidR="00A36231" w:rsidRPr="00B0321D" w:rsidRDefault="00A36231" w:rsidP="00951BD4">
      <w:pPr>
        <w:pStyle w:val="Notedebasdepage"/>
        <w:spacing w:before="0" w:beforeAutospacing="0" w:after="160" w:line="360" w:lineRule="auto"/>
        <w:ind w:firstLine="0"/>
        <w:rPr>
          <w:rFonts w:cstheme="majorBidi"/>
          <w:sz w:val="18"/>
          <w:szCs w:val="18"/>
          <w:rtl/>
          <w:lang w:bidi="ar-DZ"/>
        </w:rPr>
      </w:pPr>
      <w:r w:rsidRPr="00B0321D">
        <w:rPr>
          <w:rStyle w:val="Appelnotedebasdep"/>
          <w:rFonts w:cstheme="majorBidi"/>
          <w:sz w:val="18"/>
          <w:szCs w:val="18"/>
        </w:rPr>
        <w:footnoteRef/>
      </w:r>
      <w:r w:rsidRPr="00B0321D">
        <w:rPr>
          <w:rFonts w:cstheme="majorBidi"/>
          <w:color w:val="000000"/>
          <w:sz w:val="18"/>
          <w:szCs w:val="18"/>
        </w:rPr>
        <w:t>HOLLANDTS Xavier, VALIORGUE Bertrand, « La RSE comme processus entrepreneurial de conversion de valeurs sociales en valeur marchande : un examen empirique du lien entre engagements sociétaux et performance économique des entreprises françaises cotées entre 1999 et 2009 », Revue de l’Organisation Responsable, Vol. 6, N°2, Paris, 2011, p.35.</w:t>
      </w:r>
    </w:p>
  </w:footnote>
  <w:footnote w:id="165">
    <w:p w14:paraId="30D37BA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17" w:tgtFrame="_new" w:history="1">
        <w:r w:rsidRPr="00B0321D">
          <w:rPr>
            <w:rStyle w:val="Lienhypertexte"/>
            <w:rFonts w:cstheme="majorBidi"/>
            <w:sz w:val="18"/>
            <w:szCs w:val="18"/>
          </w:rPr>
          <w:t>https://fr.scribd.com/document/508499767/rse-les-approches</w:t>
        </w:r>
      </w:hyperlink>
      <w:r w:rsidRPr="00B0321D">
        <w:rPr>
          <w:rFonts w:cstheme="majorBidi"/>
          <w:sz w:val="18"/>
          <w:szCs w:val="18"/>
        </w:rPr>
        <w:t xml:space="preserve"> consulté le 12/02/2026.</w:t>
      </w:r>
    </w:p>
  </w:footnote>
  <w:footnote w:id="166">
    <w:p w14:paraId="3C3A91F3"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FREEMAN R. Edward, </w:t>
      </w:r>
      <w:r w:rsidRPr="00B0321D">
        <w:rPr>
          <w:rFonts w:cstheme="majorBidi"/>
          <w:i/>
          <w:iCs/>
          <w:sz w:val="18"/>
          <w:szCs w:val="18"/>
          <w:lang w:val="en-AE"/>
        </w:rPr>
        <w:t>Strategic Management: A Stakeholder Approach</w:t>
      </w:r>
      <w:r w:rsidRPr="00B0321D">
        <w:rPr>
          <w:rFonts w:cstheme="majorBidi"/>
          <w:sz w:val="18"/>
          <w:szCs w:val="18"/>
          <w:lang w:val="en-AE"/>
        </w:rPr>
        <w:t>, Cambridge, Cambridge University Press, 2015, p. 53.</w:t>
      </w:r>
    </w:p>
  </w:footnote>
  <w:footnote w:id="167">
    <w:p w14:paraId="2DFDF58A"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Waddock S. A., Graves S. B., </w:t>
      </w:r>
      <w:r w:rsidRPr="00B0321D">
        <w:rPr>
          <w:rFonts w:cstheme="majorBidi"/>
          <w:i/>
          <w:iCs/>
          <w:sz w:val="18"/>
          <w:szCs w:val="18"/>
          <w:lang w:val="en-AE"/>
        </w:rPr>
        <w:t>The Corporate Social Performance–Financial Performance Link</w:t>
      </w:r>
      <w:r w:rsidRPr="00B0321D">
        <w:rPr>
          <w:rFonts w:cstheme="majorBidi"/>
          <w:sz w:val="18"/>
          <w:szCs w:val="18"/>
          <w:lang w:val="en-AE"/>
        </w:rPr>
        <w:t>, Strategic Management Journal, Vol. 18, No. 4, Wiley, April 1997, p. 303.</w:t>
      </w:r>
    </w:p>
  </w:footnote>
  <w:footnote w:id="168">
    <w:p w14:paraId="02C175F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Waddock S. A., Graves S. B., op cit,.p.312.</w:t>
      </w:r>
    </w:p>
  </w:footnote>
  <w:footnote w:id="169">
    <w:p w14:paraId="52D66AFA"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Davis K., “Can Business Afford to Ignore Social Responsibilities?”, California Management Review, Vol. 2, No. 3, University of California Press, April 1960, p. 76.</w:t>
      </w:r>
    </w:p>
  </w:footnote>
  <w:footnote w:id="170">
    <w:p w14:paraId="06D2DD2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Joualy D., “La responsabilité sociale des entreprises : historique et contexte d’émergence du construit”, Revue Internationale des Sciences de Gestion, Vol. 5, No. 3, 2022, p. 1040.</w:t>
      </w:r>
    </w:p>
  </w:footnote>
  <w:footnote w:id="171">
    <w:p w14:paraId="627AF3F6" w14:textId="77777777" w:rsidR="00A36231" w:rsidRPr="00B0321D" w:rsidRDefault="00A36231" w:rsidP="0052058B">
      <w:pPr>
        <w:spacing w:before="0" w:beforeAutospacing="0"/>
        <w:ind w:firstLine="0"/>
        <w:rPr>
          <w:rFonts w:eastAsia="Times New Roman" w:cstheme="majorBidi"/>
          <w:color w:val="222222"/>
          <w:sz w:val="18"/>
          <w:szCs w:val="18"/>
          <w:lang w:val="en-AE" w:eastAsia="fr-FR"/>
        </w:rPr>
      </w:pPr>
      <w:r w:rsidRPr="00B0321D">
        <w:rPr>
          <w:rStyle w:val="Appelnotedebasdep"/>
          <w:rFonts w:cstheme="majorBidi"/>
          <w:sz w:val="18"/>
          <w:szCs w:val="18"/>
        </w:rPr>
        <w:footnoteRef/>
      </w:r>
      <w:r w:rsidRPr="00B0321D">
        <w:rPr>
          <w:rFonts w:cstheme="majorBidi"/>
          <w:sz w:val="18"/>
          <w:szCs w:val="18"/>
          <w:lang w:val="en-AE"/>
        </w:rPr>
        <w:t xml:space="preserve"> K. Davis, op cit,. p.76.</w:t>
      </w:r>
    </w:p>
  </w:footnote>
  <w:footnote w:id="172">
    <w:p w14:paraId="21EE198F"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Joualy D., op cit,. 1045.</w:t>
      </w:r>
    </w:p>
  </w:footnote>
  <w:footnote w:id="173">
    <w:p w14:paraId="465739B9" w14:textId="77777777" w:rsidR="00A36231" w:rsidRPr="00B0321D" w:rsidRDefault="00A36231" w:rsidP="0052058B">
      <w:pPr>
        <w:spacing w:before="0" w:beforeAutospacing="0"/>
        <w:ind w:firstLine="0"/>
        <w:rPr>
          <w:rFonts w:eastAsia="Times New Roman" w:cstheme="majorBidi"/>
          <w:i/>
          <w:iCs/>
          <w:color w:val="222222"/>
          <w:sz w:val="18"/>
          <w:szCs w:val="18"/>
          <w:lang w:val="en-AE" w:eastAsia="fr-FR"/>
        </w:rPr>
      </w:pPr>
      <w:r w:rsidRPr="00B0321D">
        <w:rPr>
          <w:rStyle w:val="Appelnotedebasdep"/>
          <w:rFonts w:cstheme="majorBidi"/>
          <w:sz w:val="18"/>
          <w:szCs w:val="18"/>
        </w:rPr>
        <w:footnoteRef/>
      </w:r>
      <w:r w:rsidRPr="00B0321D">
        <w:rPr>
          <w:rFonts w:cstheme="majorBidi"/>
          <w:sz w:val="18"/>
          <w:szCs w:val="18"/>
          <w:lang w:val="en-AE"/>
        </w:rPr>
        <w:t xml:space="preserve"> McWilliams A., Siegel D., “Corporate Social Responsibility: A Theory of the Firm Perspective”, Academy of Management Review, Vol. 26, No. 1, January 2001, p. 120.</w:t>
      </w:r>
    </w:p>
  </w:footnote>
  <w:footnote w:id="174">
    <w:p w14:paraId="1B4E3F95" w14:textId="77777777" w:rsidR="00A36231" w:rsidRPr="00B0321D" w:rsidRDefault="00A36231" w:rsidP="0052058B">
      <w:pPr>
        <w:pStyle w:val="Notedebasdepage"/>
        <w:spacing w:before="0" w:beforeAutospacing="0" w:after="160" w:line="360" w:lineRule="auto"/>
        <w:ind w:firstLine="0"/>
        <w:rPr>
          <w:rFonts w:cstheme="majorBidi"/>
          <w:i/>
          <w:iCs/>
          <w:sz w:val="18"/>
          <w:szCs w:val="18"/>
        </w:rPr>
      </w:pPr>
      <w:r w:rsidRPr="00B0321D">
        <w:rPr>
          <w:rStyle w:val="Appelnotedebasdep"/>
          <w:rFonts w:cstheme="majorBidi"/>
          <w:sz w:val="18"/>
          <w:szCs w:val="18"/>
        </w:rPr>
        <w:footnoteRef/>
      </w:r>
      <w:r w:rsidRPr="00B0321D">
        <w:rPr>
          <w:rFonts w:cstheme="majorBidi"/>
          <w:sz w:val="18"/>
          <w:szCs w:val="18"/>
        </w:rPr>
        <w:t>Zahm F., Mouchet C., “De la Responsabilité Sociétale d’une exploitation agricole à la mesure de sa Performance Globale : revue de la littérature et application avec la méthode IDEA”, Économie et Institutions, n°18-19, 2012, p. 100.</w:t>
      </w:r>
    </w:p>
  </w:footnote>
  <w:footnote w:id="175">
    <w:p w14:paraId="23E9F4A6"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Jaiswal S., Kharwar S. S., “Environmental Responsibility as a Core Dimension of Corporate Social Responsibility: A Conceptual Framework”, Journal of Economics and Management, Vol. 5, No. 2, April 2026, p. 43.</w:t>
      </w:r>
    </w:p>
  </w:footnote>
  <w:footnote w:id="176">
    <w:p w14:paraId="615B3CA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Acquier A., Aggeri F., “Une généalogie de la pensée managériale sur la RSE”, Revue française de gestion, Vol. 34, No. 180, 2008, p. 132.</w:t>
      </w:r>
    </w:p>
  </w:footnote>
  <w:footnote w:id="177">
    <w:p w14:paraId="04329CE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Garriga E., Melé D., “Corporate Social Responsibility Theories: Mapping the Territory”, Journal of Business Ethics, Vol. 53, No. 1/2, Springer, August 2004, p. 55.</w:t>
      </w:r>
    </w:p>
  </w:footnote>
  <w:footnote w:id="178">
    <w:p w14:paraId="24BAE3CD" w14:textId="77777777" w:rsidR="00A36231" w:rsidRPr="00B0321D" w:rsidRDefault="00A36231" w:rsidP="0052058B">
      <w:pPr>
        <w:spacing w:before="0" w:beforeAutospacing="0"/>
        <w:ind w:firstLine="0"/>
        <w:rPr>
          <w:rFonts w:eastAsia="Times New Roman" w:cstheme="majorBidi"/>
          <w:sz w:val="18"/>
          <w:szCs w:val="18"/>
          <w:lang w:val="en-AE" w:eastAsia="fr-FR"/>
        </w:rPr>
      </w:pPr>
      <w:r w:rsidRPr="00B0321D">
        <w:rPr>
          <w:rStyle w:val="Appelnotedebasdep"/>
          <w:rFonts w:cstheme="majorBidi"/>
          <w:sz w:val="18"/>
          <w:szCs w:val="18"/>
        </w:rPr>
        <w:footnoteRef/>
      </w:r>
      <w:r w:rsidRPr="00B0321D">
        <w:rPr>
          <w:rFonts w:eastAsia="Times New Roman" w:cstheme="majorBidi"/>
          <w:sz w:val="18"/>
          <w:szCs w:val="18"/>
          <w:lang w:val="en-AE" w:eastAsia="fr-FR"/>
        </w:rPr>
        <w:t xml:space="preserve">H. L. Johnson, </w:t>
      </w:r>
      <w:r w:rsidRPr="00B0321D">
        <w:rPr>
          <w:rFonts w:eastAsia="Times New Roman" w:cstheme="majorBidi"/>
          <w:i/>
          <w:iCs/>
          <w:sz w:val="18"/>
          <w:szCs w:val="18"/>
          <w:lang w:val="en-AE" w:eastAsia="fr-FR"/>
        </w:rPr>
        <w:t>Business in Contemporary Society: Framework and Issues</w:t>
      </w:r>
      <w:r w:rsidRPr="00B0321D">
        <w:rPr>
          <w:rFonts w:eastAsia="Times New Roman" w:cstheme="majorBidi"/>
          <w:sz w:val="18"/>
          <w:szCs w:val="18"/>
          <w:lang w:val="en-AE" w:eastAsia="fr-FR"/>
        </w:rPr>
        <w:t>, Belmont, Wadsworth, 1971, p. 19.</w:t>
      </w:r>
    </w:p>
  </w:footnote>
  <w:footnote w:id="179">
    <w:p w14:paraId="30C1EFB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color w:val="000000"/>
          <w:sz w:val="18"/>
          <w:szCs w:val="18"/>
          <w:lang w:val="en-AE"/>
        </w:rPr>
        <w:t xml:space="preserve">Committee for Economic Development (CED), </w:t>
      </w:r>
      <w:r w:rsidRPr="00B0321D">
        <w:rPr>
          <w:rFonts w:cstheme="majorBidi"/>
          <w:i/>
          <w:iCs/>
          <w:color w:val="000000"/>
          <w:sz w:val="18"/>
          <w:szCs w:val="18"/>
          <w:lang w:val="en-AE"/>
        </w:rPr>
        <w:t>Social Responsibilities of Business Corporations</w:t>
      </w:r>
      <w:r w:rsidRPr="00B0321D">
        <w:rPr>
          <w:rFonts w:cstheme="majorBidi"/>
          <w:color w:val="000000"/>
          <w:sz w:val="18"/>
          <w:szCs w:val="18"/>
          <w:lang w:val="en-AE"/>
        </w:rPr>
        <w:t>, New York, , 1971, p. 31.</w:t>
      </w:r>
    </w:p>
  </w:footnote>
  <w:footnote w:id="180">
    <w:p w14:paraId="1B14FFF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K. Davis, « The Case for and Against Business Assumption of Social Responsibilities », </w:t>
      </w:r>
      <w:r w:rsidRPr="00B0321D">
        <w:rPr>
          <w:rStyle w:val="Accentuation"/>
          <w:rFonts w:cstheme="majorBidi"/>
          <w:sz w:val="18"/>
          <w:szCs w:val="18"/>
          <w:lang w:val="en-AE"/>
        </w:rPr>
        <w:t>Academy of Management Journal</w:t>
      </w:r>
      <w:r w:rsidRPr="00B0321D">
        <w:rPr>
          <w:rFonts w:cstheme="majorBidi"/>
          <w:sz w:val="18"/>
          <w:szCs w:val="18"/>
          <w:lang w:val="en-AE"/>
        </w:rPr>
        <w:t>, vol. 16, n°2, 1973, p. 317.</w:t>
      </w:r>
    </w:p>
  </w:footnote>
  <w:footnote w:id="181">
    <w:p w14:paraId="0FAC761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S. P. Sethi, « Dimensions of Corporate Social Performance », </w:t>
      </w:r>
      <w:r w:rsidRPr="00B0321D">
        <w:rPr>
          <w:rFonts w:cstheme="majorBidi"/>
          <w:i/>
          <w:iCs/>
          <w:sz w:val="18"/>
          <w:szCs w:val="18"/>
          <w:lang w:val="en-AE"/>
        </w:rPr>
        <w:t>California Management Review</w:t>
      </w:r>
      <w:r w:rsidRPr="00B0321D">
        <w:rPr>
          <w:rFonts w:cstheme="majorBidi"/>
          <w:sz w:val="18"/>
          <w:szCs w:val="18"/>
          <w:lang w:val="en-AE"/>
        </w:rPr>
        <w:t>, vol. 17, n°3, 1975, p. 59.</w:t>
      </w:r>
    </w:p>
  </w:footnote>
  <w:footnote w:id="182">
    <w:p w14:paraId="663AC4D1"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R. Ackerman, </w:t>
      </w:r>
      <w:r w:rsidRPr="00B0321D">
        <w:rPr>
          <w:rFonts w:cstheme="majorBidi"/>
          <w:i/>
          <w:iCs/>
          <w:sz w:val="18"/>
          <w:szCs w:val="18"/>
          <w:lang w:val="en-AE"/>
        </w:rPr>
        <w:t>The Social Challenge to Business</w:t>
      </w:r>
      <w:r w:rsidRPr="00B0321D">
        <w:rPr>
          <w:rFonts w:cstheme="majorBidi"/>
          <w:sz w:val="18"/>
          <w:szCs w:val="18"/>
          <w:lang w:val="en-AE"/>
        </w:rPr>
        <w:t>, Cambridge, Harvard University Press, 1975, p. 53.</w:t>
      </w:r>
    </w:p>
  </w:footnote>
  <w:footnote w:id="183">
    <w:p w14:paraId="779D60D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T. M. Jones, « Corporate Social Responsibility Revisited, Redefined », </w:t>
      </w:r>
      <w:r w:rsidRPr="00B0321D">
        <w:rPr>
          <w:rFonts w:cstheme="majorBidi"/>
          <w:i/>
          <w:iCs/>
          <w:sz w:val="18"/>
          <w:szCs w:val="18"/>
          <w:lang w:val="en-AE"/>
        </w:rPr>
        <w:t>California Management Review</w:t>
      </w:r>
      <w:r w:rsidRPr="00B0321D">
        <w:rPr>
          <w:rFonts w:cstheme="majorBidi"/>
          <w:sz w:val="18"/>
          <w:szCs w:val="18"/>
          <w:lang w:val="en-AE"/>
        </w:rPr>
        <w:t>, vol. 22, 1980, p. 59.</w:t>
      </w:r>
    </w:p>
  </w:footnote>
  <w:footnote w:id="184">
    <w:p w14:paraId="6B97F21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D. R. Dalton et A. Cosier, « The Four Faces of Social Responsibility », </w:t>
      </w:r>
      <w:r w:rsidRPr="00B0321D">
        <w:rPr>
          <w:rFonts w:cstheme="majorBidi"/>
          <w:i/>
          <w:iCs/>
          <w:sz w:val="18"/>
          <w:szCs w:val="18"/>
          <w:lang w:val="en-AE"/>
        </w:rPr>
        <w:t>Business Horizons</w:t>
      </w:r>
      <w:r w:rsidRPr="00B0321D">
        <w:rPr>
          <w:rFonts w:cstheme="majorBidi"/>
          <w:sz w:val="18"/>
          <w:szCs w:val="18"/>
          <w:lang w:val="en-AE"/>
        </w:rPr>
        <w:t>, vol. 25, n°3, 1982, p. 19.</w:t>
      </w:r>
    </w:p>
  </w:footnote>
  <w:footnote w:id="185">
    <w:p w14:paraId="3F2E3C3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D. J. Wood, « Corporate Social Performance Revisited », </w:t>
      </w:r>
      <w:r w:rsidRPr="00B0321D">
        <w:rPr>
          <w:rStyle w:val="Accentuation"/>
          <w:rFonts w:cstheme="majorBidi"/>
          <w:sz w:val="18"/>
          <w:szCs w:val="18"/>
          <w:lang w:val="en-AE"/>
        </w:rPr>
        <w:t>Academy of Management Review</w:t>
      </w:r>
      <w:r w:rsidRPr="00B0321D">
        <w:rPr>
          <w:rFonts w:cstheme="majorBidi"/>
          <w:sz w:val="18"/>
          <w:szCs w:val="18"/>
          <w:lang w:val="en-AE"/>
        </w:rPr>
        <w:t>, vol. 16, n°4, 1991, p. 699.</w:t>
      </w:r>
    </w:p>
  </w:footnote>
  <w:footnote w:id="186">
    <w:p w14:paraId="6BC99D5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D. L. Swanson, « Addressing a theoretical problem by reorienting the corporate social performance model », </w:t>
      </w:r>
      <w:r w:rsidRPr="00B0321D">
        <w:rPr>
          <w:rStyle w:val="Accentuation"/>
          <w:rFonts w:cstheme="majorBidi"/>
          <w:sz w:val="18"/>
          <w:szCs w:val="18"/>
          <w:lang w:val="en-AE"/>
        </w:rPr>
        <w:t>Academy of Management Review</w:t>
      </w:r>
      <w:r w:rsidRPr="00B0321D">
        <w:rPr>
          <w:rFonts w:cstheme="majorBidi"/>
          <w:sz w:val="18"/>
          <w:szCs w:val="18"/>
          <w:lang w:val="en-AE"/>
        </w:rPr>
        <w:t>, vol. 20, n°1, 1995, p. 47.</w:t>
      </w:r>
    </w:p>
  </w:footnote>
  <w:footnote w:id="187">
    <w:p w14:paraId="30A600C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R. Roman, S. Hayibor et B. Agle, « The relationship between social and financial performance », </w:t>
      </w:r>
      <w:r w:rsidRPr="00B0321D">
        <w:rPr>
          <w:rStyle w:val="Accentuation"/>
          <w:rFonts w:cstheme="majorBidi"/>
          <w:sz w:val="18"/>
          <w:szCs w:val="18"/>
          <w:lang w:val="en-AE"/>
        </w:rPr>
        <w:t>Business &amp; Society</w:t>
      </w:r>
      <w:r w:rsidRPr="00B0321D">
        <w:rPr>
          <w:rFonts w:cstheme="majorBidi"/>
          <w:sz w:val="18"/>
          <w:szCs w:val="18"/>
          <w:lang w:val="en-AE"/>
        </w:rPr>
        <w:t>, vol. 38, 1999, p. 110.</w:t>
      </w:r>
    </w:p>
  </w:footnote>
  <w:footnote w:id="188">
    <w:p w14:paraId="6B77A030" w14:textId="77777777" w:rsidR="00A36231" w:rsidRPr="00B0321D" w:rsidRDefault="00A36231" w:rsidP="00EB3186">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EB3186">
        <w:rPr>
          <w:rFonts w:cstheme="majorBidi"/>
          <w:sz w:val="18"/>
          <w:szCs w:val="18"/>
        </w:rPr>
        <w:t xml:space="preserve">A. Acquier et F. Aggeri, « Une généalogie de la pensée managériale sur la RSE », </w:t>
      </w:r>
      <w:r w:rsidRPr="00EB3186">
        <w:rPr>
          <w:rFonts w:cstheme="majorBidi"/>
          <w:i/>
          <w:iCs/>
          <w:sz w:val="18"/>
          <w:szCs w:val="18"/>
        </w:rPr>
        <w:t>Revue française de gestion</w:t>
      </w:r>
      <w:r w:rsidRPr="00EB3186">
        <w:rPr>
          <w:rFonts w:cstheme="majorBidi"/>
          <w:sz w:val="18"/>
          <w:szCs w:val="18"/>
        </w:rPr>
        <w:t>, vol. 34, n°180, 2008, p. 133.</w:t>
      </w:r>
    </w:p>
  </w:footnote>
  <w:footnote w:id="189">
    <w:p w14:paraId="6749347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U. Beck, </w:t>
      </w:r>
      <w:r w:rsidRPr="00B0321D">
        <w:rPr>
          <w:rStyle w:val="Accentuation"/>
          <w:rFonts w:cstheme="majorBidi"/>
          <w:sz w:val="18"/>
          <w:szCs w:val="18"/>
        </w:rPr>
        <w:t>La société du risque : sur la voie d’une autre modernité</w:t>
      </w:r>
      <w:r w:rsidRPr="00B0321D">
        <w:rPr>
          <w:rFonts w:cstheme="majorBidi"/>
          <w:sz w:val="18"/>
          <w:szCs w:val="18"/>
        </w:rPr>
        <w:t>, Flammarion, Paris, 2001, p. 40.</w:t>
      </w:r>
    </w:p>
  </w:footnote>
  <w:footnote w:id="190">
    <w:p w14:paraId="7E6FA4B4"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D. Vogel, </w:t>
      </w:r>
      <w:r w:rsidRPr="00B0321D">
        <w:rPr>
          <w:rFonts w:cstheme="majorBidi"/>
          <w:i/>
          <w:iCs/>
          <w:sz w:val="18"/>
          <w:szCs w:val="18"/>
          <w:lang w:val="en-AE"/>
        </w:rPr>
        <w:t>The Market for Virtue: The Potential and Limits of Corporate Social Responsibility</w:t>
      </w:r>
      <w:r w:rsidRPr="00B0321D">
        <w:rPr>
          <w:rFonts w:cstheme="majorBidi"/>
          <w:sz w:val="18"/>
          <w:szCs w:val="18"/>
          <w:lang w:val="en-AE"/>
        </w:rPr>
        <w:t>, Washington, Brookings Institution Press, 2005, p. 64.</w:t>
      </w:r>
    </w:p>
  </w:footnote>
  <w:footnote w:id="191">
    <w:p w14:paraId="1C0E92E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J.-P. Delsol, « Responsabilité », </w:t>
      </w:r>
      <w:r w:rsidRPr="00B0321D">
        <w:rPr>
          <w:rStyle w:val="Accentuation"/>
          <w:rFonts w:cstheme="majorBidi"/>
          <w:sz w:val="18"/>
          <w:szCs w:val="18"/>
        </w:rPr>
        <w:t>Journal des Libertés</w:t>
      </w:r>
      <w:r w:rsidRPr="00B0321D">
        <w:rPr>
          <w:rFonts w:cstheme="majorBidi"/>
          <w:sz w:val="18"/>
          <w:szCs w:val="18"/>
        </w:rPr>
        <w:t>, n°8, 2020, p. 117</w:t>
      </w:r>
      <w:r w:rsidRPr="00B0321D">
        <w:rPr>
          <w:rStyle w:val="citation-64"/>
          <w:rFonts w:cstheme="majorBidi"/>
          <w:sz w:val="18"/>
          <w:szCs w:val="18"/>
        </w:rPr>
        <w:t>.</w:t>
      </w:r>
    </w:p>
  </w:footnote>
  <w:footnote w:id="192">
    <w:p w14:paraId="7626E8D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GUINCHARD et DEBART, </w:t>
      </w:r>
      <w:r w:rsidRPr="00B0321D">
        <w:rPr>
          <w:rStyle w:val="Accentuation"/>
          <w:rFonts w:cstheme="majorBidi"/>
          <w:sz w:val="18"/>
          <w:szCs w:val="18"/>
        </w:rPr>
        <w:t>Lexique des termes juridiques</w:t>
      </w:r>
      <w:r w:rsidRPr="00B0321D">
        <w:rPr>
          <w:rFonts w:cstheme="majorBidi"/>
          <w:sz w:val="18"/>
          <w:szCs w:val="18"/>
        </w:rPr>
        <w:t>, Dalloz, 2019-2020, p. 955.</w:t>
      </w:r>
    </w:p>
  </w:footnote>
  <w:footnote w:id="193">
    <w:p w14:paraId="4DC00F3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18" w:tgtFrame="_new" w:history="1">
        <w:r w:rsidRPr="00B0321D">
          <w:rPr>
            <w:rStyle w:val="Lienhypertexte"/>
            <w:rFonts w:cstheme="majorBidi"/>
            <w:sz w:val="18"/>
            <w:szCs w:val="18"/>
          </w:rPr>
          <w:t>http://www.larousse.fr</w:t>
        </w:r>
      </w:hyperlink>
      <w:r w:rsidRPr="00B0321D">
        <w:rPr>
          <w:rFonts w:cstheme="majorBidi"/>
          <w:sz w:val="18"/>
          <w:szCs w:val="18"/>
        </w:rPr>
        <w:t>: consulté le 14/02/2026.</w:t>
      </w:r>
    </w:p>
  </w:footnote>
  <w:footnote w:id="194">
    <w:p w14:paraId="5C13D1E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É. Durkheim, « </w:t>
      </w:r>
      <w:r w:rsidRPr="00B0321D">
        <w:rPr>
          <w:rStyle w:val="Accentuation"/>
          <w:rFonts w:cstheme="majorBidi"/>
          <w:i w:val="0"/>
          <w:iCs w:val="0"/>
          <w:sz w:val="18"/>
          <w:szCs w:val="18"/>
        </w:rPr>
        <w:t>De la division du travail social »</w:t>
      </w:r>
      <w:r w:rsidRPr="00B0321D">
        <w:rPr>
          <w:rFonts w:cstheme="majorBidi"/>
          <w:i/>
          <w:iCs/>
          <w:sz w:val="18"/>
          <w:szCs w:val="18"/>
        </w:rPr>
        <w:t>,</w:t>
      </w:r>
      <w:r w:rsidRPr="00B0321D">
        <w:rPr>
          <w:rFonts w:cstheme="majorBidi"/>
          <w:sz w:val="18"/>
          <w:szCs w:val="18"/>
        </w:rPr>
        <w:t xml:space="preserve"> Félix Alcan, Paris, 1893, p. 79.</w:t>
      </w:r>
    </w:p>
  </w:footnote>
  <w:footnote w:id="195">
    <w:p w14:paraId="7F682B2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H. R. Bowen, </w:t>
      </w:r>
      <w:r w:rsidRPr="00B0321D">
        <w:rPr>
          <w:rStyle w:val="Accentuation"/>
          <w:rFonts w:cstheme="majorBidi"/>
          <w:i w:val="0"/>
          <w:iCs w:val="0"/>
          <w:sz w:val="18"/>
          <w:szCs w:val="18"/>
          <w:lang w:val="en-AE"/>
        </w:rPr>
        <w:t>Social Responsibilities of the Businessman</w:t>
      </w:r>
      <w:r w:rsidRPr="00B0321D">
        <w:rPr>
          <w:rFonts w:cstheme="majorBidi"/>
          <w:sz w:val="18"/>
          <w:szCs w:val="18"/>
          <w:lang w:val="en-AE"/>
        </w:rPr>
        <w:t>, Harper &amp; Brothers, New York, 1953, p. 6.</w:t>
      </w:r>
    </w:p>
  </w:footnote>
  <w:footnote w:id="196">
    <w:p w14:paraId="5A4BBB99" w14:textId="77777777" w:rsidR="00A36231" w:rsidRPr="00B0321D" w:rsidRDefault="00A36231" w:rsidP="00951BD4">
      <w:pPr>
        <w:pStyle w:val="Notedebasdepage"/>
        <w:spacing w:before="0" w:beforeAutospacing="0"/>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J. W. McGuire, « </w:t>
      </w:r>
      <w:r w:rsidRPr="00B0321D">
        <w:rPr>
          <w:rStyle w:val="Accentuation"/>
          <w:rFonts w:cstheme="majorBidi"/>
          <w:i w:val="0"/>
          <w:iCs w:val="0"/>
          <w:sz w:val="18"/>
          <w:szCs w:val="18"/>
          <w:lang w:val="en-AE"/>
        </w:rPr>
        <w:t>Business and Society »</w:t>
      </w:r>
      <w:r w:rsidRPr="00B0321D">
        <w:rPr>
          <w:rFonts w:cstheme="majorBidi"/>
          <w:sz w:val="18"/>
          <w:szCs w:val="18"/>
          <w:lang w:val="en-AE"/>
        </w:rPr>
        <w:t>,</w:t>
      </w:r>
      <w:r w:rsidRPr="00B0321D">
        <w:rPr>
          <w:rFonts w:eastAsia="Times New Roman" w:cstheme="majorBidi"/>
          <w:sz w:val="18"/>
          <w:szCs w:val="18"/>
          <w:lang w:val="en-AE" w:eastAsia="fr-FR"/>
        </w:rPr>
        <w:t xml:space="preserve"> </w:t>
      </w:r>
      <w:r w:rsidRPr="00B0321D">
        <w:rPr>
          <w:rFonts w:cstheme="majorBidi"/>
          <w:sz w:val="18"/>
          <w:szCs w:val="18"/>
          <w:lang w:val="en-AE"/>
        </w:rPr>
        <w:t>McGraw-Hill, New York,1963, p. 28.</w:t>
      </w:r>
    </w:p>
  </w:footnote>
  <w:footnote w:id="197">
    <w:p w14:paraId="2668CD5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Gendre-Aegerter, « La perception du dirigeant de PME de sa responsabilité sociale», thèse de doctorat en science de gestion, Université de Fribourg, 2008, p. 136.</w:t>
      </w:r>
    </w:p>
  </w:footnote>
  <w:footnote w:id="198">
    <w:p w14:paraId="1D9AB75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 Hoffman et J.-Y. Saulquin, « Quand la RSE revisite la chaîne de valeur », </w:t>
      </w:r>
      <w:r w:rsidRPr="00B0321D">
        <w:rPr>
          <w:rStyle w:val="Accentuation"/>
          <w:rFonts w:cstheme="majorBidi"/>
          <w:i w:val="0"/>
          <w:iCs w:val="0"/>
          <w:sz w:val="18"/>
          <w:szCs w:val="18"/>
        </w:rPr>
        <w:t>Management &amp; Avenir</w:t>
      </w:r>
      <w:r w:rsidRPr="00B0321D">
        <w:rPr>
          <w:rFonts w:cstheme="majorBidi"/>
          <w:sz w:val="18"/>
          <w:szCs w:val="18"/>
        </w:rPr>
        <w:t>, vol 28, n°8 2009, p. 38.</w:t>
      </w:r>
    </w:p>
  </w:footnote>
  <w:footnote w:id="199">
    <w:p w14:paraId="53781636"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D. J. Wood, </w:t>
      </w:r>
      <w:r w:rsidRPr="00B0321D">
        <w:rPr>
          <w:rStyle w:val="lev"/>
          <w:rFonts w:cstheme="majorBidi"/>
          <w:b w:val="0"/>
          <w:bCs w:val="0"/>
          <w:sz w:val="18"/>
          <w:szCs w:val="18"/>
          <w:lang w:val="en-AE"/>
        </w:rPr>
        <w:t>op. cit</w:t>
      </w:r>
      <w:r w:rsidRPr="00B0321D">
        <w:rPr>
          <w:rFonts w:cstheme="majorBidi"/>
          <w:sz w:val="18"/>
          <w:szCs w:val="18"/>
          <w:lang w:val="en-AE"/>
        </w:rPr>
        <w:t>., p. 39.</w:t>
      </w:r>
    </w:p>
  </w:footnote>
  <w:footnote w:id="200">
    <w:p w14:paraId="40F909C2" w14:textId="77777777" w:rsidR="00A36231" w:rsidRPr="00B0321D" w:rsidRDefault="00A36231" w:rsidP="00EB3186">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EB3186">
        <w:rPr>
          <w:rFonts w:cstheme="majorBidi"/>
          <w:sz w:val="18"/>
          <w:szCs w:val="18"/>
        </w:rPr>
        <w:t>F. Pestre, « La responsabilité sociale des entreprises multinationales », L’Harmattan, Paris, 2013, p. 25.</w:t>
      </w:r>
    </w:p>
  </w:footnote>
  <w:footnote w:id="201">
    <w:p w14:paraId="2CF81FC9"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19" w:history="1">
        <w:r w:rsidRPr="00B0321D">
          <w:rPr>
            <w:rStyle w:val="Lienhypertexte"/>
            <w:rFonts w:cstheme="majorBidi"/>
            <w:sz w:val="18"/>
            <w:szCs w:val="18"/>
          </w:rPr>
          <w:t>https://economymiddleeast.com/news/the-role-of-corporate-social-responsibility-in-the-gulf-region/</w:t>
        </w:r>
      </w:hyperlink>
      <w:r w:rsidRPr="00B0321D">
        <w:rPr>
          <w:rFonts w:cstheme="majorBidi"/>
          <w:sz w:val="18"/>
          <w:szCs w:val="18"/>
        </w:rPr>
        <w:t xml:space="preserve"> consulté le : 12/05/2026.</w:t>
      </w:r>
    </w:p>
  </w:footnote>
  <w:footnote w:id="202">
    <w:p w14:paraId="45E8205C"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Commission européenne, « </w:t>
      </w:r>
      <w:r w:rsidRPr="00B0321D">
        <w:rPr>
          <w:rStyle w:val="Accentuation"/>
          <w:rFonts w:cstheme="majorBidi"/>
          <w:i w:val="0"/>
          <w:iCs w:val="0"/>
          <w:sz w:val="18"/>
          <w:szCs w:val="18"/>
        </w:rPr>
        <w:t>Livre vert – Promouvoir un cadre européen pour la RSE »</w:t>
      </w:r>
      <w:r w:rsidRPr="00B0321D">
        <w:rPr>
          <w:rFonts w:cstheme="majorBidi"/>
          <w:sz w:val="18"/>
          <w:szCs w:val="18"/>
        </w:rPr>
        <w:t>, Bruxelles, 2001, p. 7.</w:t>
      </w:r>
    </w:p>
  </w:footnote>
  <w:footnote w:id="203">
    <w:p w14:paraId="752E480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0" w:history="1">
        <w:r w:rsidRPr="00B0321D">
          <w:rPr>
            <w:rStyle w:val="Lienhypertexte"/>
            <w:rFonts w:cstheme="majorBidi"/>
            <w:sz w:val="18"/>
            <w:szCs w:val="18"/>
          </w:rPr>
          <w:t>https://www.oecd-ilibrary.org/governance/les-principes-directeurs-de-l-ocde-a-l-intention-des-entreprisesmultinationales-9789264115439-fr</w:t>
        </w:r>
      </w:hyperlink>
      <w:r w:rsidRPr="00B0321D">
        <w:rPr>
          <w:rFonts w:cstheme="majorBidi"/>
          <w:sz w:val="18"/>
          <w:szCs w:val="18"/>
        </w:rPr>
        <w:t xml:space="preserve"> : consulté le 20/03/2026.</w:t>
      </w:r>
    </w:p>
  </w:footnote>
  <w:footnote w:id="204">
    <w:p w14:paraId="0B8F2AB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21" w:tgtFrame="_new" w:history="1">
        <w:r w:rsidRPr="00B0321D">
          <w:rPr>
            <w:rStyle w:val="Lienhypertexte"/>
            <w:rFonts w:cstheme="majorBidi"/>
            <w:sz w:val="18"/>
            <w:szCs w:val="18"/>
          </w:rPr>
          <w:t>http://www.ilo.org</w:t>
        </w:r>
      </w:hyperlink>
      <w:r w:rsidRPr="00B0321D">
        <w:rPr>
          <w:rFonts w:cstheme="majorBidi"/>
          <w:sz w:val="18"/>
          <w:szCs w:val="18"/>
        </w:rPr>
        <w:t>: consulté le 11/04/2026.</w:t>
      </w:r>
    </w:p>
  </w:footnote>
  <w:footnote w:id="205">
    <w:p w14:paraId="0E674CA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K. Annan, « discours au Forum économique mondial », Davos, 1999, p. 5, disponible sur </w:t>
      </w:r>
      <w:hyperlink r:id="rId22" w:history="1">
        <w:r w:rsidRPr="00B0321D">
          <w:rPr>
            <w:rStyle w:val="Lienhypertexte"/>
            <w:rFonts w:cstheme="majorBidi"/>
            <w:sz w:val="18"/>
            <w:szCs w:val="18"/>
          </w:rPr>
          <w:t>https://pactemondial.org/2024/01/31/il-y-a-25-ans-kofi-annan-prononcait-le-discours-fondateur-du-pacte-mondial/</w:t>
        </w:r>
      </w:hyperlink>
      <w:r w:rsidRPr="00B0321D">
        <w:rPr>
          <w:rFonts w:cstheme="majorBidi"/>
          <w:sz w:val="18"/>
          <w:szCs w:val="18"/>
        </w:rPr>
        <w:t xml:space="preserve"> , consulter le 11/04/2026</w:t>
      </w:r>
    </w:p>
    <w:p w14:paraId="2BF3B0A1" w14:textId="77777777" w:rsidR="00A36231" w:rsidRPr="00B0321D" w:rsidRDefault="00A36231" w:rsidP="0052058B">
      <w:pPr>
        <w:pStyle w:val="Notedebasdepage"/>
        <w:spacing w:before="0" w:beforeAutospacing="0" w:after="160" w:line="360" w:lineRule="auto"/>
        <w:ind w:firstLine="0"/>
        <w:rPr>
          <w:rFonts w:cstheme="majorBidi"/>
          <w:sz w:val="18"/>
          <w:szCs w:val="18"/>
        </w:rPr>
      </w:pPr>
    </w:p>
  </w:footnote>
  <w:footnote w:id="206">
    <w:p w14:paraId="3ECBD8CB"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3" w:anchor="droits-de-l-homme" w:history="1">
        <w:r w:rsidRPr="00B0321D">
          <w:rPr>
            <w:rStyle w:val="Lienhypertexte"/>
            <w:rFonts w:cstheme="majorBidi"/>
            <w:sz w:val="18"/>
            <w:szCs w:val="18"/>
          </w:rPr>
          <w:t>https://pactemondial.org/decouvrir/dix-principes-pacte-mondial-nations-unies/#droits-de-l-homme</w:t>
        </w:r>
      </w:hyperlink>
      <w:r w:rsidRPr="00B0321D">
        <w:rPr>
          <w:rFonts w:cstheme="majorBidi"/>
          <w:sz w:val="18"/>
          <w:szCs w:val="18"/>
        </w:rPr>
        <w:t> : consulté le 14/03/2026.</w:t>
      </w:r>
    </w:p>
  </w:footnote>
  <w:footnote w:id="207">
    <w:p w14:paraId="2D48C874"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24" w:history="1">
        <w:r w:rsidRPr="00B0321D">
          <w:rPr>
            <w:rStyle w:val="Lienhypertexte"/>
            <w:rFonts w:cstheme="majorBidi"/>
            <w:sz w:val="18"/>
            <w:szCs w:val="18"/>
          </w:rPr>
          <w:t>https://www.globalreporting.org/about-gri/mission-history/</w:t>
        </w:r>
      </w:hyperlink>
      <w:r w:rsidRPr="00B0321D">
        <w:rPr>
          <w:rFonts w:cstheme="majorBidi"/>
          <w:sz w:val="18"/>
          <w:szCs w:val="18"/>
        </w:rPr>
        <w:t> : consulté le 14/03/2026.</w:t>
      </w:r>
    </w:p>
  </w:footnote>
  <w:footnote w:id="208">
    <w:p w14:paraId="5C3EC269" w14:textId="77777777" w:rsidR="00A36231" w:rsidRPr="007C5652" w:rsidRDefault="00A36231" w:rsidP="005B013F">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7C5652">
        <w:rPr>
          <w:rFonts w:cstheme="majorBidi"/>
          <w:sz w:val="18"/>
          <w:szCs w:val="18"/>
        </w:rPr>
        <w:t xml:space="preserve"> Waddock S. A., Graves S. B.,</w:t>
      </w:r>
      <w:r w:rsidRPr="00B0321D">
        <w:rPr>
          <w:rFonts w:cstheme="majorBidi"/>
          <w:sz w:val="18"/>
          <w:szCs w:val="18"/>
        </w:rPr>
        <w:t>Op.cit.</w:t>
      </w:r>
      <w:r w:rsidRPr="007C5652">
        <w:rPr>
          <w:rFonts w:cstheme="majorBidi"/>
          <w:sz w:val="18"/>
          <w:szCs w:val="18"/>
        </w:rPr>
        <w:t>, p. 319.</w:t>
      </w:r>
    </w:p>
  </w:footnote>
  <w:footnote w:id="209">
    <w:p w14:paraId="6EB51FCA"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ISO 26000, « Lignes directrices relatives à la responsabilité sociétale », 1ére éd, édition Afnor, 2010, page 19.</w:t>
      </w:r>
    </w:p>
  </w:footnote>
  <w:footnote w:id="210">
    <w:p w14:paraId="35918CE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ISO 26000, op, cit, p. 18.</w:t>
      </w:r>
    </w:p>
  </w:footnote>
  <w:footnote w:id="211">
    <w:p w14:paraId="2BD86CBD" w14:textId="77777777" w:rsidR="00A36231" w:rsidRPr="00B0321D" w:rsidRDefault="00A36231" w:rsidP="00C26383">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25" w:history="1">
        <w:r w:rsidRPr="00B0321D">
          <w:rPr>
            <w:rStyle w:val="Lienhypertexte"/>
            <w:rFonts w:cstheme="majorBidi"/>
            <w:sz w:val="18"/>
            <w:szCs w:val="18"/>
          </w:rPr>
          <w:t>https://www.infolegale.fr/blog/rse-quels-sont-les-3-piliers</w:t>
        </w:r>
      </w:hyperlink>
      <w:r w:rsidRPr="00B0321D">
        <w:rPr>
          <w:rFonts w:cstheme="majorBidi"/>
          <w:sz w:val="18"/>
          <w:szCs w:val="18"/>
        </w:rPr>
        <w:t xml:space="preserve"> , consulté le 8/03/2026.</w:t>
      </w:r>
    </w:p>
  </w:footnote>
  <w:footnote w:id="212">
    <w:p w14:paraId="28D0662E" w14:textId="77777777" w:rsidR="00A36231" w:rsidRPr="00B0321D" w:rsidRDefault="00A36231" w:rsidP="00C26383">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26" w:history="1">
        <w:r w:rsidRPr="00B0321D">
          <w:rPr>
            <w:rStyle w:val="Lienhypertexte"/>
            <w:rFonts w:cstheme="majorBidi"/>
            <w:sz w:val="18"/>
            <w:szCs w:val="18"/>
          </w:rPr>
          <w:t>https://journals.openedition.org/regulation/9328?lang=en</w:t>
        </w:r>
      </w:hyperlink>
      <w:r w:rsidRPr="00B0321D">
        <w:rPr>
          <w:rFonts w:cstheme="majorBidi"/>
          <w:sz w:val="18"/>
          <w:szCs w:val="18"/>
        </w:rPr>
        <w:t xml:space="preserve"> , consulter le 09/03/2026.</w:t>
      </w:r>
    </w:p>
  </w:footnote>
  <w:footnote w:id="213">
    <w:p w14:paraId="5DECAC2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7" w:history="1">
        <w:r w:rsidRPr="00B0321D">
          <w:rPr>
            <w:rStyle w:val="Lienhypertexte"/>
            <w:rFonts w:cstheme="majorBidi"/>
            <w:sz w:val="18"/>
            <w:szCs w:val="18"/>
          </w:rPr>
          <w:t>https://done.fr/principes-rse</w:t>
        </w:r>
      </w:hyperlink>
      <w:r w:rsidRPr="00B0321D">
        <w:rPr>
          <w:rFonts w:cstheme="majorBidi"/>
          <w:sz w:val="18"/>
          <w:szCs w:val="18"/>
        </w:rPr>
        <w:t xml:space="preserve"> : consulté le 08/03/2026.</w:t>
      </w:r>
    </w:p>
  </w:footnote>
  <w:footnote w:id="214">
    <w:p w14:paraId="5B9646C3" w14:textId="77777777" w:rsidR="00A36231" w:rsidRPr="00B0321D" w:rsidRDefault="00A36231" w:rsidP="00571AA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Michael Power, « The Audit Society: Rituals of Verification », Oxford University Press, Oxford, 1997.p. 45.</w:t>
      </w:r>
    </w:p>
  </w:footnote>
  <w:footnote w:id="215">
    <w:p w14:paraId="2F258FD1" w14:textId="77777777" w:rsidR="00A36231" w:rsidRPr="00B0321D" w:rsidRDefault="00A36231" w:rsidP="00571AA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Norman E. Bowie, Business Ethics: A Kantian Perspective, Wiley, Oxford,1999, p. 88.</w:t>
      </w:r>
    </w:p>
  </w:footnote>
  <w:footnote w:id="216">
    <w:p w14:paraId="4F0B0AC2" w14:textId="77777777" w:rsidR="00A36231" w:rsidRPr="00B0321D" w:rsidRDefault="00A36231" w:rsidP="00571AA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J. Rivero, « </w:t>
      </w:r>
      <w:r w:rsidRPr="00B0321D">
        <w:rPr>
          <w:rStyle w:val="Accentuation"/>
          <w:rFonts w:cstheme="majorBidi"/>
          <w:i w:val="0"/>
          <w:iCs w:val="0"/>
          <w:sz w:val="18"/>
          <w:szCs w:val="18"/>
        </w:rPr>
        <w:t>Droit administratif »</w:t>
      </w:r>
      <w:r w:rsidRPr="00B0321D">
        <w:rPr>
          <w:rFonts w:cstheme="majorBidi"/>
          <w:sz w:val="18"/>
          <w:szCs w:val="18"/>
        </w:rPr>
        <w:t>, Dalloz, Paris, 1987, p. 112.</w:t>
      </w:r>
    </w:p>
  </w:footnote>
  <w:footnote w:id="217">
    <w:p w14:paraId="75A8996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8" w:history="1">
        <w:r w:rsidRPr="00B0321D">
          <w:rPr>
            <w:rStyle w:val="Lienhypertexte"/>
            <w:rFonts w:cstheme="majorBidi"/>
            <w:sz w:val="18"/>
            <w:szCs w:val="18"/>
          </w:rPr>
          <w:t>https://www.agence-declic.fr/actualites/leviers-performance-rse-entreprise-decryptage/</w:t>
        </w:r>
      </w:hyperlink>
      <w:r w:rsidRPr="00B0321D">
        <w:rPr>
          <w:rFonts w:cstheme="majorBidi"/>
          <w:sz w:val="18"/>
          <w:szCs w:val="18"/>
        </w:rPr>
        <w:t> : consulter le 21/03/2026.</w:t>
      </w:r>
    </w:p>
  </w:footnote>
  <w:footnote w:id="218">
    <w:p w14:paraId="6011F7F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29" w:history="1">
        <w:r w:rsidRPr="00B0321D">
          <w:rPr>
            <w:rStyle w:val="Lienhypertexte"/>
            <w:rFonts w:cstheme="majorBidi"/>
            <w:sz w:val="18"/>
            <w:szCs w:val="18"/>
          </w:rPr>
          <w:t>https://fr.scribd.com/document/777299207/SUPPORT-DE-GOUVERNANCE-ET-RESPONSABILITE-SOCIETALE-DE-L-ENTREPRISE</w:t>
        </w:r>
      </w:hyperlink>
      <w:r w:rsidRPr="00B0321D">
        <w:rPr>
          <w:rFonts w:cstheme="majorBidi"/>
          <w:sz w:val="18"/>
          <w:szCs w:val="18"/>
        </w:rPr>
        <w:t xml:space="preserve"> , consulté le 18/03/2026.</w:t>
      </w:r>
    </w:p>
  </w:footnote>
  <w:footnote w:id="219">
    <w:p w14:paraId="2C624F7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30" w:history="1">
        <w:r w:rsidRPr="00B0321D">
          <w:rPr>
            <w:rStyle w:val="Lienhypertexte"/>
            <w:rFonts w:cstheme="majorBidi"/>
            <w:sz w:val="18"/>
            <w:szCs w:val="18"/>
          </w:rPr>
          <w:t>https://www.legalplace.fr/guides/enjeux-rse-entreprise/</w:t>
        </w:r>
      </w:hyperlink>
      <w:r w:rsidRPr="00B0321D">
        <w:rPr>
          <w:rFonts w:cstheme="majorBidi"/>
          <w:sz w:val="18"/>
          <w:szCs w:val="18"/>
        </w:rPr>
        <w:t> : consulté le 18/03/2026.</w:t>
      </w:r>
    </w:p>
  </w:footnote>
  <w:footnote w:id="220">
    <w:p w14:paraId="528E68EF" w14:textId="77777777" w:rsidR="00A36231" w:rsidRPr="00B0321D" w:rsidRDefault="00A36231" w:rsidP="00523C93">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Vallaeys François, « Pour une vraie responsabilité sociale : Clarifications, propositions », Presses Universitaires de France, Paris, 2013, p.113.</w:t>
      </w:r>
    </w:p>
  </w:footnote>
  <w:footnote w:id="221">
    <w:p w14:paraId="3C5C6C38" w14:textId="77777777" w:rsidR="00A36231" w:rsidRPr="00B0321D" w:rsidRDefault="00A36231" w:rsidP="005966CE">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Lépineux François, Rosé Jean-Jacques, Bonanni Carole, Hudson Sarah, «La responsabilité sociale des entreprises Théories et pratiques », 2e édition, Dunod, Paris, 2016, p. 19.</w:t>
      </w:r>
    </w:p>
  </w:footnote>
  <w:footnote w:id="222">
    <w:p w14:paraId="40B0808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Essid, M., &amp; Berland, N., « Les indicateurs de la RSE dans les entreprises françaises », Revue française de gestion, vol. 39, n° 234, 2013, p. 37.</w:t>
      </w:r>
    </w:p>
  </w:footnote>
  <w:footnote w:id="223">
    <w:p w14:paraId="4E4083C1"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Organisation internationale de normalisation, « </w:t>
      </w:r>
      <w:r w:rsidRPr="00B0321D">
        <w:rPr>
          <w:rStyle w:val="Accentuation"/>
          <w:rFonts w:cstheme="majorBidi"/>
          <w:i w:val="0"/>
          <w:iCs w:val="0"/>
          <w:sz w:val="18"/>
          <w:szCs w:val="18"/>
        </w:rPr>
        <w:t>ISO 26000 : Guidance on social responsibility »</w:t>
      </w:r>
      <w:r w:rsidRPr="00B0321D">
        <w:rPr>
          <w:rFonts w:cstheme="majorBidi"/>
          <w:sz w:val="18"/>
          <w:szCs w:val="18"/>
        </w:rPr>
        <w:t>, Genève, 2010, p. 7.</w:t>
      </w:r>
    </w:p>
  </w:footnote>
  <w:footnote w:id="224">
    <w:p w14:paraId="1C0B577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Hopwood, A. G., « An Empirical Study of the Role of Accounting Data in Performance Evaluation », Journal of Accounting Research, vol. 10, 1972, p. 159.</w:t>
      </w:r>
    </w:p>
  </w:footnote>
  <w:footnote w:id="225">
    <w:p w14:paraId="7A27F7C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Global Reporting Initiative, « </w:t>
      </w:r>
      <w:r w:rsidRPr="00B0321D">
        <w:rPr>
          <w:rStyle w:val="Accentuation"/>
          <w:rFonts w:cstheme="majorBidi"/>
          <w:i w:val="0"/>
          <w:iCs w:val="0"/>
          <w:sz w:val="18"/>
          <w:szCs w:val="18"/>
          <w:lang w:val="en-AE"/>
        </w:rPr>
        <w:t>GRI Standards »</w:t>
      </w:r>
      <w:r w:rsidRPr="00B0321D">
        <w:rPr>
          <w:rFonts w:cstheme="majorBidi"/>
          <w:sz w:val="18"/>
          <w:szCs w:val="18"/>
          <w:lang w:val="en-AE"/>
        </w:rPr>
        <w:t>, Amsterdam, 2021, p. 11.</w:t>
      </w:r>
    </w:p>
  </w:footnote>
  <w:footnote w:id="226">
    <w:p w14:paraId="6A587A6E" w14:textId="77777777" w:rsidR="00A36231" w:rsidRPr="00B0321D" w:rsidRDefault="00A36231" w:rsidP="00571AA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Herzberg, Frederick, </w:t>
      </w:r>
      <w:r w:rsidRPr="00B0321D">
        <w:rPr>
          <w:rStyle w:val="Accentuation"/>
          <w:rFonts w:cstheme="majorBidi"/>
          <w:i w:val="0"/>
          <w:iCs w:val="0"/>
          <w:sz w:val="18"/>
          <w:szCs w:val="18"/>
          <w:lang w:val="en-AE"/>
        </w:rPr>
        <w:t>Work and the Nature of Man</w:t>
      </w:r>
      <w:r w:rsidRPr="00B0321D">
        <w:rPr>
          <w:rFonts w:cstheme="majorBidi"/>
          <w:sz w:val="18"/>
          <w:szCs w:val="18"/>
          <w:lang w:val="en-AE"/>
        </w:rPr>
        <w:t>, World Publishing Company, New York,  1966, p. 200.</w:t>
      </w:r>
    </w:p>
  </w:footnote>
  <w:footnote w:id="227">
    <w:p w14:paraId="5F5DCD90" w14:textId="77777777" w:rsidR="00A36231" w:rsidRPr="00B0321D" w:rsidRDefault="00A36231" w:rsidP="00920006">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Lecomte Séverine et Adary Assaël, « L’ISO 26000 en pratique : Faire de la responsabilité sociétale un levier de performance sur l’entreprise », Dunod, Paris, 2012, p.105.</w:t>
      </w:r>
    </w:p>
  </w:footnote>
  <w:footnote w:id="228">
    <w:p w14:paraId="2CA3F3F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31" w:tgtFrame="_new" w:history="1">
        <w:r w:rsidRPr="00B0321D">
          <w:rPr>
            <w:rStyle w:val="Lienhypertexte"/>
            <w:rFonts w:cstheme="majorBidi"/>
            <w:sz w:val="18"/>
            <w:szCs w:val="18"/>
          </w:rPr>
          <w:t>https://fr.scribd.com/document/717910355/indicateurs-RS</w:t>
        </w:r>
      </w:hyperlink>
      <w:r w:rsidRPr="00B0321D">
        <w:rPr>
          <w:rFonts w:cstheme="majorBidi"/>
          <w:sz w:val="18"/>
          <w:szCs w:val="18"/>
        </w:rPr>
        <w:t>: consulté le 22/04/2026.</w:t>
      </w:r>
    </w:p>
  </w:footnote>
  <w:footnote w:id="229">
    <w:p w14:paraId="28D31EBA" w14:textId="77777777" w:rsidR="00A36231" w:rsidRPr="00B0321D" w:rsidRDefault="00A36231" w:rsidP="00FC536F">
      <w:pPr>
        <w:pStyle w:val="Notedebasdepage"/>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Moez Essid, Nicolas Berland, « Les indicateurs de la RSE dans les entreprises françaises : la complexité responsable », Revue française de gestion, n°234, 2013, p 29.</w:t>
      </w:r>
    </w:p>
  </w:footnote>
  <w:footnote w:id="230">
    <w:p w14:paraId="464E90CC" w14:textId="77777777" w:rsidR="00A36231" w:rsidRPr="00B0321D" w:rsidRDefault="00A36231" w:rsidP="00410159">
      <w:pPr>
        <w:pStyle w:val="Notedebasdepage"/>
        <w:bidi/>
        <w:ind w:firstLine="0"/>
        <w:rPr>
          <w:rFonts w:cstheme="majorBidi"/>
          <w:sz w:val="18"/>
          <w:szCs w:val="18"/>
        </w:rPr>
      </w:pPr>
      <w:r w:rsidRPr="00B0321D">
        <w:rPr>
          <w:rFonts w:cstheme="majorBidi"/>
          <w:sz w:val="18"/>
          <w:szCs w:val="18"/>
        </w:rPr>
        <w:t xml:space="preserve"> </w:t>
      </w:r>
      <w:r w:rsidRPr="00B0321D">
        <w:rPr>
          <w:rStyle w:val="Appelnotedebasdep"/>
          <w:rFonts w:cstheme="majorBidi"/>
          <w:sz w:val="18"/>
          <w:szCs w:val="18"/>
        </w:rPr>
        <w:footnoteRef/>
      </w:r>
      <w:r w:rsidRPr="00B0321D">
        <w:rPr>
          <w:rFonts w:cstheme="majorBidi"/>
          <w:sz w:val="18"/>
          <w:szCs w:val="18"/>
        </w:rPr>
        <w:t xml:space="preserve"> </w:t>
      </w:r>
      <w:r w:rsidRPr="00B0321D">
        <w:rPr>
          <w:rFonts w:cstheme="majorBidi"/>
          <w:sz w:val="18"/>
          <w:szCs w:val="18"/>
          <w:rtl/>
        </w:rPr>
        <w:t>فيروز مصلح الضمور، فوزية مقراش، «أثر الالتزام بالمسؤولية الاجتماعية للشركات على الميزة التنافسية: دراسة حالة</w:t>
      </w:r>
      <w:r w:rsidRPr="00B0321D">
        <w:rPr>
          <w:rFonts w:cstheme="majorBidi"/>
          <w:sz w:val="18"/>
          <w:szCs w:val="18"/>
        </w:rPr>
        <w:t xml:space="preserve"> </w:t>
      </w:r>
      <w:r w:rsidRPr="00B0321D">
        <w:rPr>
          <w:rFonts w:cstheme="majorBidi"/>
          <w:sz w:val="18"/>
          <w:szCs w:val="18"/>
          <w:rtl/>
        </w:rPr>
        <w:t>شركة صناعة الأدوية صيدال – الجزائر</w:t>
      </w:r>
      <w:r w:rsidRPr="00B0321D">
        <w:rPr>
          <w:rFonts w:cstheme="majorBidi"/>
          <w:sz w:val="18"/>
          <w:szCs w:val="18"/>
        </w:rPr>
        <w:t>»</w:t>
      </w:r>
      <w:r w:rsidRPr="00B0321D">
        <w:rPr>
          <w:rFonts w:cstheme="majorBidi"/>
          <w:sz w:val="18"/>
          <w:szCs w:val="18"/>
          <w:rtl/>
        </w:rPr>
        <w:t xml:space="preserve">، </w:t>
      </w:r>
      <w:r w:rsidRPr="00B0321D">
        <w:rPr>
          <w:rStyle w:val="Accentuation"/>
          <w:rFonts w:cstheme="majorBidi"/>
          <w:i w:val="0"/>
          <w:iCs w:val="0"/>
          <w:sz w:val="18"/>
          <w:szCs w:val="18"/>
          <w:rtl/>
        </w:rPr>
        <w:t>مجلة العلوم الاقتصادية والتسيير والعلوم التجاري</w:t>
      </w:r>
      <w:r w:rsidRPr="00B0321D">
        <w:rPr>
          <w:rStyle w:val="Accentuation"/>
          <w:rFonts w:cstheme="majorBidi"/>
          <w:sz w:val="18"/>
          <w:szCs w:val="18"/>
          <w:rtl/>
        </w:rPr>
        <w:t>ة</w:t>
      </w:r>
      <w:r w:rsidRPr="00B0321D">
        <w:rPr>
          <w:rFonts w:cstheme="majorBidi"/>
          <w:sz w:val="18"/>
          <w:szCs w:val="18"/>
          <w:rtl/>
        </w:rPr>
        <w:t>، المجلد 11، العدد 01، 2018، ص</w:t>
      </w:r>
      <w:r w:rsidRPr="00B0321D">
        <w:rPr>
          <w:rFonts w:cstheme="majorBidi"/>
          <w:sz w:val="18"/>
          <w:szCs w:val="18"/>
        </w:rPr>
        <w:t>.335</w:t>
      </w:r>
    </w:p>
  </w:footnote>
  <w:footnote w:id="231">
    <w:p w14:paraId="4F15CA09" w14:textId="77777777" w:rsidR="00A36231" w:rsidRPr="00B0321D" w:rsidRDefault="00A36231" w:rsidP="00531CA5">
      <w:pPr>
        <w:pStyle w:val="Notedebasdepage"/>
        <w:bidi/>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B0321D">
        <w:rPr>
          <w:rFonts w:cstheme="majorBidi"/>
          <w:sz w:val="18"/>
          <w:szCs w:val="18"/>
          <w:rtl/>
        </w:rPr>
        <w:t>محمد</w:t>
      </w:r>
      <w:r w:rsidRPr="00B0321D">
        <w:rPr>
          <w:rFonts w:cstheme="majorBidi"/>
          <w:sz w:val="18"/>
          <w:szCs w:val="18"/>
          <w:lang w:bidi="syr-SY"/>
        </w:rPr>
        <w:t xml:space="preserve"> </w:t>
      </w:r>
      <w:r w:rsidRPr="00B0321D">
        <w:rPr>
          <w:rFonts w:cstheme="majorBidi"/>
          <w:sz w:val="18"/>
          <w:szCs w:val="18"/>
          <w:rtl/>
        </w:rPr>
        <w:t>شتوح، «دور المسؤولية الاجتماعية في تفعيل وتطوير جودة الخدمات: دراسة ميدانية مؤسسة موبيليس</w:t>
      </w:r>
      <w:r w:rsidRPr="00B0321D">
        <w:rPr>
          <w:rFonts w:cstheme="majorBidi"/>
          <w:sz w:val="18"/>
          <w:szCs w:val="18"/>
        </w:rPr>
        <w:t> «</w:t>
      </w:r>
      <w:r w:rsidRPr="00B0321D">
        <w:rPr>
          <w:rFonts w:cstheme="majorBidi"/>
          <w:sz w:val="18"/>
          <w:szCs w:val="18"/>
          <w:rtl/>
        </w:rPr>
        <w:t xml:space="preserve">، </w:t>
      </w:r>
      <w:r w:rsidRPr="00B0321D">
        <w:rPr>
          <w:rStyle w:val="Accentuation"/>
          <w:rFonts w:cstheme="majorBidi"/>
          <w:i w:val="0"/>
          <w:iCs w:val="0"/>
          <w:sz w:val="18"/>
          <w:szCs w:val="18"/>
          <w:rtl/>
        </w:rPr>
        <w:t>مجلة المنهل الاقتصادي</w:t>
      </w:r>
      <w:r w:rsidRPr="00B0321D">
        <w:rPr>
          <w:rFonts w:cstheme="majorBidi"/>
          <w:sz w:val="18"/>
          <w:szCs w:val="18"/>
          <w:rtl/>
        </w:rPr>
        <w:t>، المجلد 05، العدد 01، ماي 2022، ص</w:t>
      </w:r>
      <w:r w:rsidRPr="00B0321D">
        <w:rPr>
          <w:rFonts w:cstheme="majorBidi"/>
          <w:sz w:val="18"/>
          <w:szCs w:val="18"/>
        </w:rPr>
        <w:t>.571.</w:t>
      </w:r>
    </w:p>
  </w:footnote>
  <w:footnote w:id="232">
    <w:p w14:paraId="11F492A4" w14:textId="77777777" w:rsidR="00A36231" w:rsidRPr="00B0321D" w:rsidRDefault="00A36231" w:rsidP="00270C8E">
      <w:pPr>
        <w:pStyle w:val="Notedebasdepage"/>
        <w:bidi/>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B0321D">
        <w:rPr>
          <w:rFonts w:cstheme="majorBidi"/>
          <w:sz w:val="18"/>
          <w:szCs w:val="18"/>
          <w:rtl/>
        </w:rPr>
        <w:t xml:space="preserve"> </w:t>
      </w:r>
      <w:r w:rsidRPr="00B0321D">
        <w:rPr>
          <w:rStyle w:val="lev"/>
          <w:rFonts w:cstheme="majorBidi"/>
          <w:b w:val="0"/>
          <w:bCs w:val="0"/>
          <w:sz w:val="18"/>
          <w:szCs w:val="18"/>
          <w:rtl/>
        </w:rPr>
        <w:t>هشام صالح، قادري محمد</w:t>
      </w:r>
      <w:r w:rsidRPr="00B0321D">
        <w:rPr>
          <w:rFonts w:cstheme="majorBidi"/>
          <w:sz w:val="18"/>
          <w:szCs w:val="18"/>
          <w:rtl/>
        </w:rPr>
        <w:t xml:space="preserve">، </w:t>
      </w:r>
      <w:r w:rsidRPr="00B0321D">
        <w:rPr>
          <w:rFonts w:cstheme="majorBidi"/>
          <w:sz w:val="18"/>
          <w:szCs w:val="18"/>
        </w:rPr>
        <w:t>«</w:t>
      </w:r>
      <w:r w:rsidRPr="00B0321D">
        <w:rPr>
          <w:rFonts w:cstheme="majorBidi"/>
          <w:sz w:val="18"/>
          <w:szCs w:val="18"/>
          <w:rtl/>
        </w:rPr>
        <w:t>أهمية المسؤولية الاجتماعية للشركات وتأثيرها على تنمية المجتمعات المحلية: حالة الشركات النفطية</w:t>
      </w:r>
      <w:r w:rsidRPr="00B0321D">
        <w:rPr>
          <w:rFonts w:cstheme="majorBidi"/>
          <w:sz w:val="18"/>
          <w:szCs w:val="18"/>
        </w:rPr>
        <w:t>»</w:t>
      </w:r>
      <w:r w:rsidRPr="00B0321D">
        <w:rPr>
          <w:rFonts w:cstheme="majorBidi"/>
          <w:sz w:val="18"/>
          <w:szCs w:val="18"/>
          <w:rtl/>
        </w:rPr>
        <w:t xml:space="preserve">، </w:t>
      </w:r>
      <w:r w:rsidRPr="00B0321D">
        <w:rPr>
          <w:rStyle w:val="Accentuation"/>
          <w:rFonts w:cstheme="majorBidi"/>
          <w:sz w:val="18"/>
          <w:szCs w:val="18"/>
          <w:rtl/>
        </w:rPr>
        <w:t>مجلة مينا للدراسات الاقتصادية</w:t>
      </w:r>
      <w:r w:rsidRPr="00B0321D">
        <w:rPr>
          <w:rFonts w:cstheme="majorBidi"/>
          <w:sz w:val="18"/>
          <w:szCs w:val="18"/>
          <w:rtl/>
        </w:rPr>
        <w:t xml:space="preserve">، المجلد 02، العدد 04، 2019، ص. </w:t>
      </w:r>
      <w:r w:rsidRPr="00B0321D">
        <w:rPr>
          <w:rFonts w:cstheme="majorBidi"/>
          <w:sz w:val="18"/>
          <w:szCs w:val="18"/>
        </w:rPr>
        <w:t>157</w:t>
      </w:r>
    </w:p>
  </w:footnote>
  <w:footnote w:id="233">
    <w:p w14:paraId="6EAA491C" w14:textId="77777777" w:rsidR="00A36231" w:rsidRPr="00B0321D" w:rsidRDefault="00A36231" w:rsidP="00C15072">
      <w:pPr>
        <w:pStyle w:val="Notedebasdepage"/>
        <w:bidi/>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B0321D">
        <w:rPr>
          <w:rStyle w:val="lev"/>
          <w:rFonts w:cstheme="majorBidi"/>
          <w:b w:val="0"/>
          <w:bCs w:val="0"/>
          <w:sz w:val="18"/>
          <w:szCs w:val="18"/>
          <w:rtl/>
        </w:rPr>
        <w:t>الشريف محمد عبد الله، «دور المسؤولية الاجتماعية للشركات في دعم التنمية والعلاقة مع الجهات الحكومية: دراسة تحليلية»، مجلة الإدارة العامة، المجلد 58، العدد 2، 2018، ص</w:t>
      </w:r>
      <w:r w:rsidRPr="00B0321D">
        <w:rPr>
          <w:rStyle w:val="lev"/>
          <w:rFonts w:cstheme="majorBidi"/>
          <w:b w:val="0"/>
          <w:bCs w:val="0"/>
          <w:sz w:val="18"/>
          <w:szCs w:val="18"/>
        </w:rPr>
        <w:t>.223</w:t>
      </w:r>
    </w:p>
  </w:footnote>
  <w:footnote w:id="234">
    <w:p w14:paraId="15C3A578"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OCDE, </w:t>
      </w:r>
      <w:r w:rsidRPr="00B0321D">
        <w:rPr>
          <w:rStyle w:val="Accentuation"/>
          <w:rFonts w:cstheme="majorBidi"/>
          <w:i w:val="0"/>
          <w:iCs w:val="0"/>
          <w:sz w:val="18"/>
          <w:szCs w:val="18"/>
        </w:rPr>
        <w:t>Principes de gouvernement d’entreprise du G20 et de l’OCDE</w:t>
      </w:r>
      <w:r w:rsidRPr="00B0321D">
        <w:rPr>
          <w:rFonts w:cstheme="majorBidi"/>
          <w:sz w:val="18"/>
          <w:szCs w:val="18"/>
        </w:rPr>
        <w:t>, Paris, 2015, p. 15.</w:t>
      </w:r>
    </w:p>
  </w:footnote>
  <w:footnote w:id="235">
    <w:p w14:paraId="0DAFAE7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Rivière-Giordano, Géraldine, « Comment crédibiliser le reporting sociétal ? », </w:t>
      </w:r>
      <w:r w:rsidRPr="00B0321D">
        <w:rPr>
          <w:rFonts w:cstheme="majorBidi"/>
          <w:i/>
          <w:iCs/>
          <w:sz w:val="18"/>
          <w:szCs w:val="18"/>
        </w:rPr>
        <w:t>Comptabilité – Contrôle – Audit</w:t>
      </w:r>
      <w:r w:rsidRPr="00B0321D">
        <w:rPr>
          <w:rFonts w:cstheme="majorBidi"/>
          <w:sz w:val="18"/>
          <w:szCs w:val="18"/>
        </w:rPr>
        <w:t>, vol. 13, n° 2, Paris, 2007, p. 131.</w:t>
      </w:r>
    </w:p>
  </w:footnote>
  <w:footnote w:id="236">
    <w:p w14:paraId="27C48B6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32" w:history="1">
        <w:r w:rsidRPr="00B0321D">
          <w:rPr>
            <w:rStyle w:val="Lienhypertexte"/>
            <w:rFonts w:cstheme="majorBidi"/>
            <w:sz w:val="18"/>
            <w:szCs w:val="18"/>
          </w:rPr>
          <w:t>https://www.nexco-expertise.com/audit-rse</w:t>
        </w:r>
      </w:hyperlink>
      <w:r w:rsidRPr="00B0321D">
        <w:rPr>
          <w:rFonts w:cstheme="majorBidi"/>
          <w:sz w:val="18"/>
          <w:szCs w:val="18"/>
        </w:rPr>
        <w:t> : consulté le 21/03/2026.</w:t>
      </w:r>
    </w:p>
  </w:footnote>
  <w:footnote w:id="237">
    <w:p w14:paraId="3A23F004" w14:textId="77777777" w:rsidR="00A36231" w:rsidRPr="00B0321D" w:rsidRDefault="00A36231" w:rsidP="004B4489">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M. Combemale et J. Igalens, « </w:t>
      </w:r>
      <w:r w:rsidRPr="00B0321D">
        <w:rPr>
          <w:rStyle w:val="Accentuation"/>
          <w:rFonts w:cstheme="majorBidi"/>
          <w:i w:val="0"/>
          <w:iCs w:val="0"/>
          <w:sz w:val="18"/>
          <w:szCs w:val="18"/>
        </w:rPr>
        <w:t>Audit social »</w:t>
      </w:r>
      <w:r w:rsidRPr="00B0321D">
        <w:rPr>
          <w:rFonts w:cstheme="majorBidi"/>
          <w:sz w:val="18"/>
          <w:szCs w:val="18"/>
        </w:rPr>
        <w:t>, PUF, Paris 2005, p. 78</w:t>
      </w:r>
      <w:r w:rsidRPr="00B0321D">
        <w:rPr>
          <w:rFonts w:cstheme="majorBidi"/>
          <w:color w:val="000000"/>
          <w:sz w:val="18"/>
          <w:szCs w:val="18"/>
        </w:rPr>
        <w:t>.</w:t>
      </w:r>
    </w:p>
  </w:footnote>
  <w:footnote w:id="238">
    <w:p w14:paraId="0FBB92E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33" w:tgtFrame="_new" w:history="1">
        <w:r w:rsidRPr="00B0321D">
          <w:rPr>
            <w:rStyle w:val="Lienhypertexte"/>
            <w:rFonts w:cstheme="majorBidi"/>
            <w:sz w:val="18"/>
            <w:szCs w:val="18"/>
          </w:rPr>
          <w:t>https://ised-isde.canada.ca</w:t>
        </w:r>
      </w:hyperlink>
      <w:r w:rsidRPr="00B0321D">
        <w:rPr>
          <w:rFonts w:cstheme="majorBidi"/>
          <w:sz w:val="18"/>
          <w:szCs w:val="18"/>
        </w:rPr>
        <w:t>, consulté le 24-04-2026</w:t>
      </w:r>
      <w:r w:rsidRPr="00B0321D">
        <w:rPr>
          <w:rFonts w:cstheme="majorBidi"/>
          <w:color w:val="000000"/>
          <w:sz w:val="18"/>
          <w:szCs w:val="18"/>
        </w:rPr>
        <w:t>.</w:t>
      </w:r>
    </w:p>
  </w:footnote>
  <w:footnote w:id="239">
    <w:p w14:paraId="29FEC23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34" w:tgtFrame="_new" w:history="1">
        <w:r w:rsidRPr="00B0321D">
          <w:rPr>
            <w:rStyle w:val="Lienhypertexte"/>
            <w:rFonts w:cstheme="majorBidi"/>
            <w:sz w:val="18"/>
            <w:szCs w:val="18"/>
          </w:rPr>
          <w:t>https://fr.scribd.com/document/717910355/indicateurs-RSE</w:t>
        </w:r>
      </w:hyperlink>
      <w:r w:rsidRPr="00B0321D">
        <w:rPr>
          <w:rFonts w:cstheme="majorBidi"/>
          <w:sz w:val="18"/>
          <w:szCs w:val="18"/>
        </w:rPr>
        <w:t xml:space="preserve"> , consulté le 22/04/2026.</w:t>
      </w:r>
    </w:p>
  </w:footnote>
  <w:footnote w:id="240">
    <w:p w14:paraId="2D6E8BB5"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B0321D">
        <w:rPr>
          <w:rFonts w:cstheme="majorBidi"/>
          <w:sz w:val="18"/>
          <w:szCs w:val="18"/>
          <w:rtl/>
        </w:rPr>
        <w:t xml:space="preserve">السويسي، محمد، </w:t>
      </w:r>
      <w:r w:rsidRPr="00B0321D">
        <w:rPr>
          <w:rFonts w:cstheme="majorBidi" w:hint="cs"/>
          <w:sz w:val="18"/>
          <w:szCs w:val="18"/>
          <w:rtl/>
        </w:rPr>
        <w:t>«تطبيق</w:t>
      </w:r>
      <w:r w:rsidRPr="00B0321D">
        <w:rPr>
          <w:rFonts w:cstheme="majorBidi"/>
          <w:sz w:val="18"/>
          <w:szCs w:val="18"/>
          <w:rtl/>
        </w:rPr>
        <w:t xml:space="preserve"> المسؤولية الاجتماعية في المؤسسات الاقتصادية: مقاربة منهجية لخطوات </w:t>
      </w:r>
      <w:r w:rsidRPr="00B0321D">
        <w:rPr>
          <w:rFonts w:cstheme="majorBidi" w:hint="cs"/>
          <w:sz w:val="18"/>
          <w:szCs w:val="18"/>
          <w:rtl/>
        </w:rPr>
        <w:t>التفعيل»،</w:t>
      </w:r>
      <w:r w:rsidRPr="00B0321D">
        <w:rPr>
          <w:rFonts w:cstheme="majorBidi"/>
          <w:sz w:val="18"/>
          <w:szCs w:val="18"/>
          <w:rtl/>
        </w:rPr>
        <w:t xml:space="preserve"> مجلة الدراسات الاقتصادية والإدارية، المجلد 12، العدد 1، 2018، ص 55</w:t>
      </w:r>
      <w:r w:rsidRPr="00B0321D">
        <w:rPr>
          <w:rFonts w:cstheme="majorBidi"/>
          <w:sz w:val="18"/>
          <w:szCs w:val="18"/>
        </w:rPr>
        <w:t>.</w:t>
      </w:r>
    </w:p>
  </w:footnote>
  <w:footnote w:id="241">
    <w:p w14:paraId="04F267AA" w14:textId="77777777" w:rsidR="00A36231" w:rsidRPr="00B0321D" w:rsidRDefault="00A36231" w:rsidP="0052058B">
      <w:pPr>
        <w:pStyle w:val="NormalWeb"/>
        <w:bidi/>
        <w:spacing w:before="0" w:beforeAutospacing="0" w:line="360" w:lineRule="auto"/>
        <w:ind w:firstLine="0"/>
        <w:rPr>
          <w:rFonts w:asciiTheme="majorBidi" w:hAnsiTheme="majorBidi" w:cstheme="majorBidi"/>
          <w:sz w:val="18"/>
          <w:szCs w:val="18"/>
        </w:rPr>
      </w:pPr>
      <w:r w:rsidRPr="00B0321D">
        <w:rPr>
          <w:rStyle w:val="Appelnotedebasdep"/>
          <w:rFonts w:asciiTheme="majorBidi" w:hAnsiTheme="majorBidi" w:cstheme="majorBidi"/>
          <w:sz w:val="18"/>
          <w:szCs w:val="18"/>
        </w:rPr>
        <w:footnoteRef/>
      </w:r>
      <w:r w:rsidRPr="00B0321D">
        <w:rPr>
          <w:rStyle w:val="lev"/>
          <w:rFonts w:asciiTheme="majorBidi" w:hAnsiTheme="majorBidi" w:cstheme="majorBidi"/>
          <w:b w:val="0"/>
          <w:bCs w:val="0"/>
          <w:sz w:val="18"/>
          <w:szCs w:val="18"/>
          <w:rtl/>
        </w:rPr>
        <w:t xml:space="preserve">أحمد، عبد الله بن عبد الرحمن، </w:t>
      </w:r>
      <w:r w:rsidRPr="00B0321D">
        <w:rPr>
          <w:rStyle w:val="lev"/>
          <w:rFonts w:asciiTheme="majorBidi" w:hAnsiTheme="majorBidi" w:cstheme="majorBidi" w:hint="cs"/>
          <w:b w:val="0"/>
          <w:bCs w:val="0"/>
          <w:sz w:val="18"/>
          <w:szCs w:val="18"/>
          <w:rtl/>
        </w:rPr>
        <w:t>«المسؤولية</w:t>
      </w:r>
      <w:r w:rsidRPr="00B0321D">
        <w:rPr>
          <w:rStyle w:val="lev"/>
          <w:rFonts w:asciiTheme="majorBidi" w:hAnsiTheme="majorBidi" w:cstheme="majorBidi"/>
          <w:b w:val="0"/>
          <w:bCs w:val="0"/>
          <w:sz w:val="18"/>
          <w:szCs w:val="18"/>
          <w:rtl/>
        </w:rPr>
        <w:t xml:space="preserve"> الاجتماعية للشركات وأثرها على الأداء المؤسسي: دراسة </w:t>
      </w:r>
      <w:r w:rsidRPr="00B0321D">
        <w:rPr>
          <w:rStyle w:val="lev"/>
          <w:rFonts w:asciiTheme="majorBidi" w:hAnsiTheme="majorBidi" w:cstheme="majorBidi" w:hint="cs"/>
          <w:b w:val="0"/>
          <w:bCs w:val="0"/>
          <w:sz w:val="18"/>
          <w:szCs w:val="18"/>
          <w:rtl/>
        </w:rPr>
        <w:t>تحليلية»،</w:t>
      </w:r>
      <w:r w:rsidRPr="00B0321D">
        <w:rPr>
          <w:rStyle w:val="lev"/>
          <w:rFonts w:asciiTheme="majorBidi" w:hAnsiTheme="majorBidi" w:cstheme="majorBidi"/>
          <w:b w:val="0"/>
          <w:bCs w:val="0"/>
          <w:sz w:val="18"/>
          <w:szCs w:val="18"/>
          <w:rtl/>
        </w:rPr>
        <w:t xml:space="preserve"> المجلة العربية للإدارة، المجلد 35، العدد 2، 2015، ص</w:t>
      </w:r>
      <w:r w:rsidRPr="00B0321D">
        <w:rPr>
          <w:rStyle w:val="lev"/>
          <w:rFonts w:asciiTheme="majorBidi" w:hAnsiTheme="majorBidi" w:cstheme="majorBidi"/>
          <w:b w:val="0"/>
          <w:bCs w:val="0"/>
          <w:sz w:val="18"/>
          <w:szCs w:val="18"/>
        </w:rPr>
        <w:t>45</w:t>
      </w:r>
      <w:r w:rsidRPr="00B0321D">
        <w:rPr>
          <w:rStyle w:val="lev"/>
          <w:rFonts w:asciiTheme="majorBidi" w:hAnsiTheme="majorBidi" w:cstheme="majorBidi"/>
          <w:sz w:val="18"/>
          <w:szCs w:val="18"/>
          <w:rtl/>
        </w:rPr>
        <w:t xml:space="preserve"> </w:t>
      </w:r>
      <w:r w:rsidRPr="00B0321D">
        <w:rPr>
          <w:rStyle w:val="lev"/>
          <w:rFonts w:asciiTheme="majorBidi" w:hAnsiTheme="majorBidi" w:cstheme="majorBidi"/>
          <w:sz w:val="18"/>
          <w:szCs w:val="18"/>
        </w:rPr>
        <w:t>.</w:t>
      </w:r>
    </w:p>
    <w:p w14:paraId="627F8E1E" w14:textId="77777777" w:rsidR="00A36231" w:rsidRPr="00B0321D" w:rsidRDefault="00A36231" w:rsidP="0052058B">
      <w:pPr>
        <w:pStyle w:val="Notedebasdepage"/>
        <w:spacing w:before="0" w:beforeAutospacing="0" w:after="160" w:line="360" w:lineRule="auto"/>
        <w:ind w:firstLine="0"/>
        <w:rPr>
          <w:rFonts w:cstheme="majorBidi"/>
          <w:sz w:val="18"/>
          <w:szCs w:val="18"/>
        </w:rPr>
      </w:pPr>
    </w:p>
  </w:footnote>
  <w:footnote w:id="242">
    <w:p w14:paraId="527BF8ED" w14:textId="77777777" w:rsidR="00A36231" w:rsidRPr="00B0321D" w:rsidRDefault="00A36231" w:rsidP="00571AA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Commission mondiale sur l’environnement et le développement (CMED), « Notre avenir à tous », Nations Unies, 1987, p.46.</w:t>
      </w:r>
    </w:p>
  </w:footnote>
  <w:footnote w:id="243">
    <w:p w14:paraId="790988B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Sachs, Jeffrey D., « Pour le développement durable », Project Syndicate, traduction française, 7 juin 2013,  p. 2.</w:t>
      </w:r>
    </w:p>
  </w:footnote>
  <w:footnote w:id="244">
    <w:p w14:paraId="7DCFC96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hyperlink r:id="rId35" w:tgtFrame="_new" w:history="1">
        <w:r w:rsidRPr="00B0321D">
          <w:rPr>
            <w:rStyle w:val="Lienhypertexte"/>
            <w:rFonts w:cstheme="majorBidi"/>
            <w:sz w:val="18"/>
            <w:szCs w:val="18"/>
          </w:rPr>
          <w:t>https://fr.scribd.com/document/556491212/cours-DD-RSE-ispp2</w:t>
        </w:r>
      </w:hyperlink>
      <w:r w:rsidRPr="00B0321D">
        <w:rPr>
          <w:rFonts w:cstheme="majorBidi"/>
          <w:sz w:val="18"/>
          <w:szCs w:val="18"/>
        </w:rPr>
        <w:t>, consulté le 25 avril 2026.</w:t>
      </w:r>
    </w:p>
  </w:footnote>
  <w:footnote w:id="245">
    <w:p w14:paraId="276E28F2"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rPr>
        <w:t xml:space="preserve"> Capron, Michel, &amp; Quairel-Lanoizelée, Françoise, </w:t>
      </w:r>
      <w:r w:rsidRPr="00B0321D">
        <w:rPr>
          <w:rStyle w:val="Accentuation"/>
          <w:rFonts w:cstheme="majorBidi"/>
          <w:sz w:val="18"/>
          <w:szCs w:val="18"/>
        </w:rPr>
        <w:t>La responsabilité sociale d’entreprise</w:t>
      </w:r>
      <w:r w:rsidRPr="00B0321D">
        <w:rPr>
          <w:rFonts w:cstheme="majorBidi"/>
          <w:sz w:val="18"/>
          <w:szCs w:val="18"/>
        </w:rPr>
        <w:t xml:space="preserve">, coll. </w:t>
      </w:r>
      <w:r w:rsidRPr="00B0321D">
        <w:rPr>
          <w:rFonts w:cstheme="majorBidi"/>
          <w:sz w:val="18"/>
          <w:szCs w:val="18"/>
          <w:lang w:val="en-AE"/>
        </w:rPr>
        <w:t>« Repères », La Découverte, Paris, 2010, p. 128.</w:t>
      </w:r>
    </w:p>
  </w:footnote>
  <w:footnote w:id="246">
    <w:p w14:paraId="48258C21"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vertAlign w:val="baseline"/>
        </w:rPr>
        <w:footnoteRef/>
      </w:r>
      <w:r w:rsidRPr="00B0321D">
        <w:rPr>
          <w:rFonts w:cstheme="majorBidi"/>
          <w:sz w:val="18"/>
          <w:szCs w:val="18"/>
          <w:lang w:val="en-AE"/>
        </w:rPr>
        <w:t xml:space="preserve"> Abagail McWilliams &amp; Donald Siegel, « Corporate Social Responsibility: A Theory of the Firm Perspective », </w:t>
      </w:r>
      <w:r w:rsidRPr="00B0321D">
        <w:rPr>
          <w:rStyle w:val="Accentuation"/>
          <w:rFonts w:cstheme="majorBidi"/>
          <w:sz w:val="18"/>
          <w:szCs w:val="18"/>
          <w:lang w:val="en-AE"/>
        </w:rPr>
        <w:t>Academy of Management Review</w:t>
      </w:r>
      <w:r w:rsidRPr="00B0321D">
        <w:rPr>
          <w:rFonts w:cstheme="majorBidi"/>
          <w:sz w:val="18"/>
          <w:szCs w:val="18"/>
          <w:lang w:val="en-AE"/>
        </w:rPr>
        <w:t>, vol. 26, n° 1, 2001, p. 119.</w:t>
      </w:r>
    </w:p>
  </w:footnote>
  <w:footnote w:id="247">
    <w:p w14:paraId="637D9B03" w14:textId="77777777" w:rsidR="00A36231" w:rsidRPr="00B0321D" w:rsidRDefault="00A36231" w:rsidP="00571AAB">
      <w:pPr>
        <w:pStyle w:val="Notedebasdepage"/>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Abagail McWilliams &amp; Donald Siegel,op.cit.,p120.</w:t>
      </w:r>
    </w:p>
  </w:footnote>
  <w:footnote w:id="248">
    <w:p w14:paraId="64B0B7CD" w14:textId="77777777" w:rsidR="00A36231" w:rsidRPr="00B0321D" w:rsidRDefault="00A36231" w:rsidP="00571AA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M. Capron et F. Quairel-Lanoizelée, « </w:t>
      </w:r>
      <w:r w:rsidRPr="00B0321D">
        <w:rPr>
          <w:rStyle w:val="Accentuation"/>
          <w:rFonts w:cstheme="majorBidi"/>
          <w:i w:val="0"/>
          <w:iCs w:val="0"/>
          <w:sz w:val="18"/>
          <w:szCs w:val="18"/>
        </w:rPr>
        <w:t>La responsabilité sociale d’entreprise »</w:t>
      </w:r>
      <w:r w:rsidRPr="00B0321D">
        <w:rPr>
          <w:rFonts w:cstheme="majorBidi"/>
          <w:sz w:val="18"/>
          <w:szCs w:val="18"/>
        </w:rPr>
        <w:t>, La Découverte, Paris, 2016, p. 12.</w:t>
      </w:r>
    </w:p>
  </w:footnote>
  <w:footnote w:id="249">
    <w:p w14:paraId="6A881B0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Balazard, Hélène, « Des préoccupations quotidiennes à l’intérêt général », </w:t>
      </w:r>
      <w:r w:rsidRPr="00B0321D">
        <w:rPr>
          <w:rFonts w:cstheme="majorBidi"/>
          <w:i/>
          <w:iCs/>
          <w:sz w:val="18"/>
          <w:szCs w:val="18"/>
        </w:rPr>
        <w:t>Projet</w:t>
      </w:r>
      <w:r w:rsidRPr="00B0321D">
        <w:rPr>
          <w:rFonts w:cstheme="majorBidi"/>
          <w:sz w:val="18"/>
          <w:szCs w:val="18"/>
        </w:rPr>
        <w:t>, vol. 363, n° 2, 2018, p. 8.</w:t>
      </w:r>
    </w:p>
  </w:footnote>
  <w:footnote w:id="250">
    <w:p w14:paraId="02819012"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Goffman, Erving, </w:t>
      </w:r>
      <w:r w:rsidRPr="00B0321D">
        <w:rPr>
          <w:rStyle w:val="Accentuation"/>
          <w:rFonts w:cstheme="majorBidi"/>
          <w:sz w:val="18"/>
          <w:szCs w:val="18"/>
        </w:rPr>
        <w:t>Les rites d’interaction</w:t>
      </w:r>
      <w:r w:rsidRPr="00B0321D">
        <w:rPr>
          <w:rFonts w:cstheme="majorBidi"/>
          <w:sz w:val="18"/>
          <w:szCs w:val="18"/>
        </w:rPr>
        <w:t>, traduit de l’anglais par Alain Kihm, Éditions de Minuit, coll. « Le sens commun », Paris, 1974, p.200.</w:t>
      </w:r>
    </w:p>
  </w:footnote>
  <w:footnote w:id="251">
    <w:p w14:paraId="3F80C2AE"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Rosa, Hartmut, « La compétition comme mode d’interaction. La société concurrentielle et ses conséquences sur la culture et sur les structures sociales », </w:t>
      </w:r>
      <w:r w:rsidRPr="00B0321D">
        <w:rPr>
          <w:rFonts w:cstheme="majorBidi"/>
          <w:i/>
          <w:iCs/>
          <w:sz w:val="18"/>
          <w:szCs w:val="18"/>
        </w:rPr>
        <w:t>Sociologie</w:t>
      </w:r>
      <w:r w:rsidRPr="00B0321D">
        <w:rPr>
          <w:rFonts w:cstheme="majorBidi"/>
          <w:sz w:val="18"/>
          <w:szCs w:val="18"/>
        </w:rPr>
        <w:t>, vol. 10, n° 3, 2019, p. 329.</w:t>
      </w:r>
    </w:p>
  </w:footnote>
  <w:footnote w:id="252">
    <w:p w14:paraId="49B9534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Van Gennep, Arnold, </w:t>
      </w:r>
      <w:r w:rsidRPr="00B0321D">
        <w:rPr>
          <w:rFonts w:cstheme="majorBidi"/>
          <w:i/>
          <w:iCs/>
          <w:sz w:val="18"/>
          <w:szCs w:val="18"/>
        </w:rPr>
        <w:t>Les rites de passage</w:t>
      </w:r>
      <w:r w:rsidRPr="00B0321D">
        <w:rPr>
          <w:rFonts w:cstheme="majorBidi"/>
          <w:sz w:val="18"/>
          <w:szCs w:val="18"/>
        </w:rPr>
        <w:t>, éd. numérique réalisée par Réjeanne Toussaint, d’après l’édition Stock, Paris, 1924, p. 124.</w:t>
      </w:r>
    </w:p>
  </w:footnote>
  <w:footnote w:id="253">
    <w:p w14:paraId="65BC688A" w14:textId="77777777" w:rsidR="00A36231" w:rsidRPr="00B0321D" w:rsidRDefault="00A36231" w:rsidP="005A6182">
      <w:pPr>
        <w:pStyle w:val="Notedebasdepage"/>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Guenaou Mustapha,op.cit., p. 373.</w:t>
      </w:r>
    </w:p>
  </w:footnote>
  <w:footnote w:id="254">
    <w:p w14:paraId="0803543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Stamatis, Constantin M., « La concrétisation pragmatique des normes juridiques », </w:t>
      </w:r>
      <w:r w:rsidRPr="00B0321D">
        <w:rPr>
          <w:rStyle w:val="Accentuation"/>
          <w:rFonts w:cstheme="majorBidi"/>
          <w:i w:val="0"/>
          <w:iCs w:val="0"/>
          <w:sz w:val="18"/>
          <w:szCs w:val="18"/>
        </w:rPr>
        <w:t>Revue interdisciplinaire d’études juridiques</w:t>
      </w:r>
      <w:r w:rsidRPr="00B0321D">
        <w:rPr>
          <w:rFonts w:cstheme="majorBidi"/>
          <w:sz w:val="18"/>
          <w:szCs w:val="18"/>
        </w:rPr>
        <w:t>, vol. 31, n3, 1993, p. 9.</w:t>
      </w:r>
    </w:p>
  </w:footnote>
  <w:footnote w:id="255">
    <w:p w14:paraId="02C3ADC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Cadet, Isabelle, « Aspects juridiques de la responsabilité sociale », vol. 53, n° 1, 2016, p. 34.</w:t>
      </w:r>
    </w:p>
  </w:footnote>
  <w:footnote w:id="256">
    <w:p w14:paraId="27EDC026"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Schwartz, Shalom H., « Les valeurs de base de la personne : théorie, mesures et applications », Revue française de sociologie, vol. 47, n° 4, 2006, p.938.</w:t>
      </w:r>
    </w:p>
  </w:footnote>
  <w:footnote w:id="257">
    <w:p w14:paraId="66F12F05" w14:textId="77777777" w:rsidR="00A36231" w:rsidRPr="00B0321D" w:rsidRDefault="00A36231" w:rsidP="005A6182">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Legendre, Myriam, « Environnement et santé », </w:t>
      </w:r>
      <w:r w:rsidRPr="00B0321D">
        <w:rPr>
          <w:rStyle w:val="Accentuation"/>
          <w:rFonts w:cstheme="majorBidi"/>
          <w:i w:val="0"/>
          <w:iCs w:val="0"/>
          <w:sz w:val="18"/>
          <w:szCs w:val="18"/>
        </w:rPr>
        <w:t>Santé publique</w:t>
      </w:r>
      <w:r w:rsidRPr="00B0321D">
        <w:rPr>
          <w:rFonts w:cstheme="majorBidi"/>
          <w:sz w:val="18"/>
          <w:szCs w:val="18"/>
        </w:rPr>
        <w:t>, vol. 15, n° 3, 2003, p. 300.</w:t>
      </w:r>
    </w:p>
  </w:footnote>
  <w:footnote w:id="258">
    <w:p w14:paraId="4DA5D30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Legendre, Myriam, </w:t>
      </w:r>
      <w:r w:rsidRPr="007C5652">
        <w:rPr>
          <w:rStyle w:val="lev"/>
          <w:rFonts w:cstheme="majorBidi"/>
          <w:b w:val="0"/>
          <w:bCs w:val="0"/>
          <w:sz w:val="18"/>
          <w:szCs w:val="18"/>
          <w:lang w:val="en-AE"/>
        </w:rPr>
        <w:t>Ibid</w:t>
      </w:r>
      <w:r w:rsidRPr="00B0321D">
        <w:rPr>
          <w:rFonts w:cstheme="majorBidi"/>
          <w:sz w:val="18"/>
          <w:szCs w:val="18"/>
          <w:lang w:val="en-AE"/>
        </w:rPr>
        <w:t>., p. 301.</w:t>
      </w:r>
    </w:p>
  </w:footnote>
  <w:footnote w:id="259">
    <w:p w14:paraId="6D9D387C"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Porter, Michael E., &amp; Kramer, Mark R., « Strategy and Society: The Link between Competitive Advantage and Corporate Social Responsibility », </w:t>
      </w:r>
      <w:r w:rsidRPr="00B0321D">
        <w:rPr>
          <w:rStyle w:val="Accentuation"/>
          <w:rFonts w:cstheme="majorBidi"/>
          <w:i w:val="0"/>
          <w:iCs w:val="0"/>
          <w:sz w:val="18"/>
          <w:szCs w:val="18"/>
          <w:lang w:val="en-AE"/>
        </w:rPr>
        <w:t>Harvard Business Review</w:t>
      </w:r>
      <w:r w:rsidRPr="00B0321D">
        <w:rPr>
          <w:rFonts w:cstheme="majorBidi"/>
          <w:sz w:val="18"/>
          <w:szCs w:val="18"/>
          <w:lang w:val="en-AE"/>
        </w:rPr>
        <w:t>, vol. 84, n° 12, décembre 2006, p. 79.</w:t>
      </w:r>
    </w:p>
  </w:footnote>
  <w:footnote w:id="260">
    <w:p w14:paraId="438CECCD"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P. J. DiMaggio et W. W. Powell, « The iron cage revisited », </w:t>
      </w:r>
      <w:r w:rsidRPr="00B0321D">
        <w:rPr>
          <w:rStyle w:val="Accentuation"/>
          <w:rFonts w:cstheme="majorBidi"/>
          <w:i w:val="0"/>
          <w:iCs w:val="0"/>
          <w:sz w:val="18"/>
          <w:szCs w:val="18"/>
          <w:lang w:val="en-AE"/>
        </w:rPr>
        <w:t>American Sociological Review</w:t>
      </w:r>
      <w:r w:rsidRPr="00B0321D">
        <w:rPr>
          <w:rFonts w:cstheme="majorBidi"/>
          <w:sz w:val="18"/>
          <w:szCs w:val="18"/>
          <w:lang w:val="en-AE"/>
        </w:rPr>
        <w:t>, vol. 48, n°2, 1983, p. 155.</w:t>
      </w:r>
    </w:p>
  </w:footnote>
  <w:footnote w:id="261">
    <w:p w14:paraId="106542C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D. Matten et J. Moon, « Implicit and explicit CSR », </w:t>
      </w:r>
      <w:r w:rsidRPr="00B0321D">
        <w:rPr>
          <w:rStyle w:val="Accentuation"/>
          <w:rFonts w:cstheme="majorBidi"/>
          <w:i w:val="0"/>
          <w:iCs w:val="0"/>
          <w:sz w:val="18"/>
          <w:szCs w:val="18"/>
          <w:lang w:val="en-AE"/>
        </w:rPr>
        <w:t>Academy of Management Review</w:t>
      </w:r>
      <w:r w:rsidRPr="00B0321D">
        <w:rPr>
          <w:rFonts w:cstheme="majorBidi"/>
          <w:sz w:val="18"/>
          <w:szCs w:val="18"/>
          <w:lang w:val="en-AE"/>
        </w:rPr>
        <w:t>, vol. 33, n°2, 2008, p. 411.</w:t>
      </w:r>
    </w:p>
  </w:footnote>
  <w:footnote w:id="262">
    <w:p w14:paraId="17BF78A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T. P. Lyon et A. W. Montgomery, « The means and end of greenwash », </w:t>
      </w:r>
      <w:r w:rsidRPr="00B0321D">
        <w:rPr>
          <w:rStyle w:val="Accentuation"/>
          <w:rFonts w:cstheme="majorBidi"/>
          <w:i w:val="0"/>
          <w:iCs w:val="0"/>
          <w:sz w:val="18"/>
          <w:szCs w:val="18"/>
          <w:lang w:val="en-AE"/>
        </w:rPr>
        <w:t>Organization &amp; Environment</w:t>
      </w:r>
      <w:r w:rsidRPr="00B0321D">
        <w:rPr>
          <w:rFonts w:cstheme="majorBidi"/>
          <w:i/>
          <w:iCs/>
          <w:sz w:val="18"/>
          <w:szCs w:val="18"/>
          <w:lang w:val="en-AE"/>
        </w:rPr>
        <w:t>,</w:t>
      </w:r>
      <w:r w:rsidRPr="00B0321D">
        <w:rPr>
          <w:rFonts w:cstheme="majorBidi"/>
          <w:sz w:val="18"/>
          <w:szCs w:val="18"/>
          <w:lang w:val="en-AE"/>
        </w:rPr>
        <w:t xml:space="preserve"> vol. 28, n°2, 2015, p. 231.</w:t>
      </w:r>
    </w:p>
  </w:footnote>
  <w:footnote w:id="263">
    <w:p w14:paraId="27846687"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R. V. Aguilera et al., « Putting the S back in CSR », </w:t>
      </w:r>
      <w:r w:rsidRPr="00B0321D">
        <w:rPr>
          <w:rStyle w:val="Accentuation"/>
          <w:rFonts w:cstheme="majorBidi"/>
          <w:sz w:val="18"/>
          <w:szCs w:val="18"/>
          <w:lang w:val="en-AE"/>
        </w:rPr>
        <w:t>Academy of Management Review</w:t>
      </w:r>
      <w:r w:rsidRPr="00B0321D">
        <w:rPr>
          <w:rFonts w:cstheme="majorBidi"/>
          <w:sz w:val="18"/>
          <w:szCs w:val="18"/>
          <w:lang w:val="en-AE"/>
        </w:rPr>
        <w:t>, vol. 32, n°3, 2007, pp. 851.</w:t>
      </w:r>
    </w:p>
  </w:footnote>
  <w:footnote w:id="264">
    <w:p w14:paraId="1D5E03F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OECD, </w:t>
      </w:r>
      <w:r w:rsidRPr="00B0321D">
        <w:rPr>
          <w:rStyle w:val="Accentuation"/>
          <w:rFonts w:cstheme="majorBidi"/>
          <w:i w:val="0"/>
          <w:iCs w:val="0"/>
          <w:sz w:val="18"/>
          <w:szCs w:val="18"/>
          <w:lang w:val="en-AE"/>
        </w:rPr>
        <w:t>G20/OECD Principles of Corporate Governance</w:t>
      </w:r>
      <w:r w:rsidRPr="00B0321D">
        <w:rPr>
          <w:rFonts w:cstheme="majorBidi"/>
          <w:sz w:val="18"/>
          <w:szCs w:val="18"/>
          <w:lang w:val="en-AE"/>
        </w:rPr>
        <w:t>, Paris, 2015,  p. 22.</w:t>
      </w:r>
    </w:p>
  </w:footnote>
  <w:footnote w:id="265">
    <w:p w14:paraId="3AC9DF30"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Elkington, John, </w:t>
      </w:r>
      <w:r w:rsidRPr="00B0321D">
        <w:rPr>
          <w:rStyle w:val="Accentuation"/>
          <w:rFonts w:cstheme="majorBidi"/>
          <w:sz w:val="18"/>
          <w:szCs w:val="18"/>
          <w:lang w:val="en-AE"/>
        </w:rPr>
        <w:t>Cannibals with Forks: The Triple Bottom Line of 21st Century Business</w:t>
      </w:r>
      <w:r w:rsidRPr="00B0321D">
        <w:rPr>
          <w:rFonts w:cstheme="majorBidi"/>
          <w:sz w:val="18"/>
          <w:szCs w:val="18"/>
          <w:lang w:val="en-AE"/>
        </w:rPr>
        <w:t>, New Society Publishers, 1998, 407 p. 375.</w:t>
      </w:r>
    </w:p>
  </w:footnote>
  <w:footnote w:id="266">
    <w:p w14:paraId="6D83F579"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Paoloni Mauro , Paoloni Paola ,Arduini Simona (dir.), «  ICGR 2019</w:t>
      </w:r>
      <w:r w:rsidRPr="00B0321D">
        <w:rPr>
          <w:rFonts w:cstheme="majorBidi"/>
          <w:i/>
          <w:iCs/>
          <w:sz w:val="18"/>
          <w:szCs w:val="18"/>
          <w:lang w:val="en-AE"/>
        </w:rPr>
        <w:t xml:space="preserve"> </w:t>
      </w:r>
      <w:r w:rsidRPr="00B0321D">
        <w:rPr>
          <w:rFonts w:cstheme="majorBidi"/>
          <w:sz w:val="18"/>
          <w:szCs w:val="18"/>
          <w:lang w:val="en-AE"/>
        </w:rPr>
        <w:t>– 2nd International Conference on Gender Research », Academic Conferences and Publishing International,Roma,11-12 Avril 2019, p. 164.</w:t>
      </w:r>
    </w:p>
    <w:p w14:paraId="7A6D1645"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p>
  </w:footnote>
  <w:footnote w:id="267">
    <w:p w14:paraId="45FC43E3" w14:textId="77777777" w:rsidR="00A36231" w:rsidRPr="00B0321D" w:rsidRDefault="00A36231" w:rsidP="0052058B">
      <w:pPr>
        <w:pStyle w:val="Notedebasdepage"/>
        <w:spacing w:before="0" w:beforeAutospacing="0" w:after="160" w:line="360" w:lineRule="auto"/>
        <w:ind w:firstLine="0"/>
        <w:rPr>
          <w:rFonts w:cstheme="majorBidi"/>
          <w:sz w:val="18"/>
          <w:szCs w:val="18"/>
          <w:lang w:val="en-AE"/>
        </w:rPr>
      </w:pPr>
      <w:r w:rsidRPr="00B0321D">
        <w:rPr>
          <w:rStyle w:val="Appelnotedebasdep"/>
          <w:rFonts w:cstheme="majorBidi"/>
          <w:sz w:val="18"/>
          <w:szCs w:val="18"/>
        </w:rPr>
        <w:footnoteRef/>
      </w:r>
      <w:r w:rsidRPr="00B0321D">
        <w:rPr>
          <w:rFonts w:cstheme="majorBidi"/>
          <w:sz w:val="18"/>
          <w:szCs w:val="18"/>
          <w:lang w:val="en-AE"/>
        </w:rPr>
        <w:t xml:space="preserve"> Elkington, John, </w:t>
      </w:r>
      <w:r w:rsidRPr="00B0321D">
        <w:rPr>
          <w:rStyle w:val="Accentuation"/>
          <w:rFonts w:cstheme="majorBidi"/>
          <w:sz w:val="18"/>
          <w:szCs w:val="18"/>
          <w:lang w:val="en-AE"/>
        </w:rPr>
        <w:t>Cannibals with Forks: The Triple Bottom Line of 21st Century Business</w:t>
      </w:r>
      <w:r w:rsidRPr="00B0321D">
        <w:rPr>
          <w:rFonts w:cstheme="majorBidi"/>
          <w:sz w:val="18"/>
          <w:szCs w:val="18"/>
          <w:lang w:val="en-AE"/>
        </w:rPr>
        <w:t>, Capstone, Oxford, 1997, p. 307.</w:t>
      </w:r>
    </w:p>
  </w:footnote>
  <w:footnote w:id="268">
    <w:p w14:paraId="79C527D0" w14:textId="77777777" w:rsidR="00A36231" w:rsidRPr="000216D8" w:rsidRDefault="00A36231" w:rsidP="000216D8">
      <w:pPr>
        <w:pStyle w:val="Notedebasdepage"/>
        <w:ind w:firstLine="0"/>
        <w:rPr>
          <w:sz w:val="18"/>
          <w:szCs w:val="18"/>
        </w:rPr>
      </w:pPr>
      <w:r w:rsidRPr="000216D8">
        <w:rPr>
          <w:rStyle w:val="Appelnotedebasdep"/>
          <w:sz w:val="18"/>
          <w:szCs w:val="18"/>
        </w:rPr>
        <w:footnoteRef/>
      </w:r>
      <w:r w:rsidRPr="000216D8">
        <w:rPr>
          <w:sz w:val="18"/>
          <w:szCs w:val="18"/>
        </w:rPr>
        <w:t xml:space="preserve"> </w:t>
      </w:r>
      <w:hyperlink r:id="rId36" w:history="1">
        <w:r w:rsidRPr="000216D8">
          <w:rPr>
            <w:rStyle w:val="Lienhypertexte"/>
            <w:rFonts w:cstheme="majorBidi"/>
            <w:sz w:val="18"/>
            <w:szCs w:val="18"/>
          </w:rPr>
          <w:t>https://tayal.dz/</w:t>
        </w:r>
      </w:hyperlink>
      <w:r w:rsidRPr="000216D8">
        <w:rPr>
          <w:rFonts w:cstheme="majorBidi"/>
          <w:sz w:val="18"/>
          <w:szCs w:val="18"/>
        </w:rPr>
        <w:t xml:space="preserve"> , consulter le 01/03/2026.</w:t>
      </w:r>
    </w:p>
  </w:footnote>
  <w:footnote w:id="269">
    <w:p w14:paraId="1B955A4A" w14:textId="77777777" w:rsidR="00A36231" w:rsidRDefault="00A36231" w:rsidP="000216D8">
      <w:pPr>
        <w:pStyle w:val="Notedebasdepage"/>
        <w:ind w:firstLine="0"/>
      </w:pPr>
      <w:r>
        <w:rPr>
          <w:rStyle w:val="Appelnotedebasdep"/>
        </w:rPr>
        <w:footnoteRef/>
      </w:r>
      <w:r>
        <w:t xml:space="preserve"> Document interne de l’entreprise.</w:t>
      </w:r>
    </w:p>
  </w:footnote>
  <w:footnote w:id="270">
    <w:p w14:paraId="4BB588F2" w14:textId="77777777" w:rsidR="00A36231" w:rsidRDefault="00A36231" w:rsidP="000216D8">
      <w:pPr>
        <w:pStyle w:val="Notedebasdepage"/>
        <w:ind w:firstLine="0"/>
      </w:pPr>
      <w:r>
        <w:rPr>
          <w:rStyle w:val="Appelnotedebasdep"/>
        </w:rPr>
        <w:footnoteRef/>
      </w:r>
      <w:r>
        <w:t xml:space="preserve"> </w:t>
      </w:r>
      <w:hyperlink r:id="rId37" w:history="1">
        <w:r w:rsidRPr="00B0321D">
          <w:rPr>
            <w:rStyle w:val="Lienhypertexte"/>
            <w:rFonts w:cstheme="majorBidi"/>
            <w:sz w:val="18"/>
            <w:szCs w:val="18"/>
          </w:rPr>
          <w:t>https://tayal.dz/</w:t>
        </w:r>
      </w:hyperlink>
      <w:r>
        <w:rPr>
          <w:rFonts w:cstheme="majorBidi"/>
          <w:sz w:val="18"/>
          <w:szCs w:val="18"/>
        </w:rPr>
        <w:t xml:space="preserve"> , consulter le 06</w:t>
      </w:r>
      <w:r w:rsidRPr="00B0321D">
        <w:rPr>
          <w:rFonts w:cstheme="majorBidi"/>
          <w:sz w:val="18"/>
          <w:szCs w:val="18"/>
        </w:rPr>
        <w:t>/03/2026.</w:t>
      </w:r>
    </w:p>
  </w:footnote>
  <w:footnote w:id="271">
    <w:p w14:paraId="0E53915F"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hyperlink r:id="rId38" w:history="1">
        <w:r w:rsidRPr="00B0321D">
          <w:rPr>
            <w:rStyle w:val="Lienhypertexte"/>
            <w:rFonts w:cstheme="majorBidi"/>
            <w:sz w:val="18"/>
            <w:szCs w:val="18"/>
          </w:rPr>
          <w:t>https://tayal.dz/</w:t>
        </w:r>
      </w:hyperlink>
      <w:r w:rsidRPr="00B0321D">
        <w:rPr>
          <w:rFonts w:cstheme="majorBidi"/>
          <w:sz w:val="18"/>
          <w:szCs w:val="18"/>
        </w:rPr>
        <w:t xml:space="preserve"> , consulter le 07/03/2026.</w:t>
      </w:r>
    </w:p>
  </w:footnote>
  <w:footnote w:id="272">
    <w:p w14:paraId="36FC9ABE" w14:textId="77777777" w:rsidR="00A36231" w:rsidRDefault="00A36231" w:rsidP="000216D8">
      <w:pPr>
        <w:pStyle w:val="Notedebasdepage"/>
        <w:ind w:firstLine="0"/>
      </w:pPr>
      <w:r w:rsidRPr="000216D8">
        <w:rPr>
          <w:rStyle w:val="Appelnotedebasdep"/>
          <w:sz w:val="18"/>
          <w:szCs w:val="18"/>
        </w:rPr>
        <w:footnoteRef/>
      </w:r>
      <w:r w:rsidRPr="000216D8">
        <w:rPr>
          <w:sz w:val="18"/>
          <w:szCs w:val="18"/>
        </w:rPr>
        <w:t xml:space="preserve">  Document interne de TAYAL SPA.</w:t>
      </w:r>
    </w:p>
  </w:footnote>
  <w:footnote w:id="273">
    <w:p w14:paraId="13C92B77"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Document interne de l’entreprise.</w:t>
      </w:r>
    </w:p>
    <w:p w14:paraId="27952FC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Fonts w:cstheme="majorBidi"/>
          <w:sz w:val="18"/>
          <w:szCs w:val="18"/>
        </w:rPr>
        <w:t>.</w:t>
      </w:r>
    </w:p>
  </w:footnote>
  <w:footnote w:id="274">
    <w:p w14:paraId="21578E76" w14:textId="77777777" w:rsidR="00A36231" w:rsidRDefault="00A36231" w:rsidP="000216D8">
      <w:pPr>
        <w:pStyle w:val="Notedebasdepage"/>
        <w:ind w:firstLine="0"/>
      </w:pPr>
      <w:r w:rsidRPr="000216D8">
        <w:rPr>
          <w:rStyle w:val="Appelnotedebasdep"/>
          <w:sz w:val="18"/>
          <w:szCs w:val="18"/>
        </w:rPr>
        <w:footnoteRef/>
      </w:r>
      <w:r w:rsidRPr="000216D8">
        <w:rPr>
          <w:sz w:val="18"/>
          <w:szCs w:val="18"/>
        </w:rPr>
        <w:t xml:space="preserve">  Document interne de TAYAL SPA.</w:t>
      </w:r>
    </w:p>
  </w:footnote>
  <w:footnote w:id="275">
    <w:p w14:paraId="3701072E" w14:textId="77777777" w:rsidR="00A36231" w:rsidRDefault="00A36231" w:rsidP="000216D8">
      <w:pPr>
        <w:pStyle w:val="Notedebasdepage"/>
        <w:ind w:firstLine="0"/>
      </w:pPr>
      <w:r>
        <w:rPr>
          <w:rStyle w:val="Appelnotedebasdep"/>
        </w:rPr>
        <w:footnoteRef/>
      </w:r>
      <w:r>
        <w:t xml:space="preserve">  </w:t>
      </w:r>
      <w:r w:rsidRPr="000216D8">
        <w:rPr>
          <w:sz w:val="18"/>
          <w:szCs w:val="18"/>
        </w:rPr>
        <w:t>Document interne de TAYAL SPA.</w:t>
      </w:r>
    </w:p>
  </w:footnote>
  <w:footnote w:id="276">
    <w:p w14:paraId="3D7D4009" w14:textId="77777777" w:rsidR="00A36231" w:rsidRPr="00B0321D" w:rsidRDefault="00A36231" w:rsidP="0052058B">
      <w:pPr>
        <w:pStyle w:val="Notedebasdepage"/>
        <w:spacing w:before="0" w:beforeAutospacing="0" w:after="160" w:line="360" w:lineRule="auto"/>
        <w:ind w:firstLine="0"/>
        <w:rPr>
          <w:rFonts w:cstheme="majorBidi"/>
          <w:color w:val="0563C1" w:themeColor="hyperlink"/>
          <w:sz w:val="18"/>
          <w:szCs w:val="18"/>
          <w:u w:val="single"/>
        </w:rPr>
      </w:pPr>
      <w:r w:rsidRPr="00B0321D">
        <w:rPr>
          <w:rStyle w:val="Appelnotedebasdep"/>
          <w:rFonts w:cstheme="majorBidi"/>
          <w:sz w:val="18"/>
          <w:szCs w:val="18"/>
        </w:rPr>
        <w:footnoteRef/>
      </w:r>
      <w:r w:rsidRPr="00B0321D">
        <w:rPr>
          <w:rFonts w:cstheme="majorBidi"/>
          <w:sz w:val="18"/>
          <w:szCs w:val="18"/>
        </w:rPr>
        <w:t xml:space="preserve"> </w:t>
      </w:r>
      <w:hyperlink r:id="rId39" w:history="1">
        <w:r w:rsidRPr="00B0321D">
          <w:rPr>
            <w:rStyle w:val="Lienhypertexte"/>
            <w:rFonts w:cstheme="majorBidi"/>
            <w:sz w:val="18"/>
            <w:szCs w:val="18"/>
          </w:rPr>
          <w:t>https://tayal.dz/</w:t>
        </w:r>
      </w:hyperlink>
      <w:r w:rsidRPr="00B0321D">
        <w:rPr>
          <w:rFonts w:cstheme="majorBidi"/>
          <w:sz w:val="18"/>
          <w:szCs w:val="18"/>
        </w:rPr>
        <w:t xml:space="preserve"> , Consulter le 12/03/2026.</w:t>
      </w:r>
    </w:p>
  </w:footnote>
  <w:footnote w:id="277">
    <w:p w14:paraId="090E6853" w14:textId="77777777" w:rsidR="00A36231" w:rsidRPr="0020071A" w:rsidRDefault="00A36231" w:rsidP="0020071A">
      <w:pPr>
        <w:pStyle w:val="Notedebasdepage"/>
        <w:ind w:firstLine="0"/>
        <w:rPr>
          <w:sz w:val="18"/>
          <w:szCs w:val="18"/>
        </w:rPr>
      </w:pPr>
      <w:r w:rsidRPr="0020071A">
        <w:rPr>
          <w:rStyle w:val="Appelnotedebasdep"/>
          <w:sz w:val="18"/>
          <w:szCs w:val="18"/>
        </w:rPr>
        <w:footnoteRef/>
      </w:r>
      <w:r w:rsidRPr="0020071A">
        <w:rPr>
          <w:sz w:val="18"/>
          <w:szCs w:val="18"/>
        </w:rPr>
        <w:t xml:space="preserve"> </w:t>
      </w:r>
      <w:r w:rsidRPr="0020071A">
        <w:rPr>
          <w:rFonts w:cstheme="majorBidi"/>
          <w:sz w:val="18"/>
          <w:szCs w:val="18"/>
        </w:rPr>
        <w:t>Document interne de TAYAL SPA.</w:t>
      </w:r>
    </w:p>
  </w:footnote>
  <w:footnote w:id="278">
    <w:p w14:paraId="08C4DD78" w14:textId="77777777" w:rsidR="00A36231" w:rsidRPr="0020071A" w:rsidRDefault="00A36231" w:rsidP="0020071A">
      <w:pPr>
        <w:pStyle w:val="Notedebasdepage"/>
        <w:ind w:firstLine="0"/>
        <w:rPr>
          <w:sz w:val="18"/>
          <w:szCs w:val="18"/>
        </w:rPr>
      </w:pPr>
      <w:r w:rsidRPr="0020071A">
        <w:rPr>
          <w:rStyle w:val="Appelnotedebasdep"/>
          <w:sz w:val="18"/>
          <w:szCs w:val="18"/>
        </w:rPr>
        <w:footnoteRef/>
      </w:r>
      <w:r w:rsidRPr="0020071A">
        <w:rPr>
          <w:sz w:val="18"/>
          <w:szCs w:val="18"/>
        </w:rPr>
        <w:t xml:space="preserve"> </w:t>
      </w:r>
      <w:r w:rsidRPr="0020071A">
        <w:rPr>
          <w:rFonts w:cstheme="majorBidi"/>
          <w:sz w:val="18"/>
          <w:szCs w:val="18"/>
        </w:rPr>
        <w:t>Document interne de TAYAL SPA</w:t>
      </w:r>
    </w:p>
  </w:footnote>
  <w:footnote w:id="279">
    <w:p w14:paraId="0371099B" w14:textId="77777777" w:rsidR="00A36231" w:rsidRPr="0020071A" w:rsidRDefault="00A36231" w:rsidP="0020071A">
      <w:pPr>
        <w:pStyle w:val="Notedebasdepage"/>
        <w:ind w:firstLine="0"/>
        <w:rPr>
          <w:sz w:val="18"/>
          <w:szCs w:val="18"/>
        </w:rPr>
      </w:pPr>
      <w:r w:rsidRPr="0020071A">
        <w:rPr>
          <w:rStyle w:val="Appelnotedebasdep"/>
          <w:sz w:val="18"/>
          <w:szCs w:val="18"/>
        </w:rPr>
        <w:footnoteRef/>
      </w:r>
      <w:r w:rsidRPr="0020071A">
        <w:rPr>
          <w:sz w:val="18"/>
          <w:szCs w:val="18"/>
        </w:rPr>
        <w:t xml:space="preserve"> </w:t>
      </w:r>
      <w:r w:rsidRPr="0020071A">
        <w:rPr>
          <w:rFonts w:cstheme="majorBidi"/>
          <w:sz w:val="18"/>
          <w:szCs w:val="18"/>
        </w:rPr>
        <w:t xml:space="preserve"> Document interne de TAYAL SPA.</w:t>
      </w:r>
    </w:p>
  </w:footnote>
  <w:footnote w:id="280">
    <w:p w14:paraId="228A3DF3"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Document interne de TAYAL SPA.</w:t>
      </w:r>
    </w:p>
  </w:footnote>
  <w:footnote w:id="281">
    <w:p w14:paraId="2C77676C" w14:textId="77777777" w:rsidR="00A36231" w:rsidRPr="00B0321D" w:rsidRDefault="00A36231" w:rsidP="0052058B">
      <w:pPr>
        <w:pStyle w:val="Notedebasdepage"/>
        <w:bidi/>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 xml:space="preserve"> </w:t>
      </w:r>
      <w:r w:rsidRPr="00B0321D">
        <w:rPr>
          <w:rFonts w:cstheme="majorBidi"/>
          <w:sz w:val="18"/>
          <w:szCs w:val="18"/>
          <w:rtl/>
        </w:rPr>
        <w:t>السعدي رحال، "الإحصاء الوصفي"، مؤسسة الرجاء للطباعة والنشر، الطبعة الأولى، الجزائر، 2013، ص 18</w:t>
      </w:r>
      <w:r w:rsidRPr="00B0321D">
        <w:rPr>
          <w:rFonts w:cstheme="majorBidi"/>
          <w:sz w:val="18"/>
          <w:szCs w:val="18"/>
        </w:rPr>
        <w:t>.</w:t>
      </w:r>
    </w:p>
  </w:footnote>
  <w:footnote w:id="282">
    <w:p w14:paraId="7BC77365"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Nawel H, « Le confection d’un questionnaire d'enquête et la formulation de ses questions », Revue de la Faculté des Lettres, des Sciences humaines et sociales, vol 7, n 2, p160.</w:t>
      </w:r>
    </w:p>
  </w:footnote>
  <w:footnote w:id="283">
    <w:p w14:paraId="2DA2EFBD"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Fellah Anissa, « L’interview comme support didactique dans l’enseignement apprentissage de l’oral dans une classe de FLE, cas des élèves de 1ère année secondaire », Langage fonctionne, Volume10, N°1, 2023, p20.</w:t>
      </w:r>
    </w:p>
  </w:footnote>
  <w:footnote w:id="284">
    <w:p w14:paraId="5ED3FDD9" w14:textId="77777777" w:rsidR="00A36231" w:rsidRPr="00B0321D" w:rsidRDefault="00A36231" w:rsidP="0052058B">
      <w:pPr>
        <w:pStyle w:val="Notedebasdepage"/>
        <w:spacing w:before="0" w:beforeAutospacing="0" w:after="160" w:line="360" w:lineRule="auto"/>
        <w:ind w:firstLine="0"/>
        <w:rPr>
          <w:rFonts w:cstheme="majorBidi"/>
          <w:sz w:val="18"/>
          <w:szCs w:val="18"/>
        </w:rPr>
      </w:pPr>
      <w:r w:rsidRPr="00B0321D">
        <w:rPr>
          <w:rStyle w:val="Appelnotedebasdep"/>
          <w:rFonts w:cstheme="majorBidi"/>
          <w:sz w:val="18"/>
          <w:szCs w:val="18"/>
        </w:rPr>
        <w:footnoteRef/>
      </w:r>
      <w:r w:rsidRPr="00B0321D">
        <w:rPr>
          <w:rFonts w:cstheme="majorBidi"/>
          <w:sz w:val="18"/>
          <w:szCs w:val="18"/>
        </w:rPr>
        <w:t>Benamsili Lamia, « TECHNIQUES DE L’EXAMEN CLINIQUE EN PSYCHOLOGIE », revue qabas des études humaine et social, vol 05, N° 01, juillet2021, pp 1305.</w:t>
      </w:r>
    </w:p>
  </w:footnote>
  <w:footnote w:id="285">
    <w:p w14:paraId="05BE6605" w14:textId="77777777" w:rsidR="00A36231" w:rsidRPr="00B0321D" w:rsidRDefault="00A36231" w:rsidP="0052058B">
      <w:pPr>
        <w:pStyle w:val="Notedebasdepage"/>
        <w:bidi/>
        <w:spacing w:before="0" w:beforeAutospacing="0" w:after="160" w:line="360" w:lineRule="auto"/>
        <w:ind w:firstLine="0"/>
        <w:rPr>
          <w:rFonts w:cstheme="majorBidi"/>
          <w:sz w:val="18"/>
          <w:szCs w:val="18"/>
          <w:rtl/>
          <w:lang w:bidi="ar-DZ"/>
        </w:rPr>
      </w:pPr>
      <w:r w:rsidRPr="00B0321D">
        <w:rPr>
          <w:rStyle w:val="Appelnotedebasdep"/>
          <w:rFonts w:cstheme="majorBidi"/>
          <w:sz w:val="18"/>
          <w:szCs w:val="18"/>
        </w:rPr>
        <w:footnoteRef/>
      </w:r>
      <w:r w:rsidRPr="00B0321D">
        <w:rPr>
          <w:rFonts w:cstheme="majorBidi"/>
          <w:sz w:val="18"/>
          <w:szCs w:val="18"/>
          <w:rtl/>
        </w:rPr>
        <w:t>براهيمي آسية، "المؤسسة الجزائرية واستقطاب الكفاءات والمحافظة عليها "، أطروحة مقدمة لنيل شهادة الدكتوراه في العلوم الاقتصادية، تخصص تسيير المؤسسات فرع إدارة المنظمات، كلية العلوم الاقتصادية وعلوم التسيير والعلوم التجارية جامعة أبو بكر بلقايد، تلمسان،2017، ص243.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673DC" w14:textId="77777777" w:rsidR="00A36231" w:rsidRDefault="00A36231">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3205F" w14:textId="77777777" w:rsidR="00A36231" w:rsidRPr="006D745A" w:rsidRDefault="00A36231" w:rsidP="00F176D9">
    <w:pPr>
      <w:pStyle w:val="En-tte"/>
      <w:ind w:left="-567" w:right="-567"/>
      <w:jc w:val="center"/>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1312" behindDoc="0" locked="0" layoutInCell="1" allowOverlap="1" wp14:anchorId="59955939" wp14:editId="518CCA67">
              <wp:simplePos x="0" y="0"/>
              <wp:positionH relativeFrom="rightMargin">
                <wp:posOffset>301625</wp:posOffset>
              </wp:positionH>
              <wp:positionV relativeFrom="page">
                <wp:posOffset>0</wp:posOffset>
              </wp:positionV>
              <wp:extent cx="90805" cy="683260"/>
              <wp:effectExtent l="0" t="0" r="0" b="254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F2079D" id="Rectangle 2" o:spid="_x0000_s1026" style="position:absolute;margin-left:23.75pt;margin-top:0;width:7.15pt;height:53.8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0288" behindDoc="0" locked="0" layoutInCell="1" allowOverlap="1" wp14:anchorId="213DC46F" wp14:editId="59A5A932">
              <wp:simplePos x="0" y="0"/>
              <wp:positionH relativeFrom="leftMargin">
                <wp:posOffset>149225</wp:posOffset>
              </wp:positionH>
              <wp:positionV relativeFrom="page">
                <wp:posOffset>0</wp:posOffset>
              </wp:positionV>
              <wp:extent cx="90805" cy="683260"/>
              <wp:effectExtent l="0" t="0" r="0" b="2540"/>
              <wp:wrapNone/>
              <wp:docPr id="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9BDBDD" id="Rectangle 1" o:spid="_x0000_s1026" style="position:absolute;margin-left:11.75pt;margin-top:0;width:7.15pt;height:53.8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62336" behindDoc="0" locked="0" layoutInCell="1" allowOverlap="1" wp14:anchorId="4358B8F5" wp14:editId="3DBC6805">
              <wp:simplePos x="0" y="0"/>
              <wp:positionH relativeFrom="page">
                <wp:align>left</wp:align>
              </wp:positionH>
              <wp:positionV relativeFrom="page">
                <wp:align>top</wp:align>
              </wp:positionV>
              <wp:extent cx="7544435" cy="691515"/>
              <wp:effectExtent l="0" t="0" r="21590" b="13335"/>
              <wp:wrapNone/>
              <wp:docPr id="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10"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11"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A32552" id="Group 3" o:spid="_x0000_s1026" style="position:absolute;margin-left:0;margin-top:0;width:594.05pt;height:54.45pt;z-index:251662336;mso-width-percent:1000;mso-position-horizontal:lef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pvKMMAAADbAAAADwAAAGRycy9kb3ducmV2LnhtbESPzWrDQAyE74W8w6JAb806oRTjZh1K&#10;SaDkULDj3oVX9U+9WuPdJvbbV4dCbhIzmvm0P8xuUFeaQufZwHaTgCKuve24MVBdTk8pqBCRLQ6e&#10;ycBCAQ756mGPmfU3LuhaxkZJCIcMDbQxjpnWoW7JYdj4kVi0bz85jLJOjbYT3iTcDXqXJC/aYcfS&#10;0OJI7y3VP+WvM/DV9/64tZ/P9XGxuujSs6vOaMzjen57BRVpjnfz//WHFXyhl19kAJ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KbyjDAAAA2wAAAA8AAAAAAAAAAAAA&#10;AAAAoQIAAGRycy9kb3ducmV2LnhtbFBLBQYAAAAABAAEAPkAAACRAw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BShMEA&#10;AADbAAAADwAAAGRycy9kb3ducmV2LnhtbERPS4vCMBC+C/sfwix4kTV1DyJdoyzCYlkEsT7OQzO2&#10;xWZSm9jWf28Ewdt8fM+ZL3tTiZYaV1pWMBlHIIgzq0vOFRz2f18zEM4ja6wsk4I7OVguPgZzjLXt&#10;eEdt6nMRQtjFqKDwvo6ldFlBBt3Y1sSBO9vGoA+wyaVusAvhppLfUTSVBksODQXWtCoou6Q3o6DL&#10;tu1pv1nL7eiUWL4m11V6/Fdq+Nn//oDw1Pu3+OVOdJg/gecv4Q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AUoTBAAAA2wAAAA8AAAAAAAAAAAAAAAAAmAIAAGRycy9kb3du&#10;cmV2LnhtbFBLBQYAAAAABAAEAPUAAACGAwAAAAA=&#10;" filled="f" stroked="f"/>
              <w10:wrap anchorx="page" anchory="page"/>
            </v:group>
          </w:pict>
        </mc:Fallback>
      </mc:AlternateContent>
    </w:r>
    <w:sdt>
      <w:sdtPr>
        <w:rPr>
          <w:rFonts w:eastAsiaTheme="majorEastAsia" w:cstheme="majorBidi"/>
          <w:b/>
          <w:bCs/>
          <w:color w:val="2F5496" w:themeColor="accent1" w:themeShade="BF"/>
          <w:sz w:val="18"/>
          <w:szCs w:val="18"/>
        </w:rPr>
        <w:alias w:val="Titre"/>
        <w:id w:val="-378628518"/>
        <w:placeholder>
          <w:docPart w:val="E41D694AF3374FDC8289E4DF77172030"/>
        </w:placeholder>
        <w:showingPlcHdr/>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rPr>
          <w:t>[Tapez le titre du document]</w:t>
        </w:r>
      </w:sdtContent>
    </w:sdt>
  </w:p>
  <w:p w14:paraId="0EBDA81E" w14:textId="77777777" w:rsidR="00A36231" w:rsidRDefault="00A3623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3F5D7" w14:textId="77777777" w:rsidR="00A36231" w:rsidRDefault="00A36231" w:rsidP="00442659">
    <w:pPr>
      <w:pStyle w:val="En-tte"/>
      <w:ind w:firstLine="70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9BAA3" w14:textId="77777777" w:rsidR="00A36231" w:rsidRDefault="00A36231">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2B54D" w14:textId="77777777" w:rsidR="00A36231" w:rsidRDefault="00A36231" w:rsidP="001107CC">
    <w:pPr>
      <w:pStyle w:val="En-tte"/>
      <w:ind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42D39" w14:textId="77777777" w:rsidR="00A36231" w:rsidRDefault="00A36231">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2E3D1" w14:textId="77777777" w:rsidR="00A36231" w:rsidRPr="006D745A" w:rsidRDefault="00A36231" w:rsidP="00521AEB">
    <w:pPr>
      <w:pStyle w:val="En-tte"/>
      <w:ind w:left="-567" w:right="-567"/>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94080" behindDoc="0" locked="0" layoutInCell="1" allowOverlap="1" wp14:anchorId="7FEF598F" wp14:editId="1C4BC9AC">
              <wp:simplePos x="0" y="0"/>
              <wp:positionH relativeFrom="rightMargin">
                <wp:posOffset>301625</wp:posOffset>
              </wp:positionH>
              <wp:positionV relativeFrom="page">
                <wp:posOffset>0</wp:posOffset>
              </wp:positionV>
              <wp:extent cx="90805" cy="683260"/>
              <wp:effectExtent l="0" t="0" r="0" b="2540"/>
              <wp:wrapNone/>
              <wp:docPr id="6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8C123" id="Rectangle 2" o:spid="_x0000_s1026" style="position:absolute;margin-left:23.75pt;margin-top:0;width:7.15pt;height:53.8pt;z-index:2516940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93056" behindDoc="0" locked="0" layoutInCell="1" allowOverlap="1" wp14:anchorId="228495BE" wp14:editId="53714DB9">
              <wp:simplePos x="0" y="0"/>
              <wp:positionH relativeFrom="leftMargin">
                <wp:posOffset>149225</wp:posOffset>
              </wp:positionH>
              <wp:positionV relativeFrom="page">
                <wp:posOffset>0</wp:posOffset>
              </wp:positionV>
              <wp:extent cx="90805" cy="683260"/>
              <wp:effectExtent l="0" t="0" r="0" b="2540"/>
              <wp:wrapNone/>
              <wp:docPr id="61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AE622" id="Rectangle 1" o:spid="_x0000_s1026" style="position:absolute;margin-left:11.75pt;margin-top:0;width:7.15pt;height:53.8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95104" behindDoc="0" locked="0" layoutInCell="1" allowOverlap="1" wp14:anchorId="3CBF98C9" wp14:editId="1D55240C">
              <wp:simplePos x="0" y="0"/>
              <wp:positionH relativeFrom="page">
                <wp:align>left</wp:align>
              </wp:positionH>
              <wp:positionV relativeFrom="page">
                <wp:align>top</wp:align>
              </wp:positionV>
              <wp:extent cx="7544435" cy="691515"/>
              <wp:effectExtent l="0" t="0" r="21590" b="13335"/>
              <wp:wrapNone/>
              <wp:docPr id="61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618"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19"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CB3D89" id="Group 3" o:spid="_x0000_s1026" style="position:absolute;margin-left:0;margin-top:0;width:594.05pt;height:54.45pt;z-index:251695104;mso-width-percent:1000;mso-position-horizontal:lef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QoJbwAAADcAAAADwAAAGRycy9kb3ducmV2LnhtbERPyQrCMBC9C/5DGMGbphURqcYioiAe&#10;BLf70IxdbCaliVr/3hwEj4+3L9PO1OJFrSstK4jHEQjizOqScwXXy240B+E8ssbaMin4kIN01e8t&#10;MdH2zSd6nX0uQgi7BBUU3jeJlC4ryKAb24Y4cHfbGvQBtrnULb5DuKnlJIpm0mDJoaHAhjYFZY/z&#10;0yi4VZXdxvo4zbYfLU/l/GCuB1RqOOjWCxCeOv8X/9x7rWAWh7XhTDgCcvU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s8QoJbwAAADcAAAADwAAAAAAAAAAAAAAAAChAgAA&#10;ZHJzL2Rvd25yZXYueG1sUEsFBgAAAAAEAAQA+QAAAIoDA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pN8UA&#10;AADcAAAADwAAAGRycy9kb3ducmV2LnhtbESPT2vCQBTE74LfYXmCF6kbPYhNXUUEMRRBjH/Oj+xr&#10;Epp9G7Nrkn57t1DocZiZ3zCrTW8q0VLjSssKZtMIBHFmdcm5gutl/7YE4TyyxsoyKfghB5v1cLDC&#10;WNuOz9SmPhcBwi5GBYX3dSylywoy6Ka2Jg7el20M+iCbXOoGuwA3lZxH0UIaLDksFFjTrqDsO30a&#10;BV12au+X40GeJvfE8iN57NLbp1LjUb/9AOGp9//hv3aiFSxm7/B7Jhw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O2k3xQAAANwAAAAPAAAAAAAAAAAAAAAAAJgCAABkcnMv&#10;ZG93bnJldi54bWxQSwUGAAAAAAQABAD1AAAAigMAAAAA&#10;" filled="f" stroked="f"/>
              <w10:wrap anchorx="page" anchory="page"/>
            </v:group>
          </w:pict>
        </mc:Fallback>
      </mc:AlternateContent>
    </w:r>
    <w:r>
      <w:rPr>
        <w:rFonts w:eastAsiaTheme="majorEastAsia" w:cstheme="majorBidi"/>
        <w:b/>
        <w:bCs/>
        <w:color w:val="2F5496" w:themeColor="accent1" w:themeShade="BF"/>
        <w:sz w:val="18"/>
        <w:szCs w:val="18"/>
      </w:rPr>
      <w:t>INTRODUCTION GENERALE</w:t>
    </w:r>
  </w:p>
  <w:p w14:paraId="6D6AA516" w14:textId="77777777" w:rsidR="00A36231" w:rsidRDefault="00A36231">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08B0B" w14:textId="77777777" w:rsidR="00A36231" w:rsidRPr="00262B5D" w:rsidRDefault="00A36231" w:rsidP="00262B5D">
    <w:pPr>
      <w:pStyle w:val="En-tte"/>
      <w:ind w:firstLine="0"/>
      <w:rPr>
        <w:b/>
        <w:bCs/>
      </w:rPr>
    </w:pPr>
    <w:r w:rsidRPr="00262B5D">
      <w:rPr>
        <w:rFonts w:asciiTheme="majorHAnsi" w:eastAsiaTheme="majorEastAsia" w:hAnsiTheme="majorHAnsi" w:cstheme="majorBidi"/>
        <w:b/>
        <w:bCs/>
        <w:noProof/>
        <w:color w:val="2F5496" w:themeColor="accent1" w:themeShade="BF"/>
        <w:sz w:val="10"/>
        <w:szCs w:val="10"/>
        <w:lang w:eastAsia="fr-FR"/>
      </w:rPr>
      <mc:AlternateContent>
        <mc:Choice Requires="wpg">
          <w:drawing>
            <wp:anchor distT="0" distB="0" distL="114300" distR="114300" simplePos="0" relativeHeight="251686912" behindDoc="0" locked="0" layoutInCell="1" allowOverlap="1" wp14:anchorId="585D7D39" wp14:editId="1599DA36">
              <wp:simplePos x="0" y="0"/>
              <wp:positionH relativeFrom="page">
                <wp:align>left</wp:align>
              </wp:positionH>
              <wp:positionV relativeFrom="page">
                <wp:align>top</wp:align>
              </wp:positionV>
              <wp:extent cx="7544435" cy="691515"/>
              <wp:effectExtent l="0" t="0" r="21590" b="13335"/>
              <wp:wrapNone/>
              <wp:docPr id="53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534"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3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F65180" id="Group 3" o:spid="_x0000_s1026" style="position:absolute;margin-left:0;margin-top:0;width:594.05pt;height:54.45pt;z-index:251686912;mso-width-percent:1000;mso-position-horizontal:lef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kfPL8AAADcAAAADwAAAGRycy9kb3ducmV2LnhtbESPSwvCMBCE74L/IazgTVOfSDWKiIJ4&#10;EHzdl2Ztq82mNFHrvzeC4HGYmW+Y2aI2hXhS5XLLCnrdCARxYnXOqYLzadOZgHAeWWNhmRS8ycFi&#10;3mzMMNb2xQd6Hn0qAoRdjAoy78tYSpdkZNB1bUkcvKutDPogq1TqCl8BbgrZj6KxNJhzWMiwpFVG&#10;yf34MAout5td9/R+mKzfWh7yyc6cd6hUu1UvpyA81f4f/rW3WsFoMITvmXAE5Pw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kfPL8AAADcAAAADwAAAAAAAAAAAAAAAACh&#10;AgAAZHJzL2Rvd25yZXYueG1sUEsFBgAAAAAEAAQA+QAAAI0DA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eLsUA&#10;AADcAAAADwAAAGRycy9kb3ducmV2LnhtbESPQWvCQBSE74X+h+UJvUjdWFEkdZUiSIMIYrSeH9nX&#10;JJh9G7PbJP57VxB6HGbmG2ax6k0lWmpcaVnBeBSBIM6sLjlXcDpu3ucgnEfWWFkmBTdysFq+viww&#10;1rbjA7Wpz0WAsItRQeF9HUvpsoIMupGtiYP3axuDPsgml7rBLsBNJT+iaCYNlhwWCqxpXVB2Sf+M&#10;gi7bt+fj7lvuh+fE8jW5rtOfrVJvg/7rE4Sn3v+Hn+1EK5hOp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5l4uxQAAANwAAAAPAAAAAAAAAAAAAAAAAJgCAABkcnMv&#10;ZG93bnJldi54bWxQSwUGAAAAAAQABAD1AAAAigMAAAAA&#10;" filled="f" stroked="f"/>
              <w10:wrap anchorx="page" anchory="page"/>
            </v:group>
          </w:pict>
        </mc:Fallback>
      </mc:AlternateContent>
    </w:r>
    <w:r w:rsidRPr="00262B5D">
      <w:rPr>
        <w:b/>
        <w:bCs/>
        <w:color w:val="2F5496" w:themeColor="accent1" w:themeShade="BF"/>
        <w:sz w:val="18"/>
        <w:szCs w:val="16"/>
      </w:rPr>
      <w:t>INTRODUCTION GENERALE</w:t>
    </w:r>
  </w:p>
  <w:p w14:paraId="2582FEC3" w14:textId="77777777" w:rsidR="00A36231" w:rsidRDefault="00A36231" w:rsidP="00262B5D">
    <w:pPr>
      <w:pStyle w:val="En-tte"/>
      <w:ind w:firstLine="0"/>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5888" behindDoc="0" locked="0" layoutInCell="1" allowOverlap="1" wp14:anchorId="4A550FAD" wp14:editId="3C473351">
              <wp:simplePos x="0" y="0"/>
              <wp:positionH relativeFrom="rightMargin">
                <wp:posOffset>301625</wp:posOffset>
              </wp:positionH>
              <wp:positionV relativeFrom="page">
                <wp:posOffset>0</wp:posOffset>
              </wp:positionV>
              <wp:extent cx="90805" cy="683260"/>
              <wp:effectExtent l="0" t="0" r="0" b="2540"/>
              <wp:wrapNone/>
              <wp:docPr id="5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920670" id="Rectangle 2" o:spid="_x0000_s1026" style="position:absolute;margin-left:23.75pt;margin-top:0;width:7.15pt;height:53.8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4864" behindDoc="0" locked="0" layoutInCell="1" allowOverlap="1" wp14:anchorId="1288919B" wp14:editId="1C469F5C">
              <wp:simplePos x="0" y="0"/>
              <wp:positionH relativeFrom="leftMargin">
                <wp:posOffset>149225</wp:posOffset>
              </wp:positionH>
              <wp:positionV relativeFrom="page">
                <wp:posOffset>0</wp:posOffset>
              </wp:positionV>
              <wp:extent cx="90805" cy="683260"/>
              <wp:effectExtent l="0" t="0" r="0" b="2540"/>
              <wp:wrapNone/>
              <wp:docPr id="5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C7F35" id="Rectangle 1" o:spid="_x0000_s1026" style="position:absolute;margin-left:11.75pt;margin-top:0;width:7.15pt;height:53.8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" fillcolor="#5b9bd5 [3208]" stroked="f" strokecolor="#1f4d78 [1608]">
              <w10:wrap anchorx="margin" anchory="page"/>
            </v:rect>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D9E0A" w14:textId="77777777" w:rsidR="00A36231" w:rsidRDefault="00A36231" w:rsidP="006821A4">
    <w:pPr>
      <w:pStyle w:val="En-tte"/>
      <w:ind w:firstLin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ACABB" w14:textId="77777777" w:rsidR="00A36231" w:rsidRDefault="00A36231" w:rsidP="00731228">
    <w:pPr>
      <w:pStyle w:val="En-tte"/>
      <w:ind w:left="-567" w:right="-567"/>
      <w:rPr>
        <w:rFonts w:eastAsiaTheme="majorEastAsia" w:cstheme="majorBidi"/>
        <w:b/>
        <w:bCs/>
        <w:color w:val="2F5496" w:themeColor="accent1" w:themeShade="BF"/>
        <w:sz w:val="18"/>
        <w:szCs w:val="18"/>
      </w:rPr>
    </w:pPr>
    <w:r>
      <w:rPr>
        <w:rFonts w:eastAsiaTheme="majorEastAsia" w:cstheme="majorBidi"/>
        <w:b/>
        <w:bCs/>
        <w:color w:val="2F5496" w:themeColor="accent1" w:themeShade="BF"/>
        <w:sz w:val="18"/>
        <w:szCs w:val="18"/>
      </w:rPr>
      <w:t>CHAPITRE 01 : LA GOUVERNNCE COMME PIERRE ANGULAIRE DE L’ENTREPRISE</w:t>
    </w:r>
  </w:p>
  <w:p w14:paraId="1CD045D2" w14:textId="77777777" w:rsidR="00A36231" w:rsidRPr="00456526" w:rsidRDefault="00A36231" w:rsidP="00456526">
    <w:pPr>
      <w:pStyle w:val="En-tte"/>
      <w:ind w:left="-567" w:right="-567"/>
      <w:jc w:val="center"/>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9984" behindDoc="0" locked="0" layoutInCell="1" allowOverlap="1" wp14:anchorId="555565E5" wp14:editId="4832DD4E">
              <wp:simplePos x="0" y="0"/>
              <wp:positionH relativeFrom="rightMargin">
                <wp:posOffset>301625</wp:posOffset>
              </wp:positionH>
              <wp:positionV relativeFrom="page">
                <wp:posOffset>0</wp:posOffset>
              </wp:positionV>
              <wp:extent cx="90805" cy="683260"/>
              <wp:effectExtent l="0" t="0" r="0" b="2540"/>
              <wp:wrapNone/>
              <wp:docPr id="5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BE1BC9" id="Rectangle 2" o:spid="_x0000_s1026" style="position:absolute;margin-left:23.75pt;margin-top:0;width:7.15pt;height:53.8pt;z-index:2516899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8960" behindDoc="0" locked="0" layoutInCell="1" allowOverlap="1" wp14:anchorId="6260CE61" wp14:editId="36DA3F4C">
              <wp:simplePos x="0" y="0"/>
              <wp:positionH relativeFrom="leftMargin">
                <wp:posOffset>149225</wp:posOffset>
              </wp:positionH>
              <wp:positionV relativeFrom="page">
                <wp:posOffset>0</wp:posOffset>
              </wp:positionV>
              <wp:extent cx="90805" cy="683260"/>
              <wp:effectExtent l="0" t="0" r="0" b="2540"/>
              <wp:wrapNone/>
              <wp:docPr id="59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1E70D6" id="Rectangle 1" o:spid="_x0000_s1026" style="position:absolute;margin-left:11.75pt;margin-top:0;width:7.15pt;height:53.8pt;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91008" behindDoc="0" locked="0" layoutInCell="1" allowOverlap="1" wp14:anchorId="6DBB1B33" wp14:editId="3E0F7681">
              <wp:simplePos x="0" y="0"/>
              <wp:positionH relativeFrom="page">
                <wp:align>left</wp:align>
              </wp:positionH>
              <wp:positionV relativeFrom="page">
                <wp:align>top</wp:align>
              </wp:positionV>
              <wp:extent cx="7544435" cy="691515"/>
              <wp:effectExtent l="0" t="0" r="21590" b="13335"/>
              <wp:wrapNone/>
              <wp:docPr id="59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592"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93"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0658BE" id="Group 3" o:spid="_x0000_s1026" style="position:absolute;margin-left:0;margin-top:0;width:594.05pt;height:54.45pt;z-index:251691008;mso-width-percent:1000;mso-position-horizontal:lef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96cAAAADcAAAADwAAAGRycy9kb3ducmV2LnhtbESPzQrCMBCE74LvEFbwpqmiotUoIgri&#10;QfDvvjRrW202pYla394IgsdhZr5hZovaFOJJlcstK+h1IxDEidU5pwrOp01nDMJ5ZI2FZVLwJgeL&#10;ebMxw1jbFx/oefSpCBB2MSrIvC9jKV2SkUHXtSVx8K62MuiDrFKpK3wFuClkP4pG0mDOYSHDklYZ&#10;Jffjwyi43G523dP7QbJ+a3nIxztz3qFS7Va9nILwVPt/+NfeagXDSR++Z8IRkPM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TafenAAAAA3AAAAA8AAAAAAAAAAAAAAAAA&#10;oQIAAGRycy9kb3ducmV2LnhtbFBLBQYAAAAABAAEAPkAAACOAw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U8+8UA&#10;AADcAAAADwAAAGRycy9kb3ducmV2LnhtbESPQWvCQBSE70L/w/IKXqRuqlja1FWKUAwiiLH1/Mi+&#10;JqHZtzG7JvHfu4LgcZiZb5j5sjeVaKlxpWUFr+MIBHFmdcm5gp/D98s7COeRNVaWScGFHCwXT4M5&#10;xtp2vKc29bkIEHYxKii8r2MpXVaQQTe2NXHw/mxj0AfZ5FI32AW4qeQkit6kwZLDQoE1rQrK/tOz&#10;UdBlu/Z42K7lbnRMLJ+S0yr93Sg1fO6/PkF46v0jfG8nWsHsYw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JTz7xQAAANwAAAAPAAAAAAAAAAAAAAAAAJgCAABkcnMv&#10;ZG93bnJldi54bWxQSwUGAAAAAAQABAD1AAAAigMAAAAA&#10;" filled="f" stroked="f"/>
              <w10:wrap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BB56E" w14:textId="77777777" w:rsidR="00A36231" w:rsidRDefault="00A36231" w:rsidP="00731228">
    <w:pPr>
      <w:pStyle w:val="En-tte"/>
      <w:ind w:left="-567" w:right="-567"/>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66432" behindDoc="0" locked="0" layoutInCell="1" allowOverlap="1" wp14:anchorId="7241F9D1" wp14:editId="6819C7A7">
              <wp:simplePos x="0" y="0"/>
              <wp:positionH relativeFrom="page">
                <wp:align>left</wp:align>
              </wp:positionH>
              <wp:positionV relativeFrom="page">
                <wp:align>top</wp:align>
              </wp:positionV>
              <wp:extent cx="7544435" cy="691515"/>
              <wp:effectExtent l="0" t="0" r="21590" b="13335"/>
              <wp:wrapNone/>
              <wp:docPr id="30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304"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30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FE5B72" id="Group 3" o:spid="_x0000_s1026" style="position:absolute;margin-left:0;margin-top:0;width:594.05pt;height:54.45pt;z-index:251666432;mso-width-percent:1000;mso-position-horizontal:lef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4XecAAAADcAAAADwAAAGRycy9kb3ducmV2LnhtbESPSwvCMBCE74L/IazgTVMfSKlGEVEQ&#10;D4Kv+9KsbbXZlCZq/fdGEDwOM/MNM1s0phRPql1hWcGgH4EgTq0uOFNwPm16MQjnkTWWlknBmxws&#10;5u3WDBNtX3yg59FnIkDYJagg975KpHRpTgZd31bEwbva2qAPss6krvEV4KaUwyiaSIMFh4UcK1rl&#10;lN6PD6PgcrvZ9UDvx+n6reWhiHfmvEOlup1mOQXhqfH/8K+91QpG0Ri+Z8IRkPM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o+F3nAAAAA3AAAAA8AAAAAAAAAAAAAAAAA&#10;oQIAAGRycy9kb3ducmV2LnhtbFBLBQYAAAAABAAEAPkAAACOAw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Wa8UA&#10;AADcAAAADwAAAGRycy9kb3ducmV2LnhtbESPQWvCQBSE74L/YXlCL0U3VhRJXUWE0lAEMVrPj+xr&#10;Epp9G7PbJP57Vyh4HGbmG2a16U0lWmpcaVnBdBKBIM6sLjlXcD59jJcgnEfWWFkmBTdysFkPByuM&#10;te34SG3qcxEg7GJUUHhfx1K6rCCDbmJr4uD92MagD7LJpW6wC3BTybcoWkiDJYeFAmvaFZT9pn9G&#10;QZcd2stp/ykPr5fE8jW57tLvL6VeRv32HYSn3j/D/+1EK5hFc3ic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wVZrxQAAANwAAAAPAAAAAAAAAAAAAAAAAJgCAABkcnMv&#10;ZG93bnJldi54bWxQSwUGAAAAAAQABAD1AAAAigMAAAAA&#10;" filled="f" stroked="f"/>
              <w10:wrap anchorx="page" anchory="page"/>
            </v:group>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5408" behindDoc="0" locked="0" layoutInCell="1" allowOverlap="1" wp14:anchorId="400D2DE8" wp14:editId="54A6E7C2">
              <wp:simplePos x="0" y="0"/>
              <wp:positionH relativeFrom="rightMargin">
                <wp:posOffset>301625</wp:posOffset>
              </wp:positionH>
              <wp:positionV relativeFrom="page">
                <wp:posOffset>0</wp:posOffset>
              </wp:positionV>
              <wp:extent cx="90805" cy="683260"/>
              <wp:effectExtent l="0" t="0" r="0" b="2540"/>
              <wp:wrapNone/>
              <wp:docPr id="3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1618FC" id="Rectangle 2" o:spid="_x0000_s1026" style="position:absolute;margin-left:23.75pt;margin-top:0;width:7.15pt;height:53.8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4384" behindDoc="0" locked="0" layoutInCell="1" allowOverlap="1" wp14:anchorId="2215EC73" wp14:editId="3E1CABA1">
              <wp:simplePos x="0" y="0"/>
              <wp:positionH relativeFrom="leftMargin">
                <wp:posOffset>149225</wp:posOffset>
              </wp:positionH>
              <wp:positionV relativeFrom="page">
                <wp:posOffset>0</wp:posOffset>
              </wp:positionV>
              <wp:extent cx="90805" cy="683260"/>
              <wp:effectExtent l="0" t="0" r="0" b="2540"/>
              <wp:wrapNone/>
              <wp:docPr id="30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923BCB" id="Rectangle 1" o:spid="_x0000_s1026" style="position:absolute;margin-left:11.75pt;margin-top:0;width:7.15pt;height:53.8pt;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" fillcolor="#5b9bd5 [3208]" stroked="f" strokecolor="#1f4d78 [1608]">
              <w10:wrap anchorx="margin" anchory="page"/>
            </v:rect>
          </w:pict>
        </mc:Fallback>
      </mc:AlternateContent>
    </w:r>
    <w:r>
      <w:rPr>
        <w:rFonts w:eastAsiaTheme="majorEastAsia" w:cstheme="majorBidi"/>
        <w:b/>
        <w:bCs/>
        <w:color w:val="2F5496" w:themeColor="accent1" w:themeShade="BF"/>
        <w:sz w:val="18"/>
        <w:szCs w:val="18"/>
      </w:rPr>
      <w:t>CHAPITRE 01 : LA GOUVERNNCE COMME PIERRE ANGULAIRE DE L’ENTREPRISE</w:t>
    </w:r>
  </w:p>
  <w:p w14:paraId="49EC1F7E" w14:textId="77777777" w:rsidR="00A36231" w:rsidRPr="00D77DE1" w:rsidRDefault="00A36231" w:rsidP="00D77DE1">
    <w:pPr>
      <w:pStyle w:val="En-tte"/>
      <w:ind w:left="-567" w:right="-567"/>
      <w:jc w:val="center"/>
      <w:rPr>
        <w:rFonts w:eastAsiaTheme="majorEastAsia" w:cstheme="majorBidi"/>
        <w:b/>
        <w:bCs/>
        <w:color w:val="2F5496" w:themeColor="accent1" w:themeShade="BF"/>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2C826" w14:textId="77777777" w:rsidR="00A36231" w:rsidRPr="006D745A" w:rsidRDefault="00A36231" w:rsidP="00B56B8F">
    <w:pPr>
      <w:pStyle w:val="En-tte"/>
      <w:ind w:left="-567" w:right="-567"/>
      <w:jc w:val="center"/>
      <w:rPr>
        <w:rFonts w:eastAsiaTheme="majorEastAsia" w:cstheme="majorBidi"/>
        <w:b/>
        <w:bCs/>
        <w:color w:val="2F5496" w:themeColor="accent1" w:themeShade="BF"/>
        <w:sz w:val="18"/>
        <w:szCs w:val="18"/>
      </w:rPr>
    </w:pPr>
  </w:p>
  <w:p w14:paraId="1F252D21" w14:textId="77777777" w:rsidR="00A36231" w:rsidRDefault="00A36231" w:rsidP="000665C8">
    <w:pPr>
      <w:pStyle w:val="En-tte"/>
      <w:ind w:firstLine="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8B86B" w14:textId="77777777" w:rsidR="00A36231" w:rsidRPr="006D745A" w:rsidRDefault="00A36231" w:rsidP="00736997">
    <w:pPr>
      <w:pStyle w:val="En-tte"/>
      <w:ind w:left="-510" w:firstLine="0"/>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73600" behindDoc="0" locked="0" layoutInCell="1" allowOverlap="1" wp14:anchorId="3597ED09" wp14:editId="206D3A6D">
              <wp:simplePos x="0" y="0"/>
              <wp:positionH relativeFrom="rightMargin">
                <wp:posOffset>301753</wp:posOffset>
              </wp:positionH>
              <wp:positionV relativeFrom="page">
                <wp:align>top</wp:align>
              </wp:positionV>
              <wp:extent cx="97536" cy="782955"/>
              <wp:effectExtent l="0" t="0" r="0" b="0"/>
              <wp:wrapNone/>
              <wp:docPr id="50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 cy="782955"/>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2C95FB" id="Rectangle 2" o:spid="_x0000_s1026" style="position:absolute;margin-left:23.75pt;margin-top:0;width:7.7pt;height:61.65pt;z-index:251673600;visibility:visible;mso-wrap-style:square;mso-width-percent:0;mso-height-percent:0;mso-wrap-distance-left:9pt;mso-wrap-distance-top:0;mso-wrap-distance-right:9pt;mso-wrap-distance-bottom:0;mso-position-horizontal:absolute;mso-position-horizontal-relative:righ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72576" behindDoc="0" locked="0" layoutInCell="1" allowOverlap="1" wp14:anchorId="19673E5E" wp14:editId="28D05CAA">
              <wp:simplePos x="0" y="0"/>
              <wp:positionH relativeFrom="leftMargin">
                <wp:posOffset>149225</wp:posOffset>
              </wp:positionH>
              <wp:positionV relativeFrom="page">
                <wp:align>top</wp:align>
              </wp:positionV>
              <wp:extent cx="97536" cy="768096"/>
              <wp:effectExtent l="0" t="0" r="0" b="0"/>
              <wp:wrapNone/>
              <wp:docPr id="50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 cy="768096"/>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0A9DC7" id="Rectangle 1" o:spid="_x0000_s1026" style="position:absolute;margin-left:11.75pt;margin-top:0;width:7.7pt;height:60.5pt;z-index:25167257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74624" behindDoc="0" locked="0" layoutInCell="1" allowOverlap="1" wp14:anchorId="5C7FA84B" wp14:editId="28682A7A">
              <wp:simplePos x="0" y="0"/>
              <wp:positionH relativeFrom="page">
                <wp:align>right</wp:align>
              </wp:positionH>
              <wp:positionV relativeFrom="page">
                <wp:posOffset>91440</wp:posOffset>
              </wp:positionV>
              <wp:extent cx="7544435" cy="691515"/>
              <wp:effectExtent l="0" t="0" r="21590" b="13335"/>
              <wp:wrapNone/>
              <wp:docPr id="50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503"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04"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265042" id="Group 3" o:spid="_x0000_s1026" style="position:absolute;margin-left:542.85pt;margin-top:7.2pt;width:594.05pt;height:54.45pt;z-index:251674624;mso-width-percent:1000;mso-position-horizontal:right;mso-position-horizontal-relative:page;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xN9b8AAADcAAAADwAAAGRycy9kb3ducmV2LnhtbESPSwvCMBCE74L/IazgTVOfSDWKiIJ4&#10;EHzdl2Ztq82mNFHrvzeC4HGYmW+Y2aI2hXhS5XLLCnrdCARxYnXOqYLzadOZgHAeWWNhmRS8ycFi&#10;3mzMMNb2xQd6Hn0qAoRdjAoy78tYSpdkZNB1bUkcvKutDPogq1TqCl8BbgrZj6KxNJhzWMiwpFVG&#10;yf34MAout5td9/R+mKzfWh7yyc6cd6hUu1UvpyA81f4f/rW3WsEoGsD3TDgCc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5xN9b8AAADcAAAADwAAAAAAAAAAAAAAAACh&#10;AgAAZHJzL2Rvd25yZXYueG1sUEsFBgAAAAAEAAQA+QAAAI0DA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YxCMUA&#10;AADcAAAADwAAAGRycy9kb3ducmV2LnhtbESPQWvCQBSE74L/YXlCL0U3FhVJXUWE0lAEMVrPj+xr&#10;Epp9G7PbJP57Vyh4HGbmG2a16U0lWmpcaVnBdBKBIM6sLjlXcD59jJcgnEfWWFkmBTdysFkPByuM&#10;te34SG3qcxEg7GJUUHhfx1K6rCCDbmJr4uD92MagD7LJpW6wC3BTybcoWkiDJYeFAmvaFZT9pn9G&#10;QZcd2stp/ykPr5fE8jW57tLvL6VeRv32HYSn3j/D/+1EK5hHM3ic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jEIxQAAANwAAAAPAAAAAAAAAAAAAAAAAJgCAABkcnMv&#10;ZG93bnJldi54bWxQSwUGAAAAAAQABAD1AAAAigMAAAAA&#10;" filled="f" stroked="f"/>
              <w10:wrap anchorx="page" anchory="page"/>
            </v:group>
          </w:pict>
        </mc:Fallback>
      </mc:AlternateContent>
    </w:r>
    <w:r>
      <w:rPr>
        <w:rFonts w:eastAsiaTheme="majorEastAsia" w:cstheme="majorBidi"/>
        <w:b/>
        <w:bCs/>
        <w:color w:val="2F5496" w:themeColor="accent1" w:themeShade="BF"/>
        <w:sz w:val="18"/>
        <w:szCs w:val="18"/>
      </w:rPr>
      <w:t>CHAPITRE 02 : LA RESPOSABILITE SOCIALE DES ENTREPRISES COMME LEVIER D’INTEGRITE POUR LES ENTREPRISE</w:t>
    </w:r>
    <w:r>
      <w:rPr>
        <w:rFonts w:asciiTheme="majorHAnsi" w:eastAsiaTheme="majorEastAsia" w:hAnsiTheme="majorHAnsi" w:cstheme="majorBidi"/>
        <w:noProof/>
        <w:color w:val="2F5496" w:themeColor="accent1" w:themeShade="BF"/>
        <w:sz w:val="16"/>
        <w:szCs w:val="16"/>
        <w:lang w:eastAsia="fr-FR"/>
      </w:rPr>
      <w:t xml:space="preserve"> </w:t>
    </w:r>
  </w:p>
  <w:p w14:paraId="4A47E412" w14:textId="77777777" w:rsidR="00A36231" w:rsidRDefault="00A36231">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FB74A" w14:textId="77777777" w:rsidR="00A36231" w:rsidRPr="006D745A" w:rsidRDefault="00A36231" w:rsidP="00B56B8F">
    <w:pPr>
      <w:pStyle w:val="En-tte"/>
      <w:ind w:left="-567" w:right="-567"/>
      <w:jc w:val="center"/>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9504" behindDoc="0" locked="0" layoutInCell="1" allowOverlap="1" wp14:anchorId="3F324D02" wp14:editId="07C11288">
              <wp:simplePos x="0" y="0"/>
              <wp:positionH relativeFrom="rightMargin">
                <wp:posOffset>301625</wp:posOffset>
              </wp:positionH>
              <wp:positionV relativeFrom="page">
                <wp:align>top</wp:align>
              </wp:positionV>
              <wp:extent cx="90435" cy="773781"/>
              <wp:effectExtent l="0" t="0" r="5080" b="7620"/>
              <wp:wrapNone/>
              <wp:docPr id="4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35" cy="773781"/>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5C30CE" id="Rectangle 2" o:spid="_x0000_s1026" style="position:absolute;margin-left:23.75pt;margin-top:0;width:7.1pt;height:60.95pt;z-index:251669504;visibility:visible;mso-wrap-style:square;mso-width-percent:0;mso-height-percent:0;mso-wrap-distance-left:9pt;mso-wrap-distance-top:0;mso-wrap-distance-right:9pt;mso-wrap-distance-bottom:0;mso-position-horizontal:absolute;mso-position-horizontal-relative:righ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68480" behindDoc="0" locked="0" layoutInCell="1" allowOverlap="1" wp14:anchorId="14F0A5DA" wp14:editId="6F1769BE">
              <wp:simplePos x="0" y="0"/>
              <wp:positionH relativeFrom="leftMargin">
                <wp:posOffset>149225</wp:posOffset>
              </wp:positionH>
              <wp:positionV relativeFrom="page">
                <wp:align>top</wp:align>
              </wp:positionV>
              <wp:extent cx="90435" cy="773723"/>
              <wp:effectExtent l="0" t="0" r="5080" b="7620"/>
              <wp:wrapNone/>
              <wp:docPr id="4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35" cy="773723"/>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4125EF" id="Rectangle 1" o:spid="_x0000_s1026" style="position:absolute;margin-left:11.75pt;margin-top:0;width:7.1pt;height:60.9pt;z-index:251668480;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70528" behindDoc="0" locked="0" layoutInCell="1" allowOverlap="1" wp14:anchorId="70409E26" wp14:editId="7A000905">
              <wp:simplePos x="0" y="0"/>
              <wp:positionH relativeFrom="page">
                <wp:align>right</wp:align>
              </wp:positionH>
              <wp:positionV relativeFrom="page">
                <wp:posOffset>90435</wp:posOffset>
              </wp:positionV>
              <wp:extent cx="7544435" cy="691515"/>
              <wp:effectExtent l="0" t="0" r="21590" b="13335"/>
              <wp:wrapNone/>
              <wp:docPr id="45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458"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459"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097A1C" id="Group 3" o:spid="_x0000_s1026" style="position:absolute;margin-left:542.85pt;margin-top:7.1pt;width:594.05pt;height:54.45pt;z-index:251670528;mso-width-percent:1000;mso-position-horizontal:right;mso-position-horizontal-relative:page;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r/BL0AAADcAAAADwAAAGRycy9kb3ducmV2LnhtbERPSwrCMBDdC94hjOBO04qKVGMRURAX&#10;gr/90IxttZmUJmq9vVkILh/vv0hbU4kXNa60rCAeRiCIM6tLzhVcztvBDITzyBory6TgQw7SZbez&#10;wETbNx/pdfK5CCHsElRQeF8nUrqsIINuaGviwN1sY9AH2ORSN/gO4aaSoyiaSoMlh4YCa1oXlD1O&#10;T6Pger/bTawP42zz0fJYzvbmskel+r12NQfhqfV/8c+90wrGk7A2nAlHQC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hq/wS9AAAA3AAAAA8AAAAAAAAAAAAAAAAAoQIA&#10;AGRycy9kb3ducmV2LnhtbFBLBQYAAAAABAAEAPkAAACLAw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W+FsUA&#10;AADcAAAADwAAAGRycy9kb3ducmV2LnhtbESPQWvCQBSE70L/w/IKXqRuKlra1FWKUAwiiLH1/Mi+&#10;JqHZtzG7JvHfu4LgcZiZb5j5sjeVaKlxpWUFr+MIBHFmdcm5gp/D98s7COeRNVaWScGFHCwXT4M5&#10;xtp2vKc29bkIEHYxKii8r2MpXVaQQTe2NXHw/mxj0AfZ5FI32AW4qeQkit6kwZLDQoE1rQrK/tOz&#10;UdBlu/Z42K7lbnRMLJ+S0yr93Sg1fO6/PkF46v0jfG8nWsF09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b4WxQAAANwAAAAPAAAAAAAAAAAAAAAAAJgCAABkcnMv&#10;ZG93bnJldi54bWxQSwUGAAAAAAQABAD1AAAAigMAAAAA&#10;" filled="f" stroked="f"/>
              <w10:wrap anchorx="page" anchory="page"/>
            </v:group>
          </w:pict>
        </mc:Fallback>
      </mc:AlternateContent>
    </w:r>
    <w:r>
      <w:rPr>
        <w:rFonts w:eastAsiaTheme="majorEastAsia" w:cstheme="majorBidi"/>
        <w:b/>
        <w:bCs/>
        <w:color w:val="2F5496" w:themeColor="accent1" w:themeShade="BF"/>
        <w:sz w:val="18"/>
        <w:szCs w:val="18"/>
      </w:rPr>
      <w:t>CHAPITRE 02 : LA RESPOSABILIT2 SOCIALE DES ENTREPRISES COMME LEVIER D’INTEGRITE POUR LES ENTREPRISE</w:t>
    </w:r>
  </w:p>
  <w:p w14:paraId="4A476AF9" w14:textId="77777777" w:rsidR="00A36231" w:rsidRDefault="00A36231" w:rsidP="000665C8">
    <w:pPr>
      <w:pStyle w:val="En-tte"/>
      <w:ind w:firstLine="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2460A" w14:textId="77777777" w:rsidR="00A36231" w:rsidRPr="006D745A" w:rsidRDefault="00A36231" w:rsidP="00CF5837">
    <w:pPr>
      <w:pStyle w:val="En-tte"/>
      <w:ind w:left="-510" w:firstLine="0"/>
      <w:rPr>
        <w:rFonts w:eastAsiaTheme="majorEastAsia" w:cstheme="majorBidi"/>
        <w:b/>
        <w:bCs/>
        <w:color w:val="2F5496" w:themeColor="accent1" w:themeShade="BF"/>
        <w:sz w:val="18"/>
        <w:szCs w:val="18"/>
      </w:rPr>
    </w:pPr>
    <w:r>
      <w:rPr>
        <w:rFonts w:eastAsiaTheme="majorEastAsia" w:cstheme="majorBidi"/>
        <w:b/>
        <w:bCs/>
        <w:color w:val="2F5496" w:themeColor="accent1" w:themeShade="BF"/>
        <w:sz w:val="18"/>
        <w:szCs w:val="18"/>
      </w:rPr>
      <w:t xml:space="preserve">CHAPITRE 03 : </w: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77696" behindDoc="0" locked="0" layoutInCell="1" allowOverlap="1" wp14:anchorId="073FE4ED" wp14:editId="393E0E92">
              <wp:simplePos x="0" y="0"/>
              <wp:positionH relativeFrom="rightMargin">
                <wp:posOffset>301625</wp:posOffset>
              </wp:positionH>
              <wp:positionV relativeFrom="page">
                <wp:posOffset>0</wp:posOffset>
              </wp:positionV>
              <wp:extent cx="90805" cy="683260"/>
              <wp:effectExtent l="0" t="0" r="0" b="2540"/>
              <wp:wrapNone/>
              <wp:docPr id="5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B80189" id="Rectangle 2" o:spid="_x0000_s1026" style="position:absolute;margin-left:23.75pt;margin-top:0;width:7.15pt;height:53.8pt;z-index:2516776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76672" behindDoc="0" locked="0" layoutInCell="1" allowOverlap="1" wp14:anchorId="1CC1D2E7" wp14:editId="52C4B5EB">
              <wp:simplePos x="0" y="0"/>
              <wp:positionH relativeFrom="leftMargin">
                <wp:posOffset>149225</wp:posOffset>
              </wp:positionH>
              <wp:positionV relativeFrom="page">
                <wp:posOffset>0</wp:posOffset>
              </wp:positionV>
              <wp:extent cx="90805" cy="683260"/>
              <wp:effectExtent l="0" t="0" r="0" b="2540"/>
              <wp:wrapNone/>
              <wp:docPr id="5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709E2" id="Rectangle 1" o:spid="_x0000_s1026" style="position:absolute;margin-left:11.75pt;margin-top:0;width:7.15pt;height:53.8pt;z-index:2516766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78720" behindDoc="0" locked="0" layoutInCell="1" allowOverlap="1" wp14:anchorId="5F83D595" wp14:editId="5FA58D78">
              <wp:simplePos x="0" y="0"/>
              <wp:positionH relativeFrom="page">
                <wp:align>right</wp:align>
              </wp:positionH>
              <wp:positionV relativeFrom="page">
                <wp:align>top</wp:align>
              </wp:positionV>
              <wp:extent cx="7544435" cy="691515"/>
              <wp:effectExtent l="0" t="0" r="21590" b="13335"/>
              <wp:wrapNone/>
              <wp:docPr id="52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524"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2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B1F38C" id="Group 3" o:spid="_x0000_s1026" style="position:absolute;margin-left:542.85pt;margin-top:0;width:594.05pt;height:54.45pt;z-index:251678720;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CJ4b8AAADcAAAADwAAAGRycy9kb3ducmV2LnhtbESPzQrCMBCE74LvEFbwpqmiUqpRRBTE&#10;g+DffWnWttpsShO1vr0RBI/DzHzDzBaNKcWTaldYVjDoRyCIU6sLzhScT5teDMJ5ZI2lZVLwJgeL&#10;ebs1w0TbFx/oefSZCBB2CSrIva8SKV2ak0HXtxVx8K62NuiDrDOpa3wFuCnlMIom0mDBYSHHilY5&#10;pffjwyi43G52PdD7Ubp+a3ko4p0571CpbqdZTkF4avw//GtvtYLxcATfM+EIyP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8CJ4b8AAADcAAAADwAAAAAAAAAAAAAAAACh&#10;AgAAZHJzL2Rvd25yZXYueG1sUEsFBgAAAAAEAAQA+QAAAI0DA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88YA&#10;AADcAAAADwAAAGRycy9kb3ducmV2LnhtbESPQWvCQBSE74X+h+UVeim6qWCRmI0UoTRIQZq0nh/Z&#10;ZxLMvo3ZbRL/fVcQPA4z8w2TbCbTioF611hW8DqPQBCXVjdcKfgpPmYrEM4ja2wtk4ILOdikjw8J&#10;xtqO/E1D7isRIOxiVFB738VSurImg25uO+LgHW1v0AfZV1L3OAa4aeUiit6kwYbDQo0dbWsqT/mf&#10;UTCW++FQfH3K/cshs3zOztv8d6fU89P0vgbhafL38K2daQXLxRKuZ8IRk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I88YAAADcAAAADwAAAAAAAAAAAAAAAACYAgAAZHJz&#10;L2Rvd25yZXYueG1sUEsFBgAAAAAEAAQA9QAAAIsDAAAAAA==&#10;" filled="f" stroked="f"/>
              <w10:wrap anchorx="page" anchory="page"/>
            </v:group>
          </w:pict>
        </mc:Fallback>
      </mc:AlternateContent>
    </w:r>
    <w:r>
      <w:rPr>
        <w:rFonts w:eastAsiaTheme="majorEastAsia" w:cstheme="majorBidi"/>
        <w:b/>
        <w:bCs/>
        <w:color w:val="2F5496" w:themeColor="accent1" w:themeShade="BF"/>
        <w:sz w:val="18"/>
        <w:szCs w:val="18"/>
      </w:rPr>
      <w:t>ETUDE DE CAS L4ALGERIENNE DES INDUSTRIES TEXTILES : TAYAL SPA ».</w:t>
    </w:r>
  </w:p>
  <w:p w14:paraId="7155EE35" w14:textId="77777777" w:rsidR="00A36231" w:rsidRDefault="00A36231">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D596E" w14:textId="77777777" w:rsidR="00A36231" w:rsidRDefault="00A36231" w:rsidP="000665C8">
    <w:pPr>
      <w:pStyle w:val="En-tte"/>
      <w:ind w:firstLine="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73324" w14:textId="77777777" w:rsidR="00A36231" w:rsidRPr="006D745A" w:rsidRDefault="00A36231" w:rsidP="00CF5837">
    <w:pPr>
      <w:pStyle w:val="En-tte"/>
      <w:ind w:left="-510" w:firstLine="0"/>
      <w:rPr>
        <w:rFonts w:eastAsiaTheme="majorEastAsia" w:cstheme="majorBidi"/>
        <w:b/>
        <w:bCs/>
        <w:color w:val="2F5496" w:themeColor="accent1" w:themeShade="BF"/>
        <w:sz w:val="18"/>
        <w:szCs w:val="18"/>
      </w:rPr>
    </w:pPr>
    <w:r>
      <w:rPr>
        <w:rFonts w:eastAsiaTheme="majorEastAsia" w:cstheme="majorBidi"/>
        <w:b/>
        <w:bCs/>
        <w:color w:val="2F5496" w:themeColor="accent1" w:themeShade="BF"/>
        <w:sz w:val="18"/>
        <w:szCs w:val="18"/>
      </w:rPr>
      <w:t>C</w: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1792" behindDoc="0" locked="0" layoutInCell="1" allowOverlap="1" wp14:anchorId="6D31145A" wp14:editId="0EE69FC8">
              <wp:simplePos x="0" y="0"/>
              <wp:positionH relativeFrom="rightMargin">
                <wp:posOffset>301625</wp:posOffset>
              </wp:positionH>
              <wp:positionV relativeFrom="page">
                <wp:posOffset>0</wp:posOffset>
              </wp:positionV>
              <wp:extent cx="90805" cy="683260"/>
              <wp:effectExtent l="0" t="0" r="0" b="2540"/>
              <wp:wrapNone/>
              <wp:docPr id="5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9B2749" id="Rectangle 2" o:spid="_x0000_s1026" style="position:absolute;margin-left:23.75pt;margin-top:0;width:7.15pt;height:53.8pt;z-index:2516817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80768" behindDoc="0" locked="0" layoutInCell="1" allowOverlap="1" wp14:anchorId="408C8277" wp14:editId="6975DBA8">
              <wp:simplePos x="0" y="0"/>
              <wp:positionH relativeFrom="leftMargin">
                <wp:posOffset>149225</wp:posOffset>
              </wp:positionH>
              <wp:positionV relativeFrom="page">
                <wp:posOffset>0</wp:posOffset>
              </wp:positionV>
              <wp:extent cx="90805" cy="683260"/>
              <wp:effectExtent l="0" t="0" r="0" b="2540"/>
              <wp:wrapNone/>
              <wp:docPr id="5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D92583" id="Rectangle 1" o:spid="_x0000_s1026" style="position:absolute;margin-left:11.75pt;margin-top:0;width:7.15pt;height:53.8pt;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82816" behindDoc="0" locked="0" layoutInCell="1" allowOverlap="1" wp14:anchorId="6978A05C" wp14:editId="53ACCB94">
              <wp:simplePos x="0" y="0"/>
              <wp:positionH relativeFrom="page">
                <wp:align>right</wp:align>
              </wp:positionH>
              <wp:positionV relativeFrom="page">
                <wp:align>top</wp:align>
              </wp:positionV>
              <wp:extent cx="7544435" cy="691515"/>
              <wp:effectExtent l="0" t="0" r="21590" b="13335"/>
              <wp:wrapNone/>
              <wp:docPr id="5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529"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30"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8987E2" id="Group 3" o:spid="_x0000_s1026" style="position:absolute;margin-left:542.85pt;margin-top:0;width:594.05pt;height:54.45pt;z-index:251682816;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Emf8AAAADcAAAADwAAAGRycy9kb3ducmV2LnhtbESPzQrCMBCE74LvEFbwpqmiotUoIgri&#10;QfDvvjRrW202pYla394IgsdhZr5hZovaFOJJlcstK+h1IxDEidU5pwrOp01nDMJ5ZI2FZVLwJgeL&#10;ebMxw1jbFx/oefSpCBB2MSrIvC9jKV2SkUHXtSVx8K62MuiDrFKpK3wFuClkP4pG0mDOYSHDklYZ&#10;Jffjwyi43G523dP7QbJ+a3nIxztz3qFS7Va9nILwVPt/+NfeagXD/gS+Z8IRkPM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nBJn/AAAAA3AAAAA8AAAAAAAAAAAAAAAAA&#10;oQIAAGRycy9kb3ducmV2LnhtbFBLBQYAAAAABAAEAPkAAACOAw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9tsMA&#10;AADcAAAADwAAAGRycy9kb3ducmV2LnhtbERPTWvCQBC9F/oflil4Ed1YsZQ0GymCNEhBmlTPQ3aa&#10;hGZnY3ZN4r93D4UeH+872U6mFQP1rrGsYLWMQBCXVjdcKfgu9otXEM4ja2wtk4IbOdimjw8JxtqO&#10;/EVD7isRQtjFqKD2vouldGVNBt3SdsSB+7G9QR9gX0nd4xjCTSufo+hFGmw4NNTY0a6m8je/GgVj&#10;eRzOxeeHPM7PmeVLdtnlp4NSs6fp/Q2Ep8n/i//cmVaw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9tsMAAADcAAAADwAAAAAAAAAAAAAAAACYAgAAZHJzL2Rv&#10;d25yZXYueG1sUEsFBgAAAAAEAAQA9QAAAIgDAAAAAA==&#10;" filled="f" stroked="f"/>
              <w10:wrap anchorx="page" anchory="page"/>
            </v:group>
          </w:pict>
        </mc:Fallback>
      </mc:AlternateContent>
    </w:r>
    <w:r>
      <w:rPr>
        <w:rFonts w:eastAsiaTheme="majorEastAsia" w:cstheme="majorBidi"/>
        <w:b/>
        <w:bCs/>
        <w:color w:val="2F5496" w:themeColor="accent1" w:themeShade="BF"/>
        <w:sz w:val="18"/>
        <w:szCs w:val="18"/>
      </w:rPr>
      <w:t>ONCLUSION GENERALE</w:t>
    </w:r>
  </w:p>
  <w:p w14:paraId="4F51EADB" w14:textId="77777777" w:rsidR="00A36231" w:rsidRDefault="00A36231">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65D7C" w14:textId="77777777" w:rsidR="00A36231" w:rsidRPr="006D745A" w:rsidRDefault="00A36231" w:rsidP="00BD4F12">
    <w:pPr>
      <w:pStyle w:val="En-tte"/>
      <w:ind w:firstLine="0"/>
      <w:rPr>
        <w:rFonts w:eastAsiaTheme="majorEastAsia" w:cstheme="majorBidi"/>
        <w:b/>
        <w:bCs/>
        <w:color w:val="2F5496" w:themeColor="accent1" w:themeShade="BF"/>
        <w:sz w:val="18"/>
        <w:szCs w:val="18"/>
      </w:rPr>
    </w:pPr>
  </w:p>
  <w:p w14:paraId="440D2527" w14:textId="77777777" w:rsidR="00A36231" w:rsidRDefault="00A36231">
    <w:pPr>
      <w:pStyle w:val="En-tt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19C6F" w14:textId="77777777" w:rsidR="00A36231" w:rsidRPr="006D745A" w:rsidRDefault="00A36231" w:rsidP="00BD4F12">
    <w:pPr>
      <w:pStyle w:val="En-tte"/>
      <w:ind w:left="-510" w:firstLine="0"/>
      <w:rPr>
        <w:rFonts w:eastAsiaTheme="majorEastAsia" w:cstheme="majorBidi"/>
        <w:b/>
        <w:bCs/>
        <w:color w:val="2F5496" w:themeColor="accent1" w:themeShade="BF"/>
        <w:sz w:val="18"/>
        <w:szCs w:val="18"/>
      </w:rPr>
    </w:pP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98176" behindDoc="0" locked="0" layoutInCell="1" allowOverlap="1" wp14:anchorId="270AC4A9" wp14:editId="63273D57">
              <wp:simplePos x="0" y="0"/>
              <wp:positionH relativeFrom="rightMargin">
                <wp:posOffset>301625</wp:posOffset>
              </wp:positionH>
              <wp:positionV relativeFrom="page">
                <wp:posOffset>0</wp:posOffset>
              </wp:positionV>
              <wp:extent cx="90805" cy="683260"/>
              <wp:effectExtent l="0" t="0" r="0" b="2540"/>
              <wp:wrapNone/>
              <wp:docPr id="65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E7F69F" id="Rectangle 2" o:spid="_x0000_s1026" style="position:absolute;margin-left:23.75pt;margin-top:0;width:7.15pt;height:53.8pt;z-index:251698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s">
          <w:drawing>
            <wp:anchor distT="0" distB="0" distL="114300" distR="114300" simplePos="0" relativeHeight="251697152" behindDoc="0" locked="0" layoutInCell="1" allowOverlap="1" wp14:anchorId="73692A6A" wp14:editId="248D0F5C">
              <wp:simplePos x="0" y="0"/>
              <wp:positionH relativeFrom="leftMargin">
                <wp:posOffset>149225</wp:posOffset>
              </wp:positionH>
              <wp:positionV relativeFrom="page">
                <wp:posOffset>0</wp:posOffset>
              </wp:positionV>
              <wp:extent cx="90805" cy="683260"/>
              <wp:effectExtent l="0" t="0" r="0" b="2540"/>
              <wp:wrapNone/>
              <wp:docPr id="65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chemeClr val="accent5">
                          <a:lumMod val="100000"/>
                          <a:lumOff val="0"/>
                        </a:scheme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CEF344" id="Rectangle 1" o:spid="_x0000_s1026" style="position:absolute;margin-left:11.75pt;margin-top:0;width:7.15pt;height:53.8pt;z-index:251697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" fillcolor="#5b9bd5 [3208]" stroked="f" strokecolor="#1f4d78 [1608]">
              <w10:wrap anchorx="margin" anchory="page"/>
            </v:rect>
          </w:pict>
        </mc:Fallback>
      </mc:AlternateContent>
    </w:r>
    <w:r>
      <w:rPr>
        <w:rFonts w:asciiTheme="majorHAnsi" w:eastAsiaTheme="majorEastAsia" w:hAnsiTheme="majorHAnsi" w:cstheme="majorBidi"/>
        <w:noProof/>
        <w:color w:val="2F5496" w:themeColor="accent1" w:themeShade="BF"/>
        <w:sz w:val="16"/>
        <w:szCs w:val="16"/>
        <w:lang w:eastAsia="fr-FR"/>
      </w:rPr>
      <mc:AlternateContent>
        <mc:Choice Requires="wpg">
          <w:drawing>
            <wp:anchor distT="0" distB="0" distL="114300" distR="114300" simplePos="0" relativeHeight="251699200" behindDoc="0" locked="0" layoutInCell="1" allowOverlap="1" wp14:anchorId="5292F0CC" wp14:editId="6A2C9AAC">
              <wp:simplePos x="0" y="0"/>
              <wp:positionH relativeFrom="page">
                <wp:align>right</wp:align>
              </wp:positionH>
              <wp:positionV relativeFrom="page">
                <wp:align>top</wp:align>
              </wp:positionV>
              <wp:extent cx="7544435" cy="691515"/>
              <wp:effectExtent l="0" t="0" r="21590" b="13335"/>
              <wp:wrapNone/>
              <wp:docPr id="65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655"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56"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3C8261" id="Group 3" o:spid="_x0000_s1026" style="position:absolute;margin-left:542.85pt;margin-top:0;width:594.05pt;height:54.45pt;z-index:251699200;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8+e78AAADcAAAADwAAAGRycy9kb3ducmV2LnhtbESPzQrCMBCE74LvEFbwpqmiUqpRRBTE&#10;g+DffWnWttpsShO1vr0RBI/DzHzDzBaNKcWTaldYVjDoRyCIU6sLzhScT5teDMJ5ZI2lZVLwJgeL&#10;ebs1w0TbFx/oefSZCBB2CSrIva8SKV2ak0HXtxVx8K62NuiDrDOpa3wFuCnlMIom0mDBYSHHilY5&#10;pffjwyi43G52PdD7Ubp+a3ko4p0571CpbqdZTkF4avw//GtvtYLJeAzfM+EIyP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68+e78AAADcAAAADwAAAAAAAAAAAAAAAACh&#10;AgAAZHJzL2Rvd25yZXYueG1sUEsFBgAAAAAEAAQA+QAAAI0DAAAAAA==&#10;" strokecolor="#2e74b5 [2408]"/>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EhcUA&#10;AADcAAAADwAAAGRycy9kb3ducmV2LnhtbESP3WrCQBSE7wu+w3KE3hTdWGiQ6CoiiKEUpPHn+pA9&#10;JsHs2Zhdk/Ttu4WCl8PMfMMs14OpRUetqywrmE0jEMS51RUXCk7H3WQOwnlkjbVlUvBDDtar0csS&#10;E217/qYu84UIEHYJKii9bxIpXV6SQTe1DXHwrrY16INsC6lb7APc1PI9imJpsOKwUGJD25LyW/Yw&#10;Cvr80F2OX3t5eLuklu/pfZudP5V6HQ+bBQhPg3+G/9upVhB/xP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zkSFxQAAANwAAAAPAAAAAAAAAAAAAAAAAJgCAABkcnMv&#10;ZG93bnJldi54bWxQSwUGAAAAAAQABAD1AAAAigMAAAAA&#10;" filled="f" stroked="f"/>
              <w10:wrap anchorx="page" anchory="page"/>
            </v:group>
          </w:pict>
        </mc:Fallback>
      </mc:AlternateContent>
    </w:r>
    <w:r>
      <w:rPr>
        <w:rFonts w:eastAsiaTheme="majorEastAsia" w:cstheme="majorBidi"/>
        <w:b/>
        <w:bCs/>
        <w:color w:val="2F5496" w:themeColor="accent1" w:themeShade="BF"/>
        <w:sz w:val="18"/>
        <w:szCs w:val="18"/>
      </w:rPr>
      <w:t>BIBLIOGRAPHIE</w:t>
    </w:r>
  </w:p>
  <w:p w14:paraId="79AB5857" w14:textId="77777777" w:rsidR="00A36231" w:rsidRDefault="00A36231">
    <w:pPr>
      <w:pStyle w:val="En-tte"/>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5CF5C" w14:textId="77777777" w:rsidR="00A36231" w:rsidRPr="006D745A" w:rsidRDefault="00A36231" w:rsidP="00CB40A3">
    <w:pPr>
      <w:pStyle w:val="En-tte"/>
      <w:ind w:firstLine="0"/>
      <w:rPr>
        <w:rFonts w:eastAsiaTheme="majorEastAsia" w:cstheme="majorBidi"/>
        <w:b/>
        <w:bCs/>
        <w:color w:val="2F5496" w:themeColor="accent1" w:themeShade="BF"/>
        <w:sz w:val="18"/>
        <w:szCs w:val="18"/>
      </w:rPr>
    </w:pPr>
  </w:p>
  <w:p w14:paraId="25C0FA74" w14:textId="77777777" w:rsidR="00A36231" w:rsidRDefault="00A36231">
    <w:pPr>
      <w:pStyle w:val="En-tte"/>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8C76A" w14:textId="77777777" w:rsidR="00A36231" w:rsidRPr="00D00AB2" w:rsidRDefault="00A36231" w:rsidP="00CB40A3">
    <w:pPr>
      <w:tabs>
        <w:tab w:val="center" w:pos="4536"/>
        <w:tab w:val="right" w:pos="9072"/>
      </w:tabs>
      <w:spacing w:after="0" w:line="240" w:lineRule="auto"/>
      <w:ind w:left="-510" w:firstLine="0"/>
      <w:rPr>
        <w:rFonts w:eastAsia="Times New Roman" w:cs="Times New Roman"/>
        <w:b/>
        <w:bCs/>
        <w:color w:val="2E74B5"/>
        <w:sz w:val="18"/>
        <w:szCs w:val="18"/>
      </w:rPr>
    </w:pP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02272" behindDoc="0" locked="0" layoutInCell="1" allowOverlap="1" wp14:anchorId="4C36AD26" wp14:editId="689D5D86">
              <wp:simplePos x="0" y="0"/>
              <wp:positionH relativeFrom="rightMargin">
                <wp:posOffset>301625</wp:posOffset>
              </wp:positionH>
              <wp:positionV relativeFrom="page">
                <wp:posOffset>0</wp:posOffset>
              </wp:positionV>
              <wp:extent cx="90805" cy="683260"/>
              <wp:effectExtent l="0" t="0" r="0" b="2540"/>
              <wp:wrapNone/>
              <wp:docPr id="4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D5EB00" id="Rectangle 2" o:spid="_x0000_s1026" style="position:absolute;margin-left:23.75pt;margin-top:0;width:7.15pt;height:53.8pt;z-index:2517022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01248" behindDoc="0" locked="0" layoutInCell="1" allowOverlap="1" wp14:anchorId="7819CBE5" wp14:editId="10B017D1">
              <wp:simplePos x="0" y="0"/>
              <wp:positionH relativeFrom="leftMargin">
                <wp:posOffset>149225</wp:posOffset>
              </wp:positionH>
              <wp:positionV relativeFrom="page">
                <wp:posOffset>0</wp:posOffset>
              </wp:positionV>
              <wp:extent cx="90805" cy="683260"/>
              <wp:effectExtent l="0" t="0" r="0" b="2540"/>
              <wp:wrapNone/>
              <wp:docPr id="47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F5EB2E" id="Rectangle 1" o:spid="_x0000_s1026" style="position:absolute;margin-left:11.75pt;margin-top:0;width:7.15pt;height:53.8pt;z-index:2517012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g">
          <w:drawing>
            <wp:anchor distT="0" distB="0" distL="114300" distR="114300" simplePos="0" relativeHeight="251703296" behindDoc="0" locked="0" layoutInCell="1" allowOverlap="1" wp14:anchorId="4E8E57B6" wp14:editId="45C7B017">
              <wp:simplePos x="0" y="0"/>
              <wp:positionH relativeFrom="page">
                <wp:align>right</wp:align>
              </wp:positionH>
              <wp:positionV relativeFrom="page">
                <wp:align>top</wp:align>
              </wp:positionV>
              <wp:extent cx="7544435" cy="691515"/>
              <wp:effectExtent l="0" t="0" r="21590" b="13335"/>
              <wp:wrapNone/>
              <wp:docPr id="47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474" name="AutoShape 4"/>
                      <wps:cNvCnPr>
                        <a:cxnSpLocks noChangeShapeType="1"/>
                      </wps:cNvCnPr>
                      <wps:spPr bwMode="auto">
                        <a:xfrm>
                          <a:off x="9" y="1431"/>
                          <a:ext cx="15822" cy="0"/>
                        </a:xfrm>
                        <a:prstGeom prst="straightConnector1">
                          <a:avLst/>
                        </a:prstGeom>
                        <a:noFill/>
                        <a:ln w="9525">
                          <a:solidFill>
                            <a:srgbClr val="5B9BD5">
                              <a:lumMod val="75000"/>
                              <a:lumOff val="0"/>
                            </a:srgbClr>
                          </a:solidFill>
                          <a:round/>
                          <a:headEnd/>
                          <a:tailEnd/>
                        </a:ln>
                        <a:extLst>
                          <a:ext uri="{909E8E84-426E-40DD-AFC4-6F175D3DCCD1}">
                            <a14:hiddenFill xmlns:a14="http://schemas.microsoft.com/office/drawing/2010/main">
                              <a:noFill/>
                            </a14:hiddenFill>
                          </a:ext>
                        </a:extLst>
                      </wps:spPr>
                      <wps:bodyPr/>
                    </wps:wsp>
                    <wps:wsp>
                      <wps:cNvPr id="47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272AD0" id="Group 3" o:spid="_x0000_s1026" style="position:absolute;margin-left:542.85pt;margin-top:0;width:594.05pt;height:54.45pt;z-index:251703296;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eVD8cAAADcAAAADwAAAGRycy9kb3ducmV2LnhtbESP3WrCQBSE7wu+w3IE7+rGEm2IriJC&#10;sWAL/rTo5TF7TILZsyG7NWmfvlsQejnMzDfMbNGZStyocaVlBaNhBII4s7rkXMHH4eUxAeE8ssbK&#10;Min4JgeLee9hhqm2Le/otve5CBB2KSoovK9TKV1WkEE3tDVx8C62MeiDbHKpG2wD3FTyKYom0mDJ&#10;YaHAmlYFZdf9l1FwiN+OsuWfz9MoWm8353GC9j1RatDvllMQnjr/H763X7WC+DmGvzPhCM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p5UPxwAAANwAAAAPAAAAAAAA&#10;AAAAAAAAAKECAABkcnMvZG93bnJldi54bWxQSwUGAAAAAAQABAD5AAAAlQMAAAAA&#10;" strokecolor="#2e75b6"/>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3oc8UA&#10;AADcAAAADwAAAGRycy9kb3ducmV2LnhtbESPQWvCQBSE70L/w/IKXqRuKtqW1FWKUAwiiLH1/Mi+&#10;JqHZtzG7JvHfu4LgcZiZb5j5sjeVaKlxpWUFr+MIBHFmdcm5gp/D98sHCOeRNVaWScGFHCwXT4M5&#10;xtp2vKc29bkIEHYxKii8r2MpXVaQQTe2NXHw/mxj0AfZ5FI32AW4qeQkit6kwZLDQoE1rQrK/tOz&#10;UdBlu/Z42K7lbnRMLJ+S0yr93Sg1fO6/PkF46v0jfG8nWsH0fQa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ehzxQAAANwAAAAPAAAAAAAAAAAAAAAAAJgCAABkcnMv&#10;ZG93bnJldi54bWxQSwUGAAAAAAQABAD1AAAAigMAAAAA&#10;" filled="f" stroked="f"/>
              <w10:wrap anchorx="page" anchory="page"/>
            </v:group>
          </w:pict>
        </mc:Fallback>
      </mc:AlternateContent>
    </w:r>
    <w:r w:rsidRPr="00D00AB2">
      <w:rPr>
        <w:rFonts w:eastAsia="Times New Roman" w:cs="Times New Roman"/>
        <w:b/>
        <w:bCs/>
        <w:color w:val="2E74B5"/>
        <w:sz w:val="18"/>
        <w:szCs w:val="18"/>
      </w:rPr>
      <w:t>ANNEXES</w:t>
    </w:r>
  </w:p>
  <w:p w14:paraId="0D16E8C8" w14:textId="77777777" w:rsidR="00A36231" w:rsidRDefault="00A36231">
    <w:pPr>
      <w:pStyle w:val="En-tte"/>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4435D" w14:textId="77777777" w:rsidR="00A36231" w:rsidRDefault="00A36231">
    <w:pPr>
      <w:pStyle w:val="En-tte"/>
    </w:pPr>
  </w:p>
  <w:p w14:paraId="0E19159D" w14:textId="77777777" w:rsidR="00A36231" w:rsidRDefault="00A36231">
    <w:pPr>
      <w:pStyle w:val="En-tte"/>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67C93" w14:textId="77777777" w:rsidR="00A36231" w:rsidRDefault="00A36231" w:rsidP="00D21687">
    <w:pPr>
      <w:tabs>
        <w:tab w:val="center" w:pos="4536"/>
        <w:tab w:val="right" w:pos="9072"/>
      </w:tabs>
      <w:spacing w:after="0" w:line="240" w:lineRule="auto"/>
      <w:ind w:left="-510" w:firstLine="0"/>
      <w:rPr>
        <w:rFonts w:eastAsia="Times New Roman" w:cs="Times New Roman"/>
        <w:b/>
        <w:bCs/>
        <w:color w:val="2E74B5"/>
        <w:sz w:val="18"/>
        <w:szCs w:val="18"/>
      </w:rPr>
    </w:pP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20704" behindDoc="0" locked="0" layoutInCell="1" allowOverlap="1" wp14:anchorId="18BB4D6E" wp14:editId="64963E17">
              <wp:simplePos x="0" y="0"/>
              <wp:positionH relativeFrom="rightMargin">
                <wp:posOffset>301625</wp:posOffset>
              </wp:positionH>
              <wp:positionV relativeFrom="page">
                <wp:posOffset>0</wp:posOffset>
              </wp:positionV>
              <wp:extent cx="90805" cy="683260"/>
              <wp:effectExtent l="0" t="0" r="0" b="2540"/>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446D2D" id="Rectangle 2" o:spid="_x0000_s1026" style="position:absolute;margin-left:23.75pt;margin-top:0;width:7.15pt;height:53.8pt;z-index:2517207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19680" behindDoc="0" locked="0" layoutInCell="1" allowOverlap="1" wp14:anchorId="72D8DCFB" wp14:editId="04A28738">
              <wp:simplePos x="0" y="0"/>
              <wp:positionH relativeFrom="leftMargin">
                <wp:posOffset>149225</wp:posOffset>
              </wp:positionH>
              <wp:positionV relativeFrom="page">
                <wp:posOffset>0</wp:posOffset>
              </wp:positionV>
              <wp:extent cx="90805" cy="683260"/>
              <wp:effectExtent l="0" t="0" r="0" b="2540"/>
              <wp:wrapNone/>
              <wp:docPr id="44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E28B3B" id="Rectangle 1" o:spid="_x0000_s1026" style="position:absolute;margin-left:11.75pt;margin-top:0;width:7.15pt;height:53.8pt;z-index:2517196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g">
          <w:drawing>
            <wp:anchor distT="0" distB="0" distL="114300" distR="114300" simplePos="0" relativeHeight="251721728" behindDoc="0" locked="0" layoutInCell="1" allowOverlap="1" wp14:anchorId="6A2A1089" wp14:editId="6AC94384">
              <wp:simplePos x="0" y="0"/>
              <wp:positionH relativeFrom="page">
                <wp:align>right</wp:align>
              </wp:positionH>
              <wp:positionV relativeFrom="page">
                <wp:align>top</wp:align>
              </wp:positionV>
              <wp:extent cx="7544435" cy="691515"/>
              <wp:effectExtent l="0" t="0" r="21590" b="13335"/>
              <wp:wrapNone/>
              <wp:docPr id="46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461" name="AutoShape 4"/>
                      <wps:cNvCnPr>
                        <a:cxnSpLocks noChangeShapeType="1"/>
                      </wps:cNvCnPr>
                      <wps:spPr bwMode="auto">
                        <a:xfrm>
                          <a:off x="9" y="1431"/>
                          <a:ext cx="15822" cy="0"/>
                        </a:xfrm>
                        <a:prstGeom prst="straightConnector1">
                          <a:avLst/>
                        </a:prstGeom>
                        <a:noFill/>
                        <a:ln w="9525">
                          <a:solidFill>
                            <a:srgbClr val="5B9BD5">
                              <a:lumMod val="75000"/>
                              <a:lumOff val="0"/>
                            </a:srgbClr>
                          </a:solidFill>
                          <a:round/>
                          <a:headEnd/>
                          <a:tailEnd/>
                        </a:ln>
                        <a:extLst>
                          <a:ext uri="{909E8E84-426E-40DD-AFC4-6F175D3DCCD1}">
                            <a14:hiddenFill xmlns:a14="http://schemas.microsoft.com/office/drawing/2010/main">
                              <a:noFill/>
                            </a14:hiddenFill>
                          </a:ext>
                        </a:extLst>
                      </wps:spPr>
                      <wps:bodyPr/>
                    </wps:wsp>
                    <wps:wsp>
                      <wps:cNvPr id="462"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0F8808" id="Group 3" o:spid="_x0000_s1026" style="position:absolute;margin-left:542.85pt;margin-top:0;width:594.05pt;height:54.45pt;z-index:251721728;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mgSsYAAADcAAAADwAAAGRycy9kb3ducmV2LnhtbESP3WrCQBSE7wt9h+UUvKubiJUQXaUU&#10;ioIV/Kno5TF7TEKzZ0N2NbFP7xaEXg4z8w0zmXWmEldqXGlZQdyPQBBnVpecK/jefb4mIJxH1lhZ&#10;JgU3cjCbPj9NMNW25Q1dtz4XAcIuRQWF93UqpcsKMuj6tiYO3tk2Bn2QTS51g22Am0oOomgkDZYc&#10;Fgqs6aOg7Gd7MQp2w6+DbPl3f4yj+Xp5ekvQrhKlei/d+xiEp87/hx/thVYwHMXwdyYcATm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JoErGAAAA3AAAAA8AAAAAAAAA&#10;AAAAAAAAoQIAAGRycy9kb3ducmV2LnhtbFBLBQYAAAAABAAEAPkAAACUAwAAAAA=&#10;" strokecolor="#2e75b6"/>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m2sUA&#10;AADcAAAADwAAAGRycy9kb3ducmV2LnhtbESPQWvCQBSE70L/w/IKvYhuKkUkukoRSoMUxKT1/Mg+&#10;k2D2bcxuk/jvXUHwOMzMN8xqM5hadNS6yrKC92kEgji3uuJCwW/2NVmAcB5ZY22ZFFzJwWb9Mlph&#10;rG3PB+pSX4gAYRejgtL7JpbS5SUZdFPbEAfvZFuDPsi2kLrFPsBNLWdRNJcGKw4LJTa0LSk/p/9G&#10;QZ/vu2P28y3342Ni+ZJctunfTqm31+FzCcLT4J/hRzvRCj7mM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ebaxQAAANwAAAAPAAAAAAAAAAAAAAAAAJgCAABkcnMv&#10;ZG93bnJldi54bWxQSwUGAAAAAAQABAD1AAAAigMAAAAA&#10;" filled="f" stroked="f"/>
              <w10:wrap anchorx="page" anchory="page"/>
            </v:group>
          </w:pict>
        </mc:Fallback>
      </mc:AlternateContent>
    </w:r>
    <w:r>
      <w:rPr>
        <w:rFonts w:eastAsia="Times New Roman" w:cs="Times New Roman"/>
        <w:b/>
        <w:bCs/>
        <w:color w:val="2E74B5"/>
        <w:sz w:val="18"/>
        <w:szCs w:val="18"/>
      </w:rPr>
      <w:t>TABLE DES MATIERE</w:t>
    </w:r>
  </w:p>
  <w:p w14:paraId="3D35D112" w14:textId="77777777" w:rsidR="00A36231" w:rsidRPr="00D21687" w:rsidRDefault="00A36231" w:rsidP="00D21687">
    <w:pPr>
      <w:tabs>
        <w:tab w:val="center" w:pos="4536"/>
        <w:tab w:val="right" w:pos="9072"/>
      </w:tabs>
      <w:spacing w:after="0" w:line="240" w:lineRule="auto"/>
      <w:ind w:left="-510" w:firstLine="0"/>
      <w:rPr>
        <w:rFonts w:eastAsia="Times New Roman" w:cs="Times New Roman"/>
        <w:b/>
        <w:bCs/>
        <w:color w:val="2E74B5"/>
        <w:sz w:val="18"/>
        <w:szCs w:val="18"/>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911A9" w14:textId="77777777" w:rsidR="00A36231" w:rsidRDefault="00A36231" w:rsidP="00D21687">
    <w:pPr>
      <w:tabs>
        <w:tab w:val="center" w:pos="4536"/>
        <w:tab w:val="right" w:pos="9072"/>
      </w:tabs>
      <w:spacing w:after="0" w:line="240" w:lineRule="auto"/>
      <w:ind w:left="-510" w:firstLine="0"/>
      <w:rPr>
        <w:rFonts w:eastAsia="Times New Roman" w:cs="Times New Roman"/>
        <w:b/>
        <w:bCs/>
        <w:color w:val="2E74B5"/>
        <w:sz w:val="18"/>
        <w:szCs w:val="18"/>
      </w:rPr>
    </w:pP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26848" behindDoc="0" locked="0" layoutInCell="1" allowOverlap="1" wp14:anchorId="4630006F" wp14:editId="3A8D884D">
              <wp:simplePos x="0" y="0"/>
              <wp:positionH relativeFrom="rightMargin">
                <wp:posOffset>301625</wp:posOffset>
              </wp:positionH>
              <wp:positionV relativeFrom="page">
                <wp:posOffset>0</wp:posOffset>
              </wp:positionV>
              <wp:extent cx="90805" cy="683260"/>
              <wp:effectExtent l="0" t="0" r="0" b="2540"/>
              <wp:wrapNone/>
              <wp:docPr id="4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029F31" id="Rectangle 2" o:spid="_x0000_s1026" style="position:absolute;margin-left:23.75pt;margin-top:0;width:7.15pt;height:53.8pt;z-index:2517268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s">
          <w:drawing>
            <wp:anchor distT="0" distB="0" distL="114300" distR="114300" simplePos="0" relativeHeight="251725824" behindDoc="0" locked="0" layoutInCell="1" allowOverlap="1" wp14:anchorId="62B2D3FA" wp14:editId="017B0E24">
              <wp:simplePos x="0" y="0"/>
              <wp:positionH relativeFrom="leftMargin">
                <wp:posOffset>149225</wp:posOffset>
              </wp:positionH>
              <wp:positionV relativeFrom="page">
                <wp:posOffset>0</wp:posOffset>
              </wp:positionV>
              <wp:extent cx="90805" cy="683260"/>
              <wp:effectExtent l="0" t="0" r="0" b="2540"/>
              <wp:wrapNone/>
              <wp:docPr id="49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83260"/>
                      </a:xfrm>
                      <a:prstGeom prst="rect">
                        <a:avLst/>
                      </a:prstGeom>
                      <a:solidFill>
                        <a:srgbClr val="5B9BD5">
                          <a:lumMod val="100000"/>
                          <a:lumOff val="0"/>
                        </a:srgbClr>
                      </a:solidFill>
                      <a:ln>
                        <a:noFill/>
                      </a:ln>
                      <a:extLst>
                        <a:ext uri="{91240B29-F687-4F45-9708-019B960494DF}">
                          <a14:hiddenLine xmlns:a14="http://schemas.microsoft.com/office/drawing/2010/main" w="9525">
                            <a:solidFill>
                              <a:schemeClr val="accent5">
                                <a:lumMod val="5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67EC42" id="Rectangle 1" o:spid="_x0000_s1026" style="position:absolute;margin-left:11.75pt;margin-top:0;width:7.15pt;height:53.8pt;z-index:251725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" fillcolor="#5b9bd5" stroked="f" strokecolor="#1f4d78 [1608]">
              <w10:wrap anchorx="margin" anchory="page"/>
            </v:rect>
          </w:pict>
        </mc:Fallback>
      </mc:AlternateContent>
    </w:r>
    <w:r w:rsidRPr="00D00AB2">
      <w:rPr>
        <w:rFonts w:ascii="Calibri Light" w:eastAsia="Times New Roman" w:hAnsi="Calibri Light" w:cs="Times New Roman"/>
        <w:noProof/>
        <w:color w:val="2E74B5"/>
        <w:sz w:val="16"/>
        <w:szCs w:val="16"/>
        <w:lang w:eastAsia="fr-FR"/>
      </w:rPr>
      <mc:AlternateContent>
        <mc:Choice Requires="wpg">
          <w:drawing>
            <wp:anchor distT="0" distB="0" distL="114300" distR="114300" simplePos="0" relativeHeight="251727872" behindDoc="0" locked="0" layoutInCell="1" allowOverlap="1" wp14:anchorId="68DA3944" wp14:editId="16D3DCC5">
              <wp:simplePos x="0" y="0"/>
              <wp:positionH relativeFrom="page">
                <wp:align>right</wp:align>
              </wp:positionH>
              <wp:positionV relativeFrom="page">
                <wp:align>top</wp:align>
              </wp:positionV>
              <wp:extent cx="7544435" cy="691515"/>
              <wp:effectExtent l="0" t="0" r="21590" b="13335"/>
              <wp:wrapNone/>
              <wp:docPr id="49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691515"/>
                        <a:chOff x="8" y="9"/>
                        <a:chExt cx="15823" cy="1439"/>
                      </a:xfrm>
                    </wpg:grpSpPr>
                    <wps:wsp>
                      <wps:cNvPr id="492" name="AutoShape 4"/>
                      <wps:cNvCnPr>
                        <a:cxnSpLocks noChangeShapeType="1"/>
                      </wps:cNvCnPr>
                      <wps:spPr bwMode="auto">
                        <a:xfrm>
                          <a:off x="9" y="1431"/>
                          <a:ext cx="15822" cy="0"/>
                        </a:xfrm>
                        <a:prstGeom prst="straightConnector1">
                          <a:avLst/>
                        </a:prstGeom>
                        <a:noFill/>
                        <a:ln w="9525">
                          <a:solidFill>
                            <a:srgbClr val="5B9BD5">
                              <a:lumMod val="75000"/>
                              <a:lumOff val="0"/>
                            </a:srgbClr>
                          </a:solidFill>
                          <a:round/>
                          <a:headEnd/>
                          <a:tailEnd/>
                        </a:ln>
                        <a:extLst>
                          <a:ext uri="{909E8E84-426E-40DD-AFC4-6F175D3DCCD1}">
                            <a14:hiddenFill xmlns:a14="http://schemas.microsoft.com/office/drawing/2010/main">
                              <a:noFill/>
                            </a14:hiddenFill>
                          </a:ext>
                        </a:extLst>
                      </wps:spPr>
                      <wps:bodyPr/>
                    </wps:wsp>
                    <wps:wsp>
                      <wps:cNvPr id="493"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C2AF26" id="Group 3" o:spid="_x0000_s1026" style="position:absolute;margin-left:542.85pt;margin-top:0;width:594.05pt;height:54.45pt;z-index:251727872;mso-width-percent:1000;mso-position-horizontal:right;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5OGsYAAADcAAAADwAAAGRycy9kb3ducmV2LnhtbESP3WrCQBSE7wXfYTlC73Sj2JJGVxFB&#10;LNiC9Yf28pg9JsHs2ZBdTerTd4VCL4eZ+YaZzltTihvVrrCsYDiIQBCnVhecKTjsV/0YhPPIGkvL&#10;pOCHHMxn3c4UE20b/qTbzmciQNglqCD3vkqkdGlOBt3AVsTBO9vaoA+yzqSusQlwU8pRFL1IgwWH&#10;hRwrWuaUXnZXo2A/fv+SDd+P38Novd2cnmO0H7FST712MQHhqfX/4b/2m1Ywfh3B40w4AnL2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OThrGAAAA3AAAAA8AAAAAAAAA&#10;AAAAAAAAoQIAAGRycy9kb3ducmV2LnhtbFBLBQYAAAAABAAEAPkAAACUAwAAAAA=&#10;" strokecolor="#2e75b6"/>
              <v:rect id="Rectangle 5"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QzZsUA&#10;AADcAAAADwAAAGRycy9kb3ducmV2LnhtbESPQWvCQBSE70L/w/IKXqRuqlLa1FWKUAwiiLH1/Mi+&#10;JqHZtzG7JvHfu4LgcZiZb5j5sjeVaKlxpWUFr+MIBHFmdcm5gp/D98s7COeRNVaWScGFHCwXT4M5&#10;xtp2vKc29bkIEHYxKii8r2MpXVaQQTe2NXHw/mxj0AfZ5FI32AW4qeQkit6kwZLDQoE1rQrK/tOz&#10;UdBlu/Z42K7lbnRMLJ+S0yr93Sg1fO6/PkF46v0jfG8nWsHsYw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DNmxQAAANwAAAAPAAAAAAAAAAAAAAAAAJgCAABkcnMv&#10;ZG93bnJldi54bWxQSwUGAAAAAAQABAD1AAAAigMAAAAA&#10;" filled="f" stroked="f"/>
              <w10:wrap anchorx="page" anchory="page"/>
            </v:group>
          </w:pict>
        </mc:Fallback>
      </mc:AlternateContent>
    </w:r>
    <w:r>
      <w:rPr>
        <w:rFonts w:eastAsia="Times New Roman" w:cs="Times New Roman"/>
        <w:b/>
        <w:bCs/>
        <w:color w:val="2E74B5"/>
        <w:sz w:val="18"/>
        <w:szCs w:val="18"/>
      </w:rPr>
      <w:t>RESUME</w:t>
    </w:r>
  </w:p>
  <w:p w14:paraId="43978192" w14:textId="77777777" w:rsidR="00A36231" w:rsidRPr="00D21687" w:rsidRDefault="00A36231" w:rsidP="00D21687">
    <w:pPr>
      <w:tabs>
        <w:tab w:val="center" w:pos="4536"/>
        <w:tab w:val="right" w:pos="9072"/>
      </w:tabs>
      <w:spacing w:after="0" w:line="240" w:lineRule="auto"/>
      <w:ind w:left="-510" w:firstLine="0"/>
      <w:rPr>
        <w:rFonts w:eastAsia="Times New Roman" w:cs="Times New Roman"/>
        <w:b/>
        <w:bCs/>
        <w:color w:val="2E74B5"/>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75"/>
    <w:multiLevelType w:val="hybridMultilevel"/>
    <w:tmpl w:val="86F4D220"/>
    <w:lvl w:ilvl="0" w:tplc="8B92E974">
      <w:start w:val="1"/>
      <w:numFmt w:val="decimal"/>
      <w:lvlText w:val="3.2.%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0D6447B"/>
    <w:multiLevelType w:val="hybridMultilevel"/>
    <w:tmpl w:val="EB5EFAA4"/>
    <w:lvl w:ilvl="0" w:tplc="8E8AD9B8">
      <w:start w:val="1"/>
      <w:numFmt w:val="upperLetter"/>
      <w:lvlText w:val="%1."/>
      <w:lvlJc w:val="left"/>
      <w:pPr>
        <w:ind w:left="1069" w:hanging="360"/>
      </w:pPr>
      <w:rPr>
        <w:rFonts w:hint="default"/>
        <w:b/>
        <w:bCs/>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
    <w:nsid w:val="011829CA"/>
    <w:multiLevelType w:val="hybridMultilevel"/>
    <w:tmpl w:val="ED78AFD4"/>
    <w:lvl w:ilvl="0" w:tplc="0558443E">
      <w:start w:val="1"/>
      <w:numFmt w:val="upperLetter"/>
      <w:lvlText w:val="%1."/>
      <w:lvlJc w:val="left"/>
      <w:pPr>
        <w:ind w:left="1069" w:hanging="360"/>
      </w:pPr>
      <w:rPr>
        <w:rFonts w:hint="default"/>
        <w:b/>
        <w:bCs/>
        <w:sz w:val="24"/>
        <w:szCs w:val="24"/>
      </w:r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nsid w:val="01193EF2"/>
    <w:multiLevelType w:val="hybridMultilevel"/>
    <w:tmpl w:val="A970BC3C"/>
    <w:lvl w:ilvl="0" w:tplc="90BAA996">
      <w:start w:val="1"/>
      <w:numFmt w:val="decimal"/>
      <w:lvlText w:val="3.%1."/>
      <w:lvlJc w:val="left"/>
      <w:pPr>
        <w:ind w:left="643" w:hanging="360"/>
      </w:pPr>
      <w:rPr>
        <w:rFonts w:asciiTheme="majorBidi" w:hAnsiTheme="majorBidi" w:cstheme="majorBidi" w:hint="default"/>
        <w:b/>
        <w:bCs/>
        <w:color w:val="auto"/>
        <w:sz w:val="22"/>
        <w:szCs w:val="2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nsid w:val="011A63C0"/>
    <w:multiLevelType w:val="hybridMultilevel"/>
    <w:tmpl w:val="1F881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15E169D"/>
    <w:multiLevelType w:val="multilevel"/>
    <w:tmpl w:val="70306CFA"/>
    <w:lvl w:ilvl="0">
      <w:start w:val="4"/>
      <w:numFmt w:val="decimal"/>
      <w:lvlText w:val="%1."/>
      <w:lvlJc w:val="left"/>
      <w:pPr>
        <w:ind w:left="720" w:hanging="720"/>
      </w:pPr>
      <w:rPr>
        <w:rFonts w:hint="default"/>
      </w:rPr>
    </w:lvl>
    <w:lvl w:ilvl="1">
      <w:start w:val="1"/>
      <w:numFmt w:val="decimal"/>
      <w:lvlText w:val="%1.%2."/>
      <w:lvlJc w:val="left"/>
      <w:pPr>
        <w:ind w:left="814" w:hanging="720"/>
      </w:pPr>
      <w:rPr>
        <w:rFonts w:hint="default"/>
      </w:rPr>
    </w:lvl>
    <w:lvl w:ilvl="2">
      <w:start w:val="1"/>
      <w:numFmt w:val="decimal"/>
      <w:lvlText w:val="%1.%2.%3."/>
      <w:lvlJc w:val="left"/>
      <w:pPr>
        <w:ind w:left="908" w:hanging="720"/>
      </w:pPr>
      <w:rPr>
        <w:rFonts w:hint="default"/>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6">
    <w:nsid w:val="01814E47"/>
    <w:multiLevelType w:val="hybridMultilevel"/>
    <w:tmpl w:val="F1DAC3B2"/>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
    <w:nsid w:val="025E0982"/>
    <w:multiLevelType w:val="hybridMultilevel"/>
    <w:tmpl w:val="0324E37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2924505"/>
    <w:multiLevelType w:val="hybridMultilevel"/>
    <w:tmpl w:val="A498F9DE"/>
    <w:lvl w:ilvl="0" w:tplc="040C000B">
      <w:start w:val="1"/>
      <w:numFmt w:val="bullet"/>
      <w:lvlText w:val=""/>
      <w:lvlJc w:val="left"/>
      <w:pPr>
        <w:ind w:left="643" w:hanging="360"/>
      </w:pPr>
      <w:rPr>
        <w:rFonts w:ascii="Wingdings" w:hAnsi="Wingdings"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9">
    <w:nsid w:val="02C5769C"/>
    <w:multiLevelType w:val="hybridMultilevel"/>
    <w:tmpl w:val="F61EA03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2DF4129"/>
    <w:multiLevelType w:val="hybridMultilevel"/>
    <w:tmpl w:val="C21AF7CE"/>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
    <w:nsid w:val="048060CD"/>
    <w:multiLevelType w:val="hybridMultilevel"/>
    <w:tmpl w:val="4058CC4A"/>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nsid w:val="04A97D5D"/>
    <w:multiLevelType w:val="hybridMultilevel"/>
    <w:tmpl w:val="6A6C3F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4C23E89"/>
    <w:multiLevelType w:val="hybridMultilevel"/>
    <w:tmpl w:val="AC42DF9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05651477"/>
    <w:multiLevelType w:val="hybridMultilevel"/>
    <w:tmpl w:val="8AF67C6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061622A8"/>
    <w:multiLevelType w:val="hybridMultilevel"/>
    <w:tmpl w:val="A2DEA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6C30F02"/>
    <w:multiLevelType w:val="hybridMultilevel"/>
    <w:tmpl w:val="DDB63D7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06EB0C71"/>
    <w:multiLevelType w:val="hybridMultilevel"/>
    <w:tmpl w:val="00E493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70756A2"/>
    <w:multiLevelType w:val="hybridMultilevel"/>
    <w:tmpl w:val="C0EA85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073235FF"/>
    <w:multiLevelType w:val="hybridMultilevel"/>
    <w:tmpl w:val="C826CFB6"/>
    <w:lvl w:ilvl="0" w:tplc="2A5C5256">
      <w:start w:val="1"/>
      <w:numFmt w:val="decimal"/>
      <w:lvlText w:val="2.%1."/>
      <w:lvlJc w:val="left"/>
      <w:pPr>
        <w:ind w:left="1077" w:hanging="360"/>
      </w:pPr>
      <w:rPr>
        <w:rFonts w:hint="default"/>
        <w:b/>
        <w:bCs/>
        <w:color w:val="auto"/>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0">
    <w:nsid w:val="07C968F2"/>
    <w:multiLevelType w:val="multilevel"/>
    <w:tmpl w:val="D69CDDB4"/>
    <w:lvl w:ilvl="0">
      <w:start w:val="1"/>
      <w:numFmt w:val="decimal"/>
      <w:lvlText w:val="%1."/>
      <w:lvlJc w:val="left"/>
      <w:pPr>
        <w:ind w:left="644" w:hanging="360"/>
      </w:pPr>
      <w:rPr>
        <w:rFonts w:hint="default"/>
      </w:rPr>
    </w:lvl>
    <w:lvl w:ilvl="1">
      <w:start w:val="1"/>
      <w:numFmt w:val="decimal"/>
      <w:lvlText w:val="%1.%2."/>
      <w:lvlJc w:val="left"/>
      <w:pPr>
        <w:ind w:left="644" w:hanging="360"/>
      </w:pPr>
      <w:rPr>
        <w:rFonts w:hint="default"/>
        <w:b/>
        <w:bCs/>
      </w:rPr>
    </w:lvl>
    <w:lvl w:ilvl="2">
      <w:start w:val="1"/>
      <w:numFmt w:val="bullet"/>
      <w:lvlText w:val=""/>
      <w:lvlJc w:val="left"/>
      <w:pPr>
        <w:ind w:left="1572" w:hanging="720"/>
      </w:pPr>
      <w:rPr>
        <w:rFonts w:ascii="Wingdings" w:hAnsi="Wingdings" w:hint="default"/>
        <w:b/>
        <w:bCs/>
      </w:rPr>
    </w:lvl>
    <w:lvl w:ilvl="3">
      <w:start w:val="1"/>
      <w:numFmt w:val="decimal"/>
      <w:lvlText w:val="%1.%2.%3.%4."/>
      <w:lvlJc w:val="left"/>
      <w:pPr>
        <w:ind w:left="1856"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784" w:hanging="1080"/>
      </w:pPr>
      <w:rPr>
        <w:rFonts w:hint="default"/>
      </w:rPr>
    </w:lvl>
    <w:lvl w:ilvl="6">
      <w:start w:val="1"/>
      <w:numFmt w:val="decimal"/>
      <w:lvlText w:val="%1.%2.%3.%4.%5.%6.%7."/>
      <w:lvlJc w:val="left"/>
      <w:pPr>
        <w:ind w:left="3428" w:hanging="1440"/>
      </w:pPr>
      <w:rPr>
        <w:rFonts w:hint="default"/>
      </w:rPr>
    </w:lvl>
    <w:lvl w:ilvl="7">
      <w:start w:val="1"/>
      <w:numFmt w:val="decimal"/>
      <w:lvlText w:val="%1.%2.%3.%4.%5.%6.%7.%8."/>
      <w:lvlJc w:val="left"/>
      <w:pPr>
        <w:ind w:left="3712" w:hanging="1440"/>
      </w:pPr>
      <w:rPr>
        <w:rFonts w:hint="default"/>
      </w:rPr>
    </w:lvl>
    <w:lvl w:ilvl="8">
      <w:start w:val="1"/>
      <w:numFmt w:val="decimal"/>
      <w:lvlText w:val="%1.%2.%3.%4.%5.%6.%7.%8.%9."/>
      <w:lvlJc w:val="left"/>
      <w:pPr>
        <w:ind w:left="4356" w:hanging="1800"/>
      </w:pPr>
      <w:rPr>
        <w:rFonts w:hint="default"/>
      </w:rPr>
    </w:lvl>
  </w:abstractNum>
  <w:abstractNum w:abstractNumId="21">
    <w:nsid w:val="07DB1062"/>
    <w:multiLevelType w:val="hybridMultilevel"/>
    <w:tmpl w:val="5E2EA08E"/>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nsid w:val="08A4279F"/>
    <w:multiLevelType w:val="hybridMultilevel"/>
    <w:tmpl w:val="62B6741C"/>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3">
    <w:nsid w:val="08CC237C"/>
    <w:multiLevelType w:val="hybridMultilevel"/>
    <w:tmpl w:val="7ACA2664"/>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nsid w:val="093D22B1"/>
    <w:multiLevelType w:val="multilevel"/>
    <w:tmpl w:val="D96ED98C"/>
    <w:lvl w:ilvl="0">
      <w:start w:val="2"/>
      <w:numFmt w:val="decimal"/>
      <w:lvlText w:val="%1."/>
      <w:lvlJc w:val="left"/>
      <w:pPr>
        <w:ind w:left="824" w:hanging="540"/>
      </w:pPr>
      <w:rPr>
        <w:rFonts w:hint="default"/>
      </w:rPr>
    </w:lvl>
    <w:lvl w:ilvl="1">
      <w:start w:val="2"/>
      <w:numFmt w:val="decimal"/>
      <w:lvlText w:val="%1.%2."/>
      <w:lvlJc w:val="left"/>
      <w:pPr>
        <w:ind w:left="824" w:hanging="540"/>
      </w:pPr>
      <w:rPr>
        <w:rFonts w:hint="default"/>
      </w:rPr>
    </w:lvl>
    <w:lvl w:ilvl="2">
      <w:start w:val="1"/>
      <w:numFmt w:val="decimal"/>
      <w:lvlText w:val="2.2.%3."/>
      <w:lvlJc w:val="left"/>
      <w:pPr>
        <w:ind w:left="1004" w:hanging="720"/>
      </w:pPr>
      <w:rPr>
        <w:rFonts w:hint="default"/>
      </w:rPr>
    </w:lvl>
    <w:lvl w:ilvl="3">
      <w:start w:val="2"/>
      <w:numFmt w:val="decimal"/>
      <w:lvlText w:val="1.3.2.%4."/>
      <w:lvlJc w:val="left"/>
      <w:pPr>
        <w:ind w:left="1004" w:hanging="720"/>
      </w:pPr>
      <w:rPr>
        <w:rFonts w:hint="default"/>
        <w:b/>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093E3F41"/>
    <w:multiLevelType w:val="hybridMultilevel"/>
    <w:tmpl w:val="6E4CBBE0"/>
    <w:lvl w:ilvl="0" w:tplc="30DCD26E">
      <w:start w:val="1"/>
      <w:numFmt w:val="upperLetter"/>
      <w:lvlText w:val="%1."/>
      <w:lvlJc w:val="left"/>
      <w:pPr>
        <w:ind w:left="1069" w:hanging="360"/>
      </w:pPr>
      <w:rPr>
        <w:rFonts w:hint="default"/>
        <w:b/>
        <w:bCs/>
        <w:sz w:val="24"/>
        <w:szCs w:val="24"/>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6">
    <w:nsid w:val="0A2C7060"/>
    <w:multiLevelType w:val="hybridMultilevel"/>
    <w:tmpl w:val="B2D0783E"/>
    <w:lvl w:ilvl="0" w:tplc="38C64D18">
      <w:start w:val="5"/>
      <w:numFmt w:val="decimal"/>
      <w:lvlText w:val="1.2.%1."/>
      <w:lvlJc w:val="left"/>
      <w:pPr>
        <w:ind w:left="1429"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0A7A2315"/>
    <w:multiLevelType w:val="hybridMultilevel"/>
    <w:tmpl w:val="22A8E670"/>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nsid w:val="0AEE0844"/>
    <w:multiLevelType w:val="hybridMultilevel"/>
    <w:tmpl w:val="7B2A95FE"/>
    <w:lvl w:ilvl="0" w:tplc="040C000D">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9">
    <w:nsid w:val="0B486A46"/>
    <w:multiLevelType w:val="hybridMultilevel"/>
    <w:tmpl w:val="73FAC988"/>
    <w:lvl w:ilvl="0" w:tplc="EE8E6B64">
      <w:start w:val="1"/>
      <w:numFmt w:val="decimal"/>
      <w:lvlText w:val="3.%1."/>
      <w:lvlJc w:val="left"/>
      <w:pPr>
        <w:ind w:left="1077" w:hanging="360"/>
      </w:pPr>
      <w:rPr>
        <w:rFonts w:hint="default"/>
        <w:b/>
        <w:bCs/>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30">
    <w:nsid w:val="0B624E81"/>
    <w:multiLevelType w:val="multilevel"/>
    <w:tmpl w:val="C4929B54"/>
    <w:lvl w:ilvl="0">
      <w:start w:val="1"/>
      <w:numFmt w:val="decimal"/>
      <w:lvlText w:val="4.1.%1."/>
      <w:lvlJc w:val="left"/>
      <w:pPr>
        <w:ind w:left="1434" w:hanging="360"/>
      </w:pPr>
      <w:rPr>
        <w:rFonts w:asciiTheme="majorBidi" w:hAnsiTheme="majorBidi" w:cstheme="majorBidi" w:hint="default"/>
        <w:b/>
        <w:bCs/>
        <w:color w:val="auto"/>
        <w:sz w:val="24"/>
        <w:szCs w:val="24"/>
      </w:rPr>
    </w:lvl>
    <w:lvl w:ilvl="1">
      <w:start w:val="1"/>
      <w:numFmt w:val="lowerLetter"/>
      <w:lvlText w:val="%2."/>
      <w:lvlJc w:val="left"/>
      <w:pPr>
        <w:ind w:left="2154" w:hanging="360"/>
      </w:pPr>
      <w:rPr>
        <w:rFonts w:hint="default"/>
      </w:rPr>
    </w:lvl>
    <w:lvl w:ilvl="2">
      <w:start w:val="1"/>
      <w:numFmt w:val="lowerRoman"/>
      <w:lvlText w:val="%3."/>
      <w:lvlJc w:val="right"/>
      <w:pPr>
        <w:ind w:left="2874" w:hanging="180"/>
      </w:pPr>
      <w:rPr>
        <w:rFonts w:hint="default"/>
      </w:rPr>
    </w:lvl>
    <w:lvl w:ilvl="3">
      <w:start w:val="1"/>
      <w:numFmt w:val="decimal"/>
      <w:lvlText w:val="%4."/>
      <w:lvlJc w:val="left"/>
      <w:pPr>
        <w:ind w:left="3594" w:hanging="360"/>
      </w:pPr>
      <w:rPr>
        <w:rFonts w:hint="default"/>
      </w:rPr>
    </w:lvl>
    <w:lvl w:ilvl="4">
      <w:start w:val="1"/>
      <w:numFmt w:val="lowerLetter"/>
      <w:lvlText w:val="%5."/>
      <w:lvlJc w:val="left"/>
      <w:pPr>
        <w:ind w:left="4314" w:hanging="360"/>
      </w:pPr>
      <w:rPr>
        <w:rFonts w:hint="default"/>
      </w:rPr>
    </w:lvl>
    <w:lvl w:ilvl="5">
      <w:start w:val="1"/>
      <w:numFmt w:val="lowerRoman"/>
      <w:lvlText w:val="%6."/>
      <w:lvlJc w:val="right"/>
      <w:pPr>
        <w:ind w:left="5034" w:hanging="180"/>
      </w:pPr>
      <w:rPr>
        <w:rFonts w:hint="default"/>
      </w:rPr>
    </w:lvl>
    <w:lvl w:ilvl="6">
      <w:start w:val="1"/>
      <w:numFmt w:val="decimal"/>
      <w:lvlText w:val="%7."/>
      <w:lvlJc w:val="left"/>
      <w:pPr>
        <w:ind w:left="5754" w:hanging="360"/>
      </w:pPr>
      <w:rPr>
        <w:rFonts w:hint="default"/>
      </w:rPr>
    </w:lvl>
    <w:lvl w:ilvl="7">
      <w:start w:val="1"/>
      <w:numFmt w:val="lowerLetter"/>
      <w:lvlText w:val="%8."/>
      <w:lvlJc w:val="left"/>
      <w:pPr>
        <w:ind w:left="6474" w:hanging="360"/>
      </w:pPr>
      <w:rPr>
        <w:rFonts w:hint="default"/>
      </w:rPr>
    </w:lvl>
    <w:lvl w:ilvl="8">
      <w:start w:val="1"/>
      <w:numFmt w:val="lowerRoman"/>
      <w:lvlText w:val="%9."/>
      <w:lvlJc w:val="right"/>
      <w:pPr>
        <w:ind w:left="7194" w:hanging="180"/>
      </w:pPr>
      <w:rPr>
        <w:rFonts w:hint="default"/>
      </w:rPr>
    </w:lvl>
  </w:abstractNum>
  <w:abstractNum w:abstractNumId="31">
    <w:nsid w:val="0C624E29"/>
    <w:multiLevelType w:val="hybridMultilevel"/>
    <w:tmpl w:val="793EBB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0D4679A7"/>
    <w:multiLevelType w:val="multilevel"/>
    <w:tmpl w:val="37EA927C"/>
    <w:lvl w:ilvl="0">
      <w:start w:val="1"/>
      <w:numFmt w:val="decimal"/>
      <w:lvlText w:val="%1."/>
      <w:lvlJc w:val="left"/>
      <w:pPr>
        <w:ind w:left="644" w:hanging="360"/>
      </w:pPr>
      <w:rPr>
        <w:rFonts w:cstheme="minorBidi" w:hint="default"/>
        <w:b/>
        <w:bCs/>
        <w:color w:val="000000" w:themeColor="text1"/>
      </w:rPr>
    </w:lvl>
    <w:lvl w:ilvl="1">
      <w:start w:val="2"/>
      <w:numFmt w:val="decimal"/>
      <w:lvlText w:val="%1.%2."/>
      <w:lvlJc w:val="left"/>
      <w:pPr>
        <w:ind w:left="644" w:hanging="360"/>
      </w:pPr>
      <w:rPr>
        <w:rFonts w:cstheme="minorBidi" w:hint="default"/>
        <w:b/>
        <w:bCs/>
        <w:color w:val="000000" w:themeColor="text1"/>
      </w:rPr>
    </w:lvl>
    <w:lvl w:ilvl="2">
      <w:start w:val="1"/>
      <w:numFmt w:val="decimal"/>
      <w:lvlText w:val="2.%3."/>
      <w:lvlJc w:val="left"/>
      <w:pPr>
        <w:ind w:left="1004" w:hanging="720"/>
      </w:pPr>
      <w:rPr>
        <w:rFonts w:hint="default"/>
        <w:b/>
        <w:bCs/>
        <w:color w:val="000000" w:themeColor="text1"/>
      </w:rPr>
    </w:lvl>
    <w:lvl w:ilvl="3">
      <w:start w:val="1"/>
      <w:numFmt w:val="decimal"/>
      <w:lvlText w:val="%1.%2.%3.%4."/>
      <w:lvlJc w:val="left"/>
      <w:pPr>
        <w:ind w:left="720" w:hanging="720"/>
      </w:pPr>
      <w:rPr>
        <w:rFonts w:cstheme="minorBidi" w:hint="default"/>
        <w:color w:val="000000" w:themeColor="text1"/>
      </w:rPr>
    </w:lvl>
    <w:lvl w:ilvl="4">
      <w:start w:val="1"/>
      <w:numFmt w:val="decimal"/>
      <w:lvlText w:val="%1.%2.%3.%4.%5."/>
      <w:lvlJc w:val="left"/>
      <w:pPr>
        <w:ind w:left="1080" w:hanging="1080"/>
      </w:pPr>
      <w:rPr>
        <w:rFonts w:cstheme="minorBidi" w:hint="default"/>
        <w:color w:val="000000" w:themeColor="text1"/>
      </w:rPr>
    </w:lvl>
    <w:lvl w:ilvl="5">
      <w:start w:val="1"/>
      <w:numFmt w:val="decimal"/>
      <w:lvlText w:val="%1.%2.%3.%4.%5.%6."/>
      <w:lvlJc w:val="left"/>
      <w:pPr>
        <w:ind w:left="1080" w:hanging="1080"/>
      </w:pPr>
      <w:rPr>
        <w:rFonts w:cstheme="minorBidi" w:hint="default"/>
        <w:color w:val="000000" w:themeColor="text1"/>
      </w:rPr>
    </w:lvl>
    <w:lvl w:ilvl="6">
      <w:start w:val="1"/>
      <w:numFmt w:val="decimal"/>
      <w:lvlText w:val="%1.%2.%3.%4.%5.%6.%7."/>
      <w:lvlJc w:val="left"/>
      <w:pPr>
        <w:ind w:left="1440" w:hanging="1440"/>
      </w:pPr>
      <w:rPr>
        <w:rFonts w:cstheme="minorBidi" w:hint="default"/>
        <w:color w:val="000000" w:themeColor="text1"/>
      </w:rPr>
    </w:lvl>
    <w:lvl w:ilvl="7">
      <w:start w:val="1"/>
      <w:numFmt w:val="decimal"/>
      <w:lvlText w:val="%1.%2.%3.%4.%5.%6.%7.%8."/>
      <w:lvlJc w:val="left"/>
      <w:pPr>
        <w:ind w:left="1440" w:hanging="1440"/>
      </w:pPr>
      <w:rPr>
        <w:rFonts w:cstheme="minorBidi" w:hint="default"/>
        <w:color w:val="000000" w:themeColor="text1"/>
      </w:rPr>
    </w:lvl>
    <w:lvl w:ilvl="8">
      <w:start w:val="1"/>
      <w:numFmt w:val="decimal"/>
      <w:lvlText w:val="%1.%2.%3.%4.%5.%6.%7.%8.%9."/>
      <w:lvlJc w:val="left"/>
      <w:pPr>
        <w:ind w:left="1800" w:hanging="1800"/>
      </w:pPr>
      <w:rPr>
        <w:rFonts w:cstheme="minorBidi" w:hint="default"/>
        <w:color w:val="000000" w:themeColor="text1"/>
      </w:rPr>
    </w:lvl>
  </w:abstractNum>
  <w:abstractNum w:abstractNumId="33">
    <w:nsid w:val="0E6B568E"/>
    <w:multiLevelType w:val="hybridMultilevel"/>
    <w:tmpl w:val="3DDA2CE2"/>
    <w:lvl w:ilvl="0" w:tplc="5F387224">
      <w:start w:val="1"/>
      <w:numFmt w:val="upperLetter"/>
      <w:lvlText w:val="%1."/>
      <w:lvlJc w:val="left"/>
      <w:pPr>
        <w:ind w:left="1429" w:hanging="360"/>
      </w:pPr>
      <w:rPr>
        <w:rFonts w:hint="default"/>
        <w:b/>
        <w:bCs/>
        <w:sz w:val="24"/>
        <w:szCs w:val="24"/>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4">
    <w:nsid w:val="100F2FD3"/>
    <w:multiLevelType w:val="hybridMultilevel"/>
    <w:tmpl w:val="F4F6229C"/>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5">
    <w:nsid w:val="10CC0602"/>
    <w:multiLevelType w:val="hybridMultilevel"/>
    <w:tmpl w:val="EBFA9B5A"/>
    <w:lvl w:ilvl="0" w:tplc="197AE532">
      <w:start w:val="1"/>
      <w:numFmt w:val="decimal"/>
      <w:lvlText w:val="2.%1."/>
      <w:lvlJc w:val="left"/>
      <w:pPr>
        <w:ind w:left="1429" w:hanging="360"/>
      </w:pPr>
      <w:rPr>
        <w:rFonts w:hint="default"/>
        <w:color w:val="auto"/>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6">
    <w:nsid w:val="10DD1140"/>
    <w:multiLevelType w:val="hybridMultilevel"/>
    <w:tmpl w:val="FE4AE49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nsid w:val="113A1FFC"/>
    <w:multiLevelType w:val="hybridMultilevel"/>
    <w:tmpl w:val="5316EC7E"/>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8">
    <w:nsid w:val="115D4CB3"/>
    <w:multiLevelType w:val="hybridMultilevel"/>
    <w:tmpl w:val="027C8CA2"/>
    <w:lvl w:ilvl="0" w:tplc="9C6A3DE0">
      <w:start w:val="1"/>
      <w:numFmt w:val="decimal"/>
      <w:lvlText w:val="4.2.%1."/>
      <w:lvlJc w:val="left"/>
      <w:pPr>
        <w:ind w:left="1077" w:hanging="360"/>
      </w:pPr>
      <w:rPr>
        <w:rFonts w:asciiTheme="majorBidi" w:hAnsiTheme="majorBidi" w:cstheme="majorBidi" w:hint="default"/>
        <w:b/>
        <w:bCs/>
        <w:i w:val="0"/>
        <w:iCs w:val="0"/>
        <w:color w:val="auto"/>
        <w:sz w:val="24"/>
        <w:szCs w:val="24"/>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39">
    <w:nsid w:val="122D0ABF"/>
    <w:multiLevelType w:val="hybridMultilevel"/>
    <w:tmpl w:val="FD126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12365146"/>
    <w:multiLevelType w:val="hybridMultilevel"/>
    <w:tmpl w:val="295AD2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15632098"/>
    <w:multiLevelType w:val="hybridMultilevel"/>
    <w:tmpl w:val="0206F128"/>
    <w:lvl w:ilvl="0" w:tplc="197AE532">
      <w:start w:val="1"/>
      <w:numFmt w:val="decimal"/>
      <w:lvlText w:val="2.%1."/>
      <w:lvlJc w:val="left"/>
      <w:pPr>
        <w:ind w:left="1287" w:hanging="360"/>
      </w:pPr>
      <w:rPr>
        <w:rFonts w:hint="default"/>
        <w:color w:val="auto"/>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2">
    <w:nsid w:val="1611479E"/>
    <w:multiLevelType w:val="hybridMultilevel"/>
    <w:tmpl w:val="609CC58A"/>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3">
    <w:nsid w:val="167114AF"/>
    <w:multiLevelType w:val="hybridMultilevel"/>
    <w:tmpl w:val="E3C227A4"/>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4">
    <w:nsid w:val="167E25AA"/>
    <w:multiLevelType w:val="hybridMultilevel"/>
    <w:tmpl w:val="44329FD6"/>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5">
    <w:nsid w:val="168A5BAD"/>
    <w:multiLevelType w:val="hybridMultilevel"/>
    <w:tmpl w:val="6D306948"/>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6">
    <w:nsid w:val="17136F89"/>
    <w:multiLevelType w:val="hybridMultilevel"/>
    <w:tmpl w:val="251A9B5C"/>
    <w:lvl w:ilvl="0" w:tplc="040C000D">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47">
    <w:nsid w:val="17455D06"/>
    <w:multiLevelType w:val="hybridMultilevel"/>
    <w:tmpl w:val="158ABB68"/>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8">
    <w:nsid w:val="17472ECE"/>
    <w:multiLevelType w:val="hybridMultilevel"/>
    <w:tmpl w:val="AAB08ED8"/>
    <w:lvl w:ilvl="0" w:tplc="99FAB1AA">
      <w:start w:val="1"/>
      <w:numFmt w:val="decimal"/>
      <w:lvlText w:val="4.%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179022F0"/>
    <w:multiLevelType w:val="hybridMultilevel"/>
    <w:tmpl w:val="BD167F4E"/>
    <w:lvl w:ilvl="0" w:tplc="0F989600">
      <w:start w:val="1"/>
      <w:numFmt w:val="decimal"/>
      <w:lvlText w:val="4.%1."/>
      <w:lvlJc w:val="left"/>
      <w:pPr>
        <w:ind w:left="1069" w:hanging="360"/>
      </w:pPr>
      <w:rPr>
        <w:rFonts w:hint="default"/>
        <w:b/>
        <w:bCs/>
        <w:color w:val="auto"/>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50">
    <w:nsid w:val="19E36204"/>
    <w:multiLevelType w:val="hybridMultilevel"/>
    <w:tmpl w:val="DE9CC288"/>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1">
    <w:nsid w:val="1A200114"/>
    <w:multiLevelType w:val="hybridMultilevel"/>
    <w:tmpl w:val="36A23988"/>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2">
    <w:nsid w:val="1A69720D"/>
    <w:multiLevelType w:val="hybridMultilevel"/>
    <w:tmpl w:val="46DE29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1A8F2904"/>
    <w:multiLevelType w:val="hybridMultilevel"/>
    <w:tmpl w:val="55D8C0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1B565845"/>
    <w:multiLevelType w:val="hybridMultilevel"/>
    <w:tmpl w:val="BAACF09E"/>
    <w:lvl w:ilvl="0" w:tplc="190E91BC">
      <w:start w:val="1"/>
      <w:numFmt w:val="decimal"/>
      <w:lvlText w:val="1.2.%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5">
    <w:nsid w:val="1B61145B"/>
    <w:multiLevelType w:val="hybridMultilevel"/>
    <w:tmpl w:val="341C716E"/>
    <w:lvl w:ilvl="0" w:tplc="0F381EC8">
      <w:start w:val="1"/>
      <w:numFmt w:val="decimal"/>
      <w:lvlText w:val="2.1.%1."/>
      <w:lvlJc w:val="left"/>
      <w:pPr>
        <w:ind w:left="1080" w:hanging="360"/>
      </w:pPr>
      <w:rPr>
        <w:rFonts w:hint="default"/>
        <w:b/>
        <w:bCs/>
        <w:color w:val="auto"/>
        <w:sz w:val="24"/>
        <w:szCs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6">
    <w:nsid w:val="1B8208C7"/>
    <w:multiLevelType w:val="multilevel"/>
    <w:tmpl w:val="C1C2BBC2"/>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BBE0C05"/>
    <w:multiLevelType w:val="hybridMultilevel"/>
    <w:tmpl w:val="C22A80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1C6A5512"/>
    <w:multiLevelType w:val="hybridMultilevel"/>
    <w:tmpl w:val="AF80746E"/>
    <w:lvl w:ilvl="0" w:tplc="9D181C2C">
      <w:start w:val="1"/>
      <w:numFmt w:val="decimal"/>
      <w:lvlText w:val="2.%1."/>
      <w:lvlJc w:val="left"/>
      <w:pPr>
        <w:ind w:left="785" w:hanging="360"/>
      </w:pPr>
      <w:rPr>
        <w:rFonts w:hint="default"/>
        <w:b/>
        <w:bCs/>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9">
    <w:nsid w:val="1CA46B3A"/>
    <w:multiLevelType w:val="hybridMultilevel"/>
    <w:tmpl w:val="E7E8657A"/>
    <w:lvl w:ilvl="0" w:tplc="D812D982">
      <w:start w:val="1"/>
      <w:numFmt w:val="decimal"/>
      <w:lvlText w:val="3.1.2.%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1CB635D5"/>
    <w:multiLevelType w:val="multilevel"/>
    <w:tmpl w:val="3CBAFE7A"/>
    <w:lvl w:ilvl="0">
      <w:start w:val="4"/>
      <w:numFmt w:val="decimal"/>
      <w:lvlText w:val="%1."/>
      <w:lvlJc w:val="left"/>
      <w:pPr>
        <w:ind w:left="824" w:hanging="540"/>
      </w:pPr>
      <w:rPr>
        <w:rFonts w:hint="default"/>
      </w:rPr>
    </w:lvl>
    <w:lvl w:ilvl="1">
      <w:start w:val="2"/>
      <w:numFmt w:val="decimal"/>
      <w:lvlText w:val="%1.%2."/>
      <w:lvlJc w:val="left"/>
      <w:pPr>
        <w:ind w:left="824" w:hanging="540"/>
      </w:pPr>
      <w:rPr>
        <w:rFonts w:hint="default"/>
      </w:rPr>
    </w:lvl>
    <w:lvl w:ilvl="2">
      <w:start w:val="1"/>
      <w:numFmt w:val="decimal"/>
      <w:lvlText w:val="4.%3."/>
      <w:lvlJc w:val="left"/>
      <w:pPr>
        <w:ind w:left="1004" w:hanging="720"/>
      </w:pPr>
      <w:rPr>
        <w:rFonts w:asciiTheme="majorBidi" w:hAnsiTheme="majorBidi" w:cstheme="majorBidi" w:hint="default"/>
        <w:b/>
        <w:bCs/>
        <w:i w:val="0"/>
        <w:iCs w:val="0"/>
      </w:rPr>
    </w:lvl>
    <w:lvl w:ilvl="3">
      <w:start w:val="1"/>
      <w:numFmt w:val="decimal"/>
      <w:lvlText w:val="2.2.2.%4."/>
      <w:lvlJc w:val="left"/>
      <w:pPr>
        <w:ind w:left="1004" w:hanging="720"/>
      </w:pPr>
      <w:rPr>
        <w:rFonts w:hint="default"/>
        <w:b/>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1D126335"/>
    <w:multiLevelType w:val="hybridMultilevel"/>
    <w:tmpl w:val="1FB6EE38"/>
    <w:lvl w:ilvl="0" w:tplc="8B92E974">
      <w:start w:val="1"/>
      <w:numFmt w:val="decimal"/>
      <w:lvlText w:val="3.2.%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1DFE4574"/>
    <w:multiLevelType w:val="hybridMultilevel"/>
    <w:tmpl w:val="33D4BE9E"/>
    <w:lvl w:ilvl="0" w:tplc="477E00DA">
      <w:start w:val="1"/>
      <w:numFmt w:val="upp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1FD27022"/>
    <w:multiLevelType w:val="hybridMultilevel"/>
    <w:tmpl w:val="35DA44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20174BF1"/>
    <w:multiLevelType w:val="hybridMultilevel"/>
    <w:tmpl w:val="2C7AB4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209D643E"/>
    <w:multiLevelType w:val="hybridMultilevel"/>
    <w:tmpl w:val="56A2016A"/>
    <w:lvl w:ilvl="0" w:tplc="8370E656">
      <w:start w:val="1"/>
      <w:numFmt w:val="upperLetter"/>
      <w:lvlText w:val="%1."/>
      <w:lvlJc w:val="left"/>
      <w:pPr>
        <w:ind w:left="1069" w:hanging="360"/>
      </w:pPr>
      <w:rPr>
        <w:rFonts w:hint="default"/>
        <w:b/>
        <w:bCs/>
        <w:sz w:val="24"/>
        <w:szCs w:val="24"/>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6">
    <w:nsid w:val="20BA3F86"/>
    <w:multiLevelType w:val="hybridMultilevel"/>
    <w:tmpl w:val="6D40C7C8"/>
    <w:lvl w:ilvl="0" w:tplc="62801E1A">
      <w:start w:val="6"/>
      <w:numFmt w:val="decimal"/>
      <w:lvlText w:val="1.2.%1."/>
      <w:lvlJc w:val="left"/>
      <w:pPr>
        <w:ind w:left="1429"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213C2591"/>
    <w:multiLevelType w:val="hybridMultilevel"/>
    <w:tmpl w:val="747AC61E"/>
    <w:lvl w:ilvl="0" w:tplc="81F4CF48">
      <w:start w:val="1"/>
      <w:numFmt w:val="decimal"/>
      <w:lvlText w:val="4.3.%1."/>
      <w:lvlJc w:val="left"/>
      <w:pPr>
        <w:ind w:left="1434" w:hanging="360"/>
      </w:pPr>
      <w:rPr>
        <w:rFonts w:asciiTheme="majorBidi" w:hAnsiTheme="majorBidi" w:cstheme="majorBidi" w:hint="default"/>
        <w:b/>
        <w:bCs/>
        <w:color w:val="auto"/>
        <w:sz w:val="24"/>
        <w:szCs w:val="24"/>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68">
    <w:nsid w:val="21771393"/>
    <w:multiLevelType w:val="hybridMultilevel"/>
    <w:tmpl w:val="EB68BB74"/>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9">
    <w:nsid w:val="21F603F5"/>
    <w:multiLevelType w:val="hybridMultilevel"/>
    <w:tmpl w:val="0D606528"/>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0">
    <w:nsid w:val="222B7994"/>
    <w:multiLevelType w:val="hybridMultilevel"/>
    <w:tmpl w:val="DF3EDE20"/>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1">
    <w:nsid w:val="222D4777"/>
    <w:multiLevelType w:val="multilevel"/>
    <w:tmpl w:val="18443F32"/>
    <w:lvl w:ilvl="0">
      <w:start w:val="1"/>
      <w:numFmt w:val="decimal"/>
      <w:lvlText w:val="%1."/>
      <w:lvlJc w:val="left"/>
      <w:pPr>
        <w:ind w:left="644" w:hanging="360"/>
      </w:pPr>
      <w:rPr>
        <w:rFonts w:hint="default"/>
        <w:b/>
        <w:bCs/>
      </w:rPr>
    </w:lvl>
    <w:lvl w:ilvl="1">
      <w:start w:val="4"/>
      <w:numFmt w:val="decimal"/>
      <w:isLgl/>
      <w:lvlText w:val="%1.%2."/>
      <w:lvlJc w:val="left"/>
      <w:pPr>
        <w:ind w:left="644" w:hanging="360"/>
      </w:pPr>
      <w:rPr>
        <w:rFonts w:ascii="Times New Roman" w:hAnsi="Times New Roman" w:cs="Times New Roman" w:hint="default"/>
        <w:b/>
        <w:bCs w:val="0"/>
      </w:rPr>
    </w:lvl>
    <w:lvl w:ilvl="2">
      <w:start w:val="1"/>
      <w:numFmt w:val="decimal"/>
      <w:isLgl/>
      <w:lvlText w:val="%1.%2.%3."/>
      <w:lvlJc w:val="left"/>
      <w:pPr>
        <w:ind w:left="1004" w:hanging="720"/>
      </w:pPr>
      <w:rPr>
        <w:rFonts w:ascii="Times New Roman" w:hAnsi="Times New Roman" w:cs="Times New Roman" w:hint="default"/>
        <w:b/>
        <w:bCs w:val="0"/>
      </w:rPr>
    </w:lvl>
    <w:lvl w:ilvl="3">
      <w:start w:val="1"/>
      <w:numFmt w:val="bullet"/>
      <w:lvlText w:val=""/>
      <w:lvlJc w:val="left"/>
      <w:pPr>
        <w:ind w:left="1004" w:hanging="720"/>
      </w:pPr>
      <w:rPr>
        <w:rFonts w:ascii="Wingdings" w:hAnsi="Wingdings" w:hint="default"/>
        <w:b/>
        <w:bCs w:val="0"/>
      </w:rPr>
    </w:lvl>
    <w:lvl w:ilvl="4">
      <w:start w:val="1"/>
      <w:numFmt w:val="decimal"/>
      <w:isLgl/>
      <w:lvlText w:val="%1.%2.%3.%4.%5."/>
      <w:lvlJc w:val="left"/>
      <w:pPr>
        <w:ind w:left="1364" w:hanging="1080"/>
      </w:pPr>
      <w:rPr>
        <w:rFonts w:ascii="Times New Roman" w:hAnsi="Times New Roman" w:cs="Times New Roman" w:hint="default"/>
        <w:b w:val="0"/>
      </w:rPr>
    </w:lvl>
    <w:lvl w:ilvl="5">
      <w:start w:val="1"/>
      <w:numFmt w:val="decimal"/>
      <w:isLgl/>
      <w:lvlText w:val="%1.%2.%3.%4.%5.%6."/>
      <w:lvlJc w:val="left"/>
      <w:pPr>
        <w:ind w:left="1364" w:hanging="1080"/>
      </w:pPr>
      <w:rPr>
        <w:rFonts w:ascii="Times New Roman" w:hAnsi="Times New Roman" w:cs="Times New Roman" w:hint="default"/>
        <w:b w:val="0"/>
      </w:rPr>
    </w:lvl>
    <w:lvl w:ilvl="6">
      <w:start w:val="1"/>
      <w:numFmt w:val="decimal"/>
      <w:isLgl/>
      <w:lvlText w:val="%1.%2.%3.%4.%5.%6.%7."/>
      <w:lvlJc w:val="left"/>
      <w:pPr>
        <w:ind w:left="1724" w:hanging="1440"/>
      </w:pPr>
      <w:rPr>
        <w:rFonts w:ascii="Times New Roman" w:hAnsi="Times New Roman" w:cs="Times New Roman" w:hint="default"/>
        <w:b w:val="0"/>
      </w:rPr>
    </w:lvl>
    <w:lvl w:ilvl="7">
      <w:start w:val="1"/>
      <w:numFmt w:val="decimal"/>
      <w:isLgl/>
      <w:lvlText w:val="%1.%2.%3.%4.%5.%6.%7.%8."/>
      <w:lvlJc w:val="left"/>
      <w:pPr>
        <w:ind w:left="1724" w:hanging="1440"/>
      </w:pPr>
      <w:rPr>
        <w:rFonts w:ascii="Times New Roman" w:hAnsi="Times New Roman" w:cs="Times New Roman" w:hint="default"/>
        <w:b w:val="0"/>
      </w:rPr>
    </w:lvl>
    <w:lvl w:ilvl="8">
      <w:start w:val="1"/>
      <w:numFmt w:val="decimal"/>
      <w:isLgl/>
      <w:lvlText w:val="%1.%2.%3.%4.%5.%6.%7.%8.%9."/>
      <w:lvlJc w:val="left"/>
      <w:pPr>
        <w:ind w:left="2084" w:hanging="1800"/>
      </w:pPr>
      <w:rPr>
        <w:rFonts w:ascii="Times New Roman" w:hAnsi="Times New Roman" w:cs="Times New Roman" w:hint="default"/>
        <w:b w:val="0"/>
      </w:rPr>
    </w:lvl>
  </w:abstractNum>
  <w:abstractNum w:abstractNumId="72">
    <w:nsid w:val="23437EC9"/>
    <w:multiLevelType w:val="hybridMultilevel"/>
    <w:tmpl w:val="F6A2312A"/>
    <w:lvl w:ilvl="0" w:tplc="8758D48E">
      <w:start w:val="1"/>
      <w:numFmt w:val="decimal"/>
      <w:lvlText w:val="1.%1."/>
      <w:lvlJc w:val="left"/>
      <w:pPr>
        <w:ind w:left="1287" w:hanging="360"/>
      </w:pPr>
      <w:rPr>
        <w:rFonts w:hint="default"/>
        <w:b/>
        <w:bCs/>
        <w:color w:val="auto"/>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3">
    <w:nsid w:val="23C506EB"/>
    <w:multiLevelType w:val="hybridMultilevel"/>
    <w:tmpl w:val="333606C6"/>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4">
    <w:nsid w:val="23C74EA5"/>
    <w:multiLevelType w:val="hybridMultilevel"/>
    <w:tmpl w:val="F8EACA98"/>
    <w:lvl w:ilvl="0" w:tplc="2F24D44A">
      <w:start w:val="1"/>
      <w:numFmt w:val="decimal"/>
      <w:lvlText w:val="1.%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240C1CC6"/>
    <w:multiLevelType w:val="hybridMultilevel"/>
    <w:tmpl w:val="C164C04C"/>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6">
    <w:nsid w:val="248372BC"/>
    <w:multiLevelType w:val="hybridMultilevel"/>
    <w:tmpl w:val="E7E00926"/>
    <w:lvl w:ilvl="0" w:tplc="040C000B">
      <w:start w:val="1"/>
      <w:numFmt w:val="bullet"/>
      <w:lvlText w:val=""/>
      <w:lvlJc w:val="left"/>
      <w:pPr>
        <w:ind w:left="1797" w:hanging="360"/>
      </w:pPr>
      <w:rPr>
        <w:rFonts w:ascii="Wingdings" w:hAnsi="Wingdings"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77">
    <w:nsid w:val="267E6FD7"/>
    <w:multiLevelType w:val="hybridMultilevel"/>
    <w:tmpl w:val="D388B498"/>
    <w:lvl w:ilvl="0" w:tplc="040C000B">
      <w:start w:val="1"/>
      <w:numFmt w:val="bullet"/>
      <w:lvlText w:val=""/>
      <w:lvlJc w:val="left"/>
      <w:pPr>
        <w:ind w:left="1797" w:hanging="360"/>
      </w:pPr>
      <w:rPr>
        <w:rFonts w:ascii="Wingdings" w:hAnsi="Wingdings"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78">
    <w:nsid w:val="27B747DB"/>
    <w:multiLevelType w:val="hybridMultilevel"/>
    <w:tmpl w:val="9A844104"/>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9">
    <w:nsid w:val="27B91CE5"/>
    <w:multiLevelType w:val="hybridMultilevel"/>
    <w:tmpl w:val="0728D4C6"/>
    <w:lvl w:ilvl="0" w:tplc="0950AA90">
      <w:start w:val="1"/>
      <w:numFmt w:val="decimal"/>
      <w:lvlText w:val="3.2.%1."/>
      <w:lvlJc w:val="left"/>
      <w:pPr>
        <w:ind w:left="1004" w:hanging="360"/>
      </w:pPr>
      <w:rPr>
        <w:rFonts w:hint="default"/>
        <w:b/>
        <w:bCs/>
        <w:i w:val="0"/>
        <w:iCs w:val="0"/>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0">
    <w:nsid w:val="27E06B07"/>
    <w:multiLevelType w:val="hybridMultilevel"/>
    <w:tmpl w:val="9962B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28336AB4"/>
    <w:multiLevelType w:val="multilevel"/>
    <w:tmpl w:val="02D4E5D4"/>
    <w:lvl w:ilvl="0">
      <w:start w:val="2"/>
      <w:numFmt w:val="decimal"/>
      <w:lvlText w:val="%1."/>
      <w:lvlJc w:val="left"/>
      <w:pPr>
        <w:ind w:left="360" w:hanging="360"/>
      </w:pPr>
      <w:rPr>
        <w:rFonts w:hint="default"/>
        <w:b/>
      </w:rPr>
    </w:lvl>
    <w:lvl w:ilvl="1">
      <w:start w:val="1"/>
      <w:numFmt w:val="decimal"/>
      <w:lvlText w:val="2.%2."/>
      <w:lvlJc w:val="left"/>
      <w:pPr>
        <w:ind w:left="644" w:hanging="360"/>
      </w:pPr>
      <w:rPr>
        <w:rFonts w:hint="default"/>
        <w:b/>
        <w:bCs/>
        <w:color w:val="auto"/>
        <w:sz w:val="24"/>
        <w:szCs w:val="24"/>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82">
    <w:nsid w:val="284D4DF7"/>
    <w:multiLevelType w:val="hybridMultilevel"/>
    <w:tmpl w:val="42366B2C"/>
    <w:lvl w:ilvl="0" w:tplc="13E0CA00">
      <w:start w:val="1"/>
      <w:numFmt w:val="decimal"/>
      <w:lvlText w:val="1.%1."/>
      <w:lvlJc w:val="left"/>
      <w:pPr>
        <w:ind w:left="1434" w:hanging="360"/>
      </w:pPr>
      <w:rPr>
        <w:rFonts w:hint="default"/>
        <w:b/>
        <w:bCs/>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83">
    <w:nsid w:val="28E340E5"/>
    <w:multiLevelType w:val="hybridMultilevel"/>
    <w:tmpl w:val="D6703CB2"/>
    <w:lvl w:ilvl="0" w:tplc="42BA2B06">
      <w:start w:val="1"/>
      <w:numFmt w:val="decimal"/>
      <w:lvlText w:val="1.%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4">
    <w:nsid w:val="2A0E100C"/>
    <w:multiLevelType w:val="hybridMultilevel"/>
    <w:tmpl w:val="BD446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2AF12B9D"/>
    <w:multiLevelType w:val="hybridMultilevel"/>
    <w:tmpl w:val="CE2E612E"/>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6">
    <w:nsid w:val="2B0C3282"/>
    <w:multiLevelType w:val="hybridMultilevel"/>
    <w:tmpl w:val="C368177A"/>
    <w:lvl w:ilvl="0" w:tplc="F5F8E092">
      <w:start w:val="1"/>
      <w:numFmt w:val="decimal"/>
      <w:lvlText w:val="2.3.%1."/>
      <w:lvlJc w:val="left"/>
      <w:pPr>
        <w:ind w:left="1288" w:hanging="360"/>
      </w:pPr>
      <w:rPr>
        <w:rFonts w:hint="default"/>
        <w:b/>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2B5175B1"/>
    <w:multiLevelType w:val="hybridMultilevel"/>
    <w:tmpl w:val="EA32421E"/>
    <w:lvl w:ilvl="0" w:tplc="E092E6D2">
      <w:start w:val="1"/>
      <w:numFmt w:val="decimal"/>
      <w:lvlText w:val="2.1.%1."/>
      <w:lvlJc w:val="left"/>
      <w:pPr>
        <w:ind w:left="1287" w:hanging="360"/>
      </w:pPr>
      <w:rPr>
        <w:rFonts w:hint="default"/>
        <w:color w:val="auto"/>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8">
    <w:nsid w:val="2B5C29B8"/>
    <w:multiLevelType w:val="hybridMultilevel"/>
    <w:tmpl w:val="56EAA4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2C1134ED"/>
    <w:multiLevelType w:val="hybridMultilevel"/>
    <w:tmpl w:val="55C243B4"/>
    <w:lvl w:ilvl="0" w:tplc="040C000B">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90">
    <w:nsid w:val="2C94599D"/>
    <w:multiLevelType w:val="hybridMultilevel"/>
    <w:tmpl w:val="5C0253EE"/>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1">
    <w:nsid w:val="2C9B6D82"/>
    <w:multiLevelType w:val="multilevel"/>
    <w:tmpl w:val="F70883C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004" w:hanging="720"/>
      </w:pPr>
      <w:rPr>
        <w:rFonts w:hint="default"/>
        <w:b/>
        <w:bCs/>
      </w:rPr>
    </w:lvl>
    <w:lvl w:ilvl="3">
      <w:start w:val="1"/>
      <w:numFmt w:val="decimal"/>
      <w:lvlText w:val="%4)"/>
      <w:lvlJc w:val="left"/>
      <w:pPr>
        <w:ind w:left="1572" w:hanging="720"/>
      </w:pPr>
      <w:rPr>
        <w:rFonts w:hint="default"/>
        <w:b/>
        <w:bCs/>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2">
    <w:nsid w:val="2CAF744E"/>
    <w:multiLevelType w:val="hybridMultilevel"/>
    <w:tmpl w:val="29D8ADF4"/>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3">
    <w:nsid w:val="2CD35500"/>
    <w:multiLevelType w:val="hybridMultilevel"/>
    <w:tmpl w:val="D1AC6D40"/>
    <w:lvl w:ilvl="0" w:tplc="E800D05A">
      <w:start w:val="1"/>
      <w:numFmt w:val="decimal"/>
      <w:lvlText w:val="4.4.%1."/>
      <w:lvlJc w:val="left"/>
      <w:pPr>
        <w:ind w:left="1077" w:hanging="360"/>
      </w:pPr>
      <w:rPr>
        <w:rFonts w:asciiTheme="majorBidi" w:hAnsiTheme="majorBidi" w:cstheme="majorBidi" w:hint="default"/>
        <w:b/>
        <w:bCs/>
        <w:color w:val="auto"/>
        <w:sz w:val="24"/>
        <w:szCs w:val="24"/>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94">
    <w:nsid w:val="2D960132"/>
    <w:multiLevelType w:val="multilevel"/>
    <w:tmpl w:val="696E078E"/>
    <w:lvl w:ilvl="0">
      <w:start w:val="3"/>
      <w:numFmt w:val="decimal"/>
      <w:lvlText w:val="%1."/>
      <w:lvlJc w:val="left"/>
      <w:pPr>
        <w:ind w:left="540" w:hanging="540"/>
      </w:pPr>
      <w:rPr>
        <w:rFonts w:ascii="Times New Roman" w:eastAsia="Times New Roman" w:hAnsi="Times New Roman" w:cs="Times New Roman" w:hint="default"/>
        <w:b/>
        <w:color w:val="auto"/>
      </w:rPr>
    </w:lvl>
    <w:lvl w:ilvl="1">
      <w:start w:val="1"/>
      <w:numFmt w:val="decimal"/>
      <w:lvlText w:val="%1.%2."/>
      <w:lvlJc w:val="left"/>
      <w:pPr>
        <w:ind w:left="720" w:hanging="540"/>
      </w:pPr>
      <w:rPr>
        <w:rFonts w:ascii="Times New Roman" w:eastAsia="Times New Roman" w:hAnsi="Times New Roman" w:cs="Times New Roman" w:hint="default"/>
        <w:b/>
        <w:color w:val="auto"/>
      </w:rPr>
    </w:lvl>
    <w:lvl w:ilvl="2">
      <w:start w:val="2"/>
      <w:numFmt w:val="decimal"/>
      <w:lvlText w:val="2.3.%3."/>
      <w:lvlJc w:val="left"/>
      <w:pPr>
        <w:ind w:left="1080" w:hanging="720"/>
      </w:pPr>
      <w:rPr>
        <w:rFonts w:hint="default"/>
        <w:b/>
        <w:bCs/>
        <w:i w:val="0"/>
        <w:iCs w:val="0"/>
        <w:color w:val="auto"/>
      </w:rPr>
    </w:lvl>
    <w:lvl w:ilvl="3">
      <w:start w:val="1"/>
      <w:numFmt w:val="decimal"/>
      <w:lvlText w:val="%1.%2.%3.%4."/>
      <w:lvlJc w:val="left"/>
      <w:pPr>
        <w:ind w:left="1260" w:hanging="720"/>
      </w:pPr>
      <w:rPr>
        <w:rFonts w:ascii="Times New Roman" w:eastAsia="Times New Roman" w:hAnsi="Times New Roman" w:cs="Times New Roman" w:hint="default"/>
        <w:b/>
        <w:color w:val="auto"/>
      </w:rPr>
    </w:lvl>
    <w:lvl w:ilvl="4">
      <w:start w:val="1"/>
      <w:numFmt w:val="decimal"/>
      <w:lvlText w:val="%1.%2.%3.%4.%5."/>
      <w:lvlJc w:val="left"/>
      <w:pPr>
        <w:ind w:left="1800" w:hanging="1080"/>
      </w:pPr>
      <w:rPr>
        <w:rFonts w:ascii="Times New Roman" w:eastAsia="Times New Roman" w:hAnsi="Times New Roman" w:cs="Times New Roman" w:hint="default"/>
        <w:b/>
        <w:color w:val="auto"/>
      </w:rPr>
    </w:lvl>
    <w:lvl w:ilvl="5">
      <w:start w:val="1"/>
      <w:numFmt w:val="decimal"/>
      <w:lvlText w:val="%1.%2.%3.%4.%5.%6."/>
      <w:lvlJc w:val="left"/>
      <w:pPr>
        <w:ind w:left="1980" w:hanging="1080"/>
      </w:pPr>
      <w:rPr>
        <w:rFonts w:ascii="Times New Roman" w:eastAsia="Times New Roman" w:hAnsi="Times New Roman" w:cs="Times New Roman" w:hint="default"/>
        <w:b/>
        <w:color w:val="auto"/>
      </w:rPr>
    </w:lvl>
    <w:lvl w:ilvl="6">
      <w:start w:val="1"/>
      <w:numFmt w:val="decimal"/>
      <w:lvlText w:val="%1.%2.%3.%4.%5.%6.%7."/>
      <w:lvlJc w:val="left"/>
      <w:pPr>
        <w:ind w:left="2520" w:hanging="1440"/>
      </w:pPr>
      <w:rPr>
        <w:rFonts w:ascii="Times New Roman" w:eastAsia="Times New Roman" w:hAnsi="Times New Roman" w:cs="Times New Roman" w:hint="default"/>
        <w:b/>
        <w:color w:val="auto"/>
      </w:rPr>
    </w:lvl>
    <w:lvl w:ilvl="7">
      <w:start w:val="1"/>
      <w:numFmt w:val="decimal"/>
      <w:lvlText w:val="%1.%2.%3.%4.%5.%6.%7.%8."/>
      <w:lvlJc w:val="left"/>
      <w:pPr>
        <w:ind w:left="2700" w:hanging="1440"/>
      </w:pPr>
      <w:rPr>
        <w:rFonts w:ascii="Times New Roman" w:eastAsia="Times New Roman" w:hAnsi="Times New Roman" w:cs="Times New Roman" w:hint="default"/>
        <w:b/>
        <w:color w:val="auto"/>
      </w:rPr>
    </w:lvl>
    <w:lvl w:ilvl="8">
      <w:start w:val="1"/>
      <w:numFmt w:val="decimal"/>
      <w:lvlText w:val="%1.%2.%3.%4.%5.%6.%7.%8.%9."/>
      <w:lvlJc w:val="left"/>
      <w:pPr>
        <w:ind w:left="3240" w:hanging="1800"/>
      </w:pPr>
      <w:rPr>
        <w:rFonts w:ascii="Times New Roman" w:eastAsia="Times New Roman" w:hAnsi="Times New Roman" w:cs="Times New Roman" w:hint="default"/>
        <w:b/>
        <w:color w:val="auto"/>
      </w:rPr>
    </w:lvl>
  </w:abstractNum>
  <w:abstractNum w:abstractNumId="95">
    <w:nsid w:val="2DE447F2"/>
    <w:multiLevelType w:val="hybridMultilevel"/>
    <w:tmpl w:val="FB825B94"/>
    <w:lvl w:ilvl="0" w:tplc="BDF855A0">
      <w:start w:val="1"/>
      <w:numFmt w:val="bullet"/>
      <w:lvlText w:val=""/>
      <w:lvlJc w:val="left"/>
      <w:pPr>
        <w:ind w:left="2148" w:hanging="360"/>
      </w:pPr>
      <w:rPr>
        <w:rFonts w:ascii="Wingdings" w:hAnsi="Wingdings" w:hint="default"/>
        <w:sz w:val="24"/>
        <w:szCs w:val="24"/>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96">
    <w:nsid w:val="2F212E5A"/>
    <w:multiLevelType w:val="hybridMultilevel"/>
    <w:tmpl w:val="4D9A79E0"/>
    <w:lvl w:ilvl="0" w:tplc="BFF4843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30CF3F1B"/>
    <w:multiLevelType w:val="hybridMultilevel"/>
    <w:tmpl w:val="66C652CA"/>
    <w:lvl w:ilvl="0" w:tplc="761CA342">
      <w:start w:val="1"/>
      <w:numFmt w:val="decimal"/>
      <w:lvlText w:val="%1."/>
      <w:lvlJc w:val="left"/>
      <w:pPr>
        <w:ind w:left="1004" w:hanging="360"/>
      </w:pPr>
      <w:rPr>
        <w:b/>
        <w:bCs/>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8">
    <w:nsid w:val="317C2136"/>
    <w:multiLevelType w:val="hybridMultilevel"/>
    <w:tmpl w:val="9F006A8E"/>
    <w:lvl w:ilvl="0" w:tplc="F208A1B0">
      <w:start w:val="4"/>
      <w:numFmt w:val="decimal"/>
      <w:lvlText w:val="1.2.%1."/>
      <w:lvlJc w:val="left"/>
      <w:pPr>
        <w:ind w:left="1429"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317F0002"/>
    <w:multiLevelType w:val="hybridMultilevel"/>
    <w:tmpl w:val="39A4ADAA"/>
    <w:lvl w:ilvl="0" w:tplc="9DA436AA">
      <w:start w:val="1"/>
      <w:numFmt w:val="decimal"/>
      <w:lvlText w:val="4.1.%1."/>
      <w:lvlJc w:val="left"/>
      <w:pPr>
        <w:ind w:left="1434" w:hanging="360"/>
      </w:pPr>
      <w:rPr>
        <w:rFonts w:asciiTheme="majorBidi" w:hAnsiTheme="majorBidi" w:cstheme="majorBidi" w:hint="default"/>
        <w:b/>
        <w:bCs/>
        <w:color w:val="auto"/>
        <w:sz w:val="24"/>
        <w:szCs w:val="24"/>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100">
    <w:nsid w:val="31925CA2"/>
    <w:multiLevelType w:val="hybridMultilevel"/>
    <w:tmpl w:val="F3B27E9E"/>
    <w:lvl w:ilvl="0" w:tplc="FCFE25BE">
      <w:start w:val="7"/>
      <w:numFmt w:val="decimal"/>
      <w:lvlText w:val="1.2.%1."/>
      <w:lvlJc w:val="left"/>
      <w:pPr>
        <w:ind w:left="1429"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31B77DDF"/>
    <w:multiLevelType w:val="hybridMultilevel"/>
    <w:tmpl w:val="73E45100"/>
    <w:lvl w:ilvl="0" w:tplc="9EA0FE90">
      <w:start w:val="3"/>
      <w:numFmt w:val="decimal"/>
      <w:lvlText w:val="2.%1."/>
      <w:lvlJc w:val="left"/>
      <w:pPr>
        <w:ind w:left="720" w:hanging="360"/>
      </w:pPr>
      <w:rPr>
        <w:rFonts w:hint="default"/>
        <w:b/>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32E834D9"/>
    <w:multiLevelType w:val="multilevel"/>
    <w:tmpl w:val="6A76A870"/>
    <w:lvl w:ilvl="0">
      <w:start w:val="2"/>
      <w:numFmt w:val="decimal"/>
      <w:lvlText w:val="%1."/>
      <w:lvlJc w:val="left"/>
      <w:pPr>
        <w:ind w:left="644" w:hanging="360"/>
      </w:pPr>
      <w:rPr>
        <w:rFonts w:hint="default"/>
        <w:b/>
        <w:bCs/>
      </w:rPr>
    </w:lvl>
    <w:lvl w:ilvl="1">
      <w:start w:val="1"/>
      <w:numFmt w:val="decimal"/>
      <w:isLgl/>
      <w:lvlText w:val="%1.%2."/>
      <w:lvlJc w:val="left"/>
      <w:pPr>
        <w:ind w:left="644" w:hanging="360"/>
      </w:pPr>
      <w:rPr>
        <w:rFonts w:ascii="Times New Roman" w:hAnsi="Times New Roman" w:cs="Times New Roman" w:hint="default"/>
        <w:b/>
        <w:bCs w:val="0"/>
      </w:rPr>
    </w:lvl>
    <w:lvl w:ilvl="2">
      <w:start w:val="1"/>
      <w:numFmt w:val="decimal"/>
      <w:isLgl/>
      <w:lvlText w:val="%1.%2.%3."/>
      <w:lvlJc w:val="left"/>
      <w:pPr>
        <w:ind w:left="1004" w:hanging="720"/>
      </w:pPr>
      <w:rPr>
        <w:rFonts w:ascii="Times New Roman" w:hAnsi="Times New Roman" w:cs="Times New Roman" w:hint="default"/>
        <w:b/>
        <w:bCs w:val="0"/>
      </w:rPr>
    </w:lvl>
    <w:lvl w:ilvl="3">
      <w:start w:val="1"/>
      <w:numFmt w:val="bullet"/>
      <w:lvlText w:val=""/>
      <w:lvlJc w:val="left"/>
      <w:pPr>
        <w:ind w:left="1004" w:hanging="720"/>
      </w:pPr>
      <w:rPr>
        <w:rFonts w:ascii="Wingdings" w:hAnsi="Wingdings" w:hint="default"/>
        <w:b/>
        <w:bCs w:val="0"/>
      </w:rPr>
    </w:lvl>
    <w:lvl w:ilvl="4">
      <w:start w:val="1"/>
      <w:numFmt w:val="decimal"/>
      <w:isLgl/>
      <w:lvlText w:val="%1.%2.%3.%4.%5."/>
      <w:lvlJc w:val="left"/>
      <w:pPr>
        <w:ind w:left="1364" w:hanging="1080"/>
      </w:pPr>
      <w:rPr>
        <w:rFonts w:ascii="Times New Roman" w:hAnsi="Times New Roman" w:cs="Times New Roman" w:hint="default"/>
        <w:b w:val="0"/>
      </w:rPr>
    </w:lvl>
    <w:lvl w:ilvl="5">
      <w:start w:val="1"/>
      <w:numFmt w:val="decimal"/>
      <w:isLgl/>
      <w:lvlText w:val="%1.%2.%3.%4.%5.%6."/>
      <w:lvlJc w:val="left"/>
      <w:pPr>
        <w:ind w:left="1364" w:hanging="1080"/>
      </w:pPr>
      <w:rPr>
        <w:rFonts w:ascii="Times New Roman" w:hAnsi="Times New Roman" w:cs="Times New Roman" w:hint="default"/>
        <w:b w:val="0"/>
      </w:rPr>
    </w:lvl>
    <w:lvl w:ilvl="6">
      <w:start w:val="1"/>
      <w:numFmt w:val="decimal"/>
      <w:isLgl/>
      <w:lvlText w:val="%1.%2.%3.%4.%5.%6.%7."/>
      <w:lvlJc w:val="left"/>
      <w:pPr>
        <w:ind w:left="1724" w:hanging="1440"/>
      </w:pPr>
      <w:rPr>
        <w:rFonts w:ascii="Times New Roman" w:hAnsi="Times New Roman" w:cs="Times New Roman" w:hint="default"/>
        <w:b w:val="0"/>
      </w:rPr>
    </w:lvl>
    <w:lvl w:ilvl="7">
      <w:start w:val="1"/>
      <w:numFmt w:val="decimal"/>
      <w:isLgl/>
      <w:lvlText w:val="%1.%2.%3.%4.%5.%6.%7.%8."/>
      <w:lvlJc w:val="left"/>
      <w:pPr>
        <w:ind w:left="1724" w:hanging="1440"/>
      </w:pPr>
      <w:rPr>
        <w:rFonts w:ascii="Times New Roman" w:hAnsi="Times New Roman" w:cs="Times New Roman" w:hint="default"/>
        <w:b w:val="0"/>
      </w:rPr>
    </w:lvl>
    <w:lvl w:ilvl="8">
      <w:start w:val="1"/>
      <w:numFmt w:val="decimal"/>
      <w:isLgl/>
      <w:lvlText w:val="%1.%2.%3.%4.%5.%6.%7.%8.%9."/>
      <w:lvlJc w:val="left"/>
      <w:pPr>
        <w:ind w:left="2084" w:hanging="1800"/>
      </w:pPr>
      <w:rPr>
        <w:rFonts w:ascii="Times New Roman" w:hAnsi="Times New Roman" w:cs="Times New Roman" w:hint="default"/>
        <w:b w:val="0"/>
      </w:rPr>
    </w:lvl>
  </w:abstractNum>
  <w:abstractNum w:abstractNumId="103">
    <w:nsid w:val="343B05F4"/>
    <w:multiLevelType w:val="hybridMultilevel"/>
    <w:tmpl w:val="93605A7A"/>
    <w:lvl w:ilvl="0" w:tplc="99FAB1AA">
      <w:start w:val="1"/>
      <w:numFmt w:val="decimal"/>
      <w:lvlText w:val="4.%1."/>
      <w:lvlJc w:val="left"/>
      <w:pPr>
        <w:ind w:left="644" w:hanging="360"/>
      </w:pPr>
      <w:rPr>
        <w:rFonts w:hint="default"/>
        <w:b/>
        <w:bCs/>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4">
    <w:nsid w:val="34927198"/>
    <w:multiLevelType w:val="hybridMultilevel"/>
    <w:tmpl w:val="766464C4"/>
    <w:lvl w:ilvl="0" w:tplc="040C000D">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05">
    <w:nsid w:val="353E4420"/>
    <w:multiLevelType w:val="hybridMultilevel"/>
    <w:tmpl w:val="4B6A9F70"/>
    <w:lvl w:ilvl="0" w:tplc="8B281AE4">
      <w:start w:val="1"/>
      <w:numFmt w:val="decimal"/>
      <w:lvlText w:val="3.1.%1."/>
      <w:lvlJc w:val="left"/>
      <w:pPr>
        <w:ind w:left="1080" w:hanging="360"/>
      </w:pPr>
      <w:rPr>
        <w:rFonts w:hint="default"/>
        <w:b/>
        <w:bCs/>
        <w:color w:val="auto"/>
        <w:sz w:val="24"/>
        <w:szCs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6">
    <w:nsid w:val="35F07809"/>
    <w:multiLevelType w:val="hybridMultilevel"/>
    <w:tmpl w:val="7758E2C6"/>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7">
    <w:nsid w:val="375F6D84"/>
    <w:multiLevelType w:val="hybridMultilevel"/>
    <w:tmpl w:val="B81E0428"/>
    <w:lvl w:ilvl="0" w:tplc="C776893E">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38403634"/>
    <w:multiLevelType w:val="multilevel"/>
    <w:tmpl w:val="306041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38457AF0"/>
    <w:multiLevelType w:val="hybridMultilevel"/>
    <w:tmpl w:val="FC18D5EE"/>
    <w:lvl w:ilvl="0" w:tplc="8E8AD9B8">
      <w:start w:val="1"/>
      <w:numFmt w:val="upperLetter"/>
      <w:lvlText w:val="%1."/>
      <w:lvlJc w:val="left"/>
      <w:pPr>
        <w:ind w:left="1077"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39024CED"/>
    <w:multiLevelType w:val="hybridMultilevel"/>
    <w:tmpl w:val="D7D0E0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39233838"/>
    <w:multiLevelType w:val="hybridMultilevel"/>
    <w:tmpl w:val="0CE62528"/>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2">
    <w:nsid w:val="394002B2"/>
    <w:multiLevelType w:val="hybridMultilevel"/>
    <w:tmpl w:val="4894C7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39594572"/>
    <w:multiLevelType w:val="hybridMultilevel"/>
    <w:tmpl w:val="CE80860A"/>
    <w:lvl w:ilvl="0" w:tplc="BC327FC4">
      <w:start w:val="1"/>
      <w:numFmt w:val="decimal"/>
      <w:pStyle w:val="Titre2"/>
      <w:lvlText w:val="%1."/>
      <w:lvlJc w:val="left"/>
      <w:pPr>
        <w:ind w:left="643" w:hanging="360"/>
      </w:pPr>
      <w:rPr>
        <w:rFonts w:hint="default"/>
        <w:b/>
        <w:bCs/>
        <w:i w:val="0"/>
        <w:iCs w:val="0"/>
        <w:color w:val="auto"/>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14">
    <w:nsid w:val="39AC3D7B"/>
    <w:multiLevelType w:val="hybridMultilevel"/>
    <w:tmpl w:val="44F84C36"/>
    <w:lvl w:ilvl="0" w:tplc="0558443E">
      <w:start w:val="1"/>
      <w:numFmt w:val="upperLetter"/>
      <w:lvlText w:val="%1."/>
      <w:lvlJc w:val="left"/>
      <w:pPr>
        <w:ind w:left="1069" w:hanging="360"/>
      </w:pPr>
      <w:rPr>
        <w:rFonts w:hint="default"/>
        <w:b/>
        <w:bCs/>
        <w:sz w:val="24"/>
        <w:szCs w:val="24"/>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5">
    <w:nsid w:val="3B765BD5"/>
    <w:multiLevelType w:val="hybridMultilevel"/>
    <w:tmpl w:val="A5F41960"/>
    <w:lvl w:ilvl="0" w:tplc="5F4C3E7C">
      <w:start w:val="1"/>
      <w:numFmt w:val="decimal"/>
      <w:lvlText w:val="1.%1."/>
      <w:lvlJc w:val="left"/>
      <w:pPr>
        <w:ind w:left="644" w:hanging="360"/>
      </w:pPr>
      <w:rPr>
        <w:rFonts w:hint="default"/>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116">
    <w:nsid w:val="3C111893"/>
    <w:multiLevelType w:val="hybridMultilevel"/>
    <w:tmpl w:val="F75C40E8"/>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7">
    <w:nsid w:val="3C7C1E77"/>
    <w:multiLevelType w:val="multilevel"/>
    <w:tmpl w:val="7444C66A"/>
    <w:lvl w:ilvl="0">
      <w:start w:val="1"/>
      <w:numFmt w:val="bullet"/>
      <w:lvlText w:val=""/>
      <w:lvlJc w:val="left"/>
      <w:pPr>
        <w:tabs>
          <w:tab w:val="num" w:pos="720"/>
        </w:tabs>
        <w:ind w:left="720" w:hanging="360"/>
      </w:pPr>
      <w:rPr>
        <w:rFonts w:ascii="Wingdings" w:hAnsi="Wingding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D122BAE"/>
    <w:multiLevelType w:val="hybridMultilevel"/>
    <w:tmpl w:val="F97A7E5A"/>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19">
    <w:nsid w:val="3E3D65F0"/>
    <w:multiLevelType w:val="hybridMultilevel"/>
    <w:tmpl w:val="100AD2CA"/>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20">
    <w:nsid w:val="3ED23315"/>
    <w:multiLevelType w:val="hybridMultilevel"/>
    <w:tmpl w:val="EB4C577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1">
    <w:nsid w:val="41714654"/>
    <w:multiLevelType w:val="hybridMultilevel"/>
    <w:tmpl w:val="D5E0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41922FD7"/>
    <w:multiLevelType w:val="multilevel"/>
    <w:tmpl w:val="49941710"/>
    <w:lvl w:ilvl="0">
      <w:start w:val="1"/>
      <w:numFmt w:val="decimal"/>
      <w:lvlText w:val="%1."/>
      <w:lvlJc w:val="left"/>
      <w:pPr>
        <w:ind w:left="824" w:hanging="540"/>
      </w:pPr>
      <w:rPr>
        <w:rFonts w:hint="default"/>
        <w:b/>
      </w:rPr>
    </w:lvl>
    <w:lvl w:ilvl="1">
      <w:start w:val="4"/>
      <w:numFmt w:val="decimal"/>
      <w:lvlText w:val="%1.%2."/>
      <w:lvlJc w:val="left"/>
      <w:pPr>
        <w:ind w:left="540" w:hanging="540"/>
      </w:pPr>
      <w:rPr>
        <w:rFonts w:hint="default"/>
        <w:b/>
      </w:rPr>
    </w:lvl>
    <w:lvl w:ilvl="2">
      <w:start w:val="2"/>
      <w:numFmt w:val="decimal"/>
      <w:lvlText w:val="2.5.%3."/>
      <w:lvlJc w:val="left"/>
      <w:pPr>
        <w:ind w:left="1004" w:hanging="720"/>
      </w:pPr>
      <w:rPr>
        <w:rFonts w:hint="default"/>
        <w:b/>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3">
    <w:nsid w:val="42B44474"/>
    <w:multiLevelType w:val="hybridMultilevel"/>
    <w:tmpl w:val="2E2216D2"/>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4">
    <w:nsid w:val="436543BE"/>
    <w:multiLevelType w:val="hybridMultilevel"/>
    <w:tmpl w:val="046AA16E"/>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5">
    <w:nsid w:val="457732E9"/>
    <w:multiLevelType w:val="hybridMultilevel"/>
    <w:tmpl w:val="2D3001E6"/>
    <w:lvl w:ilvl="0" w:tplc="6158D642">
      <w:start w:val="1"/>
      <w:numFmt w:val="decimal"/>
      <w:lvlText w:val="2.5.%1."/>
      <w:lvlJc w:val="left"/>
      <w:pPr>
        <w:ind w:left="1004" w:hanging="360"/>
      </w:pPr>
      <w:rPr>
        <w:rFonts w:hint="default"/>
        <w:b/>
        <w:bCs/>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26">
    <w:nsid w:val="458D7C51"/>
    <w:multiLevelType w:val="hybridMultilevel"/>
    <w:tmpl w:val="73DC446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45C26DE6"/>
    <w:multiLevelType w:val="hybridMultilevel"/>
    <w:tmpl w:val="E0F0D99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8">
    <w:nsid w:val="47386447"/>
    <w:multiLevelType w:val="hybridMultilevel"/>
    <w:tmpl w:val="D346E60C"/>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9">
    <w:nsid w:val="47751549"/>
    <w:multiLevelType w:val="hybridMultilevel"/>
    <w:tmpl w:val="96443114"/>
    <w:lvl w:ilvl="0" w:tplc="040C000B">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30">
    <w:nsid w:val="48745E5F"/>
    <w:multiLevelType w:val="multilevel"/>
    <w:tmpl w:val="17C09AF6"/>
    <w:lvl w:ilvl="0">
      <w:start w:val="2"/>
      <w:numFmt w:val="decimal"/>
      <w:lvlText w:val="%1."/>
      <w:lvlJc w:val="left"/>
      <w:pPr>
        <w:ind w:left="824" w:hanging="540"/>
      </w:pPr>
      <w:rPr>
        <w:rFonts w:hint="default"/>
      </w:rPr>
    </w:lvl>
    <w:lvl w:ilvl="1">
      <w:start w:val="2"/>
      <w:numFmt w:val="decimal"/>
      <w:lvlText w:val="%1.%2."/>
      <w:lvlJc w:val="left"/>
      <w:pPr>
        <w:ind w:left="824" w:hanging="540"/>
      </w:pPr>
      <w:rPr>
        <w:rFonts w:hint="default"/>
      </w:rPr>
    </w:lvl>
    <w:lvl w:ilvl="2">
      <w:start w:val="2"/>
      <w:numFmt w:val="decimal"/>
      <w:lvlText w:val="3.2.%3."/>
      <w:lvlJc w:val="left"/>
      <w:pPr>
        <w:ind w:left="1004" w:hanging="720"/>
      </w:pPr>
      <w:rPr>
        <w:rFonts w:hint="default"/>
      </w:rPr>
    </w:lvl>
    <w:lvl w:ilvl="3">
      <w:start w:val="1"/>
      <w:numFmt w:val="decimal"/>
      <w:lvlText w:val="2.2.2.%4."/>
      <w:lvlJc w:val="left"/>
      <w:pPr>
        <w:ind w:left="1004" w:hanging="720"/>
      </w:pPr>
      <w:rPr>
        <w:rFonts w:hint="default"/>
        <w:b/>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nsid w:val="48B21A6E"/>
    <w:multiLevelType w:val="hybridMultilevel"/>
    <w:tmpl w:val="4AFC2C0E"/>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2">
    <w:nsid w:val="48B87892"/>
    <w:multiLevelType w:val="hybridMultilevel"/>
    <w:tmpl w:val="D326D640"/>
    <w:lvl w:ilvl="0" w:tplc="040C000B">
      <w:start w:val="1"/>
      <w:numFmt w:val="bullet"/>
      <w:lvlText w:val=""/>
      <w:lvlJc w:val="left"/>
      <w:pPr>
        <w:ind w:left="1494" w:hanging="360"/>
      </w:pPr>
      <w:rPr>
        <w:rFonts w:ascii="Wingdings" w:hAnsi="Wingdings"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133">
    <w:nsid w:val="493964E2"/>
    <w:multiLevelType w:val="hybridMultilevel"/>
    <w:tmpl w:val="1AF214F6"/>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4">
    <w:nsid w:val="49951464"/>
    <w:multiLevelType w:val="hybridMultilevel"/>
    <w:tmpl w:val="F39092E0"/>
    <w:lvl w:ilvl="0" w:tplc="040C000B">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35">
    <w:nsid w:val="4BA23B00"/>
    <w:multiLevelType w:val="hybridMultilevel"/>
    <w:tmpl w:val="7812A6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nsid w:val="4D4C2E25"/>
    <w:multiLevelType w:val="hybridMultilevel"/>
    <w:tmpl w:val="B90A30FE"/>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7">
    <w:nsid w:val="4D93522B"/>
    <w:multiLevelType w:val="hybridMultilevel"/>
    <w:tmpl w:val="CB4A84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nsid w:val="4FC91FC6"/>
    <w:multiLevelType w:val="hybridMultilevel"/>
    <w:tmpl w:val="45D09946"/>
    <w:lvl w:ilvl="0" w:tplc="5C5A6BF2">
      <w:start w:val="1"/>
      <w:numFmt w:val="decimal"/>
      <w:lvlText w:val="4.1.%1."/>
      <w:lvlJc w:val="left"/>
      <w:pPr>
        <w:ind w:left="540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EAF694F6">
      <w:start w:val="1"/>
      <w:numFmt w:val="decimal"/>
      <w:lvlText w:val="4.1.%4."/>
      <w:lvlJc w:val="left"/>
      <w:pPr>
        <w:ind w:left="2880" w:hanging="360"/>
      </w:pPr>
      <w:rPr>
        <w:rFonts w:hint="default"/>
        <w:b/>
        <w:bCs/>
        <w:i w:val="0"/>
        <w:iCs w:val="0"/>
        <w:color w:val="auto"/>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nsid w:val="50EE711B"/>
    <w:multiLevelType w:val="multilevel"/>
    <w:tmpl w:val="50FC56A0"/>
    <w:lvl w:ilvl="0">
      <w:start w:val="2"/>
      <w:numFmt w:val="decimal"/>
      <w:lvlText w:val="%1."/>
      <w:lvlJc w:val="left"/>
      <w:pPr>
        <w:ind w:left="644" w:hanging="360"/>
      </w:pPr>
      <w:rPr>
        <w:rFonts w:hint="default"/>
      </w:rPr>
    </w:lvl>
    <w:lvl w:ilvl="1">
      <w:start w:val="1"/>
      <w:numFmt w:val="decimal"/>
      <w:lvlText w:val="%1.%2."/>
      <w:lvlJc w:val="left"/>
      <w:pPr>
        <w:ind w:left="644" w:hanging="360"/>
      </w:pPr>
      <w:rPr>
        <w:rFonts w:hint="default"/>
        <w:b/>
        <w:bCs/>
      </w:rPr>
    </w:lvl>
    <w:lvl w:ilvl="2">
      <w:start w:val="1"/>
      <w:numFmt w:val="bullet"/>
      <w:lvlText w:val=""/>
      <w:lvlJc w:val="left"/>
      <w:pPr>
        <w:ind w:left="1572" w:hanging="720"/>
      </w:pPr>
      <w:rPr>
        <w:rFonts w:ascii="Wingdings" w:hAnsi="Wingdings" w:hint="default"/>
        <w:b/>
        <w:bCs/>
      </w:rPr>
    </w:lvl>
    <w:lvl w:ilvl="3">
      <w:start w:val="1"/>
      <w:numFmt w:val="decimal"/>
      <w:lvlText w:val="%1.%2.%3.%4."/>
      <w:lvlJc w:val="left"/>
      <w:pPr>
        <w:ind w:left="1856"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784" w:hanging="1080"/>
      </w:pPr>
      <w:rPr>
        <w:rFonts w:hint="default"/>
      </w:rPr>
    </w:lvl>
    <w:lvl w:ilvl="6">
      <w:start w:val="1"/>
      <w:numFmt w:val="decimal"/>
      <w:lvlText w:val="%1.%2.%3.%4.%5.%6.%7."/>
      <w:lvlJc w:val="left"/>
      <w:pPr>
        <w:ind w:left="3428" w:hanging="1440"/>
      </w:pPr>
      <w:rPr>
        <w:rFonts w:hint="default"/>
      </w:rPr>
    </w:lvl>
    <w:lvl w:ilvl="7">
      <w:start w:val="1"/>
      <w:numFmt w:val="decimal"/>
      <w:lvlText w:val="%1.%2.%3.%4.%5.%6.%7.%8."/>
      <w:lvlJc w:val="left"/>
      <w:pPr>
        <w:ind w:left="3712" w:hanging="1440"/>
      </w:pPr>
      <w:rPr>
        <w:rFonts w:hint="default"/>
      </w:rPr>
    </w:lvl>
    <w:lvl w:ilvl="8">
      <w:start w:val="1"/>
      <w:numFmt w:val="decimal"/>
      <w:lvlText w:val="%1.%2.%3.%4.%5.%6.%7.%8.%9."/>
      <w:lvlJc w:val="left"/>
      <w:pPr>
        <w:ind w:left="4356" w:hanging="1800"/>
      </w:pPr>
      <w:rPr>
        <w:rFonts w:hint="default"/>
      </w:rPr>
    </w:lvl>
  </w:abstractNum>
  <w:abstractNum w:abstractNumId="140">
    <w:nsid w:val="50F22C3F"/>
    <w:multiLevelType w:val="hybridMultilevel"/>
    <w:tmpl w:val="A920D6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nsid w:val="5234536E"/>
    <w:multiLevelType w:val="hybridMultilevel"/>
    <w:tmpl w:val="F36296F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2">
    <w:nsid w:val="53151DE5"/>
    <w:multiLevelType w:val="hybridMultilevel"/>
    <w:tmpl w:val="D090CC06"/>
    <w:lvl w:ilvl="0" w:tplc="76DEC49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nsid w:val="546E3F2B"/>
    <w:multiLevelType w:val="hybridMultilevel"/>
    <w:tmpl w:val="62FCB2B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nsid w:val="559213DE"/>
    <w:multiLevelType w:val="hybridMultilevel"/>
    <w:tmpl w:val="1D5488E6"/>
    <w:lvl w:ilvl="0" w:tplc="8E8AD9B8">
      <w:start w:val="1"/>
      <w:numFmt w:val="upperLetter"/>
      <w:lvlText w:val="%1."/>
      <w:lvlJc w:val="left"/>
      <w:pPr>
        <w:ind w:left="1429" w:hanging="360"/>
      </w:pPr>
      <w:rPr>
        <w:rFonts w:hint="default"/>
        <w:b/>
        <w:bCs/>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45">
    <w:nsid w:val="55DE6720"/>
    <w:multiLevelType w:val="hybridMultilevel"/>
    <w:tmpl w:val="E3BAF04C"/>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6">
    <w:nsid w:val="563324C2"/>
    <w:multiLevelType w:val="hybridMultilevel"/>
    <w:tmpl w:val="9FCCCD0C"/>
    <w:lvl w:ilvl="0" w:tplc="040C000B">
      <w:start w:val="1"/>
      <w:numFmt w:val="bullet"/>
      <w:lvlText w:val=""/>
      <w:lvlJc w:val="left"/>
      <w:pPr>
        <w:ind w:left="927" w:hanging="360"/>
      </w:pPr>
      <w:rPr>
        <w:rFonts w:ascii="Wingdings" w:hAnsi="Wingdings" w:hint="default"/>
        <w:b/>
        <w:bCs/>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7">
    <w:nsid w:val="571872DA"/>
    <w:multiLevelType w:val="hybridMultilevel"/>
    <w:tmpl w:val="C33C8E8E"/>
    <w:lvl w:ilvl="0" w:tplc="5CA6C6AC">
      <w:start w:val="1"/>
      <w:numFmt w:val="decimal"/>
      <w:lvlText w:val="4.2.%1."/>
      <w:lvlJc w:val="left"/>
      <w:pPr>
        <w:ind w:left="1077" w:hanging="360"/>
      </w:pPr>
      <w:rPr>
        <w:rFonts w:asciiTheme="majorBidi" w:hAnsiTheme="majorBidi" w:cstheme="majorBidi" w:hint="default"/>
        <w:b/>
        <w:bCs/>
        <w:color w:val="auto"/>
        <w:sz w:val="24"/>
        <w:szCs w:val="24"/>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48">
    <w:nsid w:val="57C3144B"/>
    <w:multiLevelType w:val="hybridMultilevel"/>
    <w:tmpl w:val="F74CD3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nsid w:val="58131FEE"/>
    <w:multiLevelType w:val="hybridMultilevel"/>
    <w:tmpl w:val="66F8B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585B5229"/>
    <w:multiLevelType w:val="hybridMultilevel"/>
    <w:tmpl w:val="C2467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nsid w:val="59684382"/>
    <w:multiLevelType w:val="multilevel"/>
    <w:tmpl w:val="3910A6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599F7CB6"/>
    <w:multiLevelType w:val="hybridMultilevel"/>
    <w:tmpl w:val="2ADCB92E"/>
    <w:lvl w:ilvl="0" w:tplc="273ED96C">
      <w:start w:val="3"/>
      <w:numFmt w:val="decimal"/>
      <w:lvlText w:val="1.2.%1."/>
      <w:lvlJc w:val="left"/>
      <w:pPr>
        <w:ind w:left="1429"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nsid w:val="5BCD0877"/>
    <w:multiLevelType w:val="hybridMultilevel"/>
    <w:tmpl w:val="D9FEA86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4">
    <w:nsid w:val="5C4E62B2"/>
    <w:multiLevelType w:val="hybridMultilevel"/>
    <w:tmpl w:val="C804EF9E"/>
    <w:lvl w:ilvl="0" w:tplc="73FACCD2">
      <w:start w:val="1"/>
      <w:numFmt w:val="decimal"/>
      <w:lvlText w:val="%1."/>
      <w:lvlJc w:val="left"/>
      <w:pPr>
        <w:ind w:left="720" w:hanging="360"/>
      </w:pPr>
      <w:rPr>
        <w:rFonts w:ascii="Times New Roman" w:eastAsia="Times New Roman" w:hAnsi="Times New Roman" w:cs="Times New Roman"/>
        <w:b w:val="0"/>
        <w:bCs/>
        <w:i w:val="0"/>
        <w:strike w:val="0"/>
        <w:dstrike w:val="0"/>
        <w:color w:val="000000"/>
        <w:sz w:val="24"/>
        <w:u w:val="none" w:color="000000"/>
        <w:bdr w:val="none" w:sz="0" w:space="0" w:color="auto"/>
        <w:shd w:val="clear" w:color="auto" w:fill="auto"/>
        <w:vertAlign w:val="baseli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nsid w:val="5C50432F"/>
    <w:multiLevelType w:val="hybridMultilevel"/>
    <w:tmpl w:val="812AB488"/>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56">
    <w:nsid w:val="5C836511"/>
    <w:multiLevelType w:val="hybridMultilevel"/>
    <w:tmpl w:val="7EE80F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nsid w:val="5C921EC0"/>
    <w:multiLevelType w:val="hybridMultilevel"/>
    <w:tmpl w:val="EB98DA96"/>
    <w:lvl w:ilvl="0" w:tplc="040C000F">
      <w:start w:val="1"/>
      <w:numFmt w:val="decimal"/>
      <w:lvlText w:val="%1."/>
      <w:lvlJc w:val="left"/>
      <w:pPr>
        <w:ind w:left="766" w:hanging="360"/>
      </w:pPr>
      <w:rPr>
        <w:rFonts w:hint="default"/>
      </w:rPr>
    </w:lvl>
    <w:lvl w:ilvl="1" w:tplc="040C0019" w:tentative="1">
      <w:start w:val="1"/>
      <w:numFmt w:val="lowerLetter"/>
      <w:lvlText w:val="%2."/>
      <w:lvlJc w:val="left"/>
      <w:pPr>
        <w:ind w:left="1486" w:hanging="360"/>
      </w:pPr>
    </w:lvl>
    <w:lvl w:ilvl="2" w:tplc="040C001B" w:tentative="1">
      <w:start w:val="1"/>
      <w:numFmt w:val="lowerRoman"/>
      <w:lvlText w:val="%3."/>
      <w:lvlJc w:val="right"/>
      <w:pPr>
        <w:ind w:left="2206" w:hanging="180"/>
      </w:pPr>
    </w:lvl>
    <w:lvl w:ilvl="3" w:tplc="040C000F" w:tentative="1">
      <w:start w:val="1"/>
      <w:numFmt w:val="decimal"/>
      <w:lvlText w:val="%4."/>
      <w:lvlJc w:val="left"/>
      <w:pPr>
        <w:ind w:left="2926" w:hanging="360"/>
      </w:pPr>
    </w:lvl>
    <w:lvl w:ilvl="4" w:tplc="040C0019" w:tentative="1">
      <w:start w:val="1"/>
      <w:numFmt w:val="lowerLetter"/>
      <w:lvlText w:val="%5."/>
      <w:lvlJc w:val="left"/>
      <w:pPr>
        <w:ind w:left="3646" w:hanging="360"/>
      </w:pPr>
    </w:lvl>
    <w:lvl w:ilvl="5" w:tplc="040C001B" w:tentative="1">
      <w:start w:val="1"/>
      <w:numFmt w:val="lowerRoman"/>
      <w:lvlText w:val="%6."/>
      <w:lvlJc w:val="right"/>
      <w:pPr>
        <w:ind w:left="4366" w:hanging="180"/>
      </w:pPr>
    </w:lvl>
    <w:lvl w:ilvl="6" w:tplc="040C000F" w:tentative="1">
      <w:start w:val="1"/>
      <w:numFmt w:val="decimal"/>
      <w:lvlText w:val="%7."/>
      <w:lvlJc w:val="left"/>
      <w:pPr>
        <w:ind w:left="5086" w:hanging="360"/>
      </w:pPr>
    </w:lvl>
    <w:lvl w:ilvl="7" w:tplc="040C0019" w:tentative="1">
      <w:start w:val="1"/>
      <w:numFmt w:val="lowerLetter"/>
      <w:lvlText w:val="%8."/>
      <w:lvlJc w:val="left"/>
      <w:pPr>
        <w:ind w:left="5806" w:hanging="360"/>
      </w:pPr>
    </w:lvl>
    <w:lvl w:ilvl="8" w:tplc="040C001B" w:tentative="1">
      <w:start w:val="1"/>
      <w:numFmt w:val="lowerRoman"/>
      <w:lvlText w:val="%9."/>
      <w:lvlJc w:val="right"/>
      <w:pPr>
        <w:ind w:left="6526" w:hanging="180"/>
      </w:pPr>
    </w:lvl>
  </w:abstractNum>
  <w:abstractNum w:abstractNumId="158">
    <w:nsid w:val="5CE32BD3"/>
    <w:multiLevelType w:val="hybridMultilevel"/>
    <w:tmpl w:val="F56016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nsid w:val="5D1F28A9"/>
    <w:multiLevelType w:val="hybridMultilevel"/>
    <w:tmpl w:val="F62A4CF0"/>
    <w:lvl w:ilvl="0" w:tplc="416088D0">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nsid w:val="5D55576A"/>
    <w:multiLevelType w:val="hybridMultilevel"/>
    <w:tmpl w:val="C5F4A9B4"/>
    <w:lvl w:ilvl="0" w:tplc="040C000D">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61">
    <w:nsid w:val="5E69382B"/>
    <w:multiLevelType w:val="hybridMultilevel"/>
    <w:tmpl w:val="F28EFCBC"/>
    <w:lvl w:ilvl="0" w:tplc="C21C5590">
      <w:start w:val="1"/>
      <w:numFmt w:val="decimal"/>
      <w:lvlText w:val="1.%1."/>
      <w:lvlJc w:val="left"/>
      <w:pPr>
        <w:ind w:left="644" w:hanging="360"/>
      </w:pPr>
      <w:rPr>
        <w:rFonts w:asciiTheme="majorBidi" w:hAnsiTheme="majorBidi" w:cstheme="maj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nsid w:val="60014997"/>
    <w:multiLevelType w:val="hybridMultilevel"/>
    <w:tmpl w:val="F942E6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nsid w:val="603D612B"/>
    <w:multiLevelType w:val="hybridMultilevel"/>
    <w:tmpl w:val="19B8FD5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64">
    <w:nsid w:val="60806458"/>
    <w:multiLevelType w:val="hybridMultilevel"/>
    <w:tmpl w:val="B90C85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nsid w:val="60D21409"/>
    <w:multiLevelType w:val="hybridMultilevel"/>
    <w:tmpl w:val="FC888FDA"/>
    <w:lvl w:ilvl="0" w:tplc="038670F2">
      <w:start w:val="1"/>
      <w:numFmt w:val="lowerLetter"/>
      <w:lvlText w:val="%1."/>
      <w:lvlJc w:val="left"/>
      <w:pPr>
        <w:ind w:left="1004" w:hanging="360"/>
      </w:pPr>
      <w:rPr>
        <w:b/>
        <w:bCs/>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6">
    <w:nsid w:val="60E56A49"/>
    <w:multiLevelType w:val="hybridMultilevel"/>
    <w:tmpl w:val="32C416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nsid w:val="61EA17D4"/>
    <w:multiLevelType w:val="hybridMultilevel"/>
    <w:tmpl w:val="95E01CC8"/>
    <w:lvl w:ilvl="0" w:tplc="040C000B">
      <w:start w:val="1"/>
      <w:numFmt w:val="bullet"/>
      <w:lvlText w:val=""/>
      <w:lvlJc w:val="left"/>
      <w:pPr>
        <w:ind w:left="1636" w:hanging="360"/>
      </w:pPr>
      <w:rPr>
        <w:rFonts w:ascii="Wingdings" w:hAnsi="Wingdings" w:hint="default"/>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168">
    <w:nsid w:val="61F427EE"/>
    <w:multiLevelType w:val="hybridMultilevel"/>
    <w:tmpl w:val="0096D812"/>
    <w:lvl w:ilvl="0" w:tplc="040C000B">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69">
    <w:nsid w:val="6278711B"/>
    <w:multiLevelType w:val="hybridMultilevel"/>
    <w:tmpl w:val="E6CA568C"/>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0">
    <w:nsid w:val="62952E50"/>
    <w:multiLevelType w:val="hybridMultilevel"/>
    <w:tmpl w:val="7576B9F8"/>
    <w:lvl w:ilvl="0" w:tplc="B5A659E8">
      <w:start w:val="1"/>
      <w:numFmt w:val="decimal"/>
      <w:lvlText w:val="2.2.%1."/>
      <w:lvlJc w:val="left"/>
      <w:pPr>
        <w:ind w:left="1287" w:hanging="360"/>
      </w:pPr>
      <w:rPr>
        <w:rFonts w:hint="default"/>
        <w:b/>
        <w:bCs/>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71">
    <w:nsid w:val="62ED786D"/>
    <w:multiLevelType w:val="hybridMultilevel"/>
    <w:tmpl w:val="4AB68D0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nsid w:val="631E4033"/>
    <w:multiLevelType w:val="hybridMultilevel"/>
    <w:tmpl w:val="41A4B1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nsid w:val="634D4670"/>
    <w:multiLevelType w:val="hybridMultilevel"/>
    <w:tmpl w:val="2E3E71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nsid w:val="645905E5"/>
    <w:multiLevelType w:val="hybridMultilevel"/>
    <w:tmpl w:val="BD3E9EA8"/>
    <w:lvl w:ilvl="0" w:tplc="99FAB1AA">
      <w:start w:val="1"/>
      <w:numFmt w:val="decimal"/>
      <w:lvlText w:val="4.%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nsid w:val="64DA5822"/>
    <w:multiLevelType w:val="hybridMultilevel"/>
    <w:tmpl w:val="7078392C"/>
    <w:lvl w:ilvl="0" w:tplc="581A6B28">
      <w:start w:val="1"/>
      <w:numFmt w:val="decimal"/>
      <w:lvlText w:val="3.1.%1."/>
      <w:lvlJc w:val="left"/>
      <w:pPr>
        <w:ind w:left="720" w:hanging="360"/>
      </w:pPr>
      <w:rPr>
        <w:rFonts w:hint="default"/>
        <w:b/>
        <w:bCs/>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nsid w:val="64F83AE4"/>
    <w:multiLevelType w:val="multilevel"/>
    <w:tmpl w:val="18D049B0"/>
    <w:lvl w:ilvl="0">
      <w:start w:val="3"/>
      <w:numFmt w:val="decimal"/>
      <w:lvlText w:val="%1."/>
      <w:lvlJc w:val="left"/>
      <w:pPr>
        <w:ind w:left="644" w:hanging="360"/>
      </w:pPr>
      <w:rPr>
        <w:rFonts w:eastAsiaTheme="majorEastAsia" w:hint="default"/>
      </w:rPr>
    </w:lvl>
    <w:lvl w:ilvl="1">
      <w:start w:val="1"/>
      <w:numFmt w:val="decimal"/>
      <w:lvlText w:val="%1.%2."/>
      <w:lvlJc w:val="left"/>
      <w:pPr>
        <w:ind w:left="644" w:hanging="360"/>
      </w:pPr>
      <w:rPr>
        <w:rFonts w:eastAsiaTheme="majorEastAsia" w:hint="default"/>
      </w:rPr>
    </w:lvl>
    <w:lvl w:ilvl="2">
      <w:start w:val="1"/>
      <w:numFmt w:val="decimal"/>
      <w:lvlText w:val="%1.%2.%3."/>
      <w:lvlJc w:val="left"/>
      <w:pPr>
        <w:ind w:left="1288" w:hanging="720"/>
      </w:pPr>
      <w:rPr>
        <w:rFonts w:eastAsiaTheme="majorEastAsia" w:hint="default"/>
      </w:rPr>
    </w:lvl>
    <w:lvl w:ilvl="3">
      <w:start w:val="1"/>
      <w:numFmt w:val="decimal"/>
      <w:lvlText w:val="%1.%2.%3.%4."/>
      <w:lvlJc w:val="left"/>
      <w:pPr>
        <w:ind w:left="1572" w:hanging="720"/>
      </w:pPr>
      <w:rPr>
        <w:rFonts w:eastAsiaTheme="majorEastAsia" w:hint="default"/>
      </w:rPr>
    </w:lvl>
    <w:lvl w:ilvl="4">
      <w:start w:val="1"/>
      <w:numFmt w:val="decimal"/>
      <w:lvlText w:val="%1.%2.%3.%4.%5."/>
      <w:lvlJc w:val="left"/>
      <w:pPr>
        <w:ind w:left="2216" w:hanging="1080"/>
      </w:pPr>
      <w:rPr>
        <w:rFonts w:eastAsiaTheme="majorEastAsia" w:hint="default"/>
      </w:rPr>
    </w:lvl>
    <w:lvl w:ilvl="5">
      <w:start w:val="1"/>
      <w:numFmt w:val="decimal"/>
      <w:lvlText w:val="%1.%2.%3.%4.%5.%6."/>
      <w:lvlJc w:val="left"/>
      <w:pPr>
        <w:ind w:left="2500" w:hanging="1080"/>
      </w:pPr>
      <w:rPr>
        <w:rFonts w:eastAsiaTheme="majorEastAsia" w:hint="default"/>
      </w:rPr>
    </w:lvl>
    <w:lvl w:ilvl="6">
      <w:start w:val="1"/>
      <w:numFmt w:val="decimal"/>
      <w:lvlText w:val="%1.%2.%3.%4.%5.%6.%7."/>
      <w:lvlJc w:val="left"/>
      <w:pPr>
        <w:ind w:left="3144" w:hanging="1440"/>
      </w:pPr>
      <w:rPr>
        <w:rFonts w:eastAsiaTheme="majorEastAsia" w:hint="default"/>
      </w:rPr>
    </w:lvl>
    <w:lvl w:ilvl="7">
      <w:start w:val="1"/>
      <w:numFmt w:val="decimal"/>
      <w:lvlText w:val="%1.%2.%3.%4.%5.%6.%7.%8."/>
      <w:lvlJc w:val="left"/>
      <w:pPr>
        <w:ind w:left="3428" w:hanging="1440"/>
      </w:pPr>
      <w:rPr>
        <w:rFonts w:eastAsiaTheme="majorEastAsia" w:hint="default"/>
      </w:rPr>
    </w:lvl>
    <w:lvl w:ilvl="8">
      <w:start w:val="1"/>
      <w:numFmt w:val="decimal"/>
      <w:lvlText w:val="%1.%2.%3.%4.%5.%6.%7.%8.%9."/>
      <w:lvlJc w:val="left"/>
      <w:pPr>
        <w:ind w:left="4072" w:hanging="1800"/>
      </w:pPr>
      <w:rPr>
        <w:rFonts w:eastAsiaTheme="majorEastAsia" w:hint="default"/>
      </w:rPr>
    </w:lvl>
  </w:abstractNum>
  <w:abstractNum w:abstractNumId="177">
    <w:nsid w:val="651D5040"/>
    <w:multiLevelType w:val="hybridMultilevel"/>
    <w:tmpl w:val="CBC6F630"/>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nsid w:val="65C4684A"/>
    <w:multiLevelType w:val="multilevel"/>
    <w:tmpl w:val="52D658C6"/>
    <w:lvl w:ilvl="0">
      <w:start w:val="4"/>
      <w:numFmt w:val="decimal"/>
      <w:lvlText w:val="%1."/>
      <w:lvlJc w:val="left"/>
      <w:pPr>
        <w:ind w:left="644"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9">
    <w:nsid w:val="66051817"/>
    <w:multiLevelType w:val="hybridMultilevel"/>
    <w:tmpl w:val="E954EF2C"/>
    <w:lvl w:ilvl="0" w:tplc="291EA9EC">
      <w:start w:val="1"/>
      <w:numFmt w:val="upperLetter"/>
      <w:lvlText w:val="%1."/>
      <w:lvlJc w:val="left"/>
      <w:pPr>
        <w:ind w:left="1080" w:hanging="360"/>
      </w:pPr>
      <w:rPr>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0">
    <w:nsid w:val="661B6CD5"/>
    <w:multiLevelType w:val="hybridMultilevel"/>
    <w:tmpl w:val="D0947058"/>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1">
    <w:nsid w:val="69594304"/>
    <w:multiLevelType w:val="hybridMultilevel"/>
    <w:tmpl w:val="8500B0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nsid w:val="69843F11"/>
    <w:multiLevelType w:val="hybridMultilevel"/>
    <w:tmpl w:val="6EEE15AA"/>
    <w:lvl w:ilvl="0" w:tplc="040C000B">
      <w:start w:val="1"/>
      <w:numFmt w:val="bullet"/>
      <w:lvlText w:val=""/>
      <w:lvlJc w:val="left"/>
      <w:pPr>
        <w:ind w:left="1778" w:hanging="360"/>
      </w:pPr>
      <w:rPr>
        <w:rFonts w:ascii="Wingdings" w:hAnsi="Wingdings" w:hint="default"/>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183">
    <w:nsid w:val="69AB067B"/>
    <w:multiLevelType w:val="hybridMultilevel"/>
    <w:tmpl w:val="622ED484"/>
    <w:lvl w:ilvl="0" w:tplc="45846F6C">
      <w:start w:val="1"/>
      <w:numFmt w:val="decimal"/>
      <w:lvlText w:val="%1."/>
      <w:lvlJc w:val="left"/>
      <w:pPr>
        <w:ind w:left="720" w:hanging="36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nsid w:val="6ABB66A8"/>
    <w:multiLevelType w:val="hybridMultilevel"/>
    <w:tmpl w:val="E73CA844"/>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5">
    <w:nsid w:val="6B131523"/>
    <w:multiLevelType w:val="hybridMultilevel"/>
    <w:tmpl w:val="09288D72"/>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6">
    <w:nsid w:val="6C747B83"/>
    <w:multiLevelType w:val="hybridMultilevel"/>
    <w:tmpl w:val="5C3850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nsid w:val="6C7641D7"/>
    <w:multiLevelType w:val="multilevel"/>
    <w:tmpl w:val="5CCA3078"/>
    <w:lvl w:ilvl="0">
      <w:start w:val="5"/>
      <w:numFmt w:val="decimal"/>
      <w:lvlText w:val="%1."/>
      <w:lvlJc w:val="left"/>
      <w:pPr>
        <w:ind w:left="644" w:hanging="360"/>
      </w:pPr>
      <w:rPr>
        <w:rFonts w:hint="default"/>
        <w:b/>
        <w:bCs/>
      </w:rPr>
    </w:lvl>
    <w:lvl w:ilvl="1">
      <w:start w:val="1"/>
      <w:numFmt w:val="decimal"/>
      <w:lvlText w:val="%1.%2."/>
      <w:lvlJc w:val="left"/>
      <w:pPr>
        <w:ind w:left="644" w:hanging="36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8">
    <w:nsid w:val="6D331372"/>
    <w:multiLevelType w:val="hybridMultilevel"/>
    <w:tmpl w:val="65085E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nsid w:val="6D8563AF"/>
    <w:multiLevelType w:val="hybridMultilevel"/>
    <w:tmpl w:val="DB3E9342"/>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0">
    <w:nsid w:val="6DCA2FAC"/>
    <w:multiLevelType w:val="hybridMultilevel"/>
    <w:tmpl w:val="3D02CAEA"/>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1">
    <w:nsid w:val="6E3B2F86"/>
    <w:multiLevelType w:val="hybridMultilevel"/>
    <w:tmpl w:val="BF7A2C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nsid w:val="6E481C81"/>
    <w:multiLevelType w:val="hybridMultilevel"/>
    <w:tmpl w:val="5E2080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3">
    <w:nsid w:val="6EDF2BC6"/>
    <w:multiLevelType w:val="hybridMultilevel"/>
    <w:tmpl w:val="2A30CB08"/>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4">
    <w:nsid w:val="6EEB05F3"/>
    <w:multiLevelType w:val="hybridMultilevel"/>
    <w:tmpl w:val="68E6D77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5">
    <w:nsid w:val="6EFE6116"/>
    <w:multiLevelType w:val="hybridMultilevel"/>
    <w:tmpl w:val="F8D483CE"/>
    <w:lvl w:ilvl="0" w:tplc="F92A4C3C">
      <w:start w:val="1"/>
      <w:numFmt w:val="decimal"/>
      <w:lvlText w:val="3.%1."/>
      <w:lvlJc w:val="left"/>
      <w:pPr>
        <w:ind w:left="643" w:hanging="360"/>
      </w:pPr>
      <w:rPr>
        <w:rFonts w:hint="default"/>
        <w:b/>
        <w:bCs/>
        <w:color w:val="auto"/>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196">
    <w:nsid w:val="704272C4"/>
    <w:multiLevelType w:val="hybridMultilevel"/>
    <w:tmpl w:val="0F28BDCE"/>
    <w:lvl w:ilvl="0" w:tplc="040C000B">
      <w:start w:val="1"/>
      <w:numFmt w:val="bullet"/>
      <w:lvlText w:val=""/>
      <w:lvlJc w:val="left"/>
      <w:pPr>
        <w:ind w:left="1797" w:hanging="360"/>
      </w:pPr>
      <w:rPr>
        <w:rFonts w:ascii="Wingdings" w:hAnsi="Wingdings"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197">
    <w:nsid w:val="70BA6F2D"/>
    <w:multiLevelType w:val="hybridMultilevel"/>
    <w:tmpl w:val="B72CB8C0"/>
    <w:lvl w:ilvl="0" w:tplc="4A007940">
      <w:start w:val="4"/>
      <w:numFmt w:val="decimal"/>
      <w:lvlText w:val="4.%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nsid w:val="70C04DD9"/>
    <w:multiLevelType w:val="hybridMultilevel"/>
    <w:tmpl w:val="A132A4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nsid w:val="71134363"/>
    <w:multiLevelType w:val="hybridMultilevel"/>
    <w:tmpl w:val="C0F27FBC"/>
    <w:lvl w:ilvl="0" w:tplc="18AAB30A">
      <w:start w:val="1"/>
      <w:numFmt w:val="decimal"/>
      <w:lvlText w:val="3.1.1.%1."/>
      <w:lvlJc w:val="left"/>
      <w:pPr>
        <w:ind w:left="720" w:hanging="360"/>
      </w:pPr>
      <w:rPr>
        <w:rFonts w:hint="default"/>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nsid w:val="718E290D"/>
    <w:multiLevelType w:val="hybridMultilevel"/>
    <w:tmpl w:val="C9B4A0FA"/>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1">
    <w:nsid w:val="72283346"/>
    <w:multiLevelType w:val="hybridMultilevel"/>
    <w:tmpl w:val="7F1CFDD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2">
    <w:nsid w:val="72451559"/>
    <w:multiLevelType w:val="hybridMultilevel"/>
    <w:tmpl w:val="4F5616F8"/>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3">
    <w:nsid w:val="731F4835"/>
    <w:multiLevelType w:val="multilevel"/>
    <w:tmpl w:val="696A8B50"/>
    <w:lvl w:ilvl="0">
      <w:start w:val="1"/>
      <w:numFmt w:val="decimal"/>
      <w:lvlText w:val="%1."/>
      <w:lvlJc w:val="left"/>
      <w:pPr>
        <w:ind w:left="644" w:hanging="360"/>
      </w:pPr>
      <w:rPr>
        <w:rFonts w:hint="default"/>
      </w:rPr>
    </w:lvl>
    <w:lvl w:ilvl="1">
      <w:start w:val="1"/>
      <w:numFmt w:val="decimal"/>
      <w:lvlText w:val="2.%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4">
    <w:nsid w:val="73C10D64"/>
    <w:multiLevelType w:val="hybridMultilevel"/>
    <w:tmpl w:val="FB9410BC"/>
    <w:lvl w:ilvl="0" w:tplc="040C000D">
      <w:start w:val="1"/>
      <w:numFmt w:val="bullet"/>
      <w:lvlText w:val=""/>
      <w:lvlJc w:val="left"/>
      <w:pPr>
        <w:ind w:left="2149" w:hanging="360"/>
      </w:pPr>
      <w:rPr>
        <w:rFonts w:ascii="Wingdings" w:hAnsi="Wingdings" w:hint="default"/>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205">
    <w:nsid w:val="73E745B3"/>
    <w:multiLevelType w:val="hybridMultilevel"/>
    <w:tmpl w:val="717C26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6">
    <w:nsid w:val="744A0F0E"/>
    <w:multiLevelType w:val="hybridMultilevel"/>
    <w:tmpl w:val="9B2C86C8"/>
    <w:lvl w:ilvl="0" w:tplc="09241008">
      <w:start w:val="1"/>
      <w:numFmt w:val="decimal"/>
      <w:lvlText w:val="3.%1."/>
      <w:lvlJc w:val="left"/>
      <w:pPr>
        <w:ind w:left="1077" w:hanging="360"/>
      </w:pPr>
      <w:rPr>
        <w:rFonts w:hint="default"/>
        <w:b/>
        <w:bCs/>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07">
    <w:nsid w:val="75CA0A14"/>
    <w:multiLevelType w:val="hybridMultilevel"/>
    <w:tmpl w:val="B24C83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nsid w:val="76EE68F2"/>
    <w:multiLevelType w:val="hybridMultilevel"/>
    <w:tmpl w:val="C4C099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9">
    <w:nsid w:val="77026A1D"/>
    <w:multiLevelType w:val="hybridMultilevel"/>
    <w:tmpl w:val="358242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nsid w:val="785355EB"/>
    <w:multiLevelType w:val="hybridMultilevel"/>
    <w:tmpl w:val="A6269346"/>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1">
    <w:nsid w:val="78565F77"/>
    <w:multiLevelType w:val="multilevel"/>
    <w:tmpl w:val="911410CE"/>
    <w:lvl w:ilvl="0">
      <w:start w:val="1"/>
      <w:numFmt w:val="decimal"/>
      <w:lvlText w:val="%1."/>
      <w:lvlJc w:val="left"/>
      <w:pPr>
        <w:ind w:left="644" w:hanging="360"/>
      </w:pPr>
      <w:rPr>
        <w:rFonts w:hint="default"/>
      </w:rPr>
    </w:lvl>
    <w:lvl w:ilvl="1">
      <w:start w:val="2"/>
      <w:numFmt w:val="decimal"/>
      <w:lvlText w:val="%1.%2."/>
      <w:lvlJc w:val="left"/>
      <w:pPr>
        <w:ind w:left="644" w:hanging="360"/>
      </w:pPr>
      <w:rPr>
        <w:rFonts w:hint="default"/>
        <w:b/>
        <w:bCs/>
      </w:rPr>
    </w:lvl>
    <w:lvl w:ilvl="2">
      <w:start w:val="1"/>
      <w:numFmt w:val="bullet"/>
      <w:lvlText w:val=""/>
      <w:lvlJc w:val="left"/>
      <w:pPr>
        <w:ind w:left="1572" w:hanging="720"/>
      </w:pPr>
      <w:rPr>
        <w:rFonts w:ascii="Wingdings" w:hAnsi="Wingdings" w:hint="default"/>
        <w:b/>
        <w:bCs/>
      </w:rPr>
    </w:lvl>
    <w:lvl w:ilvl="3">
      <w:start w:val="1"/>
      <w:numFmt w:val="decimal"/>
      <w:lvlText w:val="%1.%2.%3.%4."/>
      <w:lvlJc w:val="left"/>
      <w:pPr>
        <w:ind w:left="1856"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784" w:hanging="1080"/>
      </w:pPr>
      <w:rPr>
        <w:rFonts w:hint="default"/>
      </w:rPr>
    </w:lvl>
    <w:lvl w:ilvl="6">
      <w:start w:val="1"/>
      <w:numFmt w:val="decimal"/>
      <w:lvlText w:val="%1.%2.%3.%4.%5.%6.%7."/>
      <w:lvlJc w:val="left"/>
      <w:pPr>
        <w:ind w:left="3428" w:hanging="1440"/>
      </w:pPr>
      <w:rPr>
        <w:rFonts w:hint="default"/>
      </w:rPr>
    </w:lvl>
    <w:lvl w:ilvl="7">
      <w:start w:val="1"/>
      <w:numFmt w:val="decimal"/>
      <w:lvlText w:val="%1.%2.%3.%4.%5.%6.%7.%8."/>
      <w:lvlJc w:val="left"/>
      <w:pPr>
        <w:ind w:left="3712" w:hanging="1440"/>
      </w:pPr>
      <w:rPr>
        <w:rFonts w:hint="default"/>
      </w:rPr>
    </w:lvl>
    <w:lvl w:ilvl="8">
      <w:start w:val="1"/>
      <w:numFmt w:val="decimal"/>
      <w:lvlText w:val="%1.%2.%3.%4.%5.%6.%7.%8.%9."/>
      <w:lvlJc w:val="left"/>
      <w:pPr>
        <w:ind w:left="4356" w:hanging="1800"/>
      </w:pPr>
      <w:rPr>
        <w:rFonts w:hint="default"/>
      </w:rPr>
    </w:lvl>
  </w:abstractNum>
  <w:abstractNum w:abstractNumId="212">
    <w:nsid w:val="785A623D"/>
    <w:multiLevelType w:val="hybridMultilevel"/>
    <w:tmpl w:val="A42E18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3">
    <w:nsid w:val="796F5853"/>
    <w:multiLevelType w:val="hybridMultilevel"/>
    <w:tmpl w:val="60FABF48"/>
    <w:lvl w:ilvl="0" w:tplc="040C000B">
      <w:start w:val="1"/>
      <w:numFmt w:val="bullet"/>
      <w:lvlText w:val=""/>
      <w:lvlJc w:val="left"/>
      <w:pPr>
        <w:ind w:left="1797" w:hanging="360"/>
      </w:pPr>
      <w:rPr>
        <w:rFonts w:ascii="Wingdings" w:hAnsi="Wingdings"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214">
    <w:nsid w:val="7B9859D6"/>
    <w:multiLevelType w:val="hybridMultilevel"/>
    <w:tmpl w:val="50F6560E"/>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15">
    <w:nsid w:val="7BC05986"/>
    <w:multiLevelType w:val="hybridMultilevel"/>
    <w:tmpl w:val="64987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nsid w:val="7C077E68"/>
    <w:multiLevelType w:val="hybridMultilevel"/>
    <w:tmpl w:val="66B81A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nsid w:val="7C355016"/>
    <w:multiLevelType w:val="hybridMultilevel"/>
    <w:tmpl w:val="7D28D2C8"/>
    <w:lvl w:ilvl="0" w:tplc="EDF21ADC">
      <w:start w:val="1"/>
      <w:numFmt w:val="decimal"/>
      <w:lvlText w:val="2.2.%1."/>
      <w:lvlJc w:val="left"/>
      <w:pPr>
        <w:ind w:left="1212"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8">
    <w:nsid w:val="7D8C44B0"/>
    <w:multiLevelType w:val="hybridMultilevel"/>
    <w:tmpl w:val="95D6A470"/>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9">
    <w:nsid w:val="7DED4BAE"/>
    <w:multiLevelType w:val="hybridMultilevel"/>
    <w:tmpl w:val="2F64662C"/>
    <w:lvl w:ilvl="0" w:tplc="8E8AD9B8">
      <w:start w:val="1"/>
      <w:numFmt w:val="upperLetter"/>
      <w:lvlText w:val="%1."/>
      <w:lvlJc w:val="left"/>
      <w:pPr>
        <w:ind w:left="1077"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nsid w:val="7DF870DF"/>
    <w:multiLevelType w:val="hybridMultilevel"/>
    <w:tmpl w:val="CB922D8A"/>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21">
    <w:nsid w:val="7E16706C"/>
    <w:multiLevelType w:val="multilevel"/>
    <w:tmpl w:val="D89800EE"/>
    <w:lvl w:ilvl="0">
      <w:start w:val="4"/>
      <w:numFmt w:val="decimal"/>
      <w:lvlText w:val="%1."/>
      <w:lvlJc w:val="left"/>
      <w:pPr>
        <w:ind w:left="644" w:hanging="360"/>
      </w:pPr>
      <w:rPr>
        <w:rFonts w:hint="default"/>
      </w:rPr>
    </w:lvl>
    <w:lvl w:ilvl="1">
      <w:start w:val="2"/>
      <w:numFmt w:val="decimal"/>
      <w:lvlText w:val="%1.%2."/>
      <w:lvlJc w:val="left"/>
      <w:pPr>
        <w:ind w:left="644" w:hanging="360"/>
      </w:pPr>
      <w:rPr>
        <w:rFonts w:hint="default"/>
      </w:rPr>
    </w:lvl>
    <w:lvl w:ilvl="2">
      <w:start w:val="1"/>
      <w:numFmt w:val="decimal"/>
      <w:lvlText w:val="5.%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2">
    <w:nsid w:val="7E5D7734"/>
    <w:multiLevelType w:val="multilevel"/>
    <w:tmpl w:val="B82C19F6"/>
    <w:lvl w:ilvl="0">
      <w:start w:val="3"/>
      <w:numFmt w:val="decimal"/>
      <w:lvlText w:val="%1."/>
      <w:lvlJc w:val="left"/>
      <w:pPr>
        <w:ind w:left="644" w:hanging="360"/>
      </w:pPr>
      <w:rPr>
        <w:rFonts w:hint="default"/>
        <w:b/>
        <w:sz w:val="24"/>
      </w:rPr>
    </w:lvl>
    <w:lvl w:ilvl="1">
      <w:start w:val="1"/>
      <w:numFmt w:val="decimal"/>
      <w:lvlText w:val="%1.%2."/>
      <w:lvlJc w:val="left"/>
      <w:pPr>
        <w:ind w:left="644" w:hanging="360"/>
      </w:pPr>
      <w:rPr>
        <w:rFonts w:hint="default"/>
        <w:b/>
        <w:color w:val="auto"/>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23">
    <w:nsid w:val="7EA12D8A"/>
    <w:multiLevelType w:val="hybridMultilevel"/>
    <w:tmpl w:val="5254D5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4">
    <w:nsid w:val="7F24520C"/>
    <w:multiLevelType w:val="hybridMultilevel"/>
    <w:tmpl w:val="B8B0A7B4"/>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5">
    <w:nsid w:val="7F9721AB"/>
    <w:multiLevelType w:val="hybridMultilevel"/>
    <w:tmpl w:val="C50CDE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2"/>
  </w:num>
  <w:num w:numId="2">
    <w:abstractNumId w:val="81"/>
  </w:num>
  <w:num w:numId="3">
    <w:abstractNumId w:val="141"/>
  </w:num>
  <w:num w:numId="4">
    <w:abstractNumId w:val="186"/>
  </w:num>
  <w:num w:numId="5">
    <w:abstractNumId w:val="122"/>
  </w:num>
  <w:num w:numId="6">
    <w:abstractNumId w:val="103"/>
  </w:num>
  <w:num w:numId="7">
    <w:abstractNumId w:val="131"/>
  </w:num>
  <w:num w:numId="8">
    <w:abstractNumId w:val="222"/>
  </w:num>
  <w:num w:numId="9">
    <w:abstractNumId w:val="223"/>
  </w:num>
  <w:num w:numId="10">
    <w:abstractNumId w:val="178"/>
  </w:num>
  <w:num w:numId="11">
    <w:abstractNumId w:val="187"/>
  </w:num>
  <w:num w:numId="12">
    <w:abstractNumId w:val="133"/>
  </w:num>
  <w:num w:numId="13">
    <w:abstractNumId w:val="221"/>
  </w:num>
  <w:num w:numId="14">
    <w:abstractNumId w:val="125"/>
  </w:num>
  <w:num w:numId="15">
    <w:abstractNumId w:val="58"/>
  </w:num>
  <w:num w:numId="16">
    <w:abstractNumId w:val="74"/>
  </w:num>
  <w:num w:numId="17">
    <w:abstractNumId w:val="159"/>
  </w:num>
  <w:num w:numId="18">
    <w:abstractNumId w:val="54"/>
  </w:num>
  <w:num w:numId="19">
    <w:abstractNumId w:val="68"/>
  </w:num>
  <w:num w:numId="20">
    <w:abstractNumId w:val="143"/>
  </w:num>
  <w:num w:numId="21">
    <w:abstractNumId w:val="75"/>
  </w:num>
  <w:num w:numId="22">
    <w:abstractNumId w:val="37"/>
  </w:num>
  <w:num w:numId="23">
    <w:abstractNumId w:val="144"/>
  </w:num>
  <w:num w:numId="24">
    <w:abstractNumId w:val="10"/>
  </w:num>
  <w:num w:numId="25">
    <w:abstractNumId w:val="33"/>
  </w:num>
  <w:num w:numId="26">
    <w:abstractNumId w:val="35"/>
  </w:num>
  <w:num w:numId="27">
    <w:abstractNumId w:val="128"/>
  </w:num>
  <w:num w:numId="28">
    <w:abstractNumId w:val="204"/>
  </w:num>
  <w:num w:numId="29">
    <w:abstractNumId w:val="34"/>
  </w:num>
  <w:num w:numId="30">
    <w:abstractNumId w:val="155"/>
  </w:num>
  <w:num w:numId="31">
    <w:abstractNumId w:val="137"/>
  </w:num>
  <w:num w:numId="32">
    <w:abstractNumId w:val="72"/>
  </w:num>
  <w:num w:numId="33">
    <w:abstractNumId w:val="41"/>
  </w:num>
  <w:num w:numId="34">
    <w:abstractNumId w:val="170"/>
  </w:num>
  <w:num w:numId="35">
    <w:abstractNumId w:val="152"/>
  </w:num>
  <w:num w:numId="36">
    <w:abstractNumId w:val="6"/>
  </w:num>
  <w:num w:numId="37">
    <w:abstractNumId w:val="98"/>
  </w:num>
  <w:num w:numId="38">
    <w:abstractNumId w:val="26"/>
  </w:num>
  <w:num w:numId="39">
    <w:abstractNumId w:val="66"/>
  </w:num>
  <w:num w:numId="40">
    <w:abstractNumId w:val="100"/>
  </w:num>
  <w:num w:numId="41">
    <w:abstractNumId w:val="21"/>
  </w:num>
  <w:num w:numId="42">
    <w:abstractNumId w:val="43"/>
  </w:num>
  <w:num w:numId="43">
    <w:abstractNumId w:val="87"/>
  </w:num>
  <w:num w:numId="44">
    <w:abstractNumId w:val="206"/>
  </w:num>
  <w:num w:numId="45">
    <w:abstractNumId w:val="49"/>
  </w:num>
  <w:num w:numId="46">
    <w:abstractNumId w:val="162"/>
  </w:num>
  <w:num w:numId="47">
    <w:abstractNumId w:val="99"/>
  </w:num>
  <w:num w:numId="48">
    <w:abstractNumId w:val="147"/>
  </w:num>
  <w:num w:numId="49">
    <w:abstractNumId w:val="82"/>
  </w:num>
  <w:num w:numId="50">
    <w:abstractNumId w:val="19"/>
  </w:num>
  <w:num w:numId="51">
    <w:abstractNumId w:val="214"/>
  </w:num>
  <w:num w:numId="52">
    <w:abstractNumId w:val="219"/>
  </w:num>
  <w:num w:numId="53">
    <w:abstractNumId w:val="132"/>
  </w:num>
  <w:num w:numId="54">
    <w:abstractNumId w:val="77"/>
  </w:num>
  <w:num w:numId="55">
    <w:abstractNumId w:val="213"/>
  </w:num>
  <w:num w:numId="56">
    <w:abstractNumId w:val="196"/>
  </w:num>
  <w:num w:numId="57">
    <w:abstractNumId w:val="109"/>
  </w:num>
  <w:num w:numId="58">
    <w:abstractNumId w:val="76"/>
  </w:num>
  <w:num w:numId="59">
    <w:abstractNumId w:val="2"/>
  </w:num>
  <w:num w:numId="60">
    <w:abstractNumId w:val="65"/>
  </w:num>
  <w:num w:numId="61">
    <w:abstractNumId w:val="89"/>
  </w:num>
  <w:num w:numId="62">
    <w:abstractNumId w:val="25"/>
  </w:num>
  <w:num w:numId="63">
    <w:abstractNumId w:val="95"/>
  </w:num>
  <w:num w:numId="64">
    <w:abstractNumId w:val="134"/>
  </w:num>
  <w:num w:numId="65">
    <w:abstractNumId w:val="1"/>
  </w:num>
  <w:num w:numId="66">
    <w:abstractNumId w:val="22"/>
  </w:num>
  <w:num w:numId="67">
    <w:abstractNumId w:val="114"/>
  </w:num>
  <w:num w:numId="68">
    <w:abstractNumId w:val="167"/>
  </w:num>
  <w:num w:numId="69">
    <w:abstractNumId w:val="182"/>
  </w:num>
  <w:num w:numId="70">
    <w:abstractNumId w:val="174"/>
  </w:num>
  <w:num w:numId="71">
    <w:abstractNumId w:val="30"/>
  </w:num>
  <w:num w:numId="72">
    <w:abstractNumId w:val="127"/>
  </w:num>
  <w:num w:numId="73">
    <w:abstractNumId w:val="117"/>
  </w:num>
  <w:num w:numId="74">
    <w:abstractNumId w:val="38"/>
  </w:num>
  <w:num w:numId="75">
    <w:abstractNumId w:val="67"/>
  </w:num>
  <w:num w:numId="76">
    <w:abstractNumId w:val="93"/>
  </w:num>
  <w:num w:numId="77">
    <w:abstractNumId w:val="52"/>
  </w:num>
  <w:num w:numId="78">
    <w:abstractNumId w:val="195"/>
  </w:num>
  <w:num w:numId="79">
    <w:abstractNumId w:val="105"/>
  </w:num>
  <w:num w:numId="80">
    <w:abstractNumId w:val="85"/>
  </w:num>
  <w:num w:numId="81">
    <w:abstractNumId w:val="200"/>
  </w:num>
  <w:num w:numId="82">
    <w:abstractNumId w:val="163"/>
  </w:num>
  <w:num w:numId="83">
    <w:abstractNumId w:val="29"/>
  </w:num>
  <w:num w:numId="84">
    <w:abstractNumId w:val="59"/>
  </w:num>
  <w:num w:numId="85">
    <w:abstractNumId w:val="61"/>
  </w:num>
  <w:num w:numId="86">
    <w:abstractNumId w:val="175"/>
  </w:num>
  <w:num w:numId="87">
    <w:abstractNumId w:val="199"/>
  </w:num>
  <w:num w:numId="88">
    <w:abstractNumId w:val="106"/>
  </w:num>
  <w:num w:numId="89">
    <w:abstractNumId w:val="70"/>
  </w:num>
  <w:num w:numId="90">
    <w:abstractNumId w:val="90"/>
  </w:num>
  <w:num w:numId="91">
    <w:abstractNumId w:val="69"/>
  </w:num>
  <w:num w:numId="92">
    <w:abstractNumId w:val="0"/>
  </w:num>
  <w:num w:numId="93">
    <w:abstractNumId w:val="220"/>
  </w:num>
  <w:num w:numId="94">
    <w:abstractNumId w:val="48"/>
  </w:num>
  <w:num w:numId="95">
    <w:abstractNumId w:val="44"/>
  </w:num>
  <w:num w:numId="96">
    <w:abstractNumId w:val="50"/>
  </w:num>
  <w:num w:numId="97">
    <w:abstractNumId w:val="55"/>
  </w:num>
  <w:num w:numId="98">
    <w:abstractNumId w:val="209"/>
  </w:num>
  <w:num w:numId="99">
    <w:abstractNumId w:val="96"/>
  </w:num>
  <w:num w:numId="100">
    <w:abstractNumId w:val="172"/>
  </w:num>
  <w:num w:numId="101">
    <w:abstractNumId w:val="135"/>
  </w:num>
  <w:num w:numId="102">
    <w:abstractNumId w:val="164"/>
  </w:num>
  <w:num w:numId="103">
    <w:abstractNumId w:val="121"/>
  </w:num>
  <w:num w:numId="104">
    <w:abstractNumId w:val="153"/>
  </w:num>
  <w:num w:numId="105">
    <w:abstractNumId w:val="156"/>
  </w:num>
  <w:num w:numId="106">
    <w:abstractNumId w:val="173"/>
  </w:num>
  <w:num w:numId="107">
    <w:abstractNumId w:val="140"/>
  </w:num>
  <w:num w:numId="108">
    <w:abstractNumId w:val="8"/>
  </w:num>
  <w:num w:numId="109">
    <w:abstractNumId w:val="14"/>
  </w:num>
  <w:num w:numId="110">
    <w:abstractNumId w:val="194"/>
  </w:num>
  <w:num w:numId="111">
    <w:abstractNumId w:val="9"/>
  </w:num>
  <w:num w:numId="112">
    <w:abstractNumId w:val="12"/>
  </w:num>
  <w:num w:numId="113">
    <w:abstractNumId w:val="218"/>
  </w:num>
  <w:num w:numId="114">
    <w:abstractNumId w:val="40"/>
  </w:num>
  <w:num w:numId="115">
    <w:abstractNumId w:val="148"/>
  </w:num>
  <w:num w:numId="116">
    <w:abstractNumId w:val="171"/>
  </w:num>
  <w:num w:numId="117">
    <w:abstractNumId w:val="91"/>
  </w:num>
  <w:num w:numId="118">
    <w:abstractNumId w:val="179"/>
  </w:num>
  <w:num w:numId="119">
    <w:abstractNumId w:val="28"/>
  </w:num>
  <w:num w:numId="120">
    <w:abstractNumId w:val="123"/>
  </w:num>
  <w:num w:numId="121">
    <w:abstractNumId w:val="46"/>
  </w:num>
  <w:num w:numId="122">
    <w:abstractNumId w:val="104"/>
  </w:num>
  <w:num w:numId="123">
    <w:abstractNumId w:val="71"/>
  </w:num>
  <w:num w:numId="124">
    <w:abstractNumId w:val="18"/>
  </w:num>
  <w:num w:numId="125">
    <w:abstractNumId w:val="146"/>
  </w:num>
  <w:num w:numId="126">
    <w:abstractNumId w:val="42"/>
  </w:num>
  <w:num w:numId="127">
    <w:abstractNumId w:val="129"/>
  </w:num>
  <w:num w:numId="128">
    <w:abstractNumId w:val="168"/>
  </w:num>
  <w:num w:numId="129">
    <w:abstractNumId w:val="20"/>
  </w:num>
  <w:num w:numId="130">
    <w:abstractNumId w:val="88"/>
  </w:num>
  <w:num w:numId="131">
    <w:abstractNumId w:val="149"/>
  </w:num>
  <w:num w:numId="132">
    <w:abstractNumId w:val="84"/>
  </w:num>
  <w:num w:numId="133">
    <w:abstractNumId w:val="15"/>
  </w:num>
  <w:num w:numId="134">
    <w:abstractNumId w:val="80"/>
  </w:num>
  <w:num w:numId="135">
    <w:abstractNumId w:val="198"/>
  </w:num>
  <w:num w:numId="136">
    <w:abstractNumId w:val="205"/>
  </w:num>
  <w:num w:numId="137">
    <w:abstractNumId w:val="39"/>
  </w:num>
  <w:num w:numId="138">
    <w:abstractNumId w:val="57"/>
  </w:num>
  <w:num w:numId="139">
    <w:abstractNumId w:val="150"/>
  </w:num>
  <w:num w:numId="140">
    <w:abstractNumId w:val="158"/>
  </w:num>
  <w:num w:numId="141">
    <w:abstractNumId w:val="215"/>
  </w:num>
  <w:num w:numId="142">
    <w:abstractNumId w:val="4"/>
  </w:num>
  <w:num w:numId="143">
    <w:abstractNumId w:val="191"/>
  </w:num>
  <w:num w:numId="144">
    <w:abstractNumId w:val="31"/>
  </w:num>
  <w:num w:numId="145">
    <w:abstractNumId w:val="169"/>
  </w:num>
  <w:num w:numId="146">
    <w:abstractNumId w:val="17"/>
  </w:num>
  <w:num w:numId="147">
    <w:abstractNumId w:val="177"/>
  </w:num>
  <w:num w:numId="148">
    <w:abstractNumId w:val="110"/>
  </w:num>
  <w:num w:numId="149">
    <w:abstractNumId w:val="62"/>
  </w:num>
  <w:num w:numId="150">
    <w:abstractNumId w:val="23"/>
  </w:num>
  <w:num w:numId="151">
    <w:abstractNumId w:val="184"/>
  </w:num>
  <w:num w:numId="152">
    <w:abstractNumId w:val="185"/>
  </w:num>
  <w:num w:numId="153">
    <w:abstractNumId w:val="120"/>
  </w:num>
  <w:num w:numId="154">
    <w:abstractNumId w:val="201"/>
  </w:num>
  <w:num w:numId="155">
    <w:abstractNumId w:val="13"/>
  </w:num>
  <w:num w:numId="156">
    <w:abstractNumId w:val="16"/>
  </w:num>
  <w:num w:numId="157">
    <w:abstractNumId w:val="56"/>
  </w:num>
  <w:num w:numId="158">
    <w:abstractNumId w:val="180"/>
  </w:num>
  <w:num w:numId="159">
    <w:abstractNumId w:val="136"/>
  </w:num>
  <w:num w:numId="160">
    <w:abstractNumId w:val="189"/>
  </w:num>
  <w:num w:numId="161">
    <w:abstractNumId w:val="190"/>
  </w:num>
  <w:num w:numId="162">
    <w:abstractNumId w:val="210"/>
  </w:num>
  <w:num w:numId="163">
    <w:abstractNumId w:val="78"/>
  </w:num>
  <w:num w:numId="164">
    <w:abstractNumId w:val="24"/>
  </w:num>
  <w:num w:numId="165">
    <w:abstractNumId w:val="176"/>
  </w:num>
  <w:num w:numId="166">
    <w:abstractNumId w:val="151"/>
  </w:num>
  <w:num w:numId="167">
    <w:abstractNumId w:val="108"/>
  </w:num>
  <w:num w:numId="168">
    <w:abstractNumId w:val="94"/>
  </w:num>
  <w:num w:numId="169">
    <w:abstractNumId w:val="5"/>
  </w:num>
  <w:num w:numId="170">
    <w:abstractNumId w:val="130"/>
  </w:num>
  <w:num w:numId="171">
    <w:abstractNumId w:val="203"/>
  </w:num>
  <w:num w:numId="172">
    <w:abstractNumId w:val="145"/>
  </w:num>
  <w:num w:numId="173">
    <w:abstractNumId w:val="208"/>
  </w:num>
  <w:num w:numId="174">
    <w:abstractNumId w:val="115"/>
  </w:num>
  <w:num w:numId="175">
    <w:abstractNumId w:val="212"/>
  </w:num>
  <w:num w:numId="176">
    <w:abstractNumId w:val="124"/>
  </w:num>
  <w:num w:numId="177">
    <w:abstractNumId w:val="64"/>
  </w:num>
  <w:num w:numId="178">
    <w:abstractNumId w:val="211"/>
  </w:num>
  <w:num w:numId="179">
    <w:abstractNumId w:val="139"/>
  </w:num>
  <w:num w:numId="180">
    <w:abstractNumId w:val="86"/>
  </w:num>
  <w:num w:numId="181">
    <w:abstractNumId w:val="224"/>
  </w:num>
  <w:num w:numId="182">
    <w:abstractNumId w:val="193"/>
  </w:num>
  <w:num w:numId="183">
    <w:abstractNumId w:val="47"/>
  </w:num>
  <w:num w:numId="184">
    <w:abstractNumId w:val="51"/>
  </w:num>
  <w:num w:numId="185">
    <w:abstractNumId w:val="92"/>
  </w:num>
  <w:num w:numId="186">
    <w:abstractNumId w:val="60"/>
  </w:num>
  <w:num w:numId="187">
    <w:abstractNumId w:val="197"/>
  </w:num>
  <w:num w:numId="188">
    <w:abstractNumId w:val="45"/>
  </w:num>
  <w:num w:numId="189">
    <w:abstractNumId w:val="202"/>
  </w:num>
  <w:num w:numId="190">
    <w:abstractNumId w:val="161"/>
  </w:num>
  <w:num w:numId="191">
    <w:abstractNumId w:val="217"/>
  </w:num>
  <w:num w:numId="192">
    <w:abstractNumId w:val="138"/>
  </w:num>
  <w:num w:numId="193">
    <w:abstractNumId w:val="165"/>
  </w:num>
  <w:num w:numId="194">
    <w:abstractNumId w:val="73"/>
  </w:num>
  <w:num w:numId="195">
    <w:abstractNumId w:val="27"/>
  </w:num>
  <w:num w:numId="196">
    <w:abstractNumId w:val="188"/>
  </w:num>
  <w:num w:numId="197">
    <w:abstractNumId w:val="160"/>
  </w:num>
  <w:num w:numId="198">
    <w:abstractNumId w:val="118"/>
  </w:num>
  <w:num w:numId="199">
    <w:abstractNumId w:val="111"/>
  </w:num>
  <w:num w:numId="200">
    <w:abstractNumId w:val="36"/>
  </w:num>
  <w:num w:numId="201">
    <w:abstractNumId w:val="53"/>
  </w:num>
  <w:num w:numId="202">
    <w:abstractNumId w:val="166"/>
  </w:num>
  <w:num w:numId="203">
    <w:abstractNumId w:val="97"/>
  </w:num>
  <w:num w:numId="204">
    <w:abstractNumId w:val="11"/>
  </w:num>
  <w:num w:numId="205">
    <w:abstractNumId w:val="63"/>
  </w:num>
  <w:num w:numId="206">
    <w:abstractNumId w:val="126"/>
  </w:num>
  <w:num w:numId="207">
    <w:abstractNumId w:val="107"/>
  </w:num>
  <w:num w:numId="208">
    <w:abstractNumId w:val="157"/>
  </w:num>
  <w:num w:numId="209">
    <w:abstractNumId w:val="7"/>
  </w:num>
  <w:num w:numId="210">
    <w:abstractNumId w:val="183"/>
  </w:num>
  <w:num w:numId="211">
    <w:abstractNumId w:val="181"/>
  </w:num>
  <w:num w:numId="212">
    <w:abstractNumId w:val="207"/>
  </w:num>
  <w:num w:numId="213">
    <w:abstractNumId w:val="142"/>
  </w:num>
  <w:num w:numId="214">
    <w:abstractNumId w:val="112"/>
  </w:num>
  <w:num w:numId="215">
    <w:abstractNumId w:val="216"/>
  </w:num>
  <w:num w:numId="216">
    <w:abstractNumId w:val="225"/>
  </w:num>
  <w:num w:numId="217">
    <w:abstractNumId w:val="192"/>
  </w:num>
  <w:num w:numId="218">
    <w:abstractNumId w:val="154"/>
  </w:num>
  <w:num w:numId="219">
    <w:abstractNumId w:val="102"/>
  </w:num>
  <w:num w:numId="220">
    <w:abstractNumId w:val="101"/>
  </w:num>
  <w:num w:numId="221">
    <w:abstractNumId w:val="83"/>
  </w:num>
  <w:num w:numId="222">
    <w:abstractNumId w:val="116"/>
  </w:num>
  <w:num w:numId="223">
    <w:abstractNumId w:val="113"/>
  </w:num>
  <w:num w:numId="224">
    <w:abstractNumId w:val="113"/>
    <w:lvlOverride w:ilvl="0">
      <w:startOverride w:val="1"/>
    </w:lvlOverride>
  </w:num>
  <w:num w:numId="225">
    <w:abstractNumId w:val="113"/>
    <w:lvlOverride w:ilvl="0">
      <w:startOverride w:val="1"/>
    </w:lvlOverride>
  </w:num>
  <w:num w:numId="226">
    <w:abstractNumId w:val="113"/>
    <w:lvlOverride w:ilvl="0">
      <w:startOverride w:val="1"/>
    </w:lvlOverride>
  </w:num>
  <w:num w:numId="227">
    <w:abstractNumId w:val="113"/>
    <w:lvlOverride w:ilvl="0">
      <w:startOverride w:val="1"/>
    </w:lvlOverride>
  </w:num>
  <w:num w:numId="228">
    <w:abstractNumId w:val="113"/>
    <w:lvlOverride w:ilvl="0">
      <w:startOverride w:val="1"/>
    </w:lvlOverride>
  </w:num>
  <w:num w:numId="229">
    <w:abstractNumId w:val="113"/>
    <w:lvlOverride w:ilvl="0">
      <w:startOverride w:val="1"/>
    </w:lvlOverride>
  </w:num>
  <w:num w:numId="230">
    <w:abstractNumId w:val="3"/>
  </w:num>
  <w:num w:numId="231">
    <w:abstractNumId w:val="79"/>
  </w:num>
  <w:num w:numId="232">
    <w:abstractNumId w:val="113"/>
    <w:lvlOverride w:ilvl="0">
      <w:startOverride w:val="4"/>
    </w:lvlOverride>
  </w:num>
  <w:num w:numId="233">
    <w:abstractNumId w:val="113"/>
    <w:lvlOverride w:ilvl="0">
      <w:startOverride w:val="3"/>
    </w:lvlOverride>
  </w:num>
  <w:num w:numId="234">
    <w:abstractNumId w:val="113"/>
    <w:lvlOverride w:ilvl="0">
      <w:startOverride w:val="3"/>
    </w:lvlOverride>
  </w:num>
  <w:num w:numId="235">
    <w:abstractNumId w:val="113"/>
    <w:lvlOverride w:ilvl="0">
      <w:startOverride w:val="2"/>
    </w:lvlOverride>
  </w:num>
  <w:num w:numId="236">
    <w:abstractNumId w:val="113"/>
    <w:lvlOverride w:ilvl="0">
      <w:startOverride w:val="1"/>
    </w:lvlOverride>
  </w:num>
  <w:num w:numId="237">
    <w:abstractNumId w:val="113"/>
    <w:lvlOverride w:ilvl="0">
      <w:startOverride w:val="4"/>
    </w:lvlOverride>
  </w:num>
  <w:num w:numId="238">
    <w:abstractNumId w:val="113"/>
    <w:lvlOverride w:ilvl="0">
      <w:startOverride w:val="3"/>
    </w:lvlOverride>
  </w:num>
  <w:num w:numId="239">
    <w:abstractNumId w:val="113"/>
    <w:lvlOverride w:ilvl="0">
      <w:startOverride w:val="2"/>
    </w:lvlOverride>
  </w:num>
  <w:num w:numId="240">
    <w:abstractNumId w:val="119"/>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13"/>
    <w:rsid w:val="00000F4A"/>
    <w:rsid w:val="000036D1"/>
    <w:rsid w:val="00007B44"/>
    <w:rsid w:val="000216D8"/>
    <w:rsid w:val="00026E06"/>
    <w:rsid w:val="00037523"/>
    <w:rsid w:val="00050B19"/>
    <w:rsid w:val="00054BD8"/>
    <w:rsid w:val="00056C6A"/>
    <w:rsid w:val="000571DE"/>
    <w:rsid w:val="00060E09"/>
    <w:rsid w:val="00063A94"/>
    <w:rsid w:val="000665C8"/>
    <w:rsid w:val="00072121"/>
    <w:rsid w:val="00086FF4"/>
    <w:rsid w:val="00091F6F"/>
    <w:rsid w:val="000923A9"/>
    <w:rsid w:val="00093EE6"/>
    <w:rsid w:val="00095F7C"/>
    <w:rsid w:val="000A5484"/>
    <w:rsid w:val="000A6052"/>
    <w:rsid w:val="000A7AA2"/>
    <w:rsid w:val="000B157B"/>
    <w:rsid w:val="000B51BB"/>
    <w:rsid w:val="000B61F4"/>
    <w:rsid w:val="000C1493"/>
    <w:rsid w:val="000D1BF7"/>
    <w:rsid w:val="000E0CA2"/>
    <w:rsid w:val="000F52AF"/>
    <w:rsid w:val="00105D52"/>
    <w:rsid w:val="00106A37"/>
    <w:rsid w:val="00107CF2"/>
    <w:rsid w:val="0011010C"/>
    <w:rsid w:val="001107CC"/>
    <w:rsid w:val="0012023A"/>
    <w:rsid w:val="00126A80"/>
    <w:rsid w:val="00130D09"/>
    <w:rsid w:val="00131853"/>
    <w:rsid w:val="00132ABE"/>
    <w:rsid w:val="001350FD"/>
    <w:rsid w:val="001360CE"/>
    <w:rsid w:val="00137318"/>
    <w:rsid w:val="00150C2F"/>
    <w:rsid w:val="001649D5"/>
    <w:rsid w:val="001729ED"/>
    <w:rsid w:val="00172C7A"/>
    <w:rsid w:val="001749C5"/>
    <w:rsid w:val="001776FD"/>
    <w:rsid w:val="00193ABF"/>
    <w:rsid w:val="00194123"/>
    <w:rsid w:val="00196BD2"/>
    <w:rsid w:val="00197D69"/>
    <w:rsid w:val="001A28ED"/>
    <w:rsid w:val="001A4874"/>
    <w:rsid w:val="001B1E6C"/>
    <w:rsid w:val="001B6B7A"/>
    <w:rsid w:val="001C2116"/>
    <w:rsid w:val="001C3CE2"/>
    <w:rsid w:val="001C59F0"/>
    <w:rsid w:val="001D3B7D"/>
    <w:rsid w:val="001F014D"/>
    <w:rsid w:val="001F0F2A"/>
    <w:rsid w:val="001F7845"/>
    <w:rsid w:val="0020071A"/>
    <w:rsid w:val="002127AA"/>
    <w:rsid w:val="0021374A"/>
    <w:rsid w:val="00213C8C"/>
    <w:rsid w:val="00217DF0"/>
    <w:rsid w:val="0022139A"/>
    <w:rsid w:val="00222658"/>
    <w:rsid w:val="002242BD"/>
    <w:rsid w:val="00233444"/>
    <w:rsid w:val="00234834"/>
    <w:rsid w:val="00246D53"/>
    <w:rsid w:val="002524F1"/>
    <w:rsid w:val="00262B5D"/>
    <w:rsid w:val="00264E9A"/>
    <w:rsid w:val="00270C8E"/>
    <w:rsid w:val="002720C6"/>
    <w:rsid w:val="00273C7C"/>
    <w:rsid w:val="0027465A"/>
    <w:rsid w:val="00283ED2"/>
    <w:rsid w:val="00284AD5"/>
    <w:rsid w:val="0028673B"/>
    <w:rsid w:val="002868F2"/>
    <w:rsid w:val="00290AE9"/>
    <w:rsid w:val="002B0772"/>
    <w:rsid w:val="002B603A"/>
    <w:rsid w:val="002C6B42"/>
    <w:rsid w:val="002C7D21"/>
    <w:rsid w:val="002D02CC"/>
    <w:rsid w:val="002D06BB"/>
    <w:rsid w:val="002D22AF"/>
    <w:rsid w:val="002D49BD"/>
    <w:rsid w:val="002E37E9"/>
    <w:rsid w:val="003173F3"/>
    <w:rsid w:val="00322B70"/>
    <w:rsid w:val="00333999"/>
    <w:rsid w:val="003343E7"/>
    <w:rsid w:val="00343849"/>
    <w:rsid w:val="00343E64"/>
    <w:rsid w:val="003506FA"/>
    <w:rsid w:val="00351FDE"/>
    <w:rsid w:val="0035255D"/>
    <w:rsid w:val="00356CCD"/>
    <w:rsid w:val="00357D1C"/>
    <w:rsid w:val="00361878"/>
    <w:rsid w:val="00367A4F"/>
    <w:rsid w:val="0037272D"/>
    <w:rsid w:val="00381C62"/>
    <w:rsid w:val="0038322E"/>
    <w:rsid w:val="00385527"/>
    <w:rsid w:val="0038654C"/>
    <w:rsid w:val="00387463"/>
    <w:rsid w:val="00390655"/>
    <w:rsid w:val="00395F79"/>
    <w:rsid w:val="0039676D"/>
    <w:rsid w:val="00396EA8"/>
    <w:rsid w:val="003B06D6"/>
    <w:rsid w:val="003B6F7B"/>
    <w:rsid w:val="003C7283"/>
    <w:rsid w:val="003D0E92"/>
    <w:rsid w:val="003D0EDE"/>
    <w:rsid w:val="003D19C0"/>
    <w:rsid w:val="003D28B1"/>
    <w:rsid w:val="003D51AD"/>
    <w:rsid w:val="003D78A2"/>
    <w:rsid w:val="003D79FD"/>
    <w:rsid w:val="003E31E5"/>
    <w:rsid w:val="003E4207"/>
    <w:rsid w:val="003F483B"/>
    <w:rsid w:val="0040382A"/>
    <w:rsid w:val="00410159"/>
    <w:rsid w:val="00426E4E"/>
    <w:rsid w:val="00437ADB"/>
    <w:rsid w:val="004400DF"/>
    <w:rsid w:val="004409B1"/>
    <w:rsid w:val="00442659"/>
    <w:rsid w:val="00452A64"/>
    <w:rsid w:val="00454668"/>
    <w:rsid w:val="00456526"/>
    <w:rsid w:val="00470C13"/>
    <w:rsid w:val="004738CD"/>
    <w:rsid w:val="0047702D"/>
    <w:rsid w:val="0048065A"/>
    <w:rsid w:val="00481586"/>
    <w:rsid w:val="00482149"/>
    <w:rsid w:val="00491F4A"/>
    <w:rsid w:val="00493DAD"/>
    <w:rsid w:val="0049793D"/>
    <w:rsid w:val="004B0561"/>
    <w:rsid w:val="004B4489"/>
    <w:rsid w:val="004D0DDB"/>
    <w:rsid w:val="004D37F0"/>
    <w:rsid w:val="004D70C7"/>
    <w:rsid w:val="004E0735"/>
    <w:rsid w:val="004E7D6C"/>
    <w:rsid w:val="004F1E71"/>
    <w:rsid w:val="005047BE"/>
    <w:rsid w:val="00506764"/>
    <w:rsid w:val="0051550F"/>
    <w:rsid w:val="0052058B"/>
    <w:rsid w:val="00521AEB"/>
    <w:rsid w:val="005229B5"/>
    <w:rsid w:val="00523C93"/>
    <w:rsid w:val="00525417"/>
    <w:rsid w:val="00531CA5"/>
    <w:rsid w:val="00540741"/>
    <w:rsid w:val="00557590"/>
    <w:rsid w:val="005578D1"/>
    <w:rsid w:val="005613CE"/>
    <w:rsid w:val="00562C16"/>
    <w:rsid w:val="005631EA"/>
    <w:rsid w:val="0056382E"/>
    <w:rsid w:val="00570096"/>
    <w:rsid w:val="00571AAB"/>
    <w:rsid w:val="00572BDE"/>
    <w:rsid w:val="0057408B"/>
    <w:rsid w:val="00577546"/>
    <w:rsid w:val="00582A99"/>
    <w:rsid w:val="00582E7B"/>
    <w:rsid w:val="00582F6F"/>
    <w:rsid w:val="005966CE"/>
    <w:rsid w:val="005969EE"/>
    <w:rsid w:val="005A6182"/>
    <w:rsid w:val="005B013F"/>
    <w:rsid w:val="005D7A03"/>
    <w:rsid w:val="005E0731"/>
    <w:rsid w:val="005E409F"/>
    <w:rsid w:val="005E47F2"/>
    <w:rsid w:val="005E49E1"/>
    <w:rsid w:val="005E6370"/>
    <w:rsid w:val="005F12FB"/>
    <w:rsid w:val="005F1CF8"/>
    <w:rsid w:val="005F4CC5"/>
    <w:rsid w:val="00602C5E"/>
    <w:rsid w:val="00604D9F"/>
    <w:rsid w:val="00605782"/>
    <w:rsid w:val="00605D8E"/>
    <w:rsid w:val="00607B26"/>
    <w:rsid w:val="00611058"/>
    <w:rsid w:val="00624198"/>
    <w:rsid w:val="006275A4"/>
    <w:rsid w:val="00632D42"/>
    <w:rsid w:val="00633938"/>
    <w:rsid w:val="00637854"/>
    <w:rsid w:val="00637903"/>
    <w:rsid w:val="00650C74"/>
    <w:rsid w:val="00651173"/>
    <w:rsid w:val="0065358E"/>
    <w:rsid w:val="00655C1C"/>
    <w:rsid w:val="0065687A"/>
    <w:rsid w:val="00657716"/>
    <w:rsid w:val="00663154"/>
    <w:rsid w:val="006711BB"/>
    <w:rsid w:val="006740A8"/>
    <w:rsid w:val="006821A4"/>
    <w:rsid w:val="00684EA9"/>
    <w:rsid w:val="00685E4A"/>
    <w:rsid w:val="006924CB"/>
    <w:rsid w:val="00692E5A"/>
    <w:rsid w:val="0069547C"/>
    <w:rsid w:val="00695A21"/>
    <w:rsid w:val="006A05AE"/>
    <w:rsid w:val="006A3B97"/>
    <w:rsid w:val="006A5311"/>
    <w:rsid w:val="006B0567"/>
    <w:rsid w:val="006C0D39"/>
    <w:rsid w:val="006C2407"/>
    <w:rsid w:val="006C5D80"/>
    <w:rsid w:val="006D00B3"/>
    <w:rsid w:val="006D5086"/>
    <w:rsid w:val="006D745A"/>
    <w:rsid w:val="006E35B0"/>
    <w:rsid w:val="006E4C39"/>
    <w:rsid w:val="006E4F3F"/>
    <w:rsid w:val="006F5AC7"/>
    <w:rsid w:val="006F6835"/>
    <w:rsid w:val="0070207C"/>
    <w:rsid w:val="0071257C"/>
    <w:rsid w:val="007131E3"/>
    <w:rsid w:val="007146B0"/>
    <w:rsid w:val="0072035F"/>
    <w:rsid w:val="00722030"/>
    <w:rsid w:val="00722BFE"/>
    <w:rsid w:val="00730341"/>
    <w:rsid w:val="00731228"/>
    <w:rsid w:val="007323A1"/>
    <w:rsid w:val="007340BA"/>
    <w:rsid w:val="00736997"/>
    <w:rsid w:val="007379C0"/>
    <w:rsid w:val="0074242B"/>
    <w:rsid w:val="0074398A"/>
    <w:rsid w:val="007530A6"/>
    <w:rsid w:val="00753698"/>
    <w:rsid w:val="00754299"/>
    <w:rsid w:val="00755160"/>
    <w:rsid w:val="00756C7D"/>
    <w:rsid w:val="007619C4"/>
    <w:rsid w:val="00771C26"/>
    <w:rsid w:val="00775D19"/>
    <w:rsid w:val="0078085D"/>
    <w:rsid w:val="007A3747"/>
    <w:rsid w:val="007A4179"/>
    <w:rsid w:val="007B28F5"/>
    <w:rsid w:val="007B4397"/>
    <w:rsid w:val="007B7471"/>
    <w:rsid w:val="007C2722"/>
    <w:rsid w:val="007C36B4"/>
    <w:rsid w:val="007C4482"/>
    <w:rsid w:val="007C4605"/>
    <w:rsid w:val="007C5652"/>
    <w:rsid w:val="007C5DB8"/>
    <w:rsid w:val="007D1C8C"/>
    <w:rsid w:val="007D4BAC"/>
    <w:rsid w:val="007D56A9"/>
    <w:rsid w:val="007D5A4C"/>
    <w:rsid w:val="007D713D"/>
    <w:rsid w:val="007E1FFF"/>
    <w:rsid w:val="007E367D"/>
    <w:rsid w:val="007E3B0D"/>
    <w:rsid w:val="007E5F60"/>
    <w:rsid w:val="007F0056"/>
    <w:rsid w:val="007F14EB"/>
    <w:rsid w:val="007F3ED4"/>
    <w:rsid w:val="007F554F"/>
    <w:rsid w:val="008018AB"/>
    <w:rsid w:val="00802195"/>
    <w:rsid w:val="00804C85"/>
    <w:rsid w:val="0080567B"/>
    <w:rsid w:val="0080623C"/>
    <w:rsid w:val="008071E4"/>
    <w:rsid w:val="00812122"/>
    <w:rsid w:val="0082029F"/>
    <w:rsid w:val="0082042E"/>
    <w:rsid w:val="008212E4"/>
    <w:rsid w:val="0082159F"/>
    <w:rsid w:val="008215B6"/>
    <w:rsid w:val="00823FF1"/>
    <w:rsid w:val="00834574"/>
    <w:rsid w:val="00842A2D"/>
    <w:rsid w:val="00851595"/>
    <w:rsid w:val="00851BF3"/>
    <w:rsid w:val="00860939"/>
    <w:rsid w:val="00863666"/>
    <w:rsid w:val="00863C3A"/>
    <w:rsid w:val="00870E41"/>
    <w:rsid w:val="00873B48"/>
    <w:rsid w:val="008843FE"/>
    <w:rsid w:val="008976F6"/>
    <w:rsid w:val="008A2745"/>
    <w:rsid w:val="008A4E48"/>
    <w:rsid w:val="008B2068"/>
    <w:rsid w:val="008B423C"/>
    <w:rsid w:val="008B71C4"/>
    <w:rsid w:val="008B72D1"/>
    <w:rsid w:val="008C548C"/>
    <w:rsid w:val="008C7A6D"/>
    <w:rsid w:val="008D45A5"/>
    <w:rsid w:val="008D4E63"/>
    <w:rsid w:val="008D4E64"/>
    <w:rsid w:val="008E5686"/>
    <w:rsid w:val="008E5C6F"/>
    <w:rsid w:val="008F0691"/>
    <w:rsid w:val="00904E48"/>
    <w:rsid w:val="0090590F"/>
    <w:rsid w:val="00905FC8"/>
    <w:rsid w:val="009113FD"/>
    <w:rsid w:val="00912C49"/>
    <w:rsid w:val="00920006"/>
    <w:rsid w:val="009200E8"/>
    <w:rsid w:val="0093289D"/>
    <w:rsid w:val="009335D6"/>
    <w:rsid w:val="009375C6"/>
    <w:rsid w:val="00951BD4"/>
    <w:rsid w:val="0095458B"/>
    <w:rsid w:val="00954716"/>
    <w:rsid w:val="009665CE"/>
    <w:rsid w:val="00970A6F"/>
    <w:rsid w:val="00974F52"/>
    <w:rsid w:val="009771CE"/>
    <w:rsid w:val="00980D7A"/>
    <w:rsid w:val="00983713"/>
    <w:rsid w:val="009877B7"/>
    <w:rsid w:val="0099715C"/>
    <w:rsid w:val="009A559A"/>
    <w:rsid w:val="009C0735"/>
    <w:rsid w:val="009C6CD4"/>
    <w:rsid w:val="009D393F"/>
    <w:rsid w:val="009D45CE"/>
    <w:rsid w:val="009D6932"/>
    <w:rsid w:val="009F5C3A"/>
    <w:rsid w:val="009F60D1"/>
    <w:rsid w:val="00A01D7D"/>
    <w:rsid w:val="00A04154"/>
    <w:rsid w:val="00A05DFC"/>
    <w:rsid w:val="00A0711D"/>
    <w:rsid w:val="00A137B1"/>
    <w:rsid w:val="00A21F5A"/>
    <w:rsid w:val="00A36231"/>
    <w:rsid w:val="00A54331"/>
    <w:rsid w:val="00A54FE3"/>
    <w:rsid w:val="00A5652C"/>
    <w:rsid w:val="00A56F34"/>
    <w:rsid w:val="00A60A9C"/>
    <w:rsid w:val="00A7158D"/>
    <w:rsid w:val="00A8481E"/>
    <w:rsid w:val="00A85CF1"/>
    <w:rsid w:val="00A9066F"/>
    <w:rsid w:val="00AB5B0B"/>
    <w:rsid w:val="00AB640B"/>
    <w:rsid w:val="00AC40D1"/>
    <w:rsid w:val="00AD137F"/>
    <w:rsid w:val="00AE33E1"/>
    <w:rsid w:val="00AE6E0D"/>
    <w:rsid w:val="00AF522A"/>
    <w:rsid w:val="00B0230F"/>
    <w:rsid w:val="00B0321D"/>
    <w:rsid w:val="00B04325"/>
    <w:rsid w:val="00B05307"/>
    <w:rsid w:val="00B05B9C"/>
    <w:rsid w:val="00B1283A"/>
    <w:rsid w:val="00B164D2"/>
    <w:rsid w:val="00B20FF3"/>
    <w:rsid w:val="00B27A89"/>
    <w:rsid w:val="00B34503"/>
    <w:rsid w:val="00B360F8"/>
    <w:rsid w:val="00B37DD2"/>
    <w:rsid w:val="00B44E67"/>
    <w:rsid w:val="00B457C5"/>
    <w:rsid w:val="00B541F4"/>
    <w:rsid w:val="00B56B8F"/>
    <w:rsid w:val="00B607C0"/>
    <w:rsid w:val="00B62BB9"/>
    <w:rsid w:val="00B6647E"/>
    <w:rsid w:val="00B67312"/>
    <w:rsid w:val="00B679BA"/>
    <w:rsid w:val="00B72921"/>
    <w:rsid w:val="00B76EB9"/>
    <w:rsid w:val="00B91A76"/>
    <w:rsid w:val="00B94316"/>
    <w:rsid w:val="00B95692"/>
    <w:rsid w:val="00BB3050"/>
    <w:rsid w:val="00BB744C"/>
    <w:rsid w:val="00BC1AEC"/>
    <w:rsid w:val="00BC60B2"/>
    <w:rsid w:val="00BD0F3A"/>
    <w:rsid w:val="00BD17F0"/>
    <w:rsid w:val="00BD2A61"/>
    <w:rsid w:val="00BD3A95"/>
    <w:rsid w:val="00BD4F12"/>
    <w:rsid w:val="00BD6820"/>
    <w:rsid w:val="00BE1625"/>
    <w:rsid w:val="00C13914"/>
    <w:rsid w:val="00C13D85"/>
    <w:rsid w:val="00C15072"/>
    <w:rsid w:val="00C16C97"/>
    <w:rsid w:val="00C26383"/>
    <w:rsid w:val="00C26EA4"/>
    <w:rsid w:val="00C27908"/>
    <w:rsid w:val="00C304A3"/>
    <w:rsid w:val="00C30694"/>
    <w:rsid w:val="00C33551"/>
    <w:rsid w:val="00C41D79"/>
    <w:rsid w:val="00C457BE"/>
    <w:rsid w:val="00C53AA1"/>
    <w:rsid w:val="00C5729C"/>
    <w:rsid w:val="00C636B7"/>
    <w:rsid w:val="00C66BD9"/>
    <w:rsid w:val="00C71AB5"/>
    <w:rsid w:val="00C72FD0"/>
    <w:rsid w:val="00C74DF5"/>
    <w:rsid w:val="00C827F5"/>
    <w:rsid w:val="00C840A2"/>
    <w:rsid w:val="00C8480E"/>
    <w:rsid w:val="00C87007"/>
    <w:rsid w:val="00C9001C"/>
    <w:rsid w:val="00C91C09"/>
    <w:rsid w:val="00C91CDC"/>
    <w:rsid w:val="00C9312A"/>
    <w:rsid w:val="00C93A6B"/>
    <w:rsid w:val="00C946D9"/>
    <w:rsid w:val="00CA4AF5"/>
    <w:rsid w:val="00CB40A3"/>
    <w:rsid w:val="00CB5F4E"/>
    <w:rsid w:val="00CB7BF5"/>
    <w:rsid w:val="00CC69F0"/>
    <w:rsid w:val="00CD5D8F"/>
    <w:rsid w:val="00CD69CA"/>
    <w:rsid w:val="00CE3FEE"/>
    <w:rsid w:val="00CF5837"/>
    <w:rsid w:val="00D00AB2"/>
    <w:rsid w:val="00D04D5A"/>
    <w:rsid w:val="00D1133B"/>
    <w:rsid w:val="00D12D48"/>
    <w:rsid w:val="00D21687"/>
    <w:rsid w:val="00D228C2"/>
    <w:rsid w:val="00D23BF3"/>
    <w:rsid w:val="00D24F5E"/>
    <w:rsid w:val="00D30493"/>
    <w:rsid w:val="00D31055"/>
    <w:rsid w:val="00D31B22"/>
    <w:rsid w:val="00D376D9"/>
    <w:rsid w:val="00D40B53"/>
    <w:rsid w:val="00D455E1"/>
    <w:rsid w:val="00D528F0"/>
    <w:rsid w:val="00D52E50"/>
    <w:rsid w:val="00D546EB"/>
    <w:rsid w:val="00D564FC"/>
    <w:rsid w:val="00D57746"/>
    <w:rsid w:val="00D61875"/>
    <w:rsid w:val="00D62FF7"/>
    <w:rsid w:val="00D70531"/>
    <w:rsid w:val="00D75E60"/>
    <w:rsid w:val="00D76DD4"/>
    <w:rsid w:val="00D77DE1"/>
    <w:rsid w:val="00D91F6C"/>
    <w:rsid w:val="00D93C7B"/>
    <w:rsid w:val="00DB1B6B"/>
    <w:rsid w:val="00DB697D"/>
    <w:rsid w:val="00DC547D"/>
    <w:rsid w:val="00DC71D6"/>
    <w:rsid w:val="00DD0DE2"/>
    <w:rsid w:val="00DD6629"/>
    <w:rsid w:val="00DE0785"/>
    <w:rsid w:val="00DE3FF5"/>
    <w:rsid w:val="00DF292F"/>
    <w:rsid w:val="00E00801"/>
    <w:rsid w:val="00E015BF"/>
    <w:rsid w:val="00E16E75"/>
    <w:rsid w:val="00E2052F"/>
    <w:rsid w:val="00E21B5F"/>
    <w:rsid w:val="00E32E3D"/>
    <w:rsid w:val="00E343F0"/>
    <w:rsid w:val="00E36FC8"/>
    <w:rsid w:val="00E37E04"/>
    <w:rsid w:val="00E53234"/>
    <w:rsid w:val="00E55C23"/>
    <w:rsid w:val="00E707AF"/>
    <w:rsid w:val="00E74A88"/>
    <w:rsid w:val="00E854FE"/>
    <w:rsid w:val="00E86001"/>
    <w:rsid w:val="00E91055"/>
    <w:rsid w:val="00E96D53"/>
    <w:rsid w:val="00EA130E"/>
    <w:rsid w:val="00EA561B"/>
    <w:rsid w:val="00EA72E4"/>
    <w:rsid w:val="00EB3186"/>
    <w:rsid w:val="00EB6735"/>
    <w:rsid w:val="00EC4BCB"/>
    <w:rsid w:val="00EC7BDC"/>
    <w:rsid w:val="00EE1B3C"/>
    <w:rsid w:val="00EF0358"/>
    <w:rsid w:val="00EF1116"/>
    <w:rsid w:val="00EF3941"/>
    <w:rsid w:val="00F176D9"/>
    <w:rsid w:val="00F21F8C"/>
    <w:rsid w:val="00F36332"/>
    <w:rsid w:val="00F461EA"/>
    <w:rsid w:val="00F53C9F"/>
    <w:rsid w:val="00F562CA"/>
    <w:rsid w:val="00F57026"/>
    <w:rsid w:val="00F607AA"/>
    <w:rsid w:val="00F665B3"/>
    <w:rsid w:val="00F7065A"/>
    <w:rsid w:val="00F7330B"/>
    <w:rsid w:val="00F84E4D"/>
    <w:rsid w:val="00F906E4"/>
    <w:rsid w:val="00FA6C2E"/>
    <w:rsid w:val="00FB1481"/>
    <w:rsid w:val="00FB6589"/>
    <w:rsid w:val="00FC536F"/>
    <w:rsid w:val="00FD348E"/>
    <w:rsid w:val="00FD6781"/>
    <w:rsid w:val="00FD787F"/>
    <w:rsid w:val="00FE1751"/>
    <w:rsid w:val="00FF2481"/>
    <w:rsid w:val="00FF73E7"/>
    <w:rsid w:val="00FF752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B2FC9"/>
  <w15:docId w15:val="{8BC961B4-F8AF-4E5B-86F1-93AB75F1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before="100" w:beforeAutospacing="1" w:after="160" w:line="360" w:lineRule="auto"/>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6D1"/>
    <w:rPr>
      <w:rFonts w:asciiTheme="majorBidi" w:hAnsiTheme="majorBidi"/>
      <w:sz w:val="24"/>
    </w:rPr>
  </w:style>
  <w:style w:type="paragraph" w:styleId="Titre1">
    <w:name w:val="heading 1"/>
    <w:basedOn w:val="Normal"/>
    <w:next w:val="Normal"/>
    <w:link w:val="Titre1Car"/>
    <w:autoRedefine/>
    <w:uiPriority w:val="9"/>
    <w:qFormat/>
    <w:rsid w:val="00BC1AEC"/>
    <w:pPr>
      <w:keepNext/>
      <w:keepLines/>
      <w:spacing w:before="0" w:beforeAutospacing="0"/>
      <w:ind w:firstLine="0"/>
      <w:outlineLvl w:val="0"/>
    </w:pPr>
    <w:rPr>
      <w:rFonts w:eastAsiaTheme="majorEastAsia" w:cstheme="majorBidi"/>
      <w:b/>
      <w:bCs/>
      <w:sz w:val="22"/>
    </w:rPr>
  </w:style>
  <w:style w:type="paragraph" w:styleId="Titre2">
    <w:name w:val="heading 2"/>
    <w:basedOn w:val="Normal"/>
    <w:next w:val="Normal"/>
    <w:link w:val="Titre2Car"/>
    <w:autoRedefine/>
    <w:uiPriority w:val="9"/>
    <w:unhideWhenUsed/>
    <w:qFormat/>
    <w:rsid w:val="00C8480E"/>
    <w:pPr>
      <w:keepNext/>
      <w:keepLines/>
      <w:numPr>
        <w:numId w:val="223"/>
      </w:numPr>
      <w:spacing w:before="0" w:beforeAutospacing="0"/>
      <w:jc w:val="left"/>
      <w:outlineLvl w:val="1"/>
    </w:pPr>
    <w:rPr>
      <w:rFonts w:eastAsiaTheme="majorEastAsia" w:cstheme="majorBidi"/>
      <w:b/>
      <w:bCs/>
      <w:sz w:val="22"/>
    </w:rPr>
  </w:style>
  <w:style w:type="paragraph" w:styleId="Titre3">
    <w:name w:val="heading 3"/>
    <w:basedOn w:val="Normal"/>
    <w:next w:val="Normal"/>
    <w:link w:val="Titre3Car"/>
    <w:uiPriority w:val="9"/>
    <w:unhideWhenUsed/>
    <w:qFormat/>
    <w:rsid w:val="008F0691"/>
    <w:pPr>
      <w:keepNext/>
      <w:keepLines/>
      <w:spacing w:before="200" w:after="0"/>
      <w:outlineLvl w:val="2"/>
    </w:pPr>
    <w:rPr>
      <w:rFonts w:asciiTheme="majorHAnsi" w:eastAsiaTheme="majorEastAsia" w:hAnsiTheme="majorHAnsi" w:cstheme="majorBidi"/>
      <w:b/>
      <w:bCs/>
      <w:color w:val="4472C4" w:themeColor="accent1"/>
    </w:rPr>
  </w:style>
  <w:style w:type="paragraph" w:styleId="Titre4">
    <w:name w:val="heading 4"/>
    <w:basedOn w:val="Normal"/>
    <w:next w:val="Normal"/>
    <w:link w:val="Titre4Car"/>
    <w:uiPriority w:val="9"/>
    <w:unhideWhenUsed/>
    <w:qFormat/>
    <w:rsid w:val="002D49BD"/>
    <w:pPr>
      <w:keepNext/>
      <w:keepLines/>
      <w:spacing w:before="200" w:after="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unhideWhenUsed/>
    <w:qFormat/>
    <w:rsid w:val="003F483B"/>
    <w:pPr>
      <w:keepNext/>
      <w:keepLines/>
      <w:spacing w:before="40" w:beforeAutospacing="0" w:after="0" w:line="259" w:lineRule="auto"/>
      <w:jc w:val="left"/>
      <w:outlineLvl w:val="4"/>
    </w:pPr>
    <w:rPr>
      <w:rFonts w:asciiTheme="majorHAnsi" w:eastAsiaTheme="majorEastAsia" w:hAnsiTheme="majorHAnsi" w:cstheme="majorBidi"/>
      <w:color w:val="2F5496" w:themeColor="accent1" w:themeShade="BF"/>
      <w:sz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83713"/>
    <w:pPr>
      <w:tabs>
        <w:tab w:val="center" w:pos="4536"/>
        <w:tab w:val="right" w:pos="9072"/>
      </w:tabs>
      <w:spacing w:after="0" w:line="240" w:lineRule="auto"/>
    </w:pPr>
  </w:style>
  <w:style w:type="character" w:customStyle="1" w:styleId="En-tteCar">
    <w:name w:val="En-tête Car"/>
    <w:basedOn w:val="Policepardfaut"/>
    <w:link w:val="En-tte"/>
    <w:uiPriority w:val="99"/>
    <w:rsid w:val="00983713"/>
  </w:style>
  <w:style w:type="paragraph" w:styleId="Pieddepage">
    <w:name w:val="footer"/>
    <w:basedOn w:val="Normal"/>
    <w:link w:val="PieddepageCar"/>
    <w:uiPriority w:val="99"/>
    <w:unhideWhenUsed/>
    <w:rsid w:val="009837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3713"/>
  </w:style>
  <w:style w:type="character" w:customStyle="1" w:styleId="Titre1Car">
    <w:name w:val="Titre 1 Car"/>
    <w:basedOn w:val="Policepardfaut"/>
    <w:link w:val="Titre1"/>
    <w:uiPriority w:val="9"/>
    <w:rsid w:val="00BC1AEC"/>
    <w:rPr>
      <w:rFonts w:asciiTheme="majorBidi" w:eastAsiaTheme="majorEastAsia" w:hAnsiTheme="majorBidi" w:cstheme="majorBidi"/>
      <w:b/>
      <w:bCs/>
    </w:rPr>
  </w:style>
  <w:style w:type="paragraph" w:styleId="Textedebulles">
    <w:name w:val="Balloon Text"/>
    <w:basedOn w:val="Normal"/>
    <w:link w:val="TextedebullesCar"/>
    <w:uiPriority w:val="99"/>
    <w:semiHidden/>
    <w:unhideWhenUsed/>
    <w:rsid w:val="0098371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83713"/>
    <w:rPr>
      <w:rFonts w:ascii="Tahoma" w:hAnsi="Tahoma" w:cs="Tahoma"/>
      <w:sz w:val="16"/>
      <w:szCs w:val="16"/>
    </w:rPr>
  </w:style>
  <w:style w:type="paragraph" w:styleId="NormalWeb">
    <w:name w:val="Normal (Web)"/>
    <w:basedOn w:val="Normal"/>
    <w:uiPriority w:val="99"/>
    <w:unhideWhenUsed/>
    <w:rsid w:val="00357D1C"/>
    <w:pPr>
      <w:spacing w:line="240" w:lineRule="auto"/>
    </w:pPr>
    <w:rPr>
      <w:rFonts w:ascii="Times New Roman" w:eastAsia="Times New Roman" w:hAnsi="Times New Roman" w:cs="Times New Roman"/>
      <w:szCs w:val="24"/>
      <w:lang w:eastAsia="fr-FR"/>
    </w:rPr>
  </w:style>
  <w:style w:type="paragraph" w:styleId="Paragraphedeliste">
    <w:name w:val="List Paragraph"/>
    <w:basedOn w:val="Normal"/>
    <w:uiPriority w:val="34"/>
    <w:qFormat/>
    <w:rsid w:val="002D06BB"/>
    <w:pPr>
      <w:ind w:left="720"/>
      <w:contextualSpacing/>
    </w:pPr>
  </w:style>
  <w:style w:type="character" w:styleId="lev">
    <w:name w:val="Strong"/>
    <w:basedOn w:val="Policepardfaut"/>
    <w:uiPriority w:val="22"/>
    <w:qFormat/>
    <w:rsid w:val="00A21F5A"/>
    <w:rPr>
      <w:b/>
      <w:bCs/>
    </w:rPr>
  </w:style>
  <w:style w:type="paragraph" w:styleId="Notedefin">
    <w:name w:val="endnote text"/>
    <w:basedOn w:val="Normal"/>
    <w:link w:val="NotedefinCar"/>
    <w:uiPriority w:val="99"/>
    <w:semiHidden/>
    <w:unhideWhenUsed/>
    <w:rsid w:val="003D19C0"/>
    <w:pPr>
      <w:spacing w:after="0" w:line="240" w:lineRule="auto"/>
    </w:pPr>
    <w:rPr>
      <w:sz w:val="20"/>
      <w:szCs w:val="20"/>
    </w:rPr>
  </w:style>
  <w:style w:type="character" w:customStyle="1" w:styleId="NotedefinCar">
    <w:name w:val="Note de fin Car"/>
    <w:basedOn w:val="Policepardfaut"/>
    <w:link w:val="Notedefin"/>
    <w:uiPriority w:val="99"/>
    <w:semiHidden/>
    <w:rsid w:val="003D19C0"/>
    <w:rPr>
      <w:sz w:val="20"/>
      <w:szCs w:val="20"/>
    </w:rPr>
  </w:style>
  <w:style w:type="character" w:styleId="Appeldenotedefin">
    <w:name w:val="endnote reference"/>
    <w:basedOn w:val="Policepardfaut"/>
    <w:uiPriority w:val="99"/>
    <w:semiHidden/>
    <w:unhideWhenUsed/>
    <w:rsid w:val="003D19C0"/>
    <w:rPr>
      <w:vertAlign w:val="superscript"/>
    </w:rPr>
  </w:style>
  <w:style w:type="paragraph" w:styleId="Notedebasdepage">
    <w:name w:val="footnote text"/>
    <w:basedOn w:val="Normal"/>
    <w:link w:val="NotedebasdepageCar"/>
    <w:uiPriority w:val="99"/>
    <w:unhideWhenUsed/>
    <w:rsid w:val="003D19C0"/>
    <w:pPr>
      <w:spacing w:after="0" w:line="240" w:lineRule="auto"/>
    </w:pPr>
    <w:rPr>
      <w:sz w:val="20"/>
      <w:szCs w:val="20"/>
    </w:rPr>
  </w:style>
  <w:style w:type="character" w:customStyle="1" w:styleId="NotedebasdepageCar">
    <w:name w:val="Note de bas de page Car"/>
    <w:basedOn w:val="Policepardfaut"/>
    <w:link w:val="Notedebasdepage"/>
    <w:uiPriority w:val="99"/>
    <w:rsid w:val="003D19C0"/>
    <w:rPr>
      <w:sz w:val="20"/>
      <w:szCs w:val="20"/>
    </w:rPr>
  </w:style>
  <w:style w:type="character" w:styleId="Appelnotedebasdep">
    <w:name w:val="footnote reference"/>
    <w:basedOn w:val="Policepardfaut"/>
    <w:uiPriority w:val="99"/>
    <w:semiHidden/>
    <w:unhideWhenUsed/>
    <w:rsid w:val="003D19C0"/>
    <w:rPr>
      <w:vertAlign w:val="superscript"/>
    </w:rPr>
  </w:style>
  <w:style w:type="character" w:customStyle="1" w:styleId="fontstyle01">
    <w:name w:val="fontstyle01"/>
    <w:basedOn w:val="Policepardfaut"/>
    <w:rsid w:val="0069547C"/>
    <w:rPr>
      <w:rFonts w:ascii="Garamond" w:hAnsi="Garamond" w:hint="default"/>
      <w:b w:val="0"/>
      <w:bCs w:val="0"/>
      <w:i w:val="0"/>
      <w:iCs w:val="0"/>
      <w:color w:val="000000"/>
      <w:sz w:val="24"/>
      <w:szCs w:val="24"/>
    </w:rPr>
  </w:style>
  <w:style w:type="character" w:customStyle="1" w:styleId="whitespace-normal">
    <w:name w:val="whitespace-normal"/>
    <w:basedOn w:val="Policepardfaut"/>
    <w:rsid w:val="00072121"/>
  </w:style>
  <w:style w:type="paragraph" w:styleId="Bibliographie">
    <w:name w:val="Bibliography"/>
    <w:basedOn w:val="Normal"/>
    <w:next w:val="Normal"/>
    <w:uiPriority w:val="37"/>
    <w:unhideWhenUsed/>
    <w:rsid w:val="00072121"/>
  </w:style>
  <w:style w:type="character" w:styleId="Accentuation">
    <w:name w:val="Emphasis"/>
    <w:basedOn w:val="Policepardfaut"/>
    <w:uiPriority w:val="20"/>
    <w:qFormat/>
    <w:rsid w:val="00072121"/>
    <w:rPr>
      <w:i/>
      <w:iCs/>
    </w:rPr>
  </w:style>
  <w:style w:type="character" w:customStyle="1" w:styleId="Titre2Car">
    <w:name w:val="Titre 2 Car"/>
    <w:basedOn w:val="Policepardfaut"/>
    <w:link w:val="Titre2"/>
    <w:uiPriority w:val="9"/>
    <w:rsid w:val="00C8480E"/>
    <w:rPr>
      <w:rFonts w:asciiTheme="majorBidi" w:eastAsiaTheme="majorEastAsia" w:hAnsiTheme="majorBidi" w:cstheme="majorBidi"/>
      <w:b/>
      <w:bCs/>
    </w:rPr>
  </w:style>
  <w:style w:type="character" w:customStyle="1" w:styleId="Titre3Car">
    <w:name w:val="Titre 3 Car"/>
    <w:basedOn w:val="Policepardfaut"/>
    <w:link w:val="Titre3"/>
    <w:uiPriority w:val="9"/>
    <w:rsid w:val="008F0691"/>
    <w:rPr>
      <w:rFonts w:asciiTheme="majorHAnsi" w:eastAsiaTheme="majorEastAsia" w:hAnsiTheme="majorHAnsi" w:cstheme="majorBidi"/>
      <w:b/>
      <w:bCs/>
      <w:color w:val="4472C4" w:themeColor="accent1"/>
    </w:rPr>
  </w:style>
  <w:style w:type="character" w:customStyle="1" w:styleId="Titre4Car">
    <w:name w:val="Titre 4 Car"/>
    <w:basedOn w:val="Policepardfaut"/>
    <w:link w:val="Titre4"/>
    <w:uiPriority w:val="9"/>
    <w:rsid w:val="002D49BD"/>
    <w:rPr>
      <w:rFonts w:asciiTheme="majorHAnsi" w:eastAsiaTheme="majorEastAsia" w:hAnsiTheme="majorHAnsi" w:cstheme="majorBidi"/>
      <w:b/>
      <w:bCs/>
      <w:i/>
      <w:iCs/>
      <w:color w:val="4472C4" w:themeColor="accent1"/>
    </w:rPr>
  </w:style>
  <w:style w:type="character" w:styleId="Lienhypertexte">
    <w:name w:val="Hyperlink"/>
    <w:basedOn w:val="Policepardfaut"/>
    <w:uiPriority w:val="99"/>
    <w:unhideWhenUsed/>
    <w:rsid w:val="002D49BD"/>
    <w:rPr>
      <w:color w:val="0563C1" w:themeColor="hyperlink"/>
      <w:u w:val="single"/>
    </w:rPr>
  </w:style>
  <w:style w:type="table" w:styleId="Grilledutableau">
    <w:name w:val="Table Grid"/>
    <w:basedOn w:val="TableauNormal"/>
    <w:uiPriority w:val="39"/>
    <w:rsid w:val="00D75E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link w:val="SansinterligneCar"/>
    <w:uiPriority w:val="1"/>
    <w:qFormat/>
    <w:rsid w:val="00086FF4"/>
    <w:pPr>
      <w:spacing w:after="0" w:line="240" w:lineRule="auto"/>
    </w:pPr>
  </w:style>
  <w:style w:type="character" w:customStyle="1" w:styleId="fontstyle21">
    <w:name w:val="fontstyle21"/>
    <w:basedOn w:val="Policepardfaut"/>
    <w:rsid w:val="00086FF4"/>
    <w:rPr>
      <w:rFonts w:ascii="Times New Roman" w:hAnsi="Times New Roman" w:cs="Times New Roman" w:hint="default"/>
      <w:b w:val="0"/>
      <w:bCs w:val="0"/>
      <w:i w:val="0"/>
      <w:iCs w:val="0"/>
      <w:color w:val="000000"/>
      <w:sz w:val="24"/>
      <w:szCs w:val="24"/>
    </w:rPr>
  </w:style>
  <w:style w:type="paragraph" w:styleId="TM1">
    <w:name w:val="toc 1"/>
    <w:basedOn w:val="Normal"/>
    <w:next w:val="Normal"/>
    <w:autoRedefine/>
    <w:uiPriority w:val="39"/>
    <w:unhideWhenUsed/>
    <w:qFormat/>
    <w:rsid w:val="009F60D1"/>
    <w:pPr>
      <w:tabs>
        <w:tab w:val="right" w:leader="dot" w:pos="9060"/>
      </w:tabs>
      <w:spacing w:after="100"/>
    </w:pPr>
    <w:rPr>
      <w:rFonts w:eastAsia="Calibri"/>
      <w:b/>
      <w:bCs/>
      <w:noProof/>
      <w:sz w:val="20"/>
      <w:szCs w:val="18"/>
    </w:rPr>
  </w:style>
  <w:style w:type="paragraph" w:styleId="TM2">
    <w:name w:val="toc 2"/>
    <w:basedOn w:val="Normal"/>
    <w:next w:val="Normal"/>
    <w:autoRedefine/>
    <w:uiPriority w:val="39"/>
    <w:unhideWhenUsed/>
    <w:qFormat/>
    <w:rsid w:val="00863C3A"/>
    <w:pPr>
      <w:spacing w:after="100"/>
      <w:ind w:left="240"/>
    </w:pPr>
  </w:style>
  <w:style w:type="paragraph" w:styleId="TM3">
    <w:name w:val="toc 3"/>
    <w:basedOn w:val="Normal"/>
    <w:next w:val="Normal"/>
    <w:autoRedefine/>
    <w:uiPriority w:val="39"/>
    <w:unhideWhenUsed/>
    <w:qFormat/>
    <w:rsid w:val="00863C3A"/>
    <w:pPr>
      <w:spacing w:after="100"/>
      <w:ind w:left="480"/>
    </w:pPr>
  </w:style>
  <w:style w:type="paragraph" w:styleId="TM4">
    <w:name w:val="toc 4"/>
    <w:basedOn w:val="Normal"/>
    <w:next w:val="Normal"/>
    <w:autoRedefine/>
    <w:uiPriority w:val="39"/>
    <w:unhideWhenUsed/>
    <w:rsid w:val="00863C3A"/>
    <w:pPr>
      <w:spacing w:after="100"/>
      <w:ind w:left="720"/>
    </w:pPr>
  </w:style>
  <w:style w:type="character" w:customStyle="1" w:styleId="Titre5Car">
    <w:name w:val="Titre 5 Car"/>
    <w:basedOn w:val="Policepardfaut"/>
    <w:link w:val="Titre5"/>
    <w:uiPriority w:val="9"/>
    <w:rsid w:val="003F483B"/>
    <w:rPr>
      <w:rFonts w:asciiTheme="majorHAnsi" w:eastAsiaTheme="majorEastAsia" w:hAnsiTheme="majorHAnsi" w:cstheme="majorBidi"/>
      <w:color w:val="2F5496" w:themeColor="accent1" w:themeShade="BF"/>
    </w:rPr>
  </w:style>
  <w:style w:type="character" w:customStyle="1" w:styleId="citation-59">
    <w:name w:val="citation-59"/>
    <w:basedOn w:val="Policepardfaut"/>
    <w:rsid w:val="003F483B"/>
  </w:style>
  <w:style w:type="character" w:styleId="Marquedecommentaire">
    <w:name w:val="annotation reference"/>
    <w:basedOn w:val="Policepardfaut"/>
    <w:uiPriority w:val="99"/>
    <w:semiHidden/>
    <w:unhideWhenUsed/>
    <w:rsid w:val="00A04154"/>
    <w:rPr>
      <w:sz w:val="16"/>
      <w:szCs w:val="16"/>
    </w:rPr>
  </w:style>
  <w:style w:type="paragraph" w:styleId="Commentaire">
    <w:name w:val="annotation text"/>
    <w:basedOn w:val="Normal"/>
    <w:link w:val="CommentaireCar"/>
    <w:uiPriority w:val="99"/>
    <w:semiHidden/>
    <w:unhideWhenUsed/>
    <w:rsid w:val="00A04154"/>
    <w:pPr>
      <w:spacing w:line="240" w:lineRule="auto"/>
    </w:pPr>
    <w:rPr>
      <w:sz w:val="20"/>
      <w:szCs w:val="20"/>
    </w:rPr>
  </w:style>
  <w:style w:type="character" w:customStyle="1" w:styleId="CommentaireCar">
    <w:name w:val="Commentaire Car"/>
    <w:basedOn w:val="Policepardfaut"/>
    <w:link w:val="Commentaire"/>
    <w:uiPriority w:val="99"/>
    <w:semiHidden/>
    <w:rsid w:val="00A04154"/>
    <w:rPr>
      <w:rFonts w:asciiTheme="majorBidi" w:hAnsiTheme="majorBidi"/>
      <w:sz w:val="20"/>
      <w:szCs w:val="20"/>
    </w:rPr>
  </w:style>
  <w:style w:type="paragraph" w:styleId="Objetducommentaire">
    <w:name w:val="annotation subject"/>
    <w:basedOn w:val="Commentaire"/>
    <w:next w:val="Commentaire"/>
    <w:link w:val="ObjetducommentaireCar"/>
    <w:uiPriority w:val="99"/>
    <w:semiHidden/>
    <w:unhideWhenUsed/>
    <w:rsid w:val="00A04154"/>
    <w:rPr>
      <w:b/>
      <w:bCs/>
    </w:rPr>
  </w:style>
  <w:style w:type="character" w:customStyle="1" w:styleId="ObjetducommentaireCar">
    <w:name w:val="Objet du commentaire Car"/>
    <w:basedOn w:val="CommentaireCar"/>
    <w:link w:val="Objetducommentaire"/>
    <w:uiPriority w:val="99"/>
    <w:semiHidden/>
    <w:rsid w:val="00A04154"/>
    <w:rPr>
      <w:rFonts w:asciiTheme="majorBidi" w:hAnsiTheme="majorBidi"/>
      <w:b/>
      <w:bCs/>
      <w:sz w:val="20"/>
      <w:szCs w:val="20"/>
    </w:rPr>
  </w:style>
  <w:style w:type="table" w:customStyle="1" w:styleId="TableGrid">
    <w:name w:val="TableGrid"/>
    <w:rsid w:val="00775D19"/>
    <w:pPr>
      <w:spacing w:before="0" w:beforeAutospacing="0" w:after="0" w:line="240" w:lineRule="auto"/>
      <w:ind w:firstLine="0"/>
      <w:jc w:val="left"/>
    </w:pPr>
    <w:rPr>
      <w:rFonts w:eastAsiaTheme="minorEastAsia"/>
      <w:lang w:eastAsia="fr-FR"/>
    </w:rPr>
    <w:tblPr>
      <w:tblCellMar>
        <w:top w:w="0" w:type="dxa"/>
        <w:left w:w="0" w:type="dxa"/>
        <w:bottom w:w="0" w:type="dxa"/>
        <w:right w:w="0" w:type="dxa"/>
      </w:tblCellMar>
    </w:tblPr>
  </w:style>
  <w:style w:type="table" w:customStyle="1" w:styleId="TableGrid1">
    <w:name w:val="TableGrid1"/>
    <w:rsid w:val="00775D19"/>
    <w:pPr>
      <w:spacing w:before="0" w:beforeAutospacing="0" w:after="0" w:line="240" w:lineRule="auto"/>
      <w:ind w:firstLine="0"/>
      <w:jc w:val="left"/>
    </w:pPr>
    <w:rPr>
      <w:rFonts w:eastAsiaTheme="minorEastAsia"/>
      <w:lang w:eastAsia="fr-FR"/>
    </w:rPr>
    <w:tblPr>
      <w:tblCellMar>
        <w:top w:w="0" w:type="dxa"/>
        <w:left w:w="0" w:type="dxa"/>
        <w:bottom w:w="0" w:type="dxa"/>
        <w:right w:w="0" w:type="dxa"/>
      </w:tblCellMar>
    </w:tblPr>
  </w:style>
  <w:style w:type="paragraph" w:styleId="PrformatHTML">
    <w:name w:val="HTML Preformatted"/>
    <w:basedOn w:val="Normal"/>
    <w:link w:val="PrformatHTMLCar"/>
    <w:uiPriority w:val="99"/>
    <w:semiHidden/>
    <w:unhideWhenUsed/>
    <w:rsid w:val="00172C7A"/>
    <w:pPr>
      <w:spacing w:before="0" w:beforeAutospacing="0" w:after="0" w:line="240" w:lineRule="auto"/>
      <w:jc w:val="left"/>
    </w:pPr>
    <w:rPr>
      <w:rFonts w:ascii="Consolas" w:hAnsi="Consolas"/>
      <w:sz w:val="20"/>
      <w:szCs w:val="20"/>
    </w:rPr>
  </w:style>
  <w:style w:type="character" w:customStyle="1" w:styleId="PrformatHTMLCar">
    <w:name w:val="Préformaté HTML Car"/>
    <w:basedOn w:val="Policepardfaut"/>
    <w:link w:val="PrformatHTML"/>
    <w:uiPriority w:val="99"/>
    <w:semiHidden/>
    <w:rsid w:val="00172C7A"/>
    <w:rPr>
      <w:rFonts w:ascii="Consolas" w:hAnsi="Consolas"/>
      <w:sz w:val="20"/>
      <w:szCs w:val="20"/>
    </w:rPr>
  </w:style>
  <w:style w:type="paragraph" w:styleId="En-ttedetabledesmatires">
    <w:name w:val="TOC Heading"/>
    <w:basedOn w:val="Titre1"/>
    <w:next w:val="Normal"/>
    <w:uiPriority w:val="39"/>
    <w:unhideWhenUsed/>
    <w:qFormat/>
    <w:rsid w:val="00172C7A"/>
    <w:pPr>
      <w:spacing w:before="240" w:after="0" w:line="259" w:lineRule="auto"/>
      <w:ind w:firstLine="284"/>
      <w:jc w:val="left"/>
      <w:outlineLvl w:val="9"/>
    </w:pPr>
    <w:rPr>
      <w:rFonts w:asciiTheme="majorHAnsi" w:hAnsiTheme="majorHAnsi"/>
      <w:b w:val="0"/>
      <w:bCs w:val="0"/>
      <w:color w:val="2F5496" w:themeColor="accent1" w:themeShade="BF"/>
      <w:sz w:val="32"/>
      <w:szCs w:val="32"/>
      <w:lang w:eastAsia="fr-FR"/>
    </w:rPr>
  </w:style>
  <w:style w:type="paragraph" w:styleId="TM5">
    <w:name w:val="toc 5"/>
    <w:basedOn w:val="Normal"/>
    <w:next w:val="Normal"/>
    <w:autoRedefine/>
    <w:uiPriority w:val="39"/>
    <w:unhideWhenUsed/>
    <w:rsid w:val="00172C7A"/>
    <w:pPr>
      <w:spacing w:before="0" w:beforeAutospacing="0" w:after="100" w:line="259" w:lineRule="auto"/>
      <w:ind w:left="880"/>
      <w:jc w:val="left"/>
    </w:pPr>
    <w:rPr>
      <w:rFonts w:asciiTheme="minorHAnsi" w:hAnsiTheme="minorHAnsi"/>
      <w:sz w:val="22"/>
    </w:rPr>
  </w:style>
  <w:style w:type="paragraph" w:styleId="TM6">
    <w:name w:val="toc 6"/>
    <w:basedOn w:val="Normal"/>
    <w:next w:val="Normal"/>
    <w:autoRedefine/>
    <w:uiPriority w:val="39"/>
    <w:unhideWhenUsed/>
    <w:rsid w:val="00172C7A"/>
    <w:pPr>
      <w:spacing w:before="0" w:beforeAutospacing="0" w:after="100" w:line="259" w:lineRule="auto"/>
      <w:ind w:left="110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172C7A"/>
    <w:pPr>
      <w:spacing w:before="0" w:beforeAutospacing="0" w:after="100" w:line="259" w:lineRule="auto"/>
      <w:ind w:left="132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172C7A"/>
    <w:pPr>
      <w:spacing w:before="0" w:beforeAutospacing="0" w:after="100" w:line="259" w:lineRule="auto"/>
      <w:ind w:left="154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172C7A"/>
    <w:pPr>
      <w:spacing w:before="0" w:beforeAutospacing="0" w:after="100" w:line="259" w:lineRule="auto"/>
      <w:ind w:left="1760"/>
      <w:jc w:val="left"/>
    </w:pPr>
    <w:rPr>
      <w:rFonts w:asciiTheme="minorHAnsi" w:eastAsiaTheme="minorEastAsia" w:hAnsiTheme="minorHAnsi"/>
      <w:sz w:val="22"/>
      <w:lang w:eastAsia="fr-FR"/>
    </w:rPr>
  </w:style>
  <w:style w:type="paragraph" w:customStyle="1" w:styleId="isselectedend">
    <w:name w:val="isselectedend"/>
    <w:basedOn w:val="Normal"/>
    <w:rsid w:val="00A85CF1"/>
    <w:pPr>
      <w:spacing w:after="100" w:afterAutospacing="1" w:line="240" w:lineRule="auto"/>
      <w:ind w:firstLine="0"/>
      <w:jc w:val="left"/>
    </w:pPr>
    <w:rPr>
      <w:rFonts w:ascii="Times New Roman" w:eastAsia="Times New Roman" w:hAnsi="Times New Roman" w:cs="Times New Roman"/>
      <w:szCs w:val="24"/>
      <w:lang w:eastAsia="fr-FR"/>
    </w:rPr>
  </w:style>
  <w:style w:type="table" w:customStyle="1" w:styleId="Grilledutableau1">
    <w:name w:val="Grille du tableau1"/>
    <w:basedOn w:val="TableauNormal"/>
    <w:next w:val="Grilledutableau"/>
    <w:uiPriority w:val="39"/>
    <w:rsid w:val="00A85CF1"/>
    <w:pPr>
      <w:spacing w:before="0" w:beforeAutospacing="0" w:after="0" w:line="240" w:lineRule="auto"/>
      <w:ind w:firstLine="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ansinterligneCar">
    <w:name w:val="Sans interligne Car"/>
    <w:basedOn w:val="Policepardfaut"/>
    <w:link w:val="Sansinterligne"/>
    <w:uiPriority w:val="1"/>
    <w:rsid w:val="00437ADB"/>
  </w:style>
  <w:style w:type="table" w:customStyle="1" w:styleId="Grilledutableau2">
    <w:name w:val="Grille du tableau2"/>
    <w:basedOn w:val="TableauNormal"/>
    <w:next w:val="Grilledutableau"/>
    <w:uiPriority w:val="39"/>
    <w:rsid w:val="00437ADB"/>
    <w:pPr>
      <w:spacing w:before="0" w:beforeAutospacing="0" w:after="0" w:line="240" w:lineRule="auto"/>
      <w:ind w:firstLine="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itation-64">
    <w:name w:val="citation-64"/>
    <w:basedOn w:val="Policepardfaut"/>
    <w:rsid w:val="007C5DB8"/>
  </w:style>
  <w:style w:type="character" w:customStyle="1" w:styleId="citation-37">
    <w:name w:val="citation-37"/>
    <w:basedOn w:val="Policepardfaut"/>
    <w:rsid w:val="007C5DB8"/>
  </w:style>
  <w:style w:type="character" w:customStyle="1" w:styleId="citation-36">
    <w:name w:val="citation-36"/>
    <w:basedOn w:val="Policepardfaut"/>
    <w:rsid w:val="007C5DB8"/>
  </w:style>
  <w:style w:type="character" w:customStyle="1" w:styleId="citation-32">
    <w:name w:val="citation-32"/>
    <w:basedOn w:val="Policepardfaut"/>
    <w:rsid w:val="007C5DB8"/>
  </w:style>
  <w:style w:type="character" w:customStyle="1" w:styleId="c-contentprimarycolor">
    <w:name w:val="c-content__primarycolor"/>
    <w:basedOn w:val="Policepardfaut"/>
    <w:rsid w:val="007C5DB8"/>
  </w:style>
  <w:style w:type="character" w:customStyle="1" w:styleId="citation-396">
    <w:name w:val="citation-396"/>
    <w:basedOn w:val="Policepardfaut"/>
    <w:rsid w:val="007C5DB8"/>
  </w:style>
  <w:style w:type="character" w:customStyle="1" w:styleId="citation-362">
    <w:name w:val="citation-362"/>
    <w:basedOn w:val="Policepardfaut"/>
    <w:rsid w:val="007C5DB8"/>
  </w:style>
  <w:style w:type="character" w:customStyle="1" w:styleId="citation-355">
    <w:name w:val="citation-355"/>
    <w:basedOn w:val="Policepardfaut"/>
    <w:rsid w:val="007C5DB8"/>
  </w:style>
  <w:style w:type="character" w:customStyle="1" w:styleId="citation-331">
    <w:name w:val="citation-331"/>
    <w:basedOn w:val="Policepardfaut"/>
    <w:rsid w:val="007C5DB8"/>
  </w:style>
  <w:style w:type="numbering" w:customStyle="1" w:styleId="Aucuneliste1">
    <w:name w:val="Aucune liste1"/>
    <w:next w:val="Aucuneliste"/>
    <w:uiPriority w:val="99"/>
    <w:semiHidden/>
    <w:unhideWhenUsed/>
    <w:rsid w:val="00D00AB2"/>
  </w:style>
  <w:style w:type="table" w:customStyle="1" w:styleId="Grilledutableau3">
    <w:name w:val="Grille du tableau3"/>
    <w:basedOn w:val="TableauNormal"/>
    <w:next w:val="Grilledutableau"/>
    <w:uiPriority w:val="39"/>
    <w:rsid w:val="00D00AB2"/>
    <w:pPr>
      <w:spacing w:before="0" w:beforeAutospacing="0" w:after="0"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D00AB2"/>
    <w:pPr>
      <w:spacing w:before="0" w:beforeAutospacing="0" w:after="0" w:line="240" w:lineRule="auto"/>
      <w:ind w:firstLine="0"/>
      <w:jc w:val="left"/>
    </w:pPr>
    <w:rPr>
      <w:rFonts w:eastAsia="Times New Roman"/>
      <w:lang w:eastAsia="fr-FR"/>
    </w:rPr>
    <w:tblPr>
      <w:tblCellMar>
        <w:top w:w="0" w:type="dxa"/>
        <w:left w:w="0" w:type="dxa"/>
        <w:bottom w:w="0" w:type="dxa"/>
        <w:right w:w="0" w:type="dxa"/>
      </w:tblCellMar>
    </w:tblPr>
  </w:style>
  <w:style w:type="table" w:customStyle="1" w:styleId="TableGrid11">
    <w:name w:val="TableGrid11"/>
    <w:rsid w:val="00D00AB2"/>
    <w:pPr>
      <w:spacing w:before="0" w:beforeAutospacing="0" w:after="0" w:line="240" w:lineRule="auto"/>
      <w:ind w:firstLine="0"/>
      <w:jc w:val="left"/>
    </w:pPr>
    <w:rPr>
      <w:rFonts w:eastAsia="Times New Roman"/>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86767">
      <w:bodyDiv w:val="1"/>
      <w:marLeft w:val="0"/>
      <w:marRight w:val="0"/>
      <w:marTop w:val="0"/>
      <w:marBottom w:val="0"/>
      <w:divBdr>
        <w:top w:val="none" w:sz="0" w:space="0" w:color="auto"/>
        <w:left w:val="none" w:sz="0" w:space="0" w:color="auto"/>
        <w:bottom w:val="none" w:sz="0" w:space="0" w:color="auto"/>
        <w:right w:val="none" w:sz="0" w:space="0" w:color="auto"/>
      </w:divBdr>
    </w:div>
    <w:div w:id="56520043">
      <w:bodyDiv w:val="1"/>
      <w:marLeft w:val="0"/>
      <w:marRight w:val="0"/>
      <w:marTop w:val="0"/>
      <w:marBottom w:val="0"/>
      <w:divBdr>
        <w:top w:val="none" w:sz="0" w:space="0" w:color="auto"/>
        <w:left w:val="none" w:sz="0" w:space="0" w:color="auto"/>
        <w:bottom w:val="none" w:sz="0" w:space="0" w:color="auto"/>
        <w:right w:val="none" w:sz="0" w:space="0" w:color="auto"/>
      </w:divBdr>
    </w:div>
    <w:div w:id="204485034">
      <w:bodyDiv w:val="1"/>
      <w:marLeft w:val="0"/>
      <w:marRight w:val="0"/>
      <w:marTop w:val="0"/>
      <w:marBottom w:val="0"/>
      <w:divBdr>
        <w:top w:val="none" w:sz="0" w:space="0" w:color="auto"/>
        <w:left w:val="none" w:sz="0" w:space="0" w:color="auto"/>
        <w:bottom w:val="none" w:sz="0" w:space="0" w:color="auto"/>
        <w:right w:val="none" w:sz="0" w:space="0" w:color="auto"/>
      </w:divBdr>
    </w:div>
    <w:div w:id="281768132">
      <w:bodyDiv w:val="1"/>
      <w:marLeft w:val="0"/>
      <w:marRight w:val="0"/>
      <w:marTop w:val="0"/>
      <w:marBottom w:val="0"/>
      <w:divBdr>
        <w:top w:val="none" w:sz="0" w:space="0" w:color="auto"/>
        <w:left w:val="none" w:sz="0" w:space="0" w:color="auto"/>
        <w:bottom w:val="none" w:sz="0" w:space="0" w:color="auto"/>
        <w:right w:val="none" w:sz="0" w:space="0" w:color="auto"/>
      </w:divBdr>
    </w:div>
    <w:div w:id="335694022">
      <w:bodyDiv w:val="1"/>
      <w:marLeft w:val="0"/>
      <w:marRight w:val="0"/>
      <w:marTop w:val="0"/>
      <w:marBottom w:val="0"/>
      <w:divBdr>
        <w:top w:val="none" w:sz="0" w:space="0" w:color="auto"/>
        <w:left w:val="none" w:sz="0" w:space="0" w:color="auto"/>
        <w:bottom w:val="none" w:sz="0" w:space="0" w:color="auto"/>
        <w:right w:val="none" w:sz="0" w:space="0" w:color="auto"/>
      </w:divBdr>
    </w:div>
    <w:div w:id="340741503">
      <w:bodyDiv w:val="1"/>
      <w:marLeft w:val="0"/>
      <w:marRight w:val="0"/>
      <w:marTop w:val="0"/>
      <w:marBottom w:val="0"/>
      <w:divBdr>
        <w:top w:val="none" w:sz="0" w:space="0" w:color="auto"/>
        <w:left w:val="none" w:sz="0" w:space="0" w:color="auto"/>
        <w:bottom w:val="none" w:sz="0" w:space="0" w:color="auto"/>
        <w:right w:val="none" w:sz="0" w:space="0" w:color="auto"/>
      </w:divBdr>
    </w:div>
    <w:div w:id="369379120">
      <w:bodyDiv w:val="1"/>
      <w:marLeft w:val="0"/>
      <w:marRight w:val="0"/>
      <w:marTop w:val="0"/>
      <w:marBottom w:val="0"/>
      <w:divBdr>
        <w:top w:val="none" w:sz="0" w:space="0" w:color="auto"/>
        <w:left w:val="none" w:sz="0" w:space="0" w:color="auto"/>
        <w:bottom w:val="none" w:sz="0" w:space="0" w:color="auto"/>
        <w:right w:val="none" w:sz="0" w:space="0" w:color="auto"/>
      </w:divBdr>
    </w:div>
    <w:div w:id="402335006">
      <w:bodyDiv w:val="1"/>
      <w:marLeft w:val="0"/>
      <w:marRight w:val="0"/>
      <w:marTop w:val="0"/>
      <w:marBottom w:val="0"/>
      <w:divBdr>
        <w:top w:val="none" w:sz="0" w:space="0" w:color="auto"/>
        <w:left w:val="none" w:sz="0" w:space="0" w:color="auto"/>
        <w:bottom w:val="none" w:sz="0" w:space="0" w:color="auto"/>
        <w:right w:val="none" w:sz="0" w:space="0" w:color="auto"/>
      </w:divBdr>
      <w:divsChild>
        <w:div w:id="212810223">
          <w:marLeft w:val="0"/>
          <w:marRight w:val="0"/>
          <w:marTop w:val="0"/>
          <w:marBottom w:val="0"/>
          <w:divBdr>
            <w:top w:val="none" w:sz="0" w:space="0" w:color="auto"/>
            <w:left w:val="none" w:sz="0" w:space="0" w:color="auto"/>
            <w:bottom w:val="none" w:sz="0" w:space="0" w:color="auto"/>
            <w:right w:val="none" w:sz="0" w:space="0" w:color="auto"/>
          </w:divBdr>
          <w:divsChild>
            <w:div w:id="658079206">
              <w:marLeft w:val="0"/>
              <w:marRight w:val="0"/>
              <w:marTop w:val="0"/>
              <w:marBottom w:val="0"/>
              <w:divBdr>
                <w:top w:val="none" w:sz="0" w:space="0" w:color="auto"/>
                <w:left w:val="none" w:sz="0" w:space="0" w:color="auto"/>
                <w:bottom w:val="none" w:sz="0" w:space="0" w:color="auto"/>
                <w:right w:val="none" w:sz="0" w:space="0" w:color="auto"/>
              </w:divBdr>
              <w:divsChild>
                <w:div w:id="1301615325">
                  <w:marLeft w:val="0"/>
                  <w:marRight w:val="0"/>
                  <w:marTop w:val="0"/>
                  <w:marBottom w:val="0"/>
                  <w:divBdr>
                    <w:top w:val="none" w:sz="0" w:space="0" w:color="auto"/>
                    <w:left w:val="none" w:sz="0" w:space="0" w:color="auto"/>
                    <w:bottom w:val="none" w:sz="0" w:space="0" w:color="auto"/>
                    <w:right w:val="none" w:sz="0" w:space="0" w:color="auto"/>
                  </w:divBdr>
                  <w:divsChild>
                    <w:div w:id="815419520">
                      <w:marLeft w:val="0"/>
                      <w:marRight w:val="0"/>
                      <w:marTop w:val="0"/>
                      <w:marBottom w:val="0"/>
                      <w:divBdr>
                        <w:top w:val="none" w:sz="0" w:space="0" w:color="auto"/>
                        <w:left w:val="none" w:sz="0" w:space="0" w:color="auto"/>
                        <w:bottom w:val="none" w:sz="0" w:space="0" w:color="auto"/>
                        <w:right w:val="none" w:sz="0" w:space="0" w:color="auto"/>
                      </w:divBdr>
                      <w:divsChild>
                        <w:div w:id="327446340">
                          <w:marLeft w:val="0"/>
                          <w:marRight w:val="0"/>
                          <w:marTop w:val="0"/>
                          <w:marBottom w:val="0"/>
                          <w:divBdr>
                            <w:top w:val="none" w:sz="0" w:space="0" w:color="auto"/>
                            <w:left w:val="none" w:sz="0" w:space="0" w:color="auto"/>
                            <w:bottom w:val="none" w:sz="0" w:space="0" w:color="auto"/>
                            <w:right w:val="none" w:sz="0" w:space="0" w:color="auto"/>
                          </w:divBdr>
                          <w:divsChild>
                            <w:div w:id="470514417">
                              <w:marLeft w:val="0"/>
                              <w:marRight w:val="0"/>
                              <w:marTop w:val="0"/>
                              <w:marBottom w:val="0"/>
                              <w:divBdr>
                                <w:top w:val="none" w:sz="0" w:space="0" w:color="auto"/>
                                <w:left w:val="none" w:sz="0" w:space="0" w:color="auto"/>
                                <w:bottom w:val="none" w:sz="0" w:space="0" w:color="auto"/>
                                <w:right w:val="none" w:sz="0" w:space="0" w:color="auto"/>
                              </w:divBdr>
                              <w:divsChild>
                                <w:div w:id="68205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798993">
      <w:bodyDiv w:val="1"/>
      <w:marLeft w:val="0"/>
      <w:marRight w:val="0"/>
      <w:marTop w:val="0"/>
      <w:marBottom w:val="0"/>
      <w:divBdr>
        <w:top w:val="none" w:sz="0" w:space="0" w:color="auto"/>
        <w:left w:val="none" w:sz="0" w:space="0" w:color="auto"/>
        <w:bottom w:val="none" w:sz="0" w:space="0" w:color="auto"/>
        <w:right w:val="none" w:sz="0" w:space="0" w:color="auto"/>
      </w:divBdr>
    </w:div>
    <w:div w:id="444620112">
      <w:bodyDiv w:val="1"/>
      <w:marLeft w:val="0"/>
      <w:marRight w:val="0"/>
      <w:marTop w:val="0"/>
      <w:marBottom w:val="0"/>
      <w:divBdr>
        <w:top w:val="none" w:sz="0" w:space="0" w:color="auto"/>
        <w:left w:val="none" w:sz="0" w:space="0" w:color="auto"/>
        <w:bottom w:val="none" w:sz="0" w:space="0" w:color="auto"/>
        <w:right w:val="none" w:sz="0" w:space="0" w:color="auto"/>
      </w:divBdr>
    </w:div>
    <w:div w:id="482158056">
      <w:bodyDiv w:val="1"/>
      <w:marLeft w:val="0"/>
      <w:marRight w:val="0"/>
      <w:marTop w:val="0"/>
      <w:marBottom w:val="0"/>
      <w:divBdr>
        <w:top w:val="none" w:sz="0" w:space="0" w:color="auto"/>
        <w:left w:val="none" w:sz="0" w:space="0" w:color="auto"/>
        <w:bottom w:val="none" w:sz="0" w:space="0" w:color="auto"/>
        <w:right w:val="none" w:sz="0" w:space="0" w:color="auto"/>
      </w:divBdr>
    </w:div>
    <w:div w:id="494226131">
      <w:bodyDiv w:val="1"/>
      <w:marLeft w:val="0"/>
      <w:marRight w:val="0"/>
      <w:marTop w:val="0"/>
      <w:marBottom w:val="0"/>
      <w:divBdr>
        <w:top w:val="none" w:sz="0" w:space="0" w:color="auto"/>
        <w:left w:val="none" w:sz="0" w:space="0" w:color="auto"/>
        <w:bottom w:val="none" w:sz="0" w:space="0" w:color="auto"/>
        <w:right w:val="none" w:sz="0" w:space="0" w:color="auto"/>
      </w:divBdr>
      <w:divsChild>
        <w:div w:id="417798130">
          <w:marLeft w:val="0"/>
          <w:marRight w:val="0"/>
          <w:marTop w:val="0"/>
          <w:marBottom w:val="0"/>
          <w:divBdr>
            <w:top w:val="none" w:sz="0" w:space="0" w:color="auto"/>
            <w:left w:val="none" w:sz="0" w:space="0" w:color="auto"/>
            <w:bottom w:val="none" w:sz="0" w:space="0" w:color="auto"/>
            <w:right w:val="none" w:sz="0" w:space="0" w:color="auto"/>
          </w:divBdr>
          <w:divsChild>
            <w:div w:id="250431473">
              <w:marLeft w:val="0"/>
              <w:marRight w:val="0"/>
              <w:marTop w:val="0"/>
              <w:marBottom w:val="0"/>
              <w:divBdr>
                <w:top w:val="none" w:sz="0" w:space="0" w:color="auto"/>
                <w:left w:val="none" w:sz="0" w:space="0" w:color="auto"/>
                <w:bottom w:val="none" w:sz="0" w:space="0" w:color="auto"/>
                <w:right w:val="none" w:sz="0" w:space="0" w:color="auto"/>
              </w:divBdr>
              <w:divsChild>
                <w:div w:id="1955095412">
                  <w:marLeft w:val="0"/>
                  <w:marRight w:val="0"/>
                  <w:marTop w:val="0"/>
                  <w:marBottom w:val="0"/>
                  <w:divBdr>
                    <w:top w:val="none" w:sz="0" w:space="0" w:color="auto"/>
                    <w:left w:val="none" w:sz="0" w:space="0" w:color="auto"/>
                    <w:bottom w:val="none" w:sz="0" w:space="0" w:color="auto"/>
                    <w:right w:val="none" w:sz="0" w:space="0" w:color="auto"/>
                  </w:divBdr>
                  <w:divsChild>
                    <w:div w:id="1166283927">
                      <w:marLeft w:val="0"/>
                      <w:marRight w:val="0"/>
                      <w:marTop w:val="0"/>
                      <w:marBottom w:val="0"/>
                      <w:divBdr>
                        <w:top w:val="none" w:sz="0" w:space="0" w:color="auto"/>
                        <w:left w:val="none" w:sz="0" w:space="0" w:color="auto"/>
                        <w:bottom w:val="none" w:sz="0" w:space="0" w:color="auto"/>
                        <w:right w:val="none" w:sz="0" w:space="0" w:color="auto"/>
                      </w:divBdr>
                      <w:divsChild>
                        <w:div w:id="1920210270">
                          <w:marLeft w:val="0"/>
                          <w:marRight w:val="0"/>
                          <w:marTop w:val="0"/>
                          <w:marBottom w:val="0"/>
                          <w:divBdr>
                            <w:top w:val="none" w:sz="0" w:space="0" w:color="auto"/>
                            <w:left w:val="none" w:sz="0" w:space="0" w:color="auto"/>
                            <w:bottom w:val="none" w:sz="0" w:space="0" w:color="auto"/>
                            <w:right w:val="none" w:sz="0" w:space="0" w:color="auto"/>
                          </w:divBdr>
                          <w:divsChild>
                            <w:div w:id="6493335">
                              <w:marLeft w:val="0"/>
                              <w:marRight w:val="0"/>
                              <w:marTop w:val="0"/>
                              <w:marBottom w:val="0"/>
                              <w:divBdr>
                                <w:top w:val="none" w:sz="0" w:space="0" w:color="auto"/>
                                <w:left w:val="none" w:sz="0" w:space="0" w:color="auto"/>
                                <w:bottom w:val="none" w:sz="0" w:space="0" w:color="auto"/>
                                <w:right w:val="none" w:sz="0" w:space="0" w:color="auto"/>
                              </w:divBdr>
                              <w:divsChild>
                                <w:div w:id="2142724246">
                                  <w:marLeft w:val="0"/>
                                  <w:marRight w:val="0"/>
                                  <w:marTop w:val="0"/>
                                  <w:marBottom w:val="0"/>
                                  <w:divBdr>
                                    <w:top w:val="none" w:sz="0" w:space="0" w:color="auto"/>
                                    <w:left w:val="none" w:sz="0" w:space="0" w:color="auto"/>
                                    <w:bottom w:val="none" w:sz="0" w:space="0" w:color="auto"/>
                                    <w:right w:val="none" w:sz="0" w:space="0" w:color="auto"/>
                                  </w:divBdr>
                                  <w:divsChild>
                                    <w:div w:id="17758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9948949">
      <w:bodyDiv w:val="1"/>
      <w:marLeft w:val="0"/>
      <w:marRight w:val="0"/>
      <w:marTop w:val="0"/>
      <w:marBottom w:val="0"/>
      <w:divBdr>
        <w:top w:val="none" w:sz="0" w:space="0" w:color="auto"/>
        <w:left w:val="none" w:sz="0" w:space="0" w:color="auto"/>
        <w:bottom w:val="none" w:sz="0" w:space="0" w:color="auto"/>
        <w:right w:val="none" w:sz="0" w:space="0" w:color="auto"/>
      </w:divBdr>
    </w:div>
    <w:div w:id="518474639">
      <w:bodyDiv w:val="1"/>
      <w:marLeft w:val="0"/>
      <w:marRight w:val="0"/>
      <w:marTop w:val="0"/>
      <w:marBottom w:val="0"/>
      <w:divBdr>
        <w:top w:val="none" w:sz="0" w:space="0" w:color="auto"/>
        <w:left w:val="none" w:sz="0" w:space="0" w:color="auto"/>
        <w:bottom w:val="none" w:sz="0" w:space="0" w:color="auto"/>
        <w:right w:val="none" w:sz="0" w:space="0" w:color="auto"/>
      </w:divBdr>
    </w:div>
    <w:div w:id="581641336">
      <w:bodyDiv w:val="1"/>
      <w:marLeft w:val="0"/>
      <w:marRight w:val="0"/>
      <w:marTop w:val="0"/>
      <w:marBottom w:val="0"/>
      <w:divBdr>
        <w:top w:val="none" w:sz="0" w:space="0" w:color="auto"/>
        <w:left w:val="none" w:sz="0" w:space="0" w:color="auto"/>
        <w:bottom w:val="none" w:sz="0" w:space="0" w:color="auto"/>
        <w:right w:val="none" w:sz="0" w:space="0" w:color="auto"/>
      </w:divBdr>
    </w:div>
    <w:div w:id="590088035">
      <w:bodyDiv w:val="1"/>
      <w:marLeft w:val="0"/>
      <w:marRight w:val="0"/>
      <w:marTop w:val="0"/>
      <w:marBottom w:val="0"/>
      <w:divBdr>
        <w:top w:val="none" w:sz="0" w:space="0" w:color="auto"/>
        <w:left w:val="none" w:sz="0" w:space="0" w:color="auto"/>
        <w:bottom w:val="none" w:sz="0" w:space="0" w:color="auto"/>
        <w:right w:val="none" w:sz="0" w:space="0" w:color="auto"/>
      </w:divBdr>
    </w:div>
    <w:div w:id="622422984">
      <w:bodyDiv w:val="1"/>
      <w:marLeft w:val="0"/>
      <w:marRight w:val="0"/>
      <w:marTop w:val="0"/>
      <w:marBottom w:val="0"/>
      <w:divBdr>
        <w:top w:val="none" w:sz="0" w:space="0" w:color="auto"/>
        <w:left w:val="none" w:sz="0" w:space="0" w:color="auto"/>
        <w:bottom w:val="none" w:sz="0" w:space="0" w:color="auto"/>
        <w:right w:val="none" w:sz="0" w:space="0" w:color="auto"/>
      </w:divBdr>
    </w:div>
    <w:div w:id="644745771">
      <w:bodyDiv w:val="1"/>
      <w:marLeft w:val="0"/>
      <w:marRight w:val="0"/>
      <w:marTop w:val="0"/>
      <w:marBottom w:val="0"/>
      <w:divBdr>
        <w:top w:val="none" w:sz="0" w:space="0" w:color="auto"/>
        <w:left w:val="none" w:sz="0" w:space="0" w:color="auto"/>
        <w:bottom w:val="none" w:sz="0" w:space="0" w:color="auto"/>
        <w:right w:val="none" w:sz="0" w:space="0" w:color="auto"/>
      </w:divBdr>
    </w:div>
    <w:div w:id="664207408">
      <w:bodyDiv w:val="1"/>
      <w:marLeft w:val="0"/>
      <w:marRight w:val="0"/>
      <w:marTop w:val="0"/>
      <w:marBottom w:val="0"/>
      <w:divBdr>
        <w:top w:val="none" w:sz="0" w:space="0" w:color="auto"/>
        <w:left w:val="none" w:sz="0" w:space="0" w:color="auto"/>
        <w:bottom w:val="none" w:sz="0" w:space="0" w:color="auto"/>
        <w:right w:val="none" w:sz="0" w:space="0" w:color="auto"/>
      </w:divBdr>
    </w:div>
    <w:div w:id="672412871">
      <w:bodyDiv w:val="1"/>
      <w:marLeft w:val="0"/>
      <w:marRight w:val="0"/>
      <w:marTop w:val="0"/>
      <w:marBottom w:val="0"/>
      <w:divBdr>
        <w:top w:val="none" w:sz="0" w:space="0" w:color="auto"/>
        <w:left w:val="none" w:sz="0" w:space="0" w:color="auto"/>
        <w:bottom w:val="none" w:sz="0" w:space="0" w:color="auto"/>
        <w:right w:val="none" w:sz="0" w:space="0" w:color="auto"/>
      </w:divBdr>
    </w:div>
    <w:div w:id="716515710">
      <w:bodyDiv w:val="1"/>
      <w:marLeft w:val="0"/>
      <w:marRight w:val="0"/>
      <w:marTop w:val="0"/>
      <w:marBottom w:val="0"/>
      <w:divBdr>
        <w:top w:val="none" w:sz="0" w:space="0" w:color="auto"/>
        <w:left w:val="none" w:sz="0" w:space="0" w:color="auto"/>
        <w:bottom w:val="none" w:sz="0" w:space="0" w:color="auto"/>
        <w:right w:val="none" w:sz="0" w:space="0" w:color="auto"/>
      </w:divBdr>
      <w:divsChild>
        <w:div w:id="1175850353">
          <w:marLeft w:val="0"/>
          <w:marRight w:val="0"/>
          <w:marTop w:val="0"/>
          <w:marBottom w:val="0"/>
          <w:divBdr>
            <w:top w:val="none" w:sz="0" w:space="0" w:color="auto"/>
            <w:left w:val="none" w:sz="0" w:space="0" w:color="auto"/>
            <w:bottom w:val="none" w:sz="0" w:space="0" w:color="auto"/>
            <w:right w:val="none" w:sz="0" w:space="0" w:color="auto"/>
          </w:divBdr>
          <w:divsChild>
            <w:div w:id="190269523">
              <w:marLeft w:val="0"/>
              <w:marRight w:val="0"/>
              <w:marTop w:val="0"/>
              <w:marBottom w:val="0"/>
              <w:divBdr>
                <w:top w:val="none" w:sz="0" w:space="0" w:color="auto"/>
                <w:left w:val="none" w:sz="0" w:space="0" w:color="auto"/>
                <w:bottom w:val="none" w:sz="0" w:space="0" w:color="auto"/>
                <w:right w:val="none" w:sz="0" w:space="0" w:color="auto"/>
              </w:divBdr>
              <w:divsChild>
                <w:div w:id="906299923">
                  <w:marLeft w:val="0"/>
                  <w:marRight w:val="0"/>
                  <w:marTop w:val="0"/>
                  <w:marBottom w:val="0"/>
                  <w:divBdr>
                    <w:top w:val="none" w:sz="0" w:space="0" w:color="auto"/>
                    <w:left w:val="none" w:sz="0" w:space="0" w:color="auto"/>
                    <w:bottom w:val="none" w:sz="0" w:space="0" w:color="auto"/>
                    <w:right w:val="none" w:sz="0" w:space="0" w:color="auto"/>
                  </w:divBdr>
                  <w:divsChild>
                    <w:div w:id="281501454">
                      <w:marLeft w:val="0"/>
                      <w:marRight w:val="0"/>
                      <w:marTop w:val="0"/>
                      <w:marBottom w:val="0"/>
                      <w:divBdr>
                        <w:top w:val="none" w:sz="0" w:space="0" w:color="auto"/>
                        <w:left w:val="none" w:sz="0" w:space="0" w:color="auto"/>
                        <w:bottom w:val="none" w:sz="0" w:space="0" w:color="auto"/>
                        <w:right w:val="none" w:sz="0" w:space="0" w:color="auto"/>
                      </w:divBdr>
                      <w:divsChild>
                        <w:div w:id="536623932">
                          <w:marLeft w:val="0"/>
                          <w:marRight w:val="0"/>
                          <w:marTop w:val="0"/>
                          <w:marBottom w:val="0"/>
                          <w:divBdr>
                            <w:top w:val="none" w:sz="0" w:space="0" w:color="auto"/>
                            <w:left w:val="none" w:sz="0" w:space="0" w:color="auto"/>
                            <w:bottom w:val="none" w:sz="0" w:space="0" w:color="auto"/>
                            <w:right w:val="none" w:sz="0" w:space="0" w:color="auto"/>
                          </w:divBdr>
                          <w:divsChild>
                            <w:div w:id="5492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7136">
      <w:bodyDiv w:val="1"/>
      <w:marLeft w:val="0"/>
      <w:marRight w:val="0"/>
      <w:marTop w:val="0"/>
      <w:marBottom w:val="0"/>
      <w:divBdr>
        <w:top w:val="none" w:sz="0" w:space="0" w:color="auto"/>
        <w:left w:val="none" w:sz="0" w:space="0" w:color="auto"/>
        <w:bottom w:val="none" w:sz="0" w:space="0" w:color="auto"/>
        <w:right w:val="none" w:sz="0" w:space="0" w:color="auto"/>
      </w:divBdr>
    </w:div>
    <w:div w:id="764690761">
      <w:bodyDiv w:val="1"/>
      <w:marLeft w:val="0"/>
      <w:marRight w:val="0"/>
      <w:marTop w:val="0"/>
      <w:marBottom w:val="0"/>
      <w:divBdr>
        <w:top w:val="none" w:sz="0" w:space="0" w:color="auto"/>
        <w:left w:val="none" w:sz="0" w:space="0" w:color="auto"/>
        <w:bottom w:val="none" w:sz="0" w:space="0" w:color="auto"/>
        <w:right w:val="none" w:sz="0" w:space="0" w:color="auto"/>
      </w:divBdr>
    </w:div>
    <w:div w:id="773087689">
      <w:bodyDiv w:val="1"/>
      <w:marLeft w:val="0"/>
      <w:marRight w:val="0"/>
      <w:marTop w:val="0"/>
      <w:marBottom w:val="0"/>
      <w:divBdr>
        <w:top w:val="none" w:sz="0" w:space="0" w:color="auto"/>
        <w:left w:val="none" w:sz="0" w:space="0" w:color="auto"/>
        <w:bottom w:val="none" w:sz="0" w:space="0" w:color="auto"/>
        <w:right w:val="none" w:sz="0" w:space="0" w:color="auto"/>
      </w:divBdr>
    </w:div>
    <w:div w:id="786317414">
      <w:bodyDiv w:val="1"/>
      <w:marLeft w:val="0"/>
      <w:marRight w:val="0"/>
      <w:marTop w:val="0"/>
      <w:marBottom w:val="0"/>
      <w:divBdr>
        <w:top w:val="none" w:sz="0" w:space="0" w:color="auto"/>
        <w:left w:val="none" w:sz="0" w:space="0" w:color="auto"/>
        <w:bottom w:val="none" w:sz="0" w:space="0" w:color="auto"/>
        <w:right w:val="none" w:sz="0" w:space="0" w:color="auto"/>
      </w:divBdr>
      <w:divsChild>
        <w:div w:id="951937943">
          <w:marLeft w:val="0"/>
          <w:marRight w:val="0"/>
          <w:marTop w:val="0"/>
          <w:marBottom w:val="0"/>
          <w:divBdr>
            <w:top w:val="none" w:sz="0" w:space="0" w:color="auto"/>
            <w:left w:val="none" w:sz="0" w:space="0" w:color="auto"/>
            <w:bottom w:val="none" w:sz="0" w:space="0" w:color="auto"/>
            <w:right w:val="none" w:sz="0" w:space="0" w:color="auto"/>
          </w:divBdr>
          <w:divsChild>
            <w:div w:id="778185489">
              <w:marLeft w:val="0"/>
              <w:marRight w:val="0"/>
              <w:marTop w:val="0"/>
              <w:marBottom w:val="0"/>
              <w:divBdr>
                <w:top w:val="none" w:sz="0" w:space="0" w:color="auto"/>
                <w:left w:val="none" w:sz="0" w:space="0" w:color="auto"/>
                <w:bottom w:val="none" w:sz="0" w:space="0" w:color="auto"/>
                <w:right w:val="none" w:sz="0" w:space="0" w:color="auto"/>
              </w:divBdr>
              <w:divsChild>
                <w:div w:id="2107384649">
                  <w:marLeft w:val="0"/>
                  <w:marRight w:val="0"/>
                  <w:marTop w:val="0"/>
                  <w:marBottom w:val="0"/>
                  <w:divBdr>
                    <w:top w:val="none" w:sz="0" w:space="0" w:color="auto"/>
                    <w:left w:val="none" w:sz="0" w:space="0" w:color="auto"/>
                    <w:bottom w:val="none" w:sz="0" w:space="0" w:color="auto"/>
                    <w:right w:val="none" w:sz="0" w:space="0" w:color="auto"/>
                  </w:divBdr>
                  <w:divsChild>
                    <w:div w:id="579943241">
                      <w:marLeft w:val="0"/>
                      <w:marRight w:val="0"/>
                      <w:marTop w:val="0"/>
                      <w:marBottom w:val="0"/>
                      <w:divBdr>
                        <w:top w:val="none" w:sz="0" w:space="0" w:color="auto"/>
                        <w:left w:val="none" w:sz="0" w:space="0" w:color="auto"/>
                        <w:bottom w:val="none" w:sz="0" w:space="0" w:color="auto"/>
                        <w:right w:val="none" w:sz="0" w:space="0" w:color="auto"/>
                      </w:divBdr>
                      <w:divsChild>
                        <w:div w:id="753668355">
                          <w:marLeft w:val="0"/>
                          <w:marRight w:val="0"/>
                          <w:marTop w:val="0"/>
                          <w:marBottom w:val="0"/>
                          <w:divBdr>
                            <w:top w:val="none" w:sz="0" w:space="0" w:color="auto"/>
                            <w:left w:val="none" w:sz="0" w:space="0" w:color="auto"/>
                            <w:bottom w:val="none" w:sz="0" w:space="0" w:color="auto"/>
                            <w:right w:val="none" w:sz="0" w:space="0" w:color="auto"/>
                          </w:divBdr>
                          <w:divsChild>
                            <w:div w:id="102224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20052">
      <w:bodyDiv w:val="1"/>
      <w:marLeft w:val="0"/>
      <w:marRight w:val="0"/>
      <w:marTop w:val="0"/>
      <w:marBottom w:val="0"/>
      <w:divBdr>
        <w:top w:val="none" w:sz="0" w:space="0" w:color="auto"/>
        <w:left w:val="none" w:sz="0" w:space="0" w:color="auto"/>
        <w:bottom w:val="none" w:sz="0" w:space="0" w:color="auto"/>
        <w:right w:val="none" w:sz="0" w:space="0" w:color="auto"/>
      </w:divBdr>
      <w:divsChild>
        <w:div w:id="117645489">
          <w:marLeft w:val="0"/>
          <w:marRight w:val="0"/>
          <w:marTop w:val="0"/>
          <w:marBottom w:val="0"/>
          <w:divBdr>
            <w:top w:val="none" w:sz="0" w:space="0" w:color="auto"/>
            <w:left w:val="none" w:sz="0" w:space="0" w:color="auto"/>
            <w:bottom w:val="none" w:sz="0" w:space="0" w:color="auto"/>
            <w:right w:val="none" w:sz="0" w:space="0" w:color="auto"/>
          </w:divBdr>
          <w:divsChild>
            <w:div w:id="1862710">
              <w:marLeft w:val="0"/>
              <w:marRight w:val="0"/>
              <w:marTop w:val="0"/>
              <w:marBottom w:val="0"/>
              <w:divBdr>
                <w:top w:val="none" w:sz="0" w:space="0" w:color="auto"/>
                <w:left w:val="none" w:sz="0" w:space="0" w:color="auto"/>
                <w:bottom w:val="none" w:sz="0" w:space="0" w:color="auto"/>
                <w:right w:val="none" w:sz="0" w:space="0" w:color="auto"/>
              </w:divBdr>
              <w:divsChild>
                <w:div w:id="531069383">
                  <w:marLeft w:val="0"/>
                  <w:marRight w:val="0"/>
                  <w:marTop w:val="0"/>
                  <w:marBottom w:val="0"/>
                  <w:divBdr>
                    <w:top w:val="none" w:sz="0" w:space="0" w:color="auto"/>
                    <w:left w:val="none" w:sz="0" w:space="0" w:color="auto"/>
                    <w:bottom w:val="none" w:sz="0" w:space="0" w:color="auto"/>
                    <w:right w:val="none" w:sz="0" w:space="0" w:color="auto"/>
                  </w:divBdr>
                  <w:divsChild>
                    <w:div w:id="45760761">
                      <w:marLeft w:val="0"/>
                      <w:marRight w:val="0"/>
                      <w:marTop w:val="0"/>
                      <w:marBottom w:val="0"/>
                      <w:divBdr>
                        <w:top w:val="none" w:sz="0" w:space="0" w:color="auto"/>
                        <w:left w:val="none" w:sz="0" w:space="0" w:color="auto"/>
                        <w:bottom w:val="none" w:sz="0" w:space="0" w:color="auto"/>
                        <w:right w:val="none" w:sz="0" w:space="0" w:color="auto"/>
                      </w:divBdr>
                      <w:divsChild>
                        <w:div w:id="41905900">
                          <w:marLeft w:val="0"/>
                          <w:marRight w:val="0"/>
                          <w:marTop w:val="0"/>
                          <w:marBottom w:val="0"/>
                          <w:divBdr>
                            <w:top w:val="none" w:sz="0" w:space="0" w:color="auto"/>
                            <w:left w:val="none" w:sz="0" w:space="0" w:color="auto"/>
                            <w:bottom w:val="none" w:sz="0" w:space="0" w:color="auto"/>
                            <w:right w:val="none" w:sz="0" w:space="0" w:color="auto"/>
                          </w:divBdr>
                          <w:divsChild>
                            <w:div w:id="17234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81416">
      <w:bodyDiv w:val="1"/>
      <w:marLeft w:val="0"/>
      <w:marRight w:val="0"/>
      <w:marTop w:val="0"/>
      <w:marBottom w:val="0"/>
      <w:divBdr>
        <w:top w:val="none" w:sz="0" w:space="0" w:color="auto"/>
        <w:left w:val="none" w:sz="0" w:space="0" w:color="auto"/>
        <w:bottom w:val="none" w:sz="0" w:space="0" w:color="auto"/>
        <w:right w:val="none" w:sz="0" w:space="0" w:color="auto"/>
      </w:divBdr>
    </w:div>
    <w:div w:id="821973028">
      <w:bodyDiv w:val="1"/>
      <w:marLeft w:val="0"/>
      <w:marRight w:val="0"/>
      <w:marTop w:val="0"/>
      <w:marBottom w:val="0"/>
      <w:divBdr>
        <w:top w:val="none" w:sz="0" w:space="0" w:color="auto"/>
        <w:left w:val="none" w:sz="0" w:space="0" w:color="auto"/>
        <w:bottom w:val="none" w:sz="0" w:space="0" w:color="auto"/>
        <w:right w:val="none" w:sz="0" w:space="0" w:color="auto"/>
      </w:divBdr>
    </w:div>
    <w:div w:id="1068769929">
      <w:bodyDiv w:val="1"/>
      <w:marLeft w:val="0"/>
      <w:marRight w:val="0"/>
      <w:marTop w:val="0"/>
      <w:marBottom w:val="0"/>
      <w:divBdr>
        <w:top w:val="none" w:sz="0" w:space="0" w:color="auto"/>
        <w:left w:val="none" w:sz="0" w:space="0" w:color="auto"/>
        <w:bottom w:val="none" w:sz="0" w:space="0" w:color="auto"/>
        <w:right w:val="none" w:sz="0" w:space="0" w:color="auto"/>
      </w:divBdr>
    </w:div>
    <w:div w:id="1093891339">
      <w:bodyDiv w:val="1"/>
      <w:marLeft w:val="0"/>
      <w:marRight w:val="0"/>
      <w:marTop w:val="0"/>
      <w:marBottom w:val="0"/>
      <w:divBdr>
        <w:top w:val="none" w:sz="0" w:space="0" w:color="auto"/>
        <w:left w:val="none" w:sz="0" w:space="0" w:color="auto"/>
        <w:bottom w:val="none" w:sz="0" w:space="0" w:color="auto"/>
        <w:right w:val="none" w:sz="0" w:space="0" w:color="auto"/>
      </w:divBdr>
    </w:div>
    <w:div w:id="1144662045">
      <w:bodyDiv w:val="1"/>
      <w:marLeft w:val="0"/>
      <w:marRight w:val="0"/>
      <w:marTop w:val="0"/>
      <w:marBottom w:val="0"/>
      <w:divBdr>
        <w:top w:val="none" w:sz="0" w:space="0" w:color="auto"/>
        <w:left w:val="none" w:sz="0" w:space="0" w:color="auto"/>
        <w:bottom w:val="none" w:sz="0" w:space="0" w:color="auto"/>
        <w:right w:val="none" w:sz="0" w:space="0" w:color="auto"/>
      </w:divBdr>
    </w:div>
    <w:div w:id="1260528550">
      <w:bodyDiv w:val="1"/>
      <w:marLeft w:val="0"/>
      <w:marRight w:val="0"/>
      <w:marTop w:val="0"/>
      <w:marBottom w:val="0"/>
      <w:divBdr>
        <w:top w:val="none" w:sz="0" w:space="0" w:color="auto"/>
        <w:left w:val="none" w:sz="0" w:space="0" w:color="auto"/>
        <w:bottom w:val="none" w:sz="0" w:space="0" w:color="auto"/>
        <w:right w:val="none" w:sz="0" w:space="0" w:color="auto"/>
      </w:divBdr>
    </w:div>
    <w:div w:id="1304506473">
      <w:bodyDiv w:val="1"/>
      <w:marLeft w:val="0"/>
      <w:marRight w:val="0"/>
      <w:marTop w:val="0"/>
      <w:marBottom w:val="0"/>
      <w:divBdr>
        <w:top w:val="none" w:sz="0" w:space="0" w:color="auto"/>
        <w:left w:val="none" w:sz="0" w:space="0" w:color="auto"/>
        <w:bottom w:val="none" w:sz="0" w:space="0" w:color="auto"/>
        <w:right w:val="none" w:sz="0" w:space="0" w:color="auto"/>
      </w:divBdr>
    </w:div>
    <w:div w:id="1309630777">
      <w:bodyDiv w:val="1"/>
      <w:marLeft w:val="0"/>
      <w:marRight w:val="0"/>
      <w:marTop w:val="0"/>
      <w:marBottom w:val="0"/>
      <w:divBdr>
        <w:top w:val="none" w:sz="0" w:space="0" w:color="auto"/>
        <w:left w:val="none" w:sz="0" w:space="0" w:color="auto"/>
        <w:bottom w:val="none" w:sz="0" w:space="0" w:color="auto"/>
        <w:right w:val="none" w:sz="0" w:space="0" w:color="auto"/>
      </w:divBdr>
    </w:div>
    <w:div w:id="1344670233">
      <w:bodyDiv w:val="1"/>
      <w:marLeft w:val="0"/>
      <w:marRight w:val="0"/>
      <w:marTop w:val="0"/>
      <w:marBottom w:val="0"/>
      <w:divBdr>
        <w:top w:val="none" w:sz="0" w:space="0" w:color="auto"/>
        <w:left w:val="none" w:sz="0" w:space="0" w:color="auto"/>
        <w:bottom w:val="none" w:sz="0" w:space="0" w:color="auto"/>
        <w:right w:val="none" w:sz="0" w:space="0" w:color="auto"/>
      </w:divBdr>
    </w:div>
    <w:div w:id="1438522643">
      <w:bodyDiv w:val="1"/>
      <w:marLeft w:val="0"/>
      <w:marRight w:val="0"/>
      <w:marTop w:val="0"/>
      <w:marBottom w:val="0"/>
      <w:divBdr>
        <w:top w:val="none" w:sz="0" w:space="0" w:color="auto"/>
        <w:left w:val="none" w:sz="0" w:space="0" w:color="auto"/>
        <w:bottom w:val="none" w:sz="0" w:space="0" w:color="auto"/>
        <w:right w:val="none" w:sz="0" w:space="0" w:color="auto"/>
      </w:divBdr>
    </w:div>
    <w:div w:id="1496187928">
      <w:bodyDiv w:val="1"/>
      <w:marLeft w:val="0"/>
      <w:marRight w:val="0"/>
      <w:marTop w:val="0"/>
      <w:marBottom w:val="0"/>
      <w:divBdr>
        <w:top w:val="none" w:sz="0" w:space="0" w:color="auto"/>
        <w:left w:val="none" w:sz="0" w:space="0" w:color="auto"/>
        <w:bottom w:val="none" w:sz="0" w:space="0" w:color="auto"/>
        <w:right w:val="none" w:sz="0" w:space="0" w:color="auto"/>
      </w:divBdr>
    </w:div>
    <w:div w:id="1502964695">
      <w:bodyDiv w:val="1"/>
      <w:marLeft w:val="0"/>
      <w:marRight w:val="0"/>
      <w:marTop w:val="0"/>
      <w:marBottom w:val="0"/>
      <w:divBdr>
        <w:top w:val="none" w:sz="0" w:space="0" w:color="auto"/>
        <w:left w:val="none" w:sz="0" w:space="0" w:color="auto"/>
        <w:bottom w:val="none" w:sz="0" w:space="0" w:color="auto"/>
        <w:right w:val="none" w:sz="0" w:space="0" w:color="auto"/>
      </w:divBdr>
    </w:div>
    <w:div w:id="1532915634">
      <w:bodyDiv w:val="1"/>
      <w:marLeft w:val="0"/>
      <w:marRight w:val="0"/>
      <w:marTop w:val="0"/>
      <w:marBottom w:val="0"/>
      <w:divBdr>
        <w:top w:val="none" w:sz="0" w:space="0" w:color="auto"/>
        <w:left w:val="none" w:sz="0" w:space="0" w:color="auto"/>
        <w:bottom w:val="none" w:sz="0" w:space="0" w:color="auto"/>
        <w:right w:val="none" w:sz="0" w:space="0" w:color="auto"/>
      </w:divBdr>
    </w:div>
    <w:div w:id="1545940688">
      <w:bodyDiv w:val="1"/>
      <w:marLeft w:val="0"/>
      <w:marRight w:val="0"/>
      <w:marTop w:val="0"/>
      <w:marBottom w:val="0"/>
      <w:divBdr>
        <w:top w:val="none" w:sz="0" w:space="0" w:color="auto"/>
        <w:left w:val="none" w:sz="0" w:space="0" w:color="auto"/>
        <w:bottom w:val="none" w:sz="0" w:space="0" w:color="auto"/>
        <w:right w:val="none" w:sz="0" w:space="0" w:color="auto"/>
      </w:divBdr>
      <w:divsChild>
        <w:div w:id="85884242">
          <w:marLeft w:val="0"/>
          <w:marRight w:val="0"/>
          <w:marTop w:val="0"/>
          <w:marBottom w:val="0"/>
          <w:divBdr>
            <w:top w:val="none" w:sz="0" w:space="0" w:color="auto"/>
            <w:left w:val="none" w:sz="0" w:space="0" w:color="auto"/>
            <w:bottom w:val="none" w:sz="0" w:space="0" w:color="auto"/>
            <w:right w:val="none" w:sz="0" w:space="0" w:color="auto"/>
          </w:divBdr>
          <w:divsChild>
            <w:div w:id="1287737907">
              <w:marLeft w:val="0"/>
              <w:marRight w:val="0"/>
              <w:marTop w:val="0"/>
              <w:marBottom w:val="0"/>
              <w:divBdr>
                <w:top w:val="none" w:sz="0" w:space="0" w:color="auto"/>
                <w:left w:val="none" w:sz="0" w:space="0" w:color="auto"/>
                <w:bottom w:val="none" w:sz="0" w:space="0" w:color="auto"/>
                <w:right w:val="none" w:sz="0" w:space="0" w:color="auto"/>
              </w:divBdr>
              <w:divsChild>
                <w:div w:id="1585338820">
                  <w:marLeft w:val="0"/>
                  <w:marRight w:val="0"/>
                  <w:marTop w:val="0"/>
                  <w:marBottom w:val="0"/>
                  <w:divBdr>
                    <w:top w:val="none" w:sz="0" w:space="0" w:color="auto"/>
                    <w:left w:val="none" w:sz="0" w:space="0" w:color="auto"/>
                    <w:bottom w:val="none" w:sz="0" w:space="0" w:color="auto"/>
                    <w:right w:val="none" w:sz="0" w:space="0" w:color="auto"/>
                  </w:divBdr>
                  <w:divsChild>
                    <w:div w:id="2039114335">
                      <w:marLeft w:val="0"/>
                      <w:marRight w:val="0"/>
                      <w:marTop w:val="0"/>
                      <w:marBottom w:val="0"/>
                      <w:divBdr>
                        <w:top w:val="none" w:sz="0" w:space="0" w:color="auto"/>
                        <w:left w:val="none" w:sz="0" w:space="0" w:color="auto"/>
                        <w:bottom w:val="none" w:sz="0" w:space="0" w:color="auto"/>
                        <w:right w:val="none" w:sz="0" w:space="0" w:color="auto"/>
                      </w:divBdr>
                      <w:divsChild>
                        <w:div w:id="36398020">
                          <w:marLeft w:val="0"/>
                          <w:marRight w:val="0"/>
                          <w:marTop w:val="0"/>
                          <w:marBottom w:val="0"/>
                          <w:divBdr>
                            <w:top w:val="none" w:sz="0" w:space="0" w:color="auto"/>
                            <w:left w:val="none" w:sz="0" w:space="0" w:color="auto"/>
                            <w:bottom w:val="none" w:sz="0" w:space="0" w:color="auto"/>
                            <w:right w:val="none" w:sz="0" w:space="0" w:color="auto"/>
                          </w:divBdr>
                          <w:divsChild>
                            <w:div w:id="2019505162">
                              <w:marLeft w:val="0"/>
                              <w:marRight w:val="0"/>
                              <w:marTop w:val="0"/>
                              <w:marBottom w:val="0"/>
                              <w:divBdr>
                                <w:top w:val="none" w:sz="0" w:space="0" w:color="auto"/>
                                <w:left w:val="none" w:sz="0" w:space="0" w:color="auto"/>
                                <w:bottom w:val="none" w:sz="0" w:space="0" w:color="auto"/>
                                <w:right w:val="none" w:sz="0" w:space="0" w:color="auto"/>
                              </w:divBdr>
                              <w:divsChild>
                                <w:div w:id="108623466">
                                  <w:marLeft w:val="0"/>
                                  <w:marRight w:val="0"/>
                                  <w:marTop w:val="0"/>
                                  <w:marBottom w:val="0"/>
                                  <w:divBdr>
                                    <w:top w:val="none" w:sz="0" w:space="0" w:color="auto"/>
                                    <w:left w:val="none" w:sz="0" w:space="0" w:color="auto"/>
                                    <w:bottom w:val="none" w:sz="0" w:space="0" w:color="auto"/>
                                    <w:right w:val="none" w:sz="0" w:space="0" w:color="auto"/>
                                  </w:divBdr>
                                  <w:divsChild>
                                    <w:div w:id="42480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0357388">
      <w:bodyDiv w:val="1"/>
      <w:marLeft w:val="0"/>
      <w:marRight w:val="0"/>
      <w:marTop w:val="0"/>
      <w:marBottom w:val="0"/>
      <w:divBdr>
        <w:top w:val="none" w:sz="0" w:space="0" w:color="auto"/>
        <w:left w:val="none" w:sz="0" w:space="0" w:color="auto"/>
        <w:bottom w:val="none" w:sz="0" w:space="0" w:color="auto"/>
        <w:right w:val="none" w:sz="0" w:space="0" w:color="auto"/>
      </w:divBdr>
    </w:div>
    <w:div w:id="1582761519">
      <w:bodyDiv w:val="1"/>
      <w:marLeft w:val="0"/>
      <w:marRight w:val="0"/>
      <w:marTop w:val="0"/>
      <w:marBottom w:val="0"/>
      <w:divBdr>
        <w:top w:val="none" w:sz="0" w:space="0" w:color="auto"/>
        <w:left w:val="none" w:sz="0" w:space="0" w:color="auto"/>
        <w:bottom w:val="none" w:sz="0" w:space="0" w:color="auto"/>
        <w:right w:val="none" w:sz="0" w:space="0" w:color="auto"/>
      </w:divBdr>
    </w:div>
    <w:div w:id="1589923192">
      <w:bodyDiv w:val="1"/>
      <w:marLeft w:val="0"/>
      <w:marRight w:val="0"/>
      <w:marTop w:val="0"/>
      <w:marBottom w:val="0"/>
      <w:divBdr>
        <w:top w:val="none" w:sz="0" w:space="0" w:color="auto"/>
        <w:left w:val="none" w:sz="0" w:space="0" w:color="auto"/>
        <w:bottom w:val="none" w:sz="0" w:space="0" w:color="auto"/>
        <w:right w:val="none" w:sz="0" w:space="0" w:color="auto"/>
      </w:divBdr>
    </w:div>
    <w:div w:id="1682782807">
      <w:bodyDiv w:val="1"/>
      <w:marLeft w:val="0"/>
      <w:marRight w:val="0"/>
      <w:marTop w:val="0"/>
      <w:marBottom w:val="0"/>
      <w:divBdr>
        <w:top w:val="none" w:sz="0" w:space="0" w:color="auto"/>
        <w:left w:val="none" w:sz="0" w:space="0" w:color="auto"/>
        <w:bottom w:val="none" w:sz="0" w:space="0" w:color="auto"/>
        <w:right w:val="none" w:sz="0" w:space="0" w:color="auto"/>
      </w:divBdr>
    </w:div>
    <w:div w:id="1688019895">
      <w:bodyDiv w:val="1"/>
      <w:marLeft w:val="0"/>
      <w:marRight w:val="0"/>
      <w:marTop w:val="0"/>
      <w:marBottom w:val="0"/>
      <w:divBdr>
        <w:top w:val="none" w:sz="0" w:space="0" w:color="auto"/>
        <w:left w:val="none" w:sz="0" w:space="0" w:color="auto"/>
        <w:bottom w:val="none" w:sz="0" w:space="0" w:color="auto"/>
        <w:right w:val="none" w:sz="0" w:space="0" w:color="auto"/>
      </w:divBdr>
    </w:div>
    <w:div w:id="1717896450">
      <w:bodyDiv w:val="1"/>
      <w:marLeft w:val="0"/>
      <w:marRight w:val="0"/>
      <w:marTop w:val="0"/>
      <w:marBottom w:val="0"/>
      <w:divBdr>
        <w:top w:val="none" w:sz="0" w:space="0" w:color="auto"/>
        <w:left w:val="none" w:sz="0" w:space="0" w:color="auto"/>
        <w:bottom w:val="none" w:sz="0" w:space="0" w:color="auto"/>
        <w:right w:val="none" w:sz="0" w:space="0" w:color="auto"/>
      </w:divBdr>
    </w:div>
    <w:div w:id="1722292661">
      <w:bodyDiv w:val="1"/>
      <w:marLeft w:val="0"/>
      <w:marRight w:val="0"/>
      <w:marTop w:val="0"/>
      <w:marBottom w:val="0"/>
      <w:divBdr>
        <w:top w:val="none" w:sz="0" w:space="0" w:color="auto"/>
        <w:left w:val="none" w:sz="0" w:space="0" w:color="auto"/>
        <w:bottom w:val="none" w:sz="0" w:space="0" w:color="auto"/>
        <w:right w:val="none" w:sz="0" w:space="0" w:color="auto"/>
      </w:divBdr>
    </w:div>
    <w:div w:id="1739280390">
      <w:bodyDiv w:val="1"/>
      <w:marLeft w:val="0"/>
      <w:marRight w:val="0"/>
      <w:marTop w:val="0"/>
      <w:marBottom w:val="0"/>
      <w:divBdr>
        <w:top w:val="none" w:sz="0" w:space="0" w:color="auto"/>
        <w:left w:val="none" w:sz="0" w:space="0" w:color="auto"/>
        <w:bottom w:val="none" w:sz="0" w:space="0" w:color="auto"/>
        <w:right w:val="none" w:sz="0" w:space="0" w:color="auto"/>
      </w:divBdr>
    </w:div>
    <w:div w:id="1812670974">
      <w:bodyDiv w:val="1"/>
      <w:marLeft w:val="0"/>
      <w:marRight w:val="0"/>
      <w:marTop w:val="0"/>
      <w:marBottom w:val="0"/>
      <w:divBdr>
        <w:top w:val="none" w:sz="0" w:space="0" w:color="auto"/>
        <w:left w:val="none" w:sz="0" w:space="0" w:color="auto"/>
        <w:bottom w:val="none" w:sz="0" w:space="0" w:color="auto"/>
        <w:right w:val="none" w:sz="0" w:space="0" w:color="auto"/>
      </w:divBdr>
    </w:div>
    <w:div w:id="1901362031">
      <w:bodyDiv w:val="1"/>
      <w:marLeft w:val="0"/>
      <w:marRight w:val="0"/>
      <w:marTop w:val="0"/>
      <w:marBottom w:val="0"/>
      <w:divBdr>
        <w:top w:val="none" w:sz="0" w:space="0" w:color="auto"/>
        <w:left w:val="none" w:sz="0" w:space="0" w:color="auto"/>
        <w:bottom w:val="none" w:sz="0" w:space="0" w:color="auto"/>
        <w:right w:val="none" w:sz="0" w:space="0" w:color="auto"/>
      </w:divBdr>
    </w:div>
    <w:div w:id="1963923238">
      <w:bodyDiv w:val="1"/>
      <w:marLeft w:val="0"/>
      <w:marRight w:val="0"/>
      <w:marTop w:val="0"/>
      <w:marBottom w:val="0"/>
      <w:divBdr>
        <w:top w:val="none" w:sz="0" w:space="0" w:color="auto"/>
        <w:left w:val="none" w:sz="0" w:space="0" w:color="auto"/>
        <w:bottom w:val="none" w:sz="0" w:space="0" w:color="auto"/>
        <w:right w:val="none" w:sz="0" w:space="0" w:color="auto"/>
      </w:divBdr>
    </w:div>
    <w:div w:id="2025158402">
      <w:bodyDiv w:val="1"/>
      <w:marLeft w:val="0"/>
      <w:marRight w:val="0"/>
      <w:marTop w:val="0"/>
      <w:marBottom w:val="0"/>
      <w:divBdr>
        <w:top w:val="none" w:sz="0" w:space="0" w:color="auto"/>
        <w:left w:val="none" w:sz="0" w:space="0" w:color="auto"/>
        <w:bottom w:val="none" w:sz="0" w:space="0" w:color="auto"/>
        <w:right w:val="none" w:sz="0" w:space="0" w:color="auto"/>
      </w:divBdr>
    </w:div>
    <w:div w:id="2057849481">
      <w:bodyDiv w:val="1"/>
      <w:marLeft w:val="0"/>
      <w:marRight w:val="0"/>
      <w:marTop w:val="0"/>
      <w:marBottom w:val="0"/>
      <w:divBdr>
        <w:top w:val="none" w:sz="0" w:space="0" w:color="auto"/>
        <w:left w:val="none" w:sz="0" w:space="0" w:color="auto"/>
        <w:bottom w:val="none" w:sz="0" w:space="0" w:color="auto"/>
        <w:right w:val="none" w:sz="0" w:space="0" w:color="auto"/>
      </w:divBdr>
      <w:divsChild>
        <w:div w:id="1253971846">
          <w:marLeft w:val="0"/>
          <w:marRight w:val="0"/>
          <w:marTop w:val="0"/>
          <w:marBottom w:val="0"/>
          <w:divBdr>
            <w:top w:val="none" w:sz="0" w:space="0" w:color="auto"/>
            <w:left w:val="none" w:sz="0" w:space="0" w:color="auto"/>
            <w:bottom w:val="none" w:sz="0" w:space="0" w:color="auto"/>
            <w:right w:val="none" w:sz="0" w:space="0" w:color="auto"/>
          </w:divBdr>
          <w:divsChild>
            <w:div w:id="420637222">
              <w:marLeft w:val="0"/>
              <w:marRight w:val="0"/>
              <w:marTop w:val="0"/>
              <w:marBottom w:val="0"/>
              <w:divBdr>
                <w:top w:val="none" w:sz="0" w:space="0" w:color="auto"/>
                <w:left w:val="none" w:sz="0" w:space="0" w:color="auto"/>
                <w:bottom w:val="none" w:sz="0" w:space="0" w:color="auto"/>
                <w:right w:val="none" w:sz="0" w:space="0" w:color="auto"/>
              </w:divBdr>
              <w:divsChild>
                <w:div w:id="914244230">
                  <w:marLeft w:val="0"/>
                  <w:marRight w:val="0"/>
                  <w:marTop w:val="0"/>
                  <w:marBottom w:val="0"/>
                  <w:divBdr>
                    <w:top w:val="none" w:sz="0" w:space="0" w:color="auto"/>
                    <w:left w:val="none" w:sz="0" w:space="0" w:color="auto"/>
                    <w:bottom w:val="none" w:sz="0" w:space="0" w:color="auto"/>
                    <w:right w:val="none" w:sz="0" w:space="0" w:color="auto"/>
                  </w:divBdr>
                  <w:divsChild>
                    <w:div w:id="262034723">
                      <w:marLeft w:val="0"/>
                      <w:marRight w:val="0"/>
                      <w:marTop w:val="0"/>
                      <w:marBottom w:val="0"/>
                      <w:divBdr>
                        <w:top w:val="none" w:sz="0" w:space="0" w:color="auto"/>
                        <w:left w:val="none" w:sz="0" w:space="0" w:color="auto"/>
                        <w:bottom w:val="none" w:sz="0" w:space="0" w:color="auto"/>
                        <w:right w:val="none" w:sz="0" w:space="0" w:color="auto"/>
                      </w:divBdr>
                      <w:divsChild>
                        <w:div w:id="727531108">
                          <w:marLeft w:val="0"/>
                          <w:marRight w:val="0"/>
                          <w:marTop w:val="0"/>
                          <w:marBottom w:val="0"/>
                          <w:divBdr>
                            <w:top w:val="none" w:sz="0" w:space="0" w:color="auto"/>
                            <w:left w:val="none" w:sz="0" w:space="0" w:color="auto"/>
                            <w:bottom w:val="none" w:sz="0" w:space="0" w:color="auto"/>
                            <w:right w:val="none" w:sz="0" w:space="0" w:color="auto"/>
                          </w:divBdr>
                          <w:divsChild>
                            <w:div w:id="1028331142">
                              <w:marLeft w:val="0"/>
                              <w:marRight w:val="0"/>
                              <w:marTop w:val="0"/>
                              <w:marBottom w:val="0"/>
                              <w:divBdr>
                                <w:top w:val="none" w:sz="0" w:space="0" w:color="auto"/>
                                <w:left w:val="none" w:sz="0" w:space="0" w:color="auto"/>
                                <w:bottom w:val="none" w:sz="0" w:space="0" w:color="auto"/>
                                <w:right w:val="none" w:sz="0" w:space="0" w:color="auto"/>
                              </w:divBdr>
                              <w:divsChild>
                                <w:div w:id="6572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973998">
      <w:bodyDiv w:val="1"/>
      <w:marLeft w:val="0"/>
      <w:marRight w:val="0"/>
      <w:marTop w:val="0"/>
      <w:marBottom w:val="0"/>
      <w:divBdr>
        <w:top w:val="none" w:sz="0" w:space="0" w:color="auto"/>
        <w:left w:val="none" w:sz="0" w:space="0" w:color="auto"/>
        <w:bottom w:val="none" w:sz="0" w:space="0" w:color="auto"/>
        <w:right w:val="none" w:sz="0" w:space="0" w:color="auto"/>
      </w:divBdr>
    </w:div>
    <w:div w:id="213820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8.xml"/><Relationship Id="rId42" Type="http://schemas.openxmlformats.org/officeDocument/2006/relationships/image" Target="media/image11.jpg"/><Relationship Id="rId47" Type="http://schemas.openxmlformats.org/officeDocument/2006/relationships/chart" Target="charts/chart1.xml"/><Relationship Id="rId63" Type="http://schemas.openxmlformats.org/officeDocument/2006/relationships/hyperlink" Target="https://books.openedition.org/uop/1645?lang=fr" TargetMode="External"/><Relationship Id="rId68" Type="http://schemas.openxmlformats.org/officeDocument/2006/relationships/hyperlink" Target="https://fr.scribd.com/document/508499767/rse-les-approches" TargetMode="External"/><Relationship Id="rId84" Type="http://schemas.openxmlformats.org/officeDocument/2006/relationships/hyperlink" Target="https://www.google.com/search?q=https%3A%2F%2Fwww.oecd.org%2Ffr%2Fgouvernementdentreprise%2F%23%3A%7E%3Atext%3DLa%2520gouvernance%2520d%27entreprise%2520contribue%2C%25C3%25A0%2520l%27%25C3%25A9dification%2520de%2520soci%25C3%25A9t%25C3%25A9s" TargetMode="External"/><Relationship Id="rId89" Type="http://schemas.openxmlformats.org/officeDocument/2006/relationships/header" Target="header20.xml"/><Relationship Id="rId16" Type="http://schemas.openxmlformats.org/officeDocument/2006/relationships/header" Target="header5.xml"/><Relationship Id="rId11" Type="http://schemas.openxmlformats.org/officeDocument/2006/relationships/header" Target="header2.xml"/><Relationship Id="rId32" Type="http://schemas.openxmlformats.org/officeDocument/2006/relationships/hyperlink" Target="https://done.fr/principes-rse" TargetMode="External"/><Relationship Id="rId37" Type="http://schemas.openxmlformats.org/officeDocument/2006/relationships/header" Target="header14.xml"/><Relationship Id="rId53" Type="http://schemas.openxmlformats.org/officeDocument/2006/relationships/header" Target="header15.xml"/><Relationship Id="rId58" Type="http://schemas.openxmlformats.org/officeDocument/2006/relationships/hyperlink" Target="https://pactemondial.org/2024/01/31/il-y-a-25-ans-kofi-annan-prononcait-le-discours-fondateur-du-pacte-mondial/" TargetMode="External"/><Relationship Id="rId74" Type="http://schemas.openxmlformats.org/officeDocument/2006/relationships/hyperlink" Target="https://www.google.com/search?q=https%3A%2F%2Fwww.agence-declic.fr%2Factualites%2Fleviers-performance-rse-entreprise-decryptage%2F" TargetMode="External"/><Relationship Id="rId79" Type="http://schemas.openxmlformats.org/officeDocument/2006/relationships/hyperlink" Target="https://www.google.com/search?q=https%3A%2F%2Fwww.infolegale.fr%2Fblog%2Frse-quels-sont-les-3-piliers" TargetMode="External"/><Relationship Id="rId102" Type="http://schemas.openxmlformats.org/officeDocument/2006/relationships/glossaryDocument" Target="glossary/document.xml"/><Relationship Id="rId5" Type="http://schemas.openxmlformats.org/officeDocument/2006/relationships/webSettings" Target="webSettings.xml"/><Relationship Id="rId90" Type="http://schemas.openxmlformats.org/officeDocument/2006/relationships/image" Target="media/image16.jpeg"/><Relationship Id="rId95" Type="http://schemas.openxmlformats.org/officeDocument/2006/relationships/chart" Target="charts/chart11.xml"/><Relationship Id="rId22" Type="http://schemas.openxmlformats.org/officeDocument/2006/relationships/footer" Target="footer5.xml"/><Relationship Id="rId27" Type="http://schemas.openxmlformats.org/officeDocument/2006/relationships/footer" Target="footer6.xml"/><Relationship Id="rId43" Type="http://schemas.openxmlformats.org/officeDocument/2006/relationships/image" Target="media/image12.png"/><Relationship Id="rId48" Type="http://schemas.openxmlformats.org/officeDocument/2006/relationships/chart" Target="charts/chart2.xml"/><Relationship Id="rId64" Type="http://schemas.openxmlformats.org/officeDocument/2006/relationships/hyperlink" Target="https://done.fr/principes-rse" TargetMode="External"/><Relationship Id="rId69" Type="http://schemas.openxmlformats.org/officeDocument/2006/relationships/hyperlink" Target="https://fr.scribd.com/document/556491212/cours-DD-RSE-ispp2" TargetMode="External"/><Relationship Id="rId80" Type="http://schemas.openxmlformats.org/officeDocument/2006/relationships/hyperlink" Target="https://journals.openedition.org/regulation/9328?lang=en" TargetMode="External"/><Relationship Id="rId85" Type="http://schemas.openxmlformats.org/officeDocument/2006/relationships/hyperlink" Target="https://www.google.com/search?q=https%3A%2F%2Fwww.petite-entreprise.net%2FP-2884-84-G1-definition-l-audit-externe.html" TargetMode="Externa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footer" Target="footer7.xml"/><Relationship Id="rId46" Type="http://schemas.openxmlformats.org/officeDocument/2006/relationships/image" Target="media/image15.jpeg"/><Relationship Id="rId59" Type="http://schemas.openxmlformats.org/officeDocument/2006/relationships/hyperlink" Target="https://www.ifge-online.org/wp-content/uploads/2015/06/R%C3%A9f%C3%A9rentiel-IFGE-Mai-2015-planche1.pdf" TargetMode="External"/><Relationship Id="rId67" Type="http://schemas.openxmlformats.org/officeDocument/2006/relationships/hyperlink" Target="https://fr.scribd.com/document/850198762/Gouvernance-d-entreprise-Support1" TargetMode="External"/><Relationship Id="rId103"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10.png"/><Relationship Id="rId54" Type="http://schemas.openxmlformats.org/officeDocument/2006/relationships/header" Target="header16.xml"/><Relationship Id="rId62" Type="http://schemas.openxmlformats.org/officeDocument/2006/relationships/hyperlink" Target="http://www.larousse.fr" TargetMode="External"/><Relationship Id="rId70" Type="http://schemas.openxmlformats.org/officeDocument/2006/relationships/hyperlink" Target="https://fr.scribd.com/document/717910355/indicateurs-RS" TargetMode="External"/><Relationship Id="rId75" Type="http://schemas.openxmlformats.org/officeDocument/2006/relationships/hyperlink" Target="https://www.google.com/search?q=https%3A%2F%2Fwww.alternatives-economiques.fr%2Fdominique-plihon%2Fentreprises-gouvernance-hybride%2F00023658" TargetMode="External"/><Relationship Id="rId83" Type="http://schemas.openxmlformats.org/officeDocument/2006/relationships/hyperlink" Target="https://www.google.com/search?q=https%3A%2F%2Fwww.nexco-expertise.com%2Faudit-rse" TargetMode="External"/><Relationship Id="rId88" Type="http://schemas.openxmlformats.org/officeDocument/2006/relationships/header" Target="header19.xml"/><Relationship Id="rId91" Type="http://schemas.openxmlformats.org/officeDocument/2006/relationships/chart" Target="charts/chart7.xml"/><Relationship Id="rId96"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13.xml"/><Relationship Id="rId49" Type="http://schemas.openxmlformats.org/officeDocument/2006/relationships/chart" Target="charts/chart3.xml"/><Relationship Id="rId57" Type="http://schemas.openxmlformats.org/officeDocument/2006/relationships/hyperlink" Target="https://shs.hal.science/halshs-00558358v1/document" TargetMode="External"/><Relationship Id="rId10" Type="http://schemas.openxmlformats.org/officeDocument/2006/relationships/header" Target="header1.xml"/><Relationship Id="rId31" Type="http://schemas.openxmlformats.org/officeDocument/2006/relationships/image" Target="media/image5.jpeg"/><Relationship Id="rId44" Type="http://schemas.openxmlformats.org/officeDocument/2006/relationships/image" Target="media/image13.jpeg"/><Relationship Id="rId52" Type="http://schemas.openxmlformats.org/officeDocument/2006/relationships/chart" Target="charts/chart6.xml"/><Relationship Id="rId60" Type="http://schemas.openxmlformats.org/officeDocument/2006/relationships/hyperlink" Target="https://www.ifc.org/content/dam/ifc/doc/2000/presentation-vol-1-good-corporate-governance-practices.pdf" TargetMode="External"/><Relationship Id="rId65" Type="http://schemas.openxmlformats.org/officeDocument/2006/relationships/hyperlink" Target="https://fr.scribd.com/document/462187215/Theorie-de-l-enracinement" TargetMode="External"/><Relationship Id="rId73" Type="http://schemas.openxmlformats.org/officeDocument/2006/relationships/hyperlink" Target="https://www.google.com/search?q=https%3A%2F%2Fpactemondial.org%2Fdecouvrir%2Fdix-principes-pacte-mondial-nations-unies%2F%23droits-de-l-homme" TargetMode="External"/><Relationship Id="rId78" Type="http://schemas.openxmlformats.org/officeDocument/2006/relationships/hyperlink" Target="https://www.google.com/search?q=https%3A%2F%2Fwww.ifa-asso.com%2F" TargetMode="External"/><Relationship Id="rId81" Type="http://schemas.openxmlformats.org/officeDocument/2006/relationships/hyperlink" Target="https://www.google.com/search?q=https%3A%2F%2Fwww.legalplace.fr%2Fguides%2Fenjeux-rse-entreprise%2F" TargetMode="External"/><Relationship Id="rId86" Type="http://schemas.openxmlformats.org/officeDocument/2006/relationships/hyperlink" Target="https://www.google.com/search?q=https%3A%2F%2Fwww.icgn.org%2Fsites%2Fdefault%2Ffiles%2F20211%2FICGN%2520Global%2520Governance%2520Principles%25202021.pdf" TargetMode="External"/><Relationship Id="rId94" Type="http://schemas.openxmlformats.org/officeDocument/2006/relationships/chart" Target="charts/chart10.xml"/><Relationship Id="rId99" Type="http://schemas.openxmlformats.org/officeDocument/2006/relationships/header" Target="header23.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3.xml"/><Relationship Id="rId39" Type="http://schemas.openxmlformats.org/officeDocument/2006/relationships/image" Target="media/image8.jpeg"/><Relationship Id="rId34" Type="http://schemas.openxmlformats.org/officeDocument/2006/relationships/hyperlink" Target="https://fr.scribd.com/document/556491212/cours-DD-RSE-ispp2?utm_source=chatgpt.com" TargetMode="External"/><Relationship Id="rId50" Type="http://schemas.openxmlformats.org/officeDocument/2006/relationships/chart" Target="charts/chart4.xml"/><Relationship Id="rId55" Type="http://schemas.openxmlformats.org/officeDocument/2006/relationships/header" Target="header17.xml"/><Relationship Id="rId76" Type="http://schemas.openxmlformats.org/officeDocument/2006/relationships/hyperlink" Target="https://www.alvi-management.fr/definition-de-la-gouvernance/" TargetMode="External"/><Relationship Id="rId97"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hyperlink" Target="https://www.google.com/search?q=https%3A%2F%2Ffr.scribd.com%2Fdocument%2F777299207%2FSUPPORT-DE-GOUVERNANCE-ET-RESPONSABILITE-SOCIETALE-DE-L-ENTREPRISE" TargetMode="External"/><Relationship Id="rId92" Type="http://schemas.openxmlformats.org/officeDocument/2006/relationships/chart" Target="charts/chart8.xml"/><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header" Target="header10.xml"/><Relationship Id="rId40" Type="http://schemas.openxmlformats.org/officeDocument/2006/relationships/image" Target="media/image9.jpeg"/><Relationship Id="rId45" Type="http://schemas.openxmlformats.org/officeDocument/2006/relationships/image" Target="media/image14.jpeg"/><Relationship Id="rId66" Type="http://schemas.openxmlformats.org/officeDocument/2006/relationships/hyperlink" Target="https://fr.scribd.com/document/468606073/299981623-Demarche-de-l-Audit-Interne-1" TargetMode="External"/><Relationship Id="rId87" Type="http://schemas.openxmlformats.org/officeDocument/2006/relationships/hyperlink" Target="https://shs.hal.science/halshs-00522463v1/document" TargetMode="External"/><Relationship Id="rId61" Type="http://schemas.openxmlformats.org/officeDocument/2006/relationships/hyperlink" Target="http://www.ilo.org" TargetMode="External"/><Relationship Id="rId82" Type="http://schemas.openxmlformats.org/officeDocument/2006/relationships/hyperlink" Target="https://www.google.com/search?q=https%3A%2F%2Fwww.maxicours.com%2Fse%2Fcours%2Fla-rationalite-limitee%2F" TargetMode="External"/><Relationship Id="rId19" Type="http://schemas.openxmlformats.org/officeDocument/2006/relationships/header" Target="header7.xml"/><Relationship Id="rId14" Type="http://schemas.openxmlformats.org/officeDocument/2006/relationships/footer" Target="footer2.xml"/><Relationship Id="rId30" Type="http://schemas.openxmlformats.org/officeDocument/2006/relationships/image" Target="media/image4.png"/><Relationship Id="rId35" Type="http://schemas.openxmlformats.org/officeDocument/2006/relationships/image" Target="media/image7.jpeg"/><Relationship Id="rId56" Type="http://schemas.openxmlformats.org/officeDocument/2006/relationships/header" Target="header18.xml"/><Relationship Id="rId77" Type="http://schemas.openxmlformats.org/officeDocument/2006/relationships/hyperlink" Target="https://www.google.com/search?q=https%3A%2F%2Fwww.globalreporting.org%2Fabout-gri%2Fmission-history%2F" TargetMode="External"/><Relationship Id="rId100"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chart" Target="charts/chart5.xml"/><Relationship Id="rId72" Type="http://schemas.openxmlformats.org/officeDocument/2006/relationships/hyperlink" Target="https://fr.scribd.com/document/462187215/Theorie-de-l-enracinement" TargetMode="External"/><Relationship Id="rId93" Type="http://schemas.openxmlformats.org/officeDocument/2006/relationships/chart" Target="charts/chart9.xml"/><Relationship Id="rId98" Type="http://schemas.openxmlformats.org/officeDocument/2006/relationships/header" Target="header2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icgn.org/sites/default/files/20211/ICGN%20Global%20Governance%20Principles%202021.pdf" TargetMode="External"/><Relationship Id="rId18" Type="http://schemas.openxmlformats.org/officeDocument/2006/relationships/hyperlink" Target="http://www.larousse.fr" TargetMode="External"/><Relationship Id="rId26" Type="http://schemas.openxmlformats.org/officeDocument/2006/relationships/hyperlink" Target="https://journals.openedition.org/regulation/9328?lang=en" TargetMode="External"/><Relationship Id="rId39" Type="http://schemas.openxmlformats.org/officeDocument/2006/relationships/hyperlink" Target="https://tayal.dz/" TargetMode="External"/><Relationship Id="rId21" Type="http://schemas.openxmlformats.org/officeDocument/2006/relationships/hyperlink" Target="http://www.ilo.org" TargetMode="External"/><Relationship Id="rId34" Type="http://schemas.openxmlformats.org/officeDocument/2006/relationships/hyperlink" Target="https://fr.scribd.com/document/717910355/indicateurs-RSE" TargetMode="External"/><Relationship Id="rId7" Type="http://schemas.openxmlformats.org/officeDocument/2006/relationships/hyperlink" Target="http://www.oecd.org" TargetMode="External"/><Relationship Id="rId12" Type="http://schemas.openxmlformats.org/officeDocument/2006/relationships/hyperlink" Target="https://www.alternatives-economiques.fr/dominique-plihon/entreprises-gouvernance-hybride/00023658" TargetMode="External"/><Relationship Id="rId17" Type="http://schemas.openxmlformats.org/officeDocument/2006/relationships/hyperlink" Target="https://fr.scribd.com/document/508499767/rse-les-approches?utm_source=chatgpt.com" TargetMode="External"/><Relationship Id="rId25" Type="http://schemas.openxmlformats.org/officeDocument/2006/relationships/hyperlink" Target="https://www.infolegale.fr/blog/rse-quels-sont-les-3-piliers" TargetMode="External"/><Relationship Id="rId33" Type="http://schemas.openxmlformats.org/officeDocument/2006/relationships/hyperlink" Target="https://ised-isde.canada.ca" TargetMode="External"/><Relationship Id="rId38" Type="http://schemas.openxmlformats.org/officeDocument/2006/relationships/hyperlink" Target="https://tayal.dz/" TargetMode="External"/><Relationship Id="rId2" Type="http://schemas.openxmlformats.org/officeDocument/2006/relationships/hyperlink" Target="https://www.alvi-management.fr/definition-de-la-gouvernance/" TargetMode="External"/><Relationship Id="rId16" Type="http://schemas.openxmlformats.org/officeDocument/2006/relationships/hyperlink" Target="https://www.petite-entreprise.net/P-2884-84-G1-definition-l-audit-externe.html" TargetMode="External"/><Relationship Id="rId20" Type="http://schemas.openxmlformats.org/officeDocument/2006/relationships/hyperlink" Target="https://www.oecd-ilibrary.org/governance/les-principes-directeurs-de-l-ocde-a-l-intention-des-entreprisesmultinationales-9789264115439-fr" TargetMode="External"/><Relationship Id="rId29" Type="http://schemas.openxmlformats.org/officeDocument/2006/relationships/hyperlink" Target="https://fr.scribd.com/document/777299207/SUPPORT-DE-GOUVERNANCE-ET-RESPONSABILITE-SOCIETALE-DE-L-ENTREPRISE" TargetMode="External"/><Relationship Id="rId1" Type="http://schemas.openxmlformats.org/officeDocument/2006/relationships/hyperlink" Target="https://shs.hal.science/halshs-00522463v1/document" TargetMode="External"/><Relationship Id="rId6" Type="http://schemas.openxmlformats.org/officeDocument/2006/relationships/hyperlink" Target="https://www.oecd.org/fr/gouvernementdentreprise/" TargetMode="External"/><Relationship Id="rId11" Type="http://schemas.openxmlformats.org/officeDocument/2006/relationships/hyperlink" Target="https://shs.hal.science/halshs-00558358v1/document" TargetMode="External"/><Relationship Id="rId24" Type="http://schemas.openxmlformats.org/officeDocument/2006/relationships/hyperlink" Target="https://www.globalreporting.org/about-gri/mission-history/" TargetMode="External"/><Relationship Id="rId32" Type="http://schemas.openxmlformats.org/officeDocument/2006/relationships/hyperlink" Target="https://www.nexco-expertise.com/audit-rse" TargetMode="External"/><Relationship Id="rId37" Type="http://schemas.openxmlformats.org/officeDocument/2006/relationships/hyperlink" Target="https://tayal.dz/" TargetMode="External"/><Relationship Id="rId5" Type="http://schemas.openxmlformats.org/officeDocument/2006/relationships/hyperlink" Target="https://fr.scribd.com/document/850198762/Gouvernance-d-entreprise-Support1" TargetMode="External"/><Relationship Id="rId15" Type="http://schemas.openxmlformats.org/officeDocument/2006/relationships/hyperlink" Target="https://fr.scribd.com/document/468606073/299981623-Demarche-de-l-Audit-Interne-1" TargetMode="External"/><Relationship Id="rId23" Type="http://schemas.openxmlformats.org/officeDocument/2006/relationships/hyperlink" Target="https://pactemondial.org/decouvrir/dix-principes-pacte-mondial-nations-unies/" TargetMode="External"/><Relationship Id="rId28" Type="http://schemas.openxmlformats.org/officeDocument/2006/relationships/hyperlink" Target="https://www.agence-declic.fr/actualites/leviers-performance-rse-entreprise-decryptage/" TargetMode="External"/><Relationship Id="rId36" Type="http://schemas.openxmlformats.org/officeDocument/2006/relationships/hyperlink" Target="https://tayal.dz/" TargetMode="External"/><Relationship Id="rId10" Type="http://schemas.openxmlformats.org/officeDocument/2006/relationships/hyperlink" Target="https://fr.scribd.com/document/462187215/Theorie-de-l-enracinement" TargetMode="External"/><Relationship Id="rId19" Type="http://schemas.openxmlformats.org/officeDocument/2006/relationships/hyperlink" Target="https://economymiddleeast.com/news/the-role-of-corporate-social-responsibility-in-the-gulf-region/" TargetMode="External"/><Relationship Id="rId31" Type="http://schemas.openxmlformats.org/officeDocument/2006/relationships/hyperlink" Target="https://fr.scribd.com/document/717910355/indicateurs-RSE" TargetMode="External"/><Relationship Id="rId4" Type="http://schemas.openxmlformats.org/officeDocument/2006/relationships/hyperlink" Target="https://www.ifge-online.org/wp-content/uploads/2015/06/R%C3%A9f%C3%A9rentiel-IFGE-Mai-2015-planche1.pdf" TargetMode="External"/><Relationship Id="rId9" Type="http://schemas.openxmlformats.org/officeDocument/2006/relationships/hyperlink" Target="https://www.maxicours.com/se/cours/la-rationalite-limitee/" TargetMode="External"/><Relationship Id="rId14" Type="http://schemas.openxmlformats.org/officeDocument/2006/relationships/hyperlink" Target="https://www.ifa-asso.com/" TargetMode="External"/><Relationship Id="rId22" Type="http://schemas.openxmlformats.org/officeDocument/2006/relationships/hyperlink" Target="https://pactemondial.org/2024/01/31/il-y-a-25-ans-kofi-annan-prononcait-le-discours-fondateur-du-pacte-mondial/" TargetMode="External"/><Relationship Id="rId27" Type="http://schemas.openxmlformats.org/officeDocument/2006/relationships/hyperlink" Target="https://done.fr/principes-rse" TargetMode="External"/><Relationship Id="rId30" Type="http://schemas.openxmlformats.org/officeDocument/2006/relationships/hyperlink" Target="https://www.legalplace.fr/guides/enjeux-rse-entreprise/" TargetMode="External"/><Relationship Id="rId35" Type="http://schemas.openxmlformats.org/officeDocument/2006/relationships/hyperlink" Target="https://fr.scribd.com/document/556491212/cours-DD-RSE-ispp2?utm_source=chatgpt.com" TargetMode="External"/><Relationship Id="rId8" Type="http://schemas.openxmlformats.org/officeDocument/2006/relationships/hyperlink" Target="https://www.ifc.org/content/dam/ifc/doc/2000/presentation-vol-1-good-corporate-governance-practices.pdf" TargetMode="External"/><Relationship Id="rId3" Type="http://schemas.openxmlformats.org/officeDocument/2006/relationships/hyperlink" Target="https://books.openedition.org/uop/1645?lang=fr"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tic%20informatigue\Downloads\partie1-les%20donn&#233;es%20personnelles.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3.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5.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N'tic%20informatigue\Downloads\partie1-les%20donn&#233;es%20personnelles.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400" b="1" i="0" u="none" strike="noStrike" baseline="0">
                <a:solidFill>
                  <a:sysClr val="windowText" lastClr="000000"/>
                </a:solidFill>
                <a:latin typeface="Times New Roman" panose="02020603050405020304" pitchFamily="18" charset="0"/>
                <a:cs typeface="Times New Roman" panose="02020603050405020304" pitchFamily="18" charset="0"/>
              </a:rPr>
              <a:t>Sexe</a:t>
            </a:r>
            <a:endParaRPr lang="fr-FR" sz="14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3767344706911648"/>
          <c:y val="7.8703703703703734E-2"/>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FEC-4431-8FA9-65F84AD77083}"/>
              </c:ext>
            </c:extLst>
          </c:dPt>
          <c:dPt>
            <c:idx val="1"/>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6FEC-4431-8FA9-65F84AD77083}"/>
              </c:ext>
            </c:extLst>
          </c:dPt>
          <c:dLbls>
            <c:dLbl>
              <c:idx val="0"/>
              <c:layout>
                <c:manualLayout>
                  <c:x val="-9.7823928258967727E-2"/>
                  <c:y val="-0.12622849227179941"/>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FEC-4431-8FA9-65F84AD77083}"/>
                </c:ext>
                <c:ext xmlns:c15="http://schemas.microsoft.com/office/drawing/2012/chart" uri="{CE6537A1-D6FC-4f65-9D91-7224C49458BB}"/>
              </c:extLst>
            </c:dLbl>
            <c:dLbl>
              <c:idx val="1"/>
              <c:layout>
                <c:manualLayout>
                  <c:x val="0.11240529308836396"/>
                  <c:y val="7.4747739865850191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FEC-4431-8FA9-65F84AD7708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'sexe+niveau'!$A$1:$A$2</c:f>
              <c:strCache>
                <c:ptCount val="2"/>
                <c:pt idx="0">
                  <c:v>Homme</c:v>
                </c:pt>
                <c:pt idx="1">
                  <c:v>Femme</c:v>
                </c:pt>
              </c:strCache>
            </c:strRef>
          </c:cat>
          <c:val>
            <c:numRef>
              <c:f>'sexe+niveau'!$B$1:$B$2</c:f>
              <c:numCache>
                <c:formatCode>0%</c:formatCode>
                <c:ptCount val="2"/>
                <c:pt idx="0">
                  <c:v>0.69000000000000028</c:v>
                </c:pt>
                <c:pt idx="1">
                  <c:v>0.31000000000000016</c:v>
                </c:pt>
              </c:numCache>
            </c:numRef>
          </c:val>
          <c:extLst xmlns:c16r2="http://schemas.microsoft.com/office/drawing/2015/06/chart">
            <c:ext xmlns:c16="http://schemas.microsoft.com/office/drawing/2014/chart" uri="{C3380CC4-5D6E-409C-BE32-E72D297353CC}">
              <c16:uniqueId val="{00000004-6FEC-4431-8FA9-65F84AD77083}"/>
            </c:ext>
          </c:extLst>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egendEntry>
        <c:idx val="1"/>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ayout>
        <c:manualLayout>
          <c:xMode val="edge"/>
          <c:yMode val="edge"/>
          <c:x val="0.68122903798701839"/>
          <c:y val="0.69240352133016858"/>
          <c:w val="0.24150785044085066"/>
          <c:h val="0.262502354669781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zero"/>
    <c:showDLblsOverMax val="0"/>
  </c:chart>
  <c:spPr>
    <a:solidFill>
      <a:schemeClr val="bg1"/>
    </a:solidFill>
    <a:ln w="3175" cap="flat" cmpd="sng" algn="ctr">
      <a:solidFill>
        <a:schemeClr val="tx1"/>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Age</a:t>
            </a:r>
          </a:p>
        </c:rich>
      </c:tx>
      <c:overlay val="0"/>
    </c:title>
    <c:autoTitleDeleted val="0"/>
    <c:plotArea>
      <c:layout>
        <c:manualLayout>
          <c:layoutTarget val="inner"/>
          <c:xMode val="edge"/>
          <c:yMode val="edge"/>
          <c:x val="0.12365119890776917"/>
          <c:y val="0.16943089430894309"/>
          <c:w val="0.49740481282577675"/>
          <c:h val="0.69333384546443888"/>
        </c:manualLayout>
      </c:layout>
      <c:pieChart>
        <c:varyColors val="1"/>
        <c:ser>
          <c:idx val="0"/>
          <c:order val="0"/>
          <c:dLbls>
            <c:dLbl>
              <c:idx val="0"/>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1"/>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2"/>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3"/>
              <c:layout>
                <c:manualLayout>
                  <c:x val="1.72338039242892E-2"/>
                  <c:y val="8.3664708074632776E-2"/>
                </c:manualLayout>
              </c:layout>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B31-40F9-BAEC-02B25E1B0F27}"/>
                </c:ext>
                <c:ext xmlns:c15="http://schemas.microsoft.com/office/drawing/2012/chart" uri="{CE6537A1-D6FC-4f65-9D91-7224C49458BB}"/>
              </c:extLst>
            </c:dLbl>
            <c:spPr>
              <a:noFill/>
              <a:ln>
                <a:noFill/>
              </a:ln>
              <a:effectLst/>
            </c:spPr>
            <c:txPr>
              <a:bodyPr rot="0" vert="horz"/>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'age + expérience'!$B$1:$B$4</c:f>
              <c:strCache>
                <c:ptCount val="4"/>
                <c:pt idx="0">
                  <c:v>moins de 30 ans</c:v>
                </c:pt>
                <c:pt idx="1">
                  <c:v>de 30 à 45 ans</c:v>
                </c:pt>
                <c:pt idx="2">
                  <c:v>de 45 à 55 ans</c:v>
                </c:pt>
                <c:pt idx="3">
                  <c:v>plus de 55 ans</c:v>
                </c:pt>
              </c:strCache>
            </c:strRef>
          </c:cat>
          <c:val>
            <c:numRef>
              <c:f>'age + expérience'!$C$1:$C$4</c:f>
              <c:numCache>
                <c:formatCode>0.00%</c:formatCode>
                <c:ptCount val="4"/>
                <c:pt idx="0">
                  <c:v>9.3333333333333365E-2</c:v>
                </c:pt>
                <c:pt idx="1">
                  <c:v>0.55333333333333334</c:v>
                </c:pt>
                <c:pt idx="2">
                  <c:v>0.31333333333333335</c:v>
                </c:pt>
                <c:pt idx="3">
                  <c:v>4.0000000000000022E-2</c:v>
                </c:pt>
              </c:numCache>
            </c:numRef>
          </c:val>
          <c:extLst xmlns:c16r2="http://schemas.microsoft.com/office/drawing/2015/06/chart">
            <c:ext xmlns:c16="http://schemas.microsoft.com/office/drawing/2014/chart" uri="{C3380CC4-5D6E-409C-BE32-E72D297353CC}">
              <c16:uniqueId val="{00000004-EB31-40F9-BAEC-02B25E1B0F27}"/>
            </c:ext>
          </c:extLst>
        </c:ser>
        <c:dLbls>
          <c:showLegendKey val="0"/>
          <c:showVal val="1"/>
          <c:showCatName val="0"/>
          <c:showSerName val="0"/>
          <c:showPercent val="0"/>
          <c:showBubbleSize val="0"/>
          <c:showLeaderLines val="1"/>
        </c:dLbls>
        <c:firstSliceAng val="0"/>
      </c:pieChart>
    </c:plotArea>
    <c:legend>
      <c:legendPos val="b"/>
      <c:layout>
        <c:manualLayout>
          <c:xMode val="edge"/>
          <c:yMode val="edge"/>
          <c:x val="0.6477167666816982"/>
          <c:y val="0.27995928557710781"/>
          <c:w val="0.26519870038271648"/>
          <c:h val="0.48018052621471113"/>
        </c:manualLayout>
      </c:layout>
      <c:overlay val="0"/>
      <c:txPr>
        <a:bodyPr rot="0" vert="horz"/>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Niveau d'étude</a:t>
            </a:r>
          </a:p>
        </c:rich>
      </c:tx>
      <c:overlay val="0"/>
    </c:title>
    <c:autoTitleDeleted val="0"/>
    <c:plotArea>
      <c:layout/>
      <c:pieChart>
        <c:varyColors val="1"/>
        <c:ser>
          <c:idx val="0"/>
          <c:order val="0"/>
          <c:dLbls>
            <c:spPr>
              <a:noFill/>
              <a:ln>
                <a:noFill/>
              </a:ln>
              <a:effectLst/>
            </c:spPr>
            <c:txPr>
              <a:bodyPr rot="0" vert="horz"/>
              <a:lstStyle/>
              <a:p>
                <a:pPr>
                  <a:defRPr sz="900">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'sexe+niveau'!$E$1:$E$5</c:f>
              <c:strCache>
                <c:ptCount val="5"/>
                <c:pt idx="0">
                  <c:v>bac</c:v>
                </c:pt>
                <c:pt idx="1">
                  <c:v>licence</c:v>
                </c:pt>
                <c:pt idx="2">
                  <c:v>master</c:v>
                </c:pt>
                <c:pt idx="3">
                  <c:v>magister</c:v>
                </c:pt>
                <c:pt idx="4">
                  <c:v>doctorat</c:v>
                </c:pt>
              </c:strCache>
            </c:strRef>
          </c:cat>
          <c:val>
            <c:numRef>
              <c:f>'sexe+niveau'!$F$1:$F$5</c:f>
              <c:numCache>
                <c:formatCode>0.00%</c:formatCode>
                <c:ptCount val="5"/>
                <c:pt idx="0">
                  <c:v>0</c:v>
                </c:pt>
                <c:pt idx="1">
                  <c:v>0.19</c:v>
                </c:pt>
                <c:pt idx="2">
                  <c:v>0.49333333333333335</c:v>
                </c:pt>
                <c:pt idx="3">
                  <c:v>0.20333333333333345</c:v>
                </c:pt>
                <c:pt idx="4">
                  <c:v>0.11333333333333333</c:v>
                </c:pt>
              </c:numCache>
            </c:numRef>
          </c:val>
          <c:extLst xmlns:c16r2="http://schemas.microsoft.com/office/drawing/2015/06/chart">
            <c:ext xmlns:c16="http://schemas.microsoft.com/office/drawing/2014/chart" uri="{C3380CC4-5D6E-409C-BE32-E72D297353CC}">
              <c16:uniqueId val="{00000000-CF89-4CDA-8627-CD7BC3AAF90A}"/>
            </c:ext>
          </c:extLst>
        </c:ser>
        <c:dLbls>
          <c:showLegendKey val="0"/>
          <c:showVal val="1"/>
          <c:showCatName val="0"/>
          <c:showSerName val="0"/>
          <c:showPercent val="0"/>
          <c:showBubbleSize val="0"/>
          <c:showLeaderLines val="1"/>
        </c:dLbls>
        <c:firstSliceAng val="0"/>
      </c:pieChart>
    </c:plotArea>
    <c:legend>
      <c:legendPos val="b"/>
      <c:layout>
        <c:manualLayout>
          <c:xMode val="edge"/>
          <c:yMode val="edge"/>
          <c:x val="0.75807239720035002"/>
          <c:y val="0.15335593467483241"/>
          <c:w val="0.18941076115485589"/>
          <c:h val="0.66608850976961209"/>
        </c:manualLayout>
      </c:layout>
      <c:overlay val="0"/>
      <c:txPr>
        <a:bodyPr rot="0" vert="horz"/>
        <a:lstStyle/>
        <a:p>
          <a:pPr>
            <a:defRPr sz="1000">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Domaine d'étude</a:t>
            </a:r>
          </a:p>
        </c:rich>
      </c:tx>
      <c:overlay val="0"/>
    </c:title>
    <c:autoTitleDeleted val="0"/>
    <c:plotArea>
      <c:layout>
        <c:manualLayout>
          <c:layoutTarget val="inner"/>
          <c:xMode val="edge"/>
          <c:yMode val="edge"/>
          <c:x val="0.18260031806687818"/>
          <c:y val="0.14767081132263529"/>
          <c:w val="0.41141902156415777"/>
          <c:h val="0.7920792634306788"/>
        </c:manualLayout>
      </c:layout>
      <c:pieChart>
        <c:varyColors val="1"/>
        <c:ser>
          <c:idx val="0"/>
          <c:order val="0"/>
          <c:dLbls>
            <c:spPr>
              <a:noFill/>
              <a:ln>
                <a:noFill/>
              </a:ln>
              <a:effectLst/>
            </c:spPr>
            <c:txPr>
              <a:bodyPr rot="5400000" vert="horz"/>
              <a:lstStyle/>
              <a:p>
                <a:pPr>
                  <a:defRPr sz="800">
                    <a:latin typeface="Times New Roman" panose="02020603050405020304" pitchFamily="18" charset="0"/>
                    <a:cs typeface="Times New Roman" panose="02020603050405020304" pitchFamily="18" charset="0"/>
                  </a:defRPr>
                </a:pPr>
                <a:endParaRPr lang="fr-FR"/>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'domaine d''étude'!$A$1:$A$25</c:f>
              <c:strCache>
                <c:ptCount val="25"/>
                <c:pt idx="0">
                  <c:v>Économie</c:v>
                </c:pt>
                <c:pt idx="1">
                  <c:v>Gestion</c:v>
                </c:pt>
                <c:pt idx="2">
                  <c:v>commerce</c:v>
                </c:pt>
                <c:pt idx="3">
                  <c:v>finance</c:v>
                </c:pt>
                <c:pt idx="4">
                  <c:v>stratégie</c:v>
                </c:pt>
                <c:pt idx="5">
                  <c:v>droit</c:v>
                </c:pt>
                <c:pt idx="6">
                  <c:v>génie industriel</c:v>
                </c:pt>
                <c:pt idx="7">
                  <c:v>informatique</c:v>
                </c:pt>
                <c:pt idx="8">
                  <c:v>automatique</c:v>
                </c:pt>
                <c:pt idx="9">
                  <c:v>comptabilité et audit</c:v>
                </c:pt>
                <c:pt idx="10">
                  <c:v>génie électrique</c:v>
                </c:pt>
                <c:pt idx="11">
                  <c:v>assurance </c:v>
                </c:pt>
                <c:pt idx="12">
                  <c:v>ressources humaines</c:v>
                </c:pt>
                <c:pt idx="13">
                  <c:v>marketing</c:v>
                </c:pt>
                <c:pt idx="14">
                  <c:v>anglais</c:v>
                </c:pt>
                <c:pt idx="15">
                  <c:v>génie de production</c:v>
                </c:pt>
                <c:pt idx="16">
                  <c:v>management</c:v>
                </c:pt>
                <c:pt idx="17">
                  <c:v>logistique</c:v>
                </c:pt>
                <c:pt idx="18">
                  <c:v>didactique du FOS et FLE</c:v>
                </c:pt>
                <c:pt idx="19">
                  <c:v>Analyse et Sciences de données</c:v>
                </c:pt>
                <c:pt idx="20">
                  <c:v>génie de logiciels</c:v>
                </c:pt>
                <c:pt idx="21">
                  <c:v>génie mécanique</c:v>
                </c:pt>
                <c:pt idx="22">
                  <c:v>génie civil</c:v>
                </c:pt>
                <c:pt idx="23">
                  <c:v>Sciences Politiques</c:v>
                </c:pt>
                <c:pt idx="24">
                  <c:v>Français</c:v>
                </c:pt>
              </c:strCache>
            </c:strRef>
          </c:cat>
          <c:val>
            <c:numRef>
              <c:f>'domaine d''étude'!$B$1:$B$25</c:f>
              <c:numCache>
                <c:formatCode>0.00%</c:formatCode>
                <c:ptCount val="25"/>
                <c:pt idx="0">
                  <c:v>8.3333333333333343E-2</c:v>
                </c:pt>
                <c:pt idx="1">
                  <c:v>0.23666666666666666</c:v>
                </c:pt>
                <c:pt idx="2">
                  <c:v>0.22333333333333341</c:v>
                </c:pt>
                <c:pt idx="3">
                  <c:v>0.14000000000000001</c:v>
                </c:pt>
                <c:pt idx="4">
                  <c:v>0.11666666666666671</c:v>
                </c:pt>
                <c:pt idx="5">
                  <c:v>4.6666666666666683E-2</c:v>
                </c:pt>
                <c:pt idx="6">
                  <c:v>4.0000000000000022E-2</c:v>
                </c:pt>
                <c:pt idx="7">
                  <c:v>2.3333333333333341E-2</c:v>
                </c:pt>
                <c:pt idx="8">
                  <c:v>6.6666666666666697E-3</c:v>
                </c:pt>
                <c:pt idx="9">
                  <c:v>6.6666666666666697E-3</c:v>
                </c:pt>
                <c:pt idx="10">
                  <c:v>6.6666666666666697E-3</c:v>
                </c:pt>
                <c:pt idx="11">
                  <c:v>6.6666666666666697E-3</c:v>
                </c:pt>
                <c:pt idx="12">
                  <c:v>1.0000000000000005E-2</c:v>
                </c:pt>
                <c:pt idx="13">
                  <c:v>6.6666666666666697E-3</c:v>
                </c:pt>
                <c:pt idx="14">
                  <c:v>3.3333333333333348E-3</c:v>
                </c:pt>
                <c:pt idx="15">
                  <c:v>6.6666666666666697E-3</c:v>
                </c:pt>
                <c:pt idx="16">
                  <c:v>3.3333333333333348E-3</c:v>
                </c:pt>
                <c:pt idx="17">
                  <c:v>6.6666666666666697E-3</c:v>
                </c:pt>
                <c:pt idx="18">
                  <c:v>3.3333333333333348E-3</c:v>
                </c:pt>
                <c:pt idx="19">
                  <c:v>3.3333333333333348E-3</c:v>
                </c:pt>
                <c:pt idx="20">
                  <c:v>3.3333333333333348E-3</c:v>
                </c:pt>
                <c:pt idx="21">
                  <c:v>3.3333333333333348E-3</c:v>
                </c:pt>
                <c:pt idx="22">
                  <c:v>3.3333333333333348E-3</c:v>
                </c:pt>
                <c:pt idx="23">
                  <c:v>3.3333333333333348E-3</c:v>
                </c:pt>
                <c:pt idx="24">
                  <c:v>6.6666666666666697E-3</c:v>
                </c:pt>
              </c:numCache>
            </c:numRef>
          </c:val>
          <c:extLst xmlns:c16r2="http://schemas.microsoft.com/office/drawing/2015/06/chart">
            <c:ext xmlns:c16="http://schemas.microsoft.com/office/drawing/2014/chart" uri="{C3380CC4-5D6E-409C-BE32-E72D297353CC}">
              <c16:uniqueId val="{00000000-D30C-4916-8C64-2654DF4CD9A8}"/>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9252849923610293"/>
          <c:y val="1.8979723851798979E-2"/>
          <c:w val="0.26378098361292268"/>
          <c:h val="0.94560571232943791"/>
        </c:manualLayout>
      </c:layout>
      <c:overlay val="0"/>
      <c:txPr>
        <a:bodyPr rot="0" vert="horz"/>
        <a:lstStyle/>
        <a:p>
          <a:pPr>
            <a:defRPr sz="800">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400" b="0" i="0" u="none" strike="noStrike" kern="1200" spc="0" baseline="0">
                <a:solidFill>
                  <a:schemeClr val="tx1">
                    <a:lumMod val="65000"/>
                    <a:lumOff val="35000"/>
                  </a:schemeClr>
                </a:solidFill>
                <a:latin typeface="+mn-lt"/>
                <a:ea typeface="+mn-ea"/>
                <a:cs typeface="+mn-cs"/>
              </a:defRPr>
            </a:pPr>
            <a:r>
              <a:rPr lang="fr-FR" sz="1400" b="1">
                <a:solidFill>
                  <a:sysClr val="windowText" lastClr="000000"/>
                </a:solidFill>
                <a:latin typeface="Times New Roman" panose="02020603050405020304" pitchFamily="18" charset="0"/>
                <a:cs typeface="Times New Roman" panose="02020603050405020304" pitchFamily="18" charset="0"/>
              </a:rPr>
              <a:t>Poste</a:t>
            </a:r>
            <a:r>
              <a:rPr lang="fr-FR" sz="1400" b="1" baseline="0">
                <a:solidFill>
                  <a:sysClr val="windowText" lastClr="000000"/>
                </a:solidFill>
                <a:latin typeface="Times New Roman" panose="02020603050405020304" pitchFamily="18" charset="0"/>
                <a:cs typeface="Times New Roman" panose="02020603050405020304" pitchFamily="18" charset="0"/>
              </a:rPr>
              <a:t> occupé</a:t>
            </a:r>
            <a:endParaRPr lang="fr-FR"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6DB-4C84-B523-DC33B8CC844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6DB-4C84-B523-DC33B8CC844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6DB-4C84-B523-DC33B8CC844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6DB-4C84-B523-DC33B8CC844A}"/>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6DB-4C84-B523-DC33B8CC844A}"/>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6DB-4C84-B523-DC33B8CC844A}"/>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6DB-4C84-B523-DC33B8CC844A}"/>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F6DB-4C84-B523-DC33B8CC844A}"/>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F6DB-4C84-B523-DC33B8CC844A}"/>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F6DB-4C84-B523-DC33B8CC844A}"/>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F6DB-4C84-B523-DC33B8CC844A}"/>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F6DB-4C84-B523-DC33B8CC844A}"/>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F6DB-4C84-B523-DC33B8CC844A}"/>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F6DB-4C84-B523-DC33B8CC844A}"/>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F6DB-4C84-B523-DC33B8CC844A}"/>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F6DB-4C84-B523-DC33B8CC844A}"/>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F6DB-4C84-B523-DC33B8CC844A}"/>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F6DB-4C84-B523-DC33B8CC844A}"/>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F6DB-4C84-B523-DC33B8CC844A}"/>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7-F6DB-4C84-B523-DC33B8CC844A}"/>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9-F6DB-4C84-B523-DC33B8CC844A}"/>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F6DB-4C84-B523-DC33B8CC844A}"/>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D-F6DB-4C84-B523-DC33B8CC844A}"/>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F-F6DB-4C84-B523-DC33B8CC844A}"/>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1-F6DB-4C84-B523-DC33B8CC844A}"/>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F6DB-4C84-B523-DC33B8CC844A}"/>
              </c:ext>
            </c:extLst>
          </c:dPt>
          <c:dPt>
            <c:idx val="26"/>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5-F6DB-4C84-B523-DC33B8CC844A}"/>
              </c:ext>
            </c:extLst>
          </c:dPt>
          <c:dPt>
            <c:idx val="27"/>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7-F6DB-4C84-B523-DC33B8CC844A}"/>
              </c:ext>
            </c:extLst>
          </c:dPt>
          <c:dPt>
            <c:idx val="28"/>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9-F6DB-4C84-B523-DC33B8CC844A}"/>
              </c:ext>
            </c:extLst>
          </c:dPt>
          <c:dPt>
            <c:idx val="29"/>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B-F6DB-4C84-B523-DC33B8CC844A}"/>
              </c:ext>
            </c:extLst>
          </c:dPt>
          <c:dPt>
            <c:idx val="30"/>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D-F6DB-4C84-B523-DC33B8CC844A}"/>
              </c:ext>
            </c:extLst>
          </c:dPt>
          <c:dPt>
            <c:idx val="31"/>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F-F6DB-4C84-B523-DC33B8CC844A}"/>
              </c:ext>
            </c:extLst>
          </c:dPt>
          <c:dPt>
            <c:idx val="32"/>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1-F6DB-4C84-B523-DC33B8CC844A}"/>
              </c:ext>
            </c:extLst>
          </c:dPt>
          <c:dPt>
            <c:idx val="33"/>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3-F6DB-4C84-B523-DC33B8CC844A}"/>
              </c:ext>
            </c:extLst>
          </c:dPt>
          <c:dPt>
            <c:idx val="34"/>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5-F6DB-4C84-B523-DC33B8CC844A}"/>
              </c:ext>
            </c:extLst>
          </c:dPt>
          <c:dPt>
            <c:idx val="35"/>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7-F6DB-4C84-B523-DC33B8CC844A}"/>
              </c:ext>
            </c:extLst>
          </c:dPt>
          <c:dPt>
            <c:idx val="36"/>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9-F6DB-4C84-B523-DC33B8CC844A}"/>
              </c:ext>
            </c:extLst>
          </c:dPt>
          <c:dPt>
            <c:idx val="37"/>
            <c:bubble3D val="0"/>
            <c:spPr>
              <a:solidFill>
                <a:schemeClr val="accent2">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B-F6DB-4C84-B523-DC33B8CC844A}"/>
              </c:ext>
            </c:extLst>
          </c:dPt>
          <c:dPt>
            <c:idx val="38"/>
            <c:bubble3D val="0"/>
            <c:spPr>
              <a:solidFill>
                <a:schemeClr val="accent3">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D-F6DB-4C84-B523-DC33B8CC844A}"/>
              </c:ext>
            </c:extLst>
          </c:dPt>
          <c:dPt>
            <c:idx val="39"/>
            <c:bubble3D val="0"/>
            <c:spPr>
              <a:solidFill>
                <a:schemeClr val="accent4">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F-F6DB-4C84-B523-DC33B8CC844A}"/>
              </c:ext>
            </c:extLst>
          </c:dPt>
          <c:dPt>
            <c:idx val="40"/>
            <c:bubble3D val="0"/>
            <c:spPr>
              <a:solidFill>
                <a:schemeClr val="accent5">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1-F6DB-4C84-B523-DC33B8CC844A}"/>
              </c:ext>
            </c:extLst>
          </c:dPt>
          <c:dPt>
            <c:idx val="41"/>
            <c:bubble3D val="0"/>
            <c:spPr>
              <a:solidFill>
                <a:schemeClr val="accent6">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3-F6DB-4C84-B523-DC33B8CC844A}"/>
              </c:ext>
            </c:extLst>
          </c:dPt>
          <c:dPt>
            <c:idx val="42"/>
            <c:bubble3D val="0"/>
            <c:spPr>
              <a:solidFill>
                <a:schemeClr val="accent1">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5-F6DB-4C84-B523-DC33B8CC844A}"/>
              </c:ext>
            </c:extLst>
          </c:dPt>
          <c:dPt>
            <c:idx val="43"/>
            <c:bubble3D val="0"/>
            <c:spPr>
              <a:solidFill>
                <a:schemeClr val="accent2">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7-F6DB-4C84-B523-DC33B8CC844A}"/>
              </c:ext>
            </c:extLst>
          </c:dPt>
          <c:dPt>
            <c:idx val="44"/>
            <c:bubble3D val="0"/>
            <c:spPr>
              <a:solidFill>
                <a:schemeClr val="accent3">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9-F6DB-4C84-B523-DC33B8CC844A}"/>
              </c:ext>
            </c:extLst>
          </c:dPt>
          <c:dPt>
            <c:idx val="45"/>
            <c:bubble3D val="0"/>
            <c:spPr>
              <a:solidFill>
                <a:schemeClr val="accent4">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B-F6DB-4C84-B523-DC33B8CC844A}"/>
              </c:ext>
            </c:extLst>
          </c:dPt>
          <c:dPt>
            <c:idx val="46"/>
            <c:bubble3D val="0"/>
            <c:spPr>
              <a:solidFill>
                <a:schemeClr val="accent5">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D-F6DB-4C84-B523-DC33B8CC844A}"/>
              </c:ext>
            </c:extLst>
          </c:dPt>
          <c:dPt>
            <c:idx val="47"/>
            <c:bubble3D val="0"/>
            <c:spPr>
              <a:solidFill>
                <a:schemeClr val="accent6">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F-F6DB-4C84-B523-DC33B8CC844A}"/>
              </c:ext>
            </c:extLst>
          </c:dPt>
          <c:dPt>
            <c:idx val="48"/>
            <c:bubble3D val="0"/>
            <c:spPr>
              <a:solidFill>
                <a:schemeClr val="accent1">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1-F6DB-4C84-B523-DC33B8CC844A}"/>
              </c:ext>
            </c:extLst>
          </c:dPt>
          <c:dPt>
            <c:idx val="49"/>
            <c:bubble3D val="0"/>
            <c:spPr>
              <a:solidFill>
                <a:schemeClr val="accent2">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3-F6DB-4C84-B523-DC33B8CC844A}"/>
              </c:ext>
            </c:extLst>
          </c:dPt>
          <c:dPt>
            <c:idx val="50"/>
            <c:bubble3D val="0"/>
            <c:spPr>
              <a:solidFill>
                <a:schemeClr val="accent3">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5-F6DB-4C84-B523-DC33B8CC844A}"/>
              </c:ext>
            </c:extLst>
          </c:dPt>
          <c:dPt>
            <c:idx val="51"/>
            <c:bubble3D val="0"/>
            <c:spPr>
              <a:solidFill>
                <a:schemeClr val="accent4">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7-F6DB-4C84-B523-DC33B8CC844A}"/>
              </c:ext>
            </c:extLst>
          </c:dPt>
          <c:dPt>
            <c:idx val="52"/>
            <c:bubble3D val="0"/>
            <c:spPr>
              <a:solidFill>
                <a:schemeClr val="accent5">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9-F6DB-4C84-B523-DC33B8CC844A}"/>
              </c:ext>
            </c:extLst>
          </c:dPt>
          <c:dPt>
            <c:idx val="53"/>
            <c:bubble3D val="0"/>
            <c:spPr>
              <a:solidFill>
                <a:schemeClr val="accent6">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B-F6DB-4C84-B523-DC33B8CC844A}"/>
              </c:ext>
            </c:extLst>
          </c:dPt>
          <c:dPt>
            <c:idx val="54"/>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6D-F6DB-4C84-B523-DC33B8CC844A}"/>
              </c:ext>
            </c:extLst>
          </c:dPt>
          <c:dPt>
            <c:idx val="55"/>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6F-F6DB-4C84-B523-DC33B8CC844A}"/>
              </c:ext>
            </c:extLst>
          </c:dPt>
          <c:dPt>
            <c:idx val="56"/>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71-F6DB-4C84-B523-DC33B8CC844A}"/>
              </c:ext>
            </c:extLst>
          </c:dPt>
          <c:dPt>
            <c:idx val="57"/>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73-F6DB-4C84-B523-DC33B8CC844A}"/>
              </c:ext>
            </c:extLst>
          </c:dPt>
          <c:dPt>
            <c:idx val="58"/>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75-F6DB-4C84-B523-DC33B8CC844A}"/>
              </c:ext>
            </c:extLst>
          </c:dPt>
          <c:dPt>
            <c:idx val="59"/>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77-F6DB-4C84-B523-DC33B8CC844A}"/>
              </c:ext>
            </c:extLst>
          </c:dPt>
          <c:dPt>
            <c:idx val="60"/>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9-F6DB-4C84-B523-DC33B8CC844A}"/>
              </c:ext>
            </c:extLst>
          </c:dPt>
          <c:dPt>
            <c:idx val="61"/>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B-F6DB-4C84-B523-DC33B8CC844A}"/>
              </c:ext>
            </c:extLst>
          </c:dPt>
          <c:dPt>
            <c:idx val="62"/>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D-F6DB-4C84-B523-DC33B8CC844A}"/>
              </c:ext>
            </c:extLst>
          </c:dPt>
          <c:dPt>
            <c:idx val="63"/>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F-F6DB-4C84-B523-DC33B8CC844A}"/>
              </c:ext>
            </c:extLst>
          </c:dPt>
          <c:dPt>
            <c:idx val="6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1-F6DB-4C84-B523-DC33B8CC844A}"/>
              </c:ext>
            </c:extLst>
          </c:dPt>
          <c:dPt>
            <c:idx val="65"/>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3-F6DB-4C84-B523-DC33B8CC844A}"/>
              </c:ext>
            </c:extLst>
          </c:dPt>
          <c:dPt>
            <c:idx val="6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5-F6DB-4C84-B523-DC33B8CC844A}"/>
              </c:ext>
            </c:extLst>
          </c:dPt>
          <c:dPt>
            <c:idx val="67"/>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7-F6DB-4C84-B523-DC33B8CC844A}"/>
              </c:ext>
            </c:extLst>
          </c:dPt>
          <c:dPt>
            <c:idx val="68"/>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9-F6DB-4C84-B523-DC33B8CC844A}"/>
              </c:ext>
            </c:extLst>
          </c:dPt>
          <c:dPt>
            <c:idx val="69"/>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B-F6DB-4C84-B523-DC33B8CC844A}"/>
              </c:ext>
            </c:extLst>
          </c:dPt>
          <c:dPt>
            <c:idx val="70"/>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D-F6DB-4C84-B523-DC33B8CC844A}"/>
              </c:ext>
            </c:extLst>
          </c:dPt>
          <c:dPt>
            <c:idx val="71"/>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F-F6DB-4C84-B523-DC33B8CC844A}"/>
              </c:ext>
            </c:extLst>
          </c:dPt>
          <c:dPt>
            <c:idx val="72"/>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1-F6DB-4C84-B523-DC33B8CC844A}"/>
              </c:ext>
            </c:extLst>
          </c:dPt>
          <c:dPt>
            <c:idx val="73"/>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3-F6DB-4C84-B523-DC33B8CC844A}"/>
              </c:ext>
            </c:extLst>
          </c:dPt>
          <c:dPt>
            <c:idx val="74"/>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5-F6DB-4C84-B523-DC33B8CC844A}"/>
              </c:ext>
            </c:extLst>
          </c:dPt>
          <c:dPt>
            <c:idx val="75"/>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7-F6DB-4C84-B523-DC33B8CC844A}"/>
              </c:ext>
            </c:extLst>
          </c:dPt>
          <c:dPt>
            <c:idx val="76"/>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9-F6DB-4C84-B523-DC33B8CC844A}"/>
              </c:ext>
            </c:extLst>
          </c:dPt>
          <c:dPt>
            <c:idx val="77"/>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B-F6DB-4C84-B523-DC33B8CC844A}"/>
              </c:ext>
            </c:extLst>
          </c:dPt>
          <c:dPt>
            <c:idx val="78"/>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D-F6DB-4C84-B523-DC33B8CC844A}"/>
              </c:ext>
            </c:extLst>
          </c:dPt>
          <c:dPt>
            <c:idx val="79"/>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F-F6DB-4C84-B523-DC33B8CC844A}"/>
              </c:ext>
            </c:extLst>
          </c:dPt>
          <c:dPt>
            <c:idx val="80"/>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1-F6DB-4C84-B523-DC33B8CC844A}"/>
              </c:ext>
            </c:extLst>
          </c:dPt>
          <c:dPt>
            <c:idx val="81"/>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3-F6DB-4C84-B523-DC33B8CC844A}"/>
              </c:ext>
            </c:extLst>
          </c:dPt>
          <c:dPt>
            <c:idx val="82"/>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5-F6DB-4C84-B523-DC33B8CC844A}"/>
              </c:ext>
            </c:extLst>
          </c:dPt>
          <c:dPt>
            <c:idx val="83"/>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7-F6DB-4C84-B523-DC33B8CC844A}"/>
              </c:ext>
            </c:extLst>
          </c:dPt>
          <c:dPt>
            <c:idx val="84"/>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9-F6DB-4C84-B523-DC33B8CC844A}"/>
              </c:ext>
            </c:extLst>
          </c:dPt>
          <c:dPt>
            <c:idx val="85"/>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B-F6DB-4C84-B523-DC33B8CC844A}"/>
              </c:ext>
            </c:extLst>
          </c:dPt>
          <c:dPt>
            <c:idx val="86"/>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D-F6DB-4C84-B523-DC33B8CC844A}"/>
              </c:ext>
            </c:extLst>
          </c:dPt>
          <c:dPt>
            <c:idx val="87"/>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F-F6DB-4C84-B523-DC33B8CC844A}"/>
              </c:ext>
            </c:extLst>
          </c:dPt>
          <c:dPt>
            <c:idx val="88"/>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1-F6DB-4C84-B523-DC33B8CC844A}"/>
              </c:ext>
            </c:extLst>
          </c:dPt>
          <c:dPt>
            <c:idx val="89"/>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3-F6DB-4C84-B523-DC33B8CC844A}"/>
              </c:ext>
            </c:extLst>
          </c:dPt>
          <c:dPt>
            <c:idx val="90"/>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5-F6DB-4C84-B523-DC33B8CC844A}"/>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'poste occupé'!$A$1:$A$91</c:f>
              <c:strCache>
                <c:ptCount val="91"/>
                <c:pt idx="0">
                  <c:v>DIRECTEUR GENERAL</c:v>
                </c:pt>
                <c:pt idx="1">
                  <c:v>DIRECTEUR COMMERCIAL CONFECTION</c:v>
                </c:pt>
                <c:pt idx="2">
                  <c:v>DIRECTEUR COMMERCIAL TEXTILE</c:v>
                </c:pt>
                <c:pt idx="3">
                  <c:v>DIRECTEUR FINANCES ET DE LA COMPTABILITE </c:v>
                </c:pt>
                <c:pt idx="4">
                  <c:v>DIRECTEUR JURIDIQUE ET SECRETAIRE GENERALE DU CONSEIL D'ADMINISTRATION</c:v>
                </c:pt>
                <c:pt idx="5">
                  <c:v>DIRECTEUR TEINTURE FINISSAGE</c:v>
                </c:pt>
                <c:pt idx="6">
                  <c:v>MANAGER ACHATS</c:v>
                </c:pt>
                <c:pt idx="7">
                  <c:v>MANAGER AUDIT</c:v>
                </c:pt>
                <c:pt idx="8">
                  <c:v>MANAGER COMPTABILITE </c:v>
                </c:pt>
                <c:pt idx="9">
                  <c:v>MANAGER IT &amp; SECURITE DES SYSTEMES D'INFORMATION</c:v>
                </c:pt>
                <c:pt idx="10">
                  <c:v>MANAGER LOGISTIQUE ET ENTREPOT</c:v>
                </c:pt>
                <c:pt idx="11">
                  <c:v>MANAGER MARKETING - COMMUNICATION &amp; RP</c:v>
                </c:pt>
                <c:pt idx="12">
                  <c:v>MANAGER OPERATIONS EXPORT</c:v>
                </c:pt>
                <c:pt idx="13">
                  <c:v>MANAGER OPERATIONS IMPORT ET EXPORT</c:v>
                </c:pt>
                <c:pt idx="14">
                  <c:v>MANAGER Q.H.S.E.</c:v>
                </c:pt>
                <c:pt idx="15">
                  <c:v>MANAGER RESSOURCES HUMAINES</c:v>
                </c:pt>
                <c:pt idx="16">
                  <c:v>AGENT EMPLOYES ASSURANCE ET QUALITE</c:v>
                </c:pt>
                <c:pt idx="17">
                  <c:v>ASSISTANTE EXECUTIVE DU DIRECTEUR GENERAL</c:v>
                </c:pt>
                <c:pt idx="18">
                  <c:v>AUDITEUR QUALITE INTERNE SENIOR</c:v>
                </c:pt>
                <c:pt idx="19">
                  <c:v>INSPECTEUR PREVENTION HSE JUNIOR</c:v>
                </c:pt>
                <c:pt idx="20">
                  <c:v>INSTRUCTEUR D'APPLICATION</c:v>
                </c:pt>
                <c:pt idx="21">
                  <c:v>MARCHANDISER</c:v>
                </c:pt>
                <c:pt idx="22">
                  <c:v>MODELISTE JUNIOR</c:v>
                </c:pt>
                <c:pt idx="23">
                  <c:v>SPECIALISTE ACHATS</c:v>
                </c:pt>
                <c:pt idx="24">
                  <c:v>SPECIALISTE ACHATS INTERNATIONAUX</c:v>
                </c:pt>
                <c:pt idx="25">
                  <c:v>SPECIALISTE ACHATS INTERNATIONAUX SENIOR</c:v>
                </c:pt>
                <c:pt idx="26">
                  <c:v>SPECIALISTE ACHATS JUNIOR</c:v>
                </c:pt>
                <c:pt idx="27">
                  <c:v>SPECIALISTE ACHATS SENIOR</c:v>
                </c:pt>
                <c:pt idx="28">
                  <c:v>SPECIALISTE BACK OFFICE</c:v>
                </c:pt>
                <c:pt idx="29">
                  <c:v>SPECIALISTE COMMERCIAL</c:v>
                </c:pt>
                <c:pt idx="30">
                  <c:v>SPECIALISTE COMMERCIAL EXPORT SENIOR</c:v>
                </c:pt>
                <c:pt idx="31">
                  <c:v>SPECIALISTE COMMERCIAL JUNIOR</c:v>
                </c:pt>
                <c:pt idx="32">
                  <c:v>SPECIALISTE COMMERCIAL LOCAL</c:v>
                </c:pt>
                <c:pt idx="33">
                  <c:v>SPECIALISTE COMMERCIAL LOCAL SENIOR</c:v>
                </c:pt>
                <c:pt idx="34">
                  <c:v>SPECIALISTE COMMUNICATION INTERNE</c:v>
                </c:pt>
                <c:pt idx="35">
                  <c:v>SPECIALISTE COMPTABILITE</c:v>
                </c:pt>
                <c:pt idx="36">
                  <c:v>SPECIALISTE COMPTABILITE JUNIOR</c:v>
                </c:pt>
                <c:pt idx="37">
                  <c:v>SPECIALISTE COMPTABILITE SENIOR</c:v>
                </c:pt>
                <c:pt idx="38">
                  <c:v>SPECIALISTE CONFECTION </c:v>
                </c:pt>
                <c:pt idx="39">
                  <c:v>SPECIALISTE CONFECTION SENIOR</c:v>
                </c:pt>
                <c:pt idx="40">
                  <c:v>SPECIALISTE CONTROLE DE GESTION INDUSTRIEL JUNIOR</c:v>
                </c:pt>
                <c:pt idx="41">
                  <c:v>SPECIALISTE DEVELOPPEMENT COMMERCIAL</c:v>
                </c:pt>
                <c:pt idx="42">
                  <c:v>SPECIALISTE DEVELOPPEMENT IT</c:v>
                </c:pt>
                <c:pt idx="43">
                  <c:v>SPECIALISTE DEVELOPPEMENT IT JUNIOR</c:v>
                </c:pt>
                <c:pt idx="44">
                  <c:v>SPECIALISTE DEVELOPPEMENT IT SENIOR</c:v>
                </c:pt>
                <c:pt idx="45">
                  <c:v>SPECIALISTE DEVELOPPEMENT RESSOURCES HUMAINES ET FORMATION SENIOR</c:v>
                </c:pt>
                <c:pt idx="46">
                  <c:v>SPECIALISTE D'INFOGRAPHIE SENIOR</c:v>
                </c:pt>
                <c:pt idx="47">
                  <c:v>SPECIALISTE ENTREPOTS ET EXPEDITION SENIOR</c:v>
                </c:pt>
                <c:pt idx="48">
                  <c:v>SPECIALISTE ENVIRENNEMENT SENIOR</c:v>
                </c:pt>
                <c:pt idx="49">
                  <c:v>SPECIALISTE ERP</c:v>
                </c:pt>
                <c:pt idx="50">
                  <c:v>SPECIALISTE ERP SENIOR</c:v>
                </c:pt>
                <c:pt idx="51">
                  <c:v>SPECIALISTE FINANCES</c:v>
                </c:pt>
                <c:pt idx="52">
                  <c:v>SPECIALISTE FINANCES JUNIOR</c:v>
                </c:pt>
                <c:pt idx="53">
                  <c:v>SPECIALISTE FORMATION ET DÉVELOPPEMENT RH</c:v>
                </c:pt>
                <c:pt idx="54">
                  <c:v>SPECIALISTE GESTION DE STOCK</c:v>
                </c:pt>
                <c:pt idx="55">
                  <c:v>SPECIALISTE GESTION DE STOCK JUNIOR</c:v>
                </c:pt>
                <c:pt idx="56">
                  <c:v>SPECIALISTE HSE</c:v>
                </c:pt>
                <c:pt idx="57">
                  <c:v>SPECIALISTE IMPORT-EXPORT JUNIOR</c:v>
                </c:pt>
                <c:pt idx="58">
                  <c:v>SPECIALISTE IMPRESSION</c:v>
                </c:pt>
                <c:pt idx="59">
                  <c:v>SPECIALISTE INTERVENTION HSE SENIOR</c:v>
                </c:pt>
                <c:pt idx="60">
                  <c:v>SPECIALISTE IT</c:v>
                </c:pt>
                <c:pt idx="61">
                  <c:v>SPECIALISTE IT SENIOR</c:v>
                </c:pt>
                <c:pt idx="62">
                  <c:v>SPECIALISTE JURIDIQUE </c:v>
                </c:pt>
                <c:pt idx="63">
                  <c:v>SPECIALISTE JURIDIQUE SENIOR</c:v>
                </c:pt>
                <c:pt idx="64">
                  <c:v>SPECIALISTE MARKETING</c:v>
                </c:pt>
                <c:pt idx="65">
                  <c:v>SPECIALISTE MOYENS GENERAUX</c:v>
                </c:pt>
                <c:pt idx="66">
                  <c:v>SPECIALISTE MOYENS GENERAUX JUNIOR</c:v>
                </c:pt>
                <c:pt idx="67">
                  <c:v>SPECIALISTE MOYENS GENERAUX SENIOR</c:v>
                </c:pt>
                <c:pt idx="68">
                  <c:v>SPECIALISTE OPERATIONS EXPORT</c:v>
                </c:pt>
                <c:pt idx="69">
                  <c:v>SPECIALISTE OPERATIONS IMPORT &amp; EXPORT</c:v>
                </c:pt>
                <c:pt idx="70">
                  <c:v>SPECIALISTE PATRIMOINE ET ASSURANCE</c:v>
                </c:pt>
                <c:pt idx="71">
                  <c:v>SPECIALISTE PLANIFICATION</c:v>
                </c:pt>
                <c:pt idx="72">
                  <c:v>SPECIALISTE PLANIFICATION SENIOR</c:v>
                </c:pt>
                <c:pt idx="73">
                  <c:v>SPECIALISTE PROJETS ET METHODES SENIOR</c:v>
                </c:pt>
                <c:pt idx="74">
                  <c:v>SPECIALISTE RESSOURCES HUMAINES</c:v>
                </c:pt>
                <c:pt idx="75">
                  <c:v>SPECIALISTE RESSOURCES HUMAINES JUNIOR</c:v>
                </c:pt>
                <c:pt idx="76">
                  <c:v>SPECIALISTE RESSOURCES HUMAINES SENIOR</c:v>
                </c:pt>
                <c:pt idx="77">
                  <c:v>SPECIALISTE SMQ SENIOR</c:v>
                </c:pt>
                <c:pt idx="78">
                  <c:v>EXPERT SYSTEM &amp; METHODOLOGIE</c:v>
                </c:pt>
                <c:pt idx="79">
                  <c:v>GESTIONNAIRE DE STOCK</c:v>
                </c:pt>
                <c:pt idx="80">
                  <c:v>EXPERTS / SPECIALISTE MARQUE ET IMAGE</c:v>
                </c:pt>
                <c:pt idx="81">
                  <c:v>AUDITEUR QUALITE INTERNE JUNIOR</c:v>
                </c:pt>
                <c:pt idx="82">
                  <c:v>CHEF DEPARTEMENT BACK OFFICE</c:v>
                </c:pt>
                <c:pt idx="83">
                  <c:v>CHEF DEPARTEMENT COMMERCIAL LOCAL</c:v>
                </c:pt>
                <c:pt idx="84">
                  <c:v>CHEF DEPARTEMENT COMPTABILITE GENERALE</c:v>
                </c:pt>
                <c:pt idx="85">
                  <c:v>CHEF DEPARTEMENT CONTROLE DE GESTION</c:v>
                </c:pt>
                <c:pt idx="86">
                  <c:v>CHEF DEPARTEMENT CONTROLE QUALITE</c:v>
                </c:pt>
                <c:pt idx="87">
                  <c:v>CHEF DEPARTEMENT DES ACHATS</c:v>
                </c:pt>
                <c:pt idx="88">
                  <c:v>CHEF DEPARTEMENT FINANCES</c:v>
                </c:pt>
                <c:pt idx="89">
                  <c:v>CHEF DEPARTEMENT MOYENS GENERAUX</c:v>
                </c:pt>
                <c:pt idx="90">
                  <c:v>CHEF DEPARTEMENT PATRIMOINES ET PROJETS</c:v>
                </c:pt>
              </c:strCache>
            </c:strRef>
          </c:cat>
          <c:val>
            <c:numRef>
              <c:f>'poste occupé'!$B$1:$B$91</c:f>
              <c:numCache>
                <c:formatCode>0.00%</c:formatCode>
                <c:ptCount val="91"/>
                <c:pt idx="0">
                  <c:v>3.333333333333334E-3</c:v>
                </c:pt>
                <c:pt idx="1">
                  <c:v>3.333333333333334E-3</c:v>
                </c:pt>
                <c:pt idx="2">
                  <c:v>3.333333333333334E-3</c:v>
                </c:pt>
                <c:pt idx="3">
                  <c:v>3.333333333333334E-3</c:v>
                </c:pt>
                <c:pt idx="4">
                  <c:v>3.333333333333334E-3</c:v>
                </c:pt>
                <c:pt idx="5">
                  <c:v>3.333333333333334E-3</c:v>
                </c:pt>
                <c:pt idx="6">
                  <c:v>3.333333333333334E-3</c:v>
                </c:pt>
                <c:pt idx="7">
                  <c:v>3.333333333333334E-3</c:v>
                </c:pt>
                <c:pt idx="8">
                  <c:v>3.333333333333334E-3</c:v>
                </c:pt>
                <c:pt idx="9">
                  <c:v>3.333333333333334E-3</c:v>
                </c:pt>
                <c:pt idx="10">
                  <c:v>3.333333333333334E-3</c:v>
                </c:pt>
                <c:pt idx="11">
                  <c:v>3.333333333333334E-3</c:v>
                </c:pt>
                <c:pt idx="12">
                  <c:v>3.333333333333334E-3</c:v>
                </c:pt>
                <c:pt idx="13">
                  <c:v>3.333333333333334E-3</c:v>
                </c:pt>
                <c:pt idx="14">
                  <c:v>3.333333333333334E-3</c:v>
                </c:pt>
                <c:pt idx="15">
                  <c:v>3.333333333333334E-3</c:v>
                </c:pt>
                <c:pt idx="16">
                  <c:v>3.333333333333334E-3</c:v>
                </c:pt>
                <c:pt idx="17">
                  <c:v>3.333333333333334E-3</c:v>
                </c:pt>
                <c:pt idx="18">
                  <c:v>3.333333333333334E-3</c:v>
                </c:pt>
                <c:pt idx="19">
                  <c:v>3.333333333333334E-3</c:v>
                </c:pt>
                <c:pt idx="20">
                  <c:v>2.3333333333333338E-2</c:v>
                </c:pt>
                <c:pt idx="21">
                  <c:v>1.666666666666667E-2</c:v>
                </c:pt>
                <c:pt idx="22">
                  <c:v>2.0000000000000004E-2</c:v>
                </c:pt>
                <c:pt idx="23">
                  <c:v>2.3333333333333338E-2</c:v>
                </c:pt>
                <c:pt idx="24">
                  <c:v>6.666666666666668E-3</c:v>
                </c:pt>
                <c:pt idx="25">
                  <c:v>1.666666666666667E-2</c:v>
                </c:pt>
                <c:pt idx="26">
                  <c:v>3.333333333333334E-3</c:v>
                </c:pt>
                <c:pt idx="27">
                  <c:v>2.6666666666666672E-2</c:v>
                </c:pt>
                <c:pt idx="28">
                  <c:v>6.666666666666668E-3</c:v>
                </c:pt>
                <c:pt idx="29">
                  <c:v>2.0000000000000004E-2</c:v>
                </c:pt>
                <c:pt idx="30">
                  <c:v>1.3333333333333336E-2</c:v>
                </c:pt>
                <c:pt idx="31">
                  <c:v>3.333333333333334E-3</c:v>
                </c:pt>
                <c:pt idx="32">
                  <c:v>1.666666666666667E-2</c:v>
                </c:pt>
                <c:pt idx="33">
                  <c:v>2.3333333333333338E-2</c:v>
                </c:pt>
                <c:pt idx="34">
                  <c:v>3.333333333333334E-3</c:v>
                </c:pt>
                <c:pt idx="35">
                  <c:v>1.666666666666667E-2</c:v>
                </c:pt>
                <c:pt idx="36">
                  <c:v>3.333333333333334E-3</c:v>
                </c:pt>
                <c:pt idx="37">
                  <c:v>2.3333333333333338E-2</c:v>
                </c:pt>
                <c:pt idx="38">
                  <c:v>1.3333333333333336E-2</c:v>
                </c:pt>
                <c:pt idx="39">
                  <c:v>1.666666666666667E-2</c:v>
                </c:pt>
                <c:pt idx="40">
                  <c:v>3.333333333333334E-3</c:v>
                </c:pt>
                <c:pt idx="41">
                  <c:v>3.0000000000000002E-2</c:v>
                </c:pt>
                <c:pt idx="42">
                  <c:v>1.666666666666667E-2</c:v>
                </c:pt>
                <c:pt idx="43">
                  <c:v>3.333333333333334E-3</c:v>
                </c:pt>
                <c:pt idx="44">
                  <c:v>2.0000000000000004E-2</c:v>
                </c:pt>
                <c:pt idx="45">
                  <c:v>1.0000000000000002E-2</c:v>
                </c:pt>
                <c:pt idx="46">
                  <c:v>2.0000000000000004E-2</c:v>
                </c:pt>
                <c:pt idx="47">
                  <c:v>1.666666666666667E-2</c:v>
                </c:pt>
                <c:pt idx="48">
                  <c:v>2.3333333333333338E-2</c:v>
                </c:pt>
                <c:pt idx="49">
                  <c:v>2.6666666666666672E-2</c:v>
                </c:pt>
                <c:pt idx="50">
                  <c:v>2.0000000000000004E-2</c:v>
                </c:pt>
                <c:pt idx="51">
                  <c:v>1.666666666666667E-2</c:v>
                </c:pt>
                <c:pt idx="52">
                  <c:v>3.333333333333334E-3</c:v>
                </c:pt>
                <c:pt idx="53">
                  <c:v>6.666666666666668E-3</c:v>
                </c:pt>
                <c:pt idx="54">
                  <c:v>3.333333333333334E-2</c:v>
                </c:pt>
                <c:pt idx="55">
                  <c:v>3.333333333333334E-3</c:v>
                </c:pt>
                <c:pt idx="56">
                  <c:v>2.6666666666666672E-2</c:v>
                </c:pt>
                <c:pt idx="57">
                  <c:v>3.333333333333334E-3</c:v>
                </c:pt>
                <c:pt idx="58">
                  <c:v>1.666666666666667E-2</c:v>
                </c:pt>
                <c:pt idx="59">
                  <c:v>3.333333333333334E-2</c:v>
                </c:pt>
                <c:pt idx="60">
                  <c:v>1.3333333333333336E-2</c:v>
                </c:pt>
                <c:pt idx="61">
                  <c:v>1.666666666666667E-2</c:v>
                </c:pt>
                <c:pt idx="62">
                  <c:v>6.666666666666668E-3</c:v>
                </c:pt>
                <c:pt idx="63">
                  <c:v>1.3333333333333336E-2</c:v>
                </c:pt>
                <c:pt idx="64">
                  <c:v>2.0000000000000004E-2</c:v>
                </c:pt>
                <c:pt idx="65">
                  <c:v>1.3333333333333336E-2</c:v>
                </c:pt>
                <c:pt idx="66">
                  <c:v>3.333333333333334E-3</c:v>
                </c:pt>
                <c:pt idx="67">
                  <c:v>2.3333333333333338E-2</c:v>
                </c:pt>
                <c:pt idx="68">
                  <c:v>1.666666666666667E-2</c:v>
                </c:pt>
                <c:pt idx="69">
                  <c:v>1.0000000000000002E-2</c:v>
                </c:pt>
                <c:pt idx="70">
                  <c:v>1.666666666666667E-2</c:v>
                </c:pt>
                <c:pt idx="71">
                  <c:v>1.0000000000000002E-2</c:v>
                </c:pt>
                <c:pt idx="72">
                  <c:v>1.3333333333333336E-2</c:v>
                </c:pt>
                <c:pt idx="73">
                  <c:v>1.3333333333333336E-2</c:v>
                </c:pt>
                <c:pt idx="74">
                  <c:v>1.0000000000000002E-2</c:v>
                </c:pt>
                <c:pt idx="75">
                  <c:v>3.333333333333334E-3</c:v>
                </c:pt>
                <c:pt idx="76">
                  <c:v>2.3333333333333338E-2</c:v>
                </c:pt>
                <c:pt idx="77">
                  <c:v>1.666666666666667E-2</c:v>
                </c:pt>
                <c:pt idx="78">
                  <c:v>3.333333333333334E-3</c:v>
                </c:pt>
                <c:pt idx="79">
                  <c:v>1.3333333333333336E-2</c:v>
                </c:pt>
                <c:pt idx="80">
                  <c:v>1.0000000000000002E-2</c:v>
                </c:pt>
                <c:pt idx="81">
                  <c:v>3.333333333333334E-3</c:v>
                </c:pt>
                <c:pt idx="82">
                  <c:v>3.333333333333334E-3</c:v>
                </c:pt>
                <c:pt idx="83">
                  <c:v>3.333333333333334E-3</c:v>
                </c:pt>
                <c:pt idx="84">
                  <c:v>3.333333333333334E-3</c:v>
                </c:pt>
                <c:pt idx="85">
                  <c:v>3.333333333333334E-3</c:v>
                </c:pt>
                <c:pt idx="86">
                  <c:v>3.333333333333334E-3</c:v>
                </c:pt>
                <c:pt idx="87">
                  <c:v>3.333333333333334E-3</c:v>
                </c:pt>
                <c:pt idx="88">
                  <c:v>3.333333333333334E-3</c:v>
                </c:pt>
                <c:pt idx="89">
                  <c:v>3.333333333333334E-3</c:v>
                </c:pt>
                <c:pt idx="90">
                  <c:v>3.333333333333334E-3</c:v>
                </c:pt>
              </c:numCache>
            </c:numRef>
          </c:val>
          <c:extLst xmlns:c16r2="http://schemas.microsoft.com/office/drawing/2015/06/chart">
            <c:ext xmlns:c16="http://schemas.microsoft.com/office/drawing/2014/chart" uri="{C3380CC4-5D6E-409C-BE32-E72D297353CC}">
              <c16:uniqueId val="{000000B6-F6DB-4C84-B523-DC33B8CC844A}"/>
            </c:ext>
          </c:extLst>
        </c:ser>
        <c:ser>
          <c:idx val="1"/>
          <c:order val="1"/>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B8-F6DB-4C84-B523-DC33B8CC844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BA-F6DB-4C84-B523-DC33B8CC844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BC-F6DB-4C84-B523-DC33B8CC844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BE-F6DB-4C84-B523-DC33B8CC844A}"/>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C0-F6DB-4C84-B523-DC33B8CC844A}"/>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C2-F6DB-4C84-B523-DC33B8CC844A}"/>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4-F6DB-4C84-B523-DC33B8CC844A}"/>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6-F6DB-4C84-B523-DC33B8CC844A}"/>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8-F6DB-4C84-B523-DC33B8CC844A}"/>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A-F6DB-4C84-B523-DC33B8CC844A}"/>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C-F6DB-4C84-B523-DC33B8CC844A}"/>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E-F6DB-4C84-B523-DC33B8CC844A}"/>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0-F6DB-4C84-B523-DC33B8CC844A}"/>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2-F6DB-4C84-B523-DC33B8CC844A}"/>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4-F6DB-4C84-B523-DC33B8CC844A}"/>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6-F6DB-4C84-B523-DC33B8CC844A}"/>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8-F6DB-4C84-B523-DC33B8CC844A}"/>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A-F6DB-4C84-B523-DC33B8CC844A}"/>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C-F6DB-4C84-B523-DC33B8CC844A}"/>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E-F6DB-4C84-B523-DC33B8CC844A}"/>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0-F6DB-4C84-B523-DC33B8CC844A}"/>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2-F6DB-4C84-B523-DC33B8CC844A}"/>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4-F6DB-4C84-B523-DC33B8CC844A}"/>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6-F6DB-4C84-B523-DC33B8CC844A}"/>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8-F6DB-4C84-B523-DC33B8CC844A}"/>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A-F6DB-4C84-B523-DC33B8CC844A}"/>
              </c:ext>
            </c:extLst>
          </c:dPt>
          <c:dPt>
            <c:idx val="26"/>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C-F6DB-4C84-B523-DC33B8CC844A}"/>
              </c:ext>
            </c:extLst>
          </c:dPt>
          <c:dPt>
            <c:idx val="27"/>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E-F6DB-4C84-B523-DC33B8CC844A}"/>
              </c:ext>
            </c:extLst>
          </c:dPt>
          <c:dPt>
            <c:idx val="28"/>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0-F6DB-4C84-B523-DC33B8CC844A}"/>
              </c:ext>
            </c:extLst>
          </c:dPt>
          <c:dPt>
            <c:idx val="29"/>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2-F6DB-4C84-B523-DC33B8CC844A}"/>
              </c:ext>
            </c:extLst>
          </c:dPt>
          <c:dPt>
            <c:idx val="30"/>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4-F6DB-4C84-B523-DC33B8CC844A}"/>
              </c:ext>
            </c:extLst>
          </c:dPt>
          <c:dPt>
            <c:idx val="31"/>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6-F6DB-4C84-B523-DC33B8CC844A}"/>
              </c:ext>
            </c:extLst>
          </c:dPt>
          <c:dPt>
            <c:idx val="32"/>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8-F6DB-4C84-B523-DC33B8CC844A}"/>
              </c:ext>
            </c:extLst>
          </c:dPt>
          <c:dPt>
            <c:idx val="33"/>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A-F6DB-4C84-B523-DC33B8CC844A}"/>
              </c:ext>
            </c:extLst>
          </c:dPt>
          <c:dPt>
            <c:idx val="34"/>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C-F6DB-4C84-B523-DC33B8CC844A}"/>
              </c:ext>
            </c:extLst>
          </c:dPt>
          <c:dPt>
            <c:idx val="35"/>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E-F6DB-4C84-B523-DC33B8CC844A}"/>
              </c:ext>
            </c:extLst>
          </c:dPt>
          <c:dPt>
            <c:idx val="36"/>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0-F6DB-4C84-B523-DC33B8CC844A}"/>
              </c:ext>
            </c:extLst>
          </c:dPt>
          <c:dPt>
            <c:idx val="37"/>
            <c:bubble3D val="0"/>
            <c:spPr>
              <a:solidFill>
                <a:schemeClr val="accent2">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2-F6DB-4C84-B523-DC33B8CC844A}"/>
              </c:ext>
            </c:extLst>
          </c:dPt>
          <c:dPt>
            <c:idx val="38"/>
            <c:bubble3D val="0"/>
            <c:spPr>
              <a:solidFill>
                <a:schemeClr val="accent3">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4-F6DB-4C84-B523-DC33B8CC844A}"/>
              </c:ext>
            </c:extLst>
          </c:dPt>
          <c:dPt>
            <c:idx val="39"/>
            <c:bubble3D val="0"/>
            <c:spPr>
              <a:solidFill>
                <a:schemeClr val="accent4">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6-F6DB-4C84-B523-DC33B8CC844A}"/>
              </c:ext>
            </c:extLst>
          </c:dPt>
          <c:dPt>
            <c:idx val="40"/>
            <c:bubble3D val="0"/>
            <c:spPr>
              <a:solidFill>
                <a:schemeClr val="accent5">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8-F6DB-4C84-B523-DC33B8CC844A}"/>
              </c:ext>
            </c:extLst>
          </c:dPt>
          <c:dPt>
            <c:idx val="41"/>
            <c:bubble3D val="0"/>
            <c:spPr>
              <a:solidFill>
                <a:schemeClr val="accent6">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A-F6DB-4C84-B523-DC33B8CC844A}"/>
              </c:ext>
            </c:extLst>
          </c:dPt>
          <c:dPt>
            <c:idx val="42"/>
            <c:bubble3D val="0"/>
            <c:spPr>
              <a:solidFill>
                <a:schemeClr val="accent1">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C-F6DB-4C84-B523-DC33B8CC844A}"/>
              </c:ext>
            </c:extLst>
          </c:dPt>
          <c:dPt>
            <c:idx val="43"/>
            <c:bubble3D val="0"/>
            <c:spPr>
              <a:solidFill>
                <a:schemeClr val="accent2">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E-F6DB-4C84-B523-DC33B8CC844A}"/>
              </c:ext>
            </c:extLst>
          </c:dPt>
          <c:dPt>
            <c:idx val="44"/>
            <c:bubble3D val="0"/>
            <c:spPr>
              <a:solidFill>
                <a:schemeClr val="accent3">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0-F6DB-4C84-B523-DC33B8CC844A}"/>
              </c:ext>
            </c:extLst>
          </c:dPt>
          <c:dPt>
            <c:idx val="45"/>
            <c:bubble3D val="0"/>
            <c:spPr>
              <a:solidFill>
                <a:schemeClr val="accent4">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2-F6DB-4C84-B523-DC33B8CC844A}"/>
              </c:ext>
            </c:extLst>
          </c:dPt>
          <c:dPt>
            <c:idx val="46"/>
            <c:bubble3D val="0"/>
            <c:spPr>
              <a:solidFill>
                <a:schemeClr val="accent5">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4-F6DB-4C84-B523-DC33B8CC844A}"/>
              </c:ext>
            </c:extLst>
          </c:dPt>
          <c:dPt>
            <c:idx val="47"/>
            <c:bubble3D val="0"/>
            <c:spPr>
              <a:solidFill>
                <a:schemeClr val="accent6">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6-F6DB-4C84-B523-DC33B8CC844A}"/>
              </c:ext>
            </c:extLst>
          </c:dPt>
          <c:dPt>
            <c:idx val="48"/>
            <c:bubble3D val="0"/>
            <c:spPr>
              <a:solidFill>
                <a:schemeClr val="accent1">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8-F6DB-4C84-B523-DC33B8CC844A}"/>
              </c:ext>
            </c:extLst>
          </c:dPt>
          <c:dPt>
            <c:idx val="49"/>
            <c:bubble3D val="0"/>
            <c:spPr>
              <a:solidFill>
                <a:schemeClr val="accent2">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A-F6DB-4C84-B523-DC33B8CC844A}"/>
              </c:ext>
            </c:extLst>
          </c:dPt>
          <c:dPt>
            <c:idx val="50"/>
            <c:bubble3D val="0"/>
            <c:spPr>
              <a:solidFill>
                <a:schemeClr val="accent3">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C-F6DB-4C84-B523-DC33B8CC844A}"/>
              </c:ext>
            </c:extLst>
          </c:dPt>
          <c:dPt>
            <c:idx val="51"/>
            <c:bubble3D val="0"/>
            <c:spPr>
              <a:solidFill>
                <a:schemeClr val="accent4">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E-F6DB-4C84-B523-DC33B8CC844A}"/>
              </c:ext>
            </c:extLst>
          </c:dPt>
          <c:dPt>
            <c:idx val="52"/>
            <c:bubble3D val="0"/>
            <c:spPr>
              <a:solidFill>
                <a:schemeClr val="accent5">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20-F6DB-4C84-B523-DC33B8CC844A}"/>
              </c:ext>
            </c:extLst>
          </c:dPt>
          <c:dPt>
            <c:idx val="53"/>
            <c:bubble3D val="0"/>
            <c:spPr>
              <a:solidFill>
                <a:schemeClr val="accent6">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22-F6DB-4C84-B523-DC33B8CC844A}"/>
              </c:ext>
            </c:extLst>
          </c:dPt>
          <c:dPt>
            <c:idx val="54"/>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124-F6DB-4C84-B523-DC33B8CC844A}"/>
              </c:ext>
            </c:extLst>
          </c:dPt>
          <c:dPt>
            <c:idx val="55"/>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126-F6DB-4C84-B523-DC33B8CC844A}"/>
              </c:ext>
            </c:extLst>
          </c:dPt>
          <c:dPt>
            <c:idx val="56"/>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128-F6DB-4C84-B523-DC33B8CC844A}"/>
              </c:ext>
            </c:extLst>
          </c:dPt>
          <c:dPt>
            <c:idx val="57"/>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12A-F6DB-4C84-B523-DC33B8CC844A}"/>
              </c:ext>
            </c:extLst>
          </c:dPt>
          <c:dPt>
            <c:idx val="58"/>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12C-F6DB-4C84-B523-DC33B8CC844A}"/>
              </c:ext>
            </c:extLst>
          </c:dPt>
          <c:dPt>
            <c:idx val="59"/>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12E-F6DB-4C84-B523-DC33B8CC844A}"/>
              </c:ext>
            </c:extLst>
          </c:dPt>
          <c:dPt>
            <c:idx val="60"/>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0-F6DB-4C84-B523-DC33B8CC844A}"/>
              </c:ext>
            </c:extLst>
          </c:dPt>
          <c:dPt>
            <c:idx val="61"/>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2-F6DB-4C84-B523-DC33B8CC844A}"/>
              </c:ext>
            </c:extLst>
          </c:dPt>
          <c:dPt>
            <c:idx val="62"/>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4-F6DB-4C84-B523-DC33B8CC844A}"/>
              </c:ext>
            </c:extLst>
          </c:dPt>
          <c:dPt>
            <c:idx val="63"/>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6-F6DB-4C84-B523-DC33B8CC844A}"/>
              </c:ext>
            </c:extLst>
          </c:dPt>
          <c:dPt>
            <c:idx val="6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8-F6DB-4C84-B523-DC33B8CC844A}"/>
              </c:ext>
            </c:extLst>
          </c:dPt>
          <c:dPt>
            <c:idx val="65"/>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A-F6DB-4C84-B523-DC33B8CC844A}"/>
              </c:ext>
            </c:extLst>
          </c:dPt>
          <c:dPt>
            <c:idx val="6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C-F6DB-4C84-B523-DC33B8CC844A}"/>
              </c:ext>
            </c:extLst>
          </c:dPt>
          <c:dPt>
            <c:idx val="67"/>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E-F6DB-4C84-B523-DC33B8CC844A}"/>
              </c:ext>
            </c:extLst>
          </c:dPt>
          <c:dPt>
            <c:idx val="68"/>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0-F6DB-4C84-B523-DC33B8CC844A}"/>
              </c:ext>
            </c:extLst>
          </c:dPt>
          <c:dPt>
            <c:idx val="69"/>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2-F6DB-4C84-B523-DC33B8CC844A}"/>
              </c:ext>
            </c:extLst>
          </c:dPt>
          <c:dPt>
            <c:idx val="70"/>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4-F6DB-4C84-B523-DC33B8CC844A}"/>
              </c:ext>
            </c:extLst>
          </c:dPt>
          <c:dPt>
            <c:idx val="71"/>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6-F6DB-4C84-B523-DC33B8CC844A}"/>
              </c:ext>
            </c:extLst>
          </c:dPt>
          <c:dPt>
            <c:idx val="72"/>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8-F6DB-4C84-B523-DC33B8CC844A}"/>
              </c:ext>
            </c:extLst>
          </c:dPt>
          <c:dPt>
            <c:idx val="73"/>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A-F6DB-4C84-B523-DC33B8CC844A}"/>
              </c:ext>
            </c:extLst>
          </c:dPt>
          <c:dPt>
            <c:idx val="74"/>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C-F6DB-4C84-B523-DC33B8CC844A}"/>
              </c:ext>
            </c:extLst>
          </c:dPt>
          <c:dPt>
            <c:idx val="75"/>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E-F6DB-4C84-B523-DC33B8CC844A}"/>
              </c:ext>
            </c:extLst>
          </c:dPt>
          <c:dPt>
            <c:idx val="76"/>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0-F6DB-4C84-B523-DC33B8CC844A}"/>
              </c:ext>
            </c:extLst>
          </c:dPt>
          <c:dPt>
            <c:idx val="77"/>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2-F6DB-4C84-B523-DC33B8CC844A}"/>
              </c:ext>
            </c:extLst>
          </c:dPt>
          <c:dPt>
            <c:idx val="78"/>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4-F6DB-4C84-B523-DC33B8CC844A}"/>
              </c:ext>
            </c:extLst>
          </c:dPt>
          <c:dPt>
            <c:idx val="79"/>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6-F6DB-4C84-B523-DC33B8CC844A}"/>
              </c:ext>
            </c:extLst>
          </c:dPt>
          <c:dPt>
            <c:idx val="80"/>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8-F6DB-4C84-B523-DC33B8CC844A}"/>
              </c:ext>
            </c:extLst>
          </c:dPt>
          <c:dPt>
            <c:idx val="81"/>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A-F6DB-4C84-B523-DC33B8CC844A}"/>
              </c:ext>
            </c:extLst>
          </c:dPt>
          <c:dPt>
            <c:idx val="82"/>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C-F6DB-4C84-B523-DC33B8CC844A}"/>
              </c:ext>
            </c:extLst>
          </c:dPt>
          <c:dPt>
            <c:idx val="83"/>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E-F6DB-4C84-B523-DC33B8CC844A}"/>
              </c:ext>
            </c:extLst>
          </c:dPt>
          <c:dPt>
            <c:idx val="84"/>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0-F6DB-4C84-B523-DC33B8CC844A}"/>
              </c:ext>
            </c:extLst>
          </c:dPt>
          <c:dPt>
            <c:idx val="85"/>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2-F6DB-4C84-B523-DC33B8CC844A}"/>
              </c:ext>
            </c:extLst>
          </c:dPt>
          <c:dPt>
            <c:idx val="86"/>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4-F6DB-4C84-B523-DC33B8CC844A}"/>
              </c:ext>
            </c:extLst>
          </c:dPt>
          <c:dPt>
            <c:idx val="87"/>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6-F6DB-4C84-B523-DC33B8CC844A}"/>
              </c:ext>
            </c:extLst>
          </c:dPt>
          <c:dPt>
            <c:idx val="88"/>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8-F6DB-4C84-B523-DC33B8CC844A}"/>
              </c:ext>
            </c:extLst>
          </c:dPt>
          <c:dPt>
            <c:idx val="89"/>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A-F6DB-4C84-B523-DC33B8CC844A}"/>
              </c:ext>
            </c:extLst>
          </c:dPt>
          <c:dPt>
            <c:idx val="90"/>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C-F6DB-4C84-B523-DC33B8CC84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'poste occupé'!$A$1:$A$91</c:f>
              <c:strCache>
                <c:ptCount val="91"/>
                <c:pt idx="0">
                  <c:v>DIRECTEUR GENERAL</c:v>
                </c:pt>
                <c:pt idx="1">
                  <c:v>DIRECTEUR COMMERCIAL CONFECTION</c:v>
                </c:pt>
                <c:pt idx="2">
                  <c:v>DIRECTEUR COMMERCIAL TEXTILE</c:v>
                </c:pt>
                <c:pt idx="3">
                  <c:v>DIRECTEUR FINANCES ET DE LA COMPTABILITE </c:v>
                </c:pt>
                <c:pt idx="4">
                  <c:v>DIRECTEUR JURIDIQUE ET SECRETAIRE GENERALE DU CONSEIL D'ADMINISTRATION</c:v>
                </c:pt>
                <c:pt idx="5">
                  <c:v>DIRECTEUR TEINTURE FINISSAGE</c:v>
                </c:pt>
                <c:pt idx="6">
                  <c:v>MANAGER ACHATS</c:v>
                </c:pt>
                <c:pt idx="7">
                  <c:v>MANAGER AUDIT</c:v>
                </c:pt>
                <c:pt idx="8">
                  <c:v>MANAGER COMPTABILITE </c:v>
                </c:pt>
                <c:pt idx="9">
                  <c:v>MANAGER IT &amp; SECURITE DES SYSTEMES D'INFORMATION</c:v>
                </c:pt>
                <c:pt idx="10">
                  <c:v>MANAGER LOGISTIQUE ET ENTREPOT</c:v>
                </c:pt>
                <c:pt idx="11">
                  <c:v>MANAGER MARKETING - COMMUNICATION &amp; RP</c:v>
                </c:pt>
                <c:pt idx="12">
                  <c:v>MANAGER OPERATIONS EXPORT</c:v>
                </c:pt>
                <c:pt idx="13">
                  <c:v>MANAGER OPERATIONS IMPORT ET EXPORT</c:v>
                </c:pt>
                <c:pt idx="14">
                  <c:v>MANAGER Q.H.S.E.</c:v>
                </c:pt>
                <c:pt idx="15">
                  <c:v>MANAGER RESSOURCES HUMAINES</c:v>
                </c:pt>
                <c:pt idx="16">
                  <c:v>AGENT EMPLOYES ASSURANCE ET QUALITE</c:v>
                </c:pt>
                <c:pt idx="17">
                  <c:v>ASSISTANTE EXECUTIVE DU DIRECTEUR GENERAL</c:v>
                </c:pt>
                <c:pt idx="18">
                  <c:v>AUDITEUR QUALITE INTERNE SENIOR</c:v>
                </c:pt>
                <c:pt idx="19">
                  <c:v>INSPECTEUR PREVENTION HSE JUNIOR</c:v>
                </c:pt>
                <c:pt idx="20">
                  <c:v>INSTRUCTEUR D'APPLICATION</c:v>
                </c:pt>
                <c:pt idx="21">
                  <c:v>MARCHANDISER</c:v>
                </c:pt>
                <c:pt idx="22">
                  <c:v>MODELISTE JUNIOR</c:v>
                </c:pt>
                <c:pt idx="23">
                  <c:v>SPECIALISTE ACHATS</c:v>
                </c:pt>
                <c:pt idx="24">
                  <c:v>SPECIALISTE ACHATS INTERNATIONAUX</c:v>
                </c:pt>
                <c:pt idx="25">
                  <c:v>SPECIALISTE ACHATS INTERNATIONAUX SENIOR</c:v>
                </c:pt>
                <c:pt idx="26">
                  <c:v>SPECIALISTE ACHATS JUNIOR</c:v>
                </c:pt>
                <c:pt idx="27">
                  <c:v>SPECIALISTE ACHATS SENIOR</c:v>
                </c:pt>
                <c:pt idx="28">
                  <c:v>SPECIALISTE BACK OFFICE</c:v>
                </c:pt>
                <c:pt idx="29">
                  <c:v>SPECIALISTE COMMERCIAL</c:v>
                </c:pt>
                <c:pt idx="30">
                  <c:v>SPECIALISTE COMMERCIAL EXPORT SENIOR</c:v>
                </c:pt>
                <c:pt idx="31">
                  <c:v>SPECIALISTE COMMERCIAL JUNIOR</c:v>
                </c:pt>
                <c:pt idx="32">
                  <c:v>SPECIALISTE COMMERCIAL LOCAL</c:v>
                </c:pt>
                <c:pt idx="33">
                  <c:v>SPECIALISTE COMMERCIAL LOCAL SENIOR</c:v>
                </c:pt>
                <c:pt idx="34">
                  <c:v>SPECIALISTE COMMUNICATION INTERNE</c:v>
                </c:pt>
                <c:pt idx="35">
                  <c:v>SPECIALISTE COMPTABILITE</c:v>
                </c:pt>
                <c:pt idx="36">
                  <c:v>SPECIALISTE COMPTABILITE JUNIOR</c:v>
                </c:pt>
                <c:pt idx="37">
                  <c:v>SPECIALISTE COMPTABILITE SENIOR</c:v>
                </c:pt>
                <c:pt idx="38">
                  <c:v>SPECIALISTE CONFECTION </c:v>
                </c:pt>
                <c:pt idx="39">
                  <c:v>SPECIALISTE CONFECTION SENIOR</c:v>
                </c:pt>
                <c:pt idx="40">
                  <c:v>SPECIALISTE CONTROLE DE GESTION INDUSTRIEL JUNIOR</c:v>
                </c:pt>
                <c:pt idx="41">
                  <c:v>SPECIALISTE DEVELOPPEMENT COMMERCIAL</c:v>
                </c:pt>
                <c:pt idx="42">
                  <c:v>SPECIALISTE DEVELOPPEMENT IT</c:v>
                </c:pt>
                <c:pt idx="43">
                  <c:v>SPECIALISTE DEVELOPPEMENT IT JUNIOR</c:v>
                </c:pt>
                <c:pt idx="44">
                  <c:v>SPECIALISTE DEVELOPPEMENT IT SENIOR</c:v>
                </c:pt>
                <c:pt idx="45">
                  <c:v>SPECIALISTE DEVELOPPEMENT RESSOURCES HUMAINES ET FORMATION SENIOR</c:v>
                </c:pt>
                <c:pt idx="46">
                  <c:v>SPECIALISTE D'INFOGRAPHIE SENIOR</c:v>
                </c:pt>
                <c:pt idx="47">
                  <c:v>SPECIALISTE ENTREPOTS ET EXPEDITION SENIOR</c:v>
                </c:pt>
                <c:pt idx="48">
                  <c:v>SPECIALISTE ENVIRENNEMENT SENIOR</c:v>
                </c:pt>
                <c:pt idx="49">
                  <c:v>SPECIALISTE ERP</c:v>
                </c:pt>
                <c:pt idx="50">
                  <c:v>SPECIALISTE ERP SENIOR</c:v>
                </c:pt>
                <c:pt idx="51">
                  <c:v>SPECIALISTE FINANCES</c:v>
                </c:pt>
                <c:pt idx="52">
                  <c:v>SPECIALISTE FINANCES JUNIOR</c:v>
                </c:pt>
                <c:pt idx="53">
                  <c:v>SPECIALISTE FORMATION ET DÉVELOPPEMENT RH</c:v>
                </c:pt>
                <c:pt idx="54">
                  <c:v>SPECIALISTE GESTION DE STOCK</c:v>
                </c:pt>
                <c:pt idx="55">
                  <c:v>SPECIALISTE GESTION DE STOCK JUNIOR</c:v>
                </c:pt>
                <c:pt idx="56">
                  <c:v>SPECIALISTE HSE</c:v>
                </c:pt>
                <c:pt idx="57">
                  <c:v>SPECIALISTE IMPORT-EXPORT JUNIOR</c:v>
                </c:pt>
                <c:pt idx="58">
                  <c:v>SPECIALISTE IMPRESSION</c:v>
                </c:pt>
                <c:pt idx="59">
                  <c:v>SPECIALISTE INTERVENTION HSE SENIOR</c:v>
                </c:pt>
                <c:pt idx="60">
                  <c:v>SPECIALISTE IT</c:v>
                </c:pt>
                <c:pt idx="61">
                  <c:v>SPECIALISTE IT SENIOR</c:v>
                </c:pt>
                <c:pt idx="62">
                  <c:v>SPECIALISTE JURIDIQUE </c:v>
                </c:pt>
                <c:pt idx="63">
                  <c:v>SPECIALISTE JURIDIQUE SENIOR</c:v>
                </c:pt>
                <c:pt idx="64">
                  <c:v>SPECIALISTE MARKETING</c:v>
                </c:pt>
                <c:pt idx="65">
                  <c:v>SPECIALISTE MOYENS GENERAUX</c:v>
                </c:pt>
                <c:pt idx="66">
                  <c:v>SPECIALISTE MOYENS GENERAUX JUNIOR</c:v>
                </c:pt>
                <c:pt idx="67">
                  <c:v>SPECIALISTE MOYENS GENERAUX SENIOR</c:v>
                </c:pt>
                <c:pt idx="68">
                  <c:v>SPECIALISTE OPERATIONS EXPORT</c:v>
                </c:pt>
                <c:pt idx="69">
                  <c:v>SPECIALISTE OPERATIONS IMPORT &amp; EXPORT</c:v>
                </c:pt>
                <c:pt idx="70">
                  <c:v>SPECIALISTE PATRIMOINE ET ASSURANCE</c:v>
                </c:pt>
                <c:pt idx="71">
                  <c:v>SPECIALISTE PLANIFICATION</c:v>
                </c:pt>
                <c:pt idx="72">
                  <c:v>SPECIALISTE PLANIFICATION SENIOR</c:v>
                </c:pt>
                <c:pt idx="73">
                  <c:v>SPECIALISTE PROJETS ET METHODES SENIOR</c:v>
                </c:pt>
                <c:pt idx="74">
                  <c:v>SPECIALISTE RESSOURCES HUMAINES</c:v>
                </c:pt>
                <c:pt idx="75">
                  <c:v>SPECIALISTE RESSOURCES HUMAINES JUNIOR</c:v>
                </c:pt>
                <c:pt idx="76">
                  <c:v>SPECIALISTE RESSOURCES HUMAINES SENIOR</c:v>
                </c:pt>
                <c:pt idx="77">
                  <c:v>SPECIALISTE SMQ SENIOR</c:v>
                </c:pt>
                <c:pt idx="78">
                  <c:v>EXPERT SYSTEM &amp; METHODOLOGIE</c:v>
                </c:pt>
                <c:pt idx="79">
                  <c:v>GESTIONNAIRE DE STOCK</c:v>
                </c:pt>
                <c:pt idx="80">
                  <c:v>EXPERTS / SPECIALISTE MARQUE ET IMAGE</c:v>
                </c:pt>
                <c:pt idx="81">
                  <c:v>AUDITEUR QUALITE INTERNE JUNIOR</c:v>
                </c:pt>
                <c:pt idx="82">
                  <c:v>CHEF DEPARTEMENT BACK OFFICE</c:v>
                </c:pt>
                <c:pt idx="83">
                  <c:v>CHEF DEPARTEMENT COMMERCIAL LOCAL</c:v>
                </c:pt>
                <c:pt idx="84">
                  <c:v>CHEF DEPARTEMENT COMPTABILITE GENERALE</c:v>
                </c:pt>
                <c:pt idx="85">
                  <c:v>CHEF DEPARTEMENT CONTROLE DE GESTION</c:v>
                </c:pt>
                <c:pt idx="86">
                  <c:v>CHEF DEPARTEMENT CONTROLE QUALITE</c:v>
                </c:pt>
                <c:pt idx="87">
                  <c:v>CHEF DEPARTEMENT DES ACHATS</c:v>
                </c:pt>
                <c:pt idx="88">
                  <c:v>CHEF DEPARTEMENT FINANCES</c:v>
                </c:pt>
                <c:pt idx="89">
                  <c:v>CHEF DEPARTEMENT MOYENS GENERAUX</c:v>
                </c:pt>
                <c:pt idx="90">
                  <c:v>CHEF DEPARTEMENT PATRIMOINES ET PROJETS</c:v>
                </c:pt>
              </c:strCache>
            </c:strRef>
          </c:cat>
          <c:val>
            <c:numRef>
              <c:f>'poste occupé'!$C$1:$C$91</c:f>
              <c:numCache>
                <c:formatCode>General</c:formatCode>
                <c:ptCount val="91"/>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7</c:v>
                </c:pt>
                <c:pt idx="21">
                  <c:v>5</c:v>
                </c:pt>
                <c:pt idx="22">
                  <c:v>6</c:v>
                </c:pt>
                <c:pt idx="23">
                  <c:v>7</c:v>
                </c:pt>
                <c:pt idx="24">
                  <c:v>2</c:v>
                </c:pt>
                <c:pt idx="25">
                  <c:v>5</c:v>
                </c:pt>
                <c:pt idx="26">
                  <c:v>1</c:v>
                </c:pt>
                <c:pt idx="27">
                  <c:v>8</c:v>
                </c:pt>
                <c:pt idx="28">
                  <c:v>2</c:v>
                </c:pt>
                <c:pt idx="29">
                  <c:v>6</c:v>
                </c:pt>
                <c:pt idx="30">
                  <c:v>4</c:v>
                </c:pt>
                <c:pt idx="31">
                  <c:v>1</c:v>
                </c:pt>
                <c:pt idx="32">
                  <c:v>5</c:v>
                </c:pt>
                <c:pt idx="33">
                  <c:v>7</c:v>
                </c:pt>
                <c:pt idx="34">
                  <c:v>1</c:v>
                </c:pt>
                <c:pt idx="35">
                  <c:v>5</c:v>
                </c:pt>
                <c:pt idx="36">
                  <c:v>1</c:v>
                </c:pt>
                <c:pt idx="37">
                  <c:v>7</c:v>
                </c:pt>
                <c:pt idx="38">
                  <c:v>4</c:v>
                </c:pt>
                <c:pt idx="39">
                  <c:v>5</c:v>
                </c:pt>
                <c:pt idx="40">
                  <c:v>1</c:v>
                </c:pt>
                <c:pt idx="41">
                  <c:v>9</c:v>
                </c:pt>
                <c:pt idx="42">
                  <c:v>5</c:v>
                </c:pt>
                <c:pt idx="43">
                  <c:v>1</c:v>
                </c:pt>
                <c:pt idx="44">
                  <c:v>6</c:v>
                </c:pt>
                <c:pt idx="45">
                  <c:v>3</c:v>
                </c:pt>
                <c:pt idx="46">
                  <c:v>6</c:v>
                </c:pt>
                <c:pt idx="47">
                  <c:v>5</c:v>
                </c:pt>
                <c:pt idx="48">
                  <c:v>7</c:v>
                </c:pt>
                <c:pt idx="49">
                  <c:v>8</c:v>
                </c:pt>
                <c:pt idx="50">
                  <c:v>6</c:v>
                </c:pt>
                <c:pt idx="51">
                  <c:v>5</c:v>
                </c:pt>
                <c:pt idx="52">
                  <c:v>1</c:v>
                </c:pt>
                <c:pt idx="53">
                  <c:v>2</c:v>
                </c:pt>
                <c:pt idx="54">
                  <c:v>10</c:v>
                </c:pt>
                <c:pt idx="55">
                  <c:v>1</c:v>
                </c:pt>
                <c:pt idx="56">
                  <c:v>8</c:v>
                </c:pt>
                <c:pt idx="57">
                  <c:v>1</c:v>
                </c:pt>
                <c:pt idx="58">
                  <c:v>5</c:v>
                </c:pt>
                <c:pt idx="59">
                  <c:v>10</c:v>
                </c:pt>
                <c:pt idx="60">
                  <c:v>4</c:v>
                </c:pt>
                <c:pt idx="61">
                  <c:v>5</c:v>
                </c:pt>
                <c:pt idx="62">
                  <c:v>2</c:v>
                </c:pt>
                <c:pt idx="63">
                  <c:v>4</c:v>
                </c:pt>
                <c:pt idx="64">
                  <c:v>6</c:v>
                </c:pt>
                <c:pt idx="65">
                  <c:v>4</c:v>
                </c:pt>
                <c:pt idx="66">
                  <c:v>1</c:v>
                </c:pt>
                <c:pt idx="67">
                  <c:v>7</c:v>
                </c:pt>
                <c:pt idx="68">
                  <c:v>5</c:v>
                </c:pt>
                <c:pt idx="69">
                  <c:v>3</c:v>
                </c:pt>
                <c:pt idx="70">
                  <c:v>5</c:v>
                </c:pt>
                <c:pt idx="71">
                  <c:v>3</c:v>
                </c:pt>
                <c:pt idx="72">
                  <c:v>4</c:v>
                </c:pt>
                <c:pt idx="73">
                  <c:v>4</c:v>
                </c:pt>
                <c:pt idx="74">
                  <c:v>3</c:v>
                </c:pt>
                <c:pt idx="75">
                  <c:v>1</c:v>
                </c:pt>
                <c:pt idx="76">
                  <c:v>7</c:v>
                </c:pt>
                <c:pt idx="77">
                  <c:v>5</c:v>
                </c:pt>
                <c:pt idx="78">
                  <c:v>1</c:v>
                </c:pt>
                <c:pt idx="79">
                  <c:v>4</c:v>
                </c:pt>
                <c:pt idx="80">
                  <c:v>3</c:v>
                </c:pt>
                <c:pt idx="81">
                  <c:v>1</c:v>
                </c:pt>
                <c:pt idx="82">
                  <c:v>1</c:v>
                </c:pt>
                <c:pt idx="83">
                  <c:v>1</c:v>
                </c:pt>
                <c:pt idx="84">
                  <c:v>1</c:v>
                </c:pt>
                <c:pt idx="85">
                  <c:v>1</c:v>
                </c:pt>
                <c:pt idx="86">
                  <c:v>1</c:v>
                </c:pt>
                <c:pt idx="87">
                  <c:v>1</c:v>
                </c:pt>
                <c:pt idx="88">
                  <c:v>1</c:v>
                </c:pt>
                <c:pt idx="89">
                  <c:v>1</c:v>
                </c:pt>
                <c:pt idx="90">
                  <c:v>1</c:v>
                </c:pt>
              </c:numCache>
            </c:numRef>
          </c:val>
          <c:extLst xmlns:c16r2="http://schemas.microsoft.com/office/drawing/2015/06/chart">
            <c:ext xmlns:c16="http://schemas.microsoft.com/office/drawing/2014/chart" uri="{C3380CC4-5D6E-409C-BE32-E72D297353CC}">
              <c16:uniqueId val="{0000016D-F6DB-4C84-B523-DC33B8CC844A}"/>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lgn="l">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Expérience professionnelle </a:t>
            </a:r>
          </a:p>
        </c:rich>
      </c:tx>
      <c:layout>
        <c:manualLayout>
          <c:xMode val="edge"/>
          <c:yMode val="edge"/>
          <c:x val="0.15669265856331069"/>
          <c:y val="2.777800210871078E-2"/>
        </c:manualLayout>
      </c:layout>
      <c:overlay val="0"/>
    </c:title>
    <c:autoTitleDeleted val="0"/>
    <c:plotArea>
      <c:layout/>
      <c:pieChart>
        <c:varyColors val="1"/>
        <c:ser>
          <c:idx val="0"/>
          <c:order val="0"/>
          <c:dLbls>
            <c:spPr>
              <a:noFill/>
              <a:ln>
                <a:noFill/>
              </a:ln>
              <a:effectLst/>
            </c:spPr>
            <c:txPr>
              <a:bodyPr rot="0" vert="horz"/>
              <a:lstStyle/>
              <a:p>
                <a:pPr>
                  <a:defRPr sz="800">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Feuil1!$B$128:$B$131</c:f>
              <c:strCache>
                <c:ptCount val="4"/>
                <c:pt idx="0">
                  <c:v>Moins de 5 ans</c:v>
                </c:pt>
                <c:pt idx="1">
                  <c:v>de 5 à 10 ans</c:v>
                </c:pt>
                <c:pt idx="2">
                  <c:v>de 11 à 15 ans</c:v>
                </c:pt>
                <c:pt idx="3">
                  <c:v>plus de 15 ans</c:v>
                </c:pt>
              </c:strCache>
            </c:strRef>
          </c:cat>
          <c:val>
            <c:numRef>
              <c:f>Feuil1!$C$128:$C$131</c:f>
              <c:numCache>
                <c:formatCode>0.00%</c:formatCode>
                <c:ptCount val="4"/>
                <c:pt idx="0">
                  <c:v>6.0000000000000026E-2</c:v>
                </c:pt>
                <c:pt idx="1">
                  <c:v>0.5</c:v>
                </c:pt>
                <c:pt idx="2">
                  <c:v>0.35666666666666691</c:v>
                </c:pt>
                <c:pt idx="3">
                  <c:v>8.3333333333333343E-2</c:v>
                </c:pt>
              </c:numCache>
            </c:numRef>
          </c:val>
          <c:extLst xmlns:c16r2="http://schemas.microsoft.com/office/drawing/2015/06/chart">
            <c:ext xmlns:c16="http://schemas.microsoft.com/office/drawing/2014/chart" uri="{C3380CC4-5D6E-409C-BE32-E72D297353CC}">
              <c16:uniqueId val="{00000000-DF80-490F-88AC-C6D91ECAB670}"/>
            </c:ext>
          </c:extLst>
        </c:ser>
        <c:dLbls>
          <c:showLegendKey val="0"/>
          <c:showVal val="1"/>
          <c:showCatName val="0"/>
          <c:showSerName val="0"/>
          <c:showPercent val="0"/>
          <c:showBubbleSize val="0"/>
          <c:showLeaderLines val="1"/>
        </c:dLbls>
        <c:firstSliceAng val="0"/>
      </c:pieChart>
    </c:plotArea>
    <c:legend>
      <c:legendPos val="r"/>
      <c:layout>
        <c:manualLayout>
          <c:xMode val="edge"/>
          <c:yMode val="edge"/>
          <c:x val="0.67819637174269498"/>
          <c:y val="0.34575605132691745"/>
          <c:w val="0.26288764875264381"/>
          <c:h val="0.35476086322543088"/>
        </c:manualLayout>
      </c:layout>
      <c:overlay val="0"/>
      <c:txPr>
        <a:bodyPr rot="0" vert="horz"/>
        <a:lstStyle/>
        <a:p>
          <a:pPr>
            <a:defRPr>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400" b="1" i="0" u="none" strike="noStrike" baseline="0">
                <a:solidFill>
                  <a:sysClr val="windowText" lastClr="000000"/>
                </a:solidFill>
                <a:latin typeface="Times New Roman" panose="02020603050405020304" pitchFamily="18" charset="0"/>
                <a:cs typeface="Times New Roman" panose="02020603050405020304" pitchFamily="18" charset="0"/>
              </a:rPr>
              <a:t>Sexe</a:t>
            </a:r>
            <a:endParaRPr lang="fr-FR" sz="14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3767344706911648"/>
          <c:y val="7.8703703703703734E-2"/>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06E-4F15-8B5A-A03DD2A64772}"/>
              </c:ext>
            </c:extLst>
          </c:dPt>
          <c:dPt>
            <c:idx val="1"/>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306E-4F15-8B5A-A03DD2A64772}"/>
              </c:ext>
            </c:extLst>
          </c:dPt>
          <c:dLbls>
            <c:dLbl>
              <c:idx val="0"/>
              <c:layout>
                <c:manualLayout>
                  <c:x val="-9.7823928258967727E-2"/>
                  <c:y val="-0.12622849227179941"/>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06E-4F15-8B5A-A03DD2A64772}"/>
                </c:ext>
                <c:ext xmlns:c15="http://schemas.microsoft.com/office/drawing/2012/chart" uri="{CE6537A1-D6FC-4f65-9D91-7224C49458BB}"/>
              </c:extLst>
            </c:dLbl>
            <c:dLbl>
              <c:idx val="1"/>
              <c:layout>
                <c:manualLayout>
                  <c:x val="0.11240529308836396"/>
                  <c:y val="7.4747739865850191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06E-4F15-8B5A-A03DD2A6477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'sexe+niveau'!$A$1:$A$2</c:f>
              <c:strCache>
                <c:ptCount val="2"/>
                <c:pt idx="0">
                  <c:v>Homme</c:v>
                </c:pt>
                <c:pt idx="1">
                  <c:v>Femme</c:v>
                </c:pt>
              </c:strCache>
            </c:strRef>
          </c:cat>
          <c:val>
            <c:numRef>
              <c:f>'sexe+niveau'!$B$1:$B$2</c:f>
              <c:numCache>
                <c:formatCode>0%</c:formatCode>
                <c:ptCount val="2"/>
                <c:pt idx="0">
                  <c:v>0.69000000000000028</c:v>
                </c:pt>
                <c:pt idx="1">
                  <c:v>0.31000000000000016</c:v>
                </c:pt>
              </c:numCache>
            </c:numRef>
          </c:val>
          <c:extLst xmlns:c16r2="http://schemas.microsoft.com/office/drawing/2015/06/chart">
            <c:ext xmlns:c16="http://schemas.microsoft.com/office/drawing/2014/chart" uri="{C3380CC4-5D6E-409C-BE32-E72D297353CC}">
              <c16:uniqueId val="{00000004-306E-4F15-8B5A-A03DD2A64772}"/>
            </c:ext>
          </c:extLst>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egendEntry>
        <c:idx val="1"/>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ayout>
        <c:manualLayout>
          <c:xMode val="edge"/>
          <c:yMode val="edge"/>
          <c:x val="0.68122903798701839"/>
          <c:y val="0.69240352133016858"/>
          <c:w val="0.24150785044085066"/>
          <c:h val="0.262502354669781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zero"/>
    <c:showDLblsOverMax val="0"/>
  </c:chart>
  <c:spPr>
    <a:solidFill>
      <a:schemeClr val="bg1"/>
    </a:solidFill>
    <a:ln w="3175" cap="flat" cmpd="sng" algn="ctr">
      <a:solidFill>
        <a:schemeClr val="tx1"/>
      </a:solidFill>
      <a:round/>
    </a:ln>
    <a:effectLst/>
  </c:spPr>
  <c:txPr>
    <a:bodyPr/>
    <a:lstStyle/>
    <a:p>
      <a:pPr>
        <a:defRPr/>
      </a:pPr>
      <a:endParaRPr lang="fr-FR"/>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Age</a:t>
            </a:r>
          </a:p>
        </c:rich>
      </c:tx>
      <c:overlay val="0"/>
    </c:title>
    <c:autoTitleDeleted val="0"/>
    <c:plotArea>
      <c:layout>
        <c:manualLayout>
          <c:layoutTarget val="inner"/>
          <c:xMode val="edge"/>
          <c:yMode val="edge"/>
          <c:x val="0.12365119890776917"/>
          <c:y val="0.16943089430894309"/>
          <c:w val="0.49740481282577675"/>
          <c:h val="0.69333384546443888"/>
        </c:manualLayout>
      </c:layout>
      <c:pieChart>
        <c:varyColors val="1"/>
        <c:ser>
          <c:idx val="0"/>
          <c:order val="0"/>
          <c:dLbls>
            <c:dLbl>
              <c:idx val="0"/>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1"/>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2"/>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dLbl>
            <c:dLbl>
              <c:idx val="3"/>
              <c:layout>
                <c:manualLayout>
                  <c:x val="1.72338039242892E-2"/>
                  <c:y val="8.3664708074632776E-2"/>
                </c:manualLayout>
              </c:layout>
              <c:spPr>
                <a:noFill/>
                <a:ln>
                  <a:noFill/>
                </a:ln>
                <a:effectLst/>
              </c:spPr>
              <c:txPr>
                <a:bodyPr rot="0" vert="horz"/>
                <a:lstStyle/>
                <a:p>
                  <a:pPr>
                    <a:defRPr sz="8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191-4E5C-AA7A-1F5FD23C5BB6}"/>
                </c:ext>
                <c:ext xmlns:c15="http://schemas.microsoft.com/office/drawing/2012/chart" uri="{CE6537A1-D6FC-4f65-9D91-7224C49458BB}"/>
              </c:extLst>
            </c:dLbl>
            <c:spPr>
              <a:noFill/>
              <a:ln>
                <a:noFill/>
              </a:ln>
              <a:effectLst/>
            </c:spPr>
            <c:txPr>
              <a:bodyPr rot="0" vert="horz"/>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'age + expérience'!$B$1:$B$4</c:f>
              <c:strCache>
                <c:ptCount val="4"/>
                <c:pt idx="0">
                  <c:v>moins de 30 ans</c:v>
                </c:pt>
                <c:pt idx="1">
                  <c:v>de 30 à 45 ans</c:v>
                </c:pt>
                <c:pt idx="2">
                  <c:v>de 45 à 55 ans</c:v>
                </c:pt>
                <c:pt idx="3">
                  <c:v>plus de 55 ans</c:v>
                </c:pt>
              </c:strCache>
            </c:strRef>
          </c:cat>
          <c:val>
            <c:numRef>
              <c:f>'age + expérience'!$C$1:$C$4</c:f>
              <c:numCache>
                <c:formatCode>0.00%</c:formatCode>
                <c:ptCount val="4"/>
                <c:pt idx="0">
                  <c:v>9.3333333333333365E-2</c:v>
                </c:pt>
                <c:pt idx="1">
                  <c:v>0.55333333333333334</c:v>
                </c:pt>
                <c:pt idx="2">
                  <c:v>0.31333333333333335</c:v>
                </c:pt>
                <c:pt idx="3">
                  <c:v>4.0000000000000022E-2</c:v>
                </c:pt>
              </c:numCache>
            </c:numRef>
          </c:val>
          <c:extLst xmlns:c16r2="http://schemas.microsoft.com/office/drawing/2015/06/chart">
            <c:ext xmlns:c16="http://schemas.microsoft.com/office/drawing/2014/chart" uri="{C3380CC4-5D6E-409C-BE32-E72D297353CC}">
              <c16:uniqueId val="{00000004-A191-4E5C-AA7A-1F5FD23C5BB6}"/>
            </c:ext>
          </c:extLst>
        </c:ser>
        <c:dLbls>
          <c:showLegendKey val="0"/>
          <c:showVal val="1"/>
          <c:showCatName val="0"/>
          <c:showSerName val="0"/>
          <c:showPercent val="0"/>
          <c:showBubbleSize val="0"/>
          <c:showLeaderLines val="1"/>
        </c:dLbls>
        <c:firstSliceAng val="0"/>
      </c:pieChart>
    </c:plotArea>
    <c:legend>
      <c:legendPos val="b"/>
      <c:layout>
        <c:manualLayout>
          <c:xMode val="edge"/>
          <c:yMode val="edge"/>
          <c:x val="0.6477167666816982"/>
          <c:y val="0.27995928557710781"/>
          <c:w val="0.26519870038271648"/>
          <c:h val="0.48018052621471113"/>
        </c:manualLayout>
      </c:layout>
      <c:overlay val="0"/>
      <c:txPr>
        <a:bodyPr rot="0" vert="horz"/>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Niveau d'étude</a:t>
            </a:r>
          </a:p>
        </c:rich>
      </c:tx>
      <c:overlay val="0"/>
    </c:title>
    <c:autoTitleDeleted val="0"/>
    <c:plotArea>
      <c:layout/>
      <c:pieChart>
        <c:varyColors val="1"/>
        <c:ser>
          <c:idx val="0"/>
          <c:order val="0"/>
          <c:dLbls>
            <c:spPr>
              <a:noFill/>
              <a:ln>
                <a:noFill/>
              </a:ln>
              <a:effectLst/>
            </c:spPr>
            <c:txPr>
              <a:bodyPr rot="0" vert="horz"/>
              <a:lstStyle/>
              <a:p>
                <a:pPr>
                  <a:defRPr sz="900">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'sexe+niveau'!$E$1:$E$5</c:f>
              <c:strCache>
                <c:ptCount val="5"/>
                <c:pt idx="0">
                  <c:v>bac</c:v>
                </c:pt>
                <c:pt idx="1">
                  <c:v>licence</c:v>
                </c:pt>
                <c:pt idx="2">
                  <c:v>master</c:v>
                </c:pt>
                <c:pt idx="3">
                  <c:v>magister</c:v>
                </c:pt>
                <c:pt idx="4">
                  <c:v>doctorat</c:v>
                </c:pt>
              </c:strCache>
            </c:strRef>
          </c:cat>
          <c:val>
            <c:numRef>
              <c:f>'sexe+niveau'!$F$1:$F$5</c:f>
              <c:numCache>
                <c:formatCode>0.00%</c:formatCode>
                <c:ptCount val="5"/>
                <c:pt idx="0">
                  <c:v>0</c:v>
                </c:pt>
                <c:pt idx="1">
                  <c:v>0.19</c:v>
                </c:pt>
                <c:pt idx="2">
                  <c:v>0.49333333333333335</c:v>
                </c:pt>
                <c:pt idx="3">
                  <c:v>0.20333333333333345</c:v>
                </c:pt>
                <c:pt idx="4">
                  <c:v>0.11333333333333333</c:v>
                </c:pt>
              </c:numCache>
            </c:numRef>
          </c:val>
          <c:extLst xmlns:c16r2="http://schemas.microsoft.com/office/drawing/2015/06/chart">
            <c:ext xmlns:c16="http://schemas.microsoft.com/office/drawing/2014/chart" uri="{C3380CC4-5D6E-409C-BE32-E72D297353CC}">
              <c16:uniqueId val="{00000000-8E5D-41E9-91E2-2B2F42BA93A0}"/>
            </c:ext>
          </c:extLst>
        </c:ser>
        <c:dLbls>
          <c:showLegendKey val="0"/>
          <c:showVal val="1"/>
          <c:showCatName val="0"/>
          <c:showSerName val="0"/>
          <c:showPercent val="0"/>
          <c:showBubbleSize val="0"/>
          <c:showLeaderLines val="1"/>
        </c:dLbls>
        <c:firstSliceAng val="0"/>
      </c:pieChart>
    </c:plotArea>
    <c:legend>
      <c:legendPos val="b"/>
      <c:layout>
        <c:manualLayout>
          <c:xMode val="edge"/>
          <c:yMode val="edge"/>
          <c:x val="0.75807239720035002"/>
          <c:y val="0.15335593467483241"/>
          <c:w val="0.18941076115485589"/>
          <c:h val="0.66608850976961209"/>
        </c:manualLayout>
      </c:layout>
      <c:overlay val="0"/>
      <c:txPr>
        <a:bodyPr rot="0" vert="horz"/>
        <a:lstStyle/>
        <a:p>
          <a:pPr>
            <a:defRPr sz="1000">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vert="horz"/>
          <a:lstStyle/>
          <a:p>
            <a:pPr>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Domaine d'étude</a:t>
            </a:r>
          </a:p>
        </c:rich>
      </c:tx>
      <c:overlay val="0"/>
    </c:title>
    <c:autoTitleDeleted val="0"/>
    <c:plotArea>
      <c:layout>
        <c:manualLayout>
          <c:layoutTarget val="inner"/>
          <c:xMode val="edge"/>
          <c:yMode val="edge"/>
          <c:x val="0.18260031806687818"/>
          <c:y val="0.14767081132263529"/>
          <c:w val="0.41141902156415777"/>
          <c:h val="0.7920792634306788"/>
        </c:manualLayout>
      </c:layout>
      <c:pieChart>
        <c:varyColors val="1"/>
        <c:ser>
          <c:idx val="0"/>
          <c:order val="0"/>
          <c:dLbls>
            <c:spPr>
              <a:noFill/>
              <a:ln>
                <a:noFill/>
              </a:ln>
              <a:effectLst/>
            </c:spPr>
            <c:txPr>
              <a:bodyPr rot="5400000" vert="horz"/>
              <a:lstStyle/>
              <a:p>
                <a:pPr>
                  <a:defRPr sz="800">
                    <a:latin typeface="Times New Roman" panose="02020603050405020304" pitchFamily="18" charset="0"/>
                    <a:cs typeface="Times New Roman" panose="02020603050405020304" pitchFamily="18" charset="0"/>
                  </a:defRPr>
                </a:pPr>
                <a:endParaRPr lang="fr-FR"/>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'domaine d''étude'!$A$1:$A$25</c:f>
              <c:strCache>
                <c:ptCount val="25"/>
                <c:pt idx="0">
                  <c:v>Économie</c:v>
                </c:pt>
                <c:pt idx="1">
                  <c:v>Gestion</c:v>
                </c:pt>
                <c:pt idx="2">
                  <c:v>commerce</c:v>
                </c:pt>
                <c:pt idx="3">
                  <c:v>finance</c:v>
                </c:pt>
                <c:pt idx="4">
                  <c:v>stratégie</c:v>
                </c:pt>
                <c:pt idx="5">
                  <c:v>droit</c:v>
                </c:pt>
                <c:pt idx="6">
                  <c:v>génie industriel</c:v>
                </c:pt>
                <c:pt idx="7">
                  <c:v>informatique</c:v>
                </c:pt>
                <c:pt idx="8">
                  <c:v>automatique</c:v>
                </c:pt>
                <c:pt idx="9">
                  <c:v>comptabilité et audit</c:v>
                </c:pt>
                <c:pt idx="10">
                  <c:v>génie électrique</c:v>
                </c:pt>
                <c:pt idx="11">
                  <c:v>assurance </c:v>
                </c:pt>
                <c:pt idx="12">
                  <c:v>ressources humaines</c:v>
                </c:pt>
                <c:pt idx="13">
                  <c:v>marketing</c:v>
                </c:pt>
                <c:pt idx="14">
                  <c:v>anglais</c:v>
                </c:pt>
                <c:pt idx="15">
                  <c:v>génie de production</c:v>
                </c:pt>
                <c:pt idx="16">
                  <c:v>management</c:v>
                </c:pt>
                <c:pt idx="17">
                  <c:v>logistique</c:v>
                </c:pt>
                <c:pt idx="18">
                  <c:v>didactique du FOS et FLE</c:v>
                </c:pt>
                <c:pt idx="19">
                  <c:v>Analyse et Sciences de données</c:v>
                </c:pt>
                <c:pt idx="20">
                  <c:v>génie de logiciels</c:v>
                </c:pt>
                <c:pt idx="21">
                  <c:v>génie mécanique</c:v>
                </c:pt>
                <c:pt idx="22">
                  <c:v>génie civil</c:v>
                </c:pt>
                <c:pt idx="23">
                  <c:v>Sciences Politiques</c:v>
                </c:pt>
                <c:pt idx="24">
                  <c:v>Français</c:v>
                </c:pt>
              </c:strCache>
            </c:strRef>
          </c:cat>
          <c:val>
            <c:numRef>
              <c:f>'domaine d''étude'!$B$1:$B$25</c:f>
              <c:numCache>
                <c:formatCode>0.00%</c:formatCode>
                <c:ptCount val="25"/>
                <c:pt idx="0">
                  <c:v>8.3333333333333343E-2</c:v>
                </c:pt>
                <c:pt idx="1">
                  <c:v>0.23666666666666666</c:v>
                </c:pt>
                <c:pt idx="2">
                  <c:v>0.22333333333333341</c:v>
                </c:pt>
                <c:pt idx="3">
                  <c:v>0.14000000000000001</c:v>
                </c:pt>
                <c:pt idx="4">
                  <c:v>0.11666666666666671</c:v>
                </c:pt>
                <c:pt idx="5">
                  <c:v>4.6666666666666683E-2</c:v>
                </c:pt>
                <c:pt idx="6">
                  <c:v>4.0000000000000022E-2</c:v>
                </c:pt>
                <c:pt idx="7">
                  <c:v>2.3333333333333341E-2</c:v>
                </c:pt>
                <c:pt idx="8">
                  <c:v>6.6666666666666697E-3</c:v>
                </c:pt>
                <c:pt idx="9">
                  <c:v>6.6666666666666697E-3</c:v>
                </c:pt>
                <c:pt idx="10">
                  <c:v>6.6666666666666697E-3</c:v>
                </c:pt>
                <c:pt idx="11">
                  <c:v>6.6666666666666697E-3</c:v>
                </c:pt>
                <c:pt idx="12">
                  <c:v>1.0000000000000005E-2</c:v>
                </c:pt>
                <c:pt idx="13">
                  <c:v>6.6666666666666697E-3</c:v>
                </c:pt>
                <c:pt idx="14">
                  <c:v>3.3333333333333348E-3</c:v>
                </c:pt>
                <c:pt idx="15">
                  <c:v>6.6666666666666697E-3</c:v>
                </c:pt>
                <c:pt idx="16">
                  <c:v>3.3333333333333348E-3</c:v>
                </c:pt>
                <c:pt idx="17">
                  <c:v>6.6666666666666697E-3</c:v>
                </c:pt>
                <c:pt idx="18">
                  <c:v>3.3333333333333348E-3</c:v>
                </c:pt>
                <c:pt idx="19">
                  <c:v>3.3333333333333348E-3</c:v>
                </c:pt>
                <c:pt idx="20">
                  <c:v>3.3333333333333348E-3</c:v>
                </c:pt>
                <c:pt idx="21">
                  <c:v>3.3333333333333348E-3</c:v>
                </c:pt>
                <c:pt idx="22">
                  <c:v>3.3333333333333348E-3</c:v>
                </c:pt>
                <c:pt idx="23">
                  <c:v>3.3333333333333348E-3</c:v>
                </c:pt>
                <c:pt idx="24">
                  <c:v>6.6666666666666697E-3</c:v>
                </c:pt>
              </c:numCache>
            </c:numRef>
          </c:val>
          <c:extLst xmlns:c16r2="http://schemas.microsoft.com/office/drawing/2015/06/chart">
            <c:ext xmlns:c16="http://schemas.microsoft.com/office/drawing/2014/chart" uri="{C3380CC4-5D6E-409C-BE32-E72D297353CC}">
              <c16:uniqueId val="{00000000-40E2-4C43-BC4D-6152AE14037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9252849923610293"/>
          <c:y val="1.8979723851798979E-2"/>
          <c:w val="0.29254612762956889"/>
          <c:h val="0.94560571232943791"/>
        </c:manualLayout>
      </c:layout>
      <c:overlay val="0"/>
      <c:txPr>
        <a:bodyPr rot="0" vert="horz"/>
        <a:lstStyle/>
        <a:p>
          <a:pPr>
            <a:defRPr sz="800">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400" b="1">
                <a:solidFill>
                  <a:sysClr val="windowText" lastClr="000000"/>
                </a:solidFill>
                <a:latin typeface="Times New Roman" panose="02020603050405020304" pitchFamily="18" charset="0"/>
                <a:cs typeface="Times New Roman" panose="02020603050405020304" pitchFamily="18" charset="0"/>
              </a:rPr>
              <a:t>Poste</a:t>
            </a:r>
            <a:r>
              <a:rPr lang="fr-FR" sz="1400" b="1" baseline="0">
                <a:solidFill>
                  <a:sysClr val="windowText" lastClr="000000"/>
                </a:solidFill>
                <a:latin typeface="Times New Roman" panose="02020603050405020304" pitchFamily="18" charset="0"/>
                <a:cs typeface="Times New Roman" panose="02020603050405020304" pitchFamily="18" charset="0"/>
              </a:rPr>
              <a:t> occupé</a:t>
            </a:r>
            <a:endParaRPr lang="fr-FR"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A99-4B3B-A799-CF7217B3032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A99-4B3B-A799-CF7217B3032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A99-4B3B-A799-CF7217B3032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A99-4B3B-A799-CF7217B3032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A99-4B3B-A799-CF7217B3032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A99-4B3B-A799-CF7217B3032C}"/>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A99-4B3B-A799-CF7217B3032C}"/>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CA99-4B3B-A799-CF7217B3032C}"/>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CA99-4B3B-A799-CF7217B3032C}"/>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CA99-4B3B-A799-CF7217B3032C}"/>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CA99-4B3B-A799-CF7217B3032C}"/>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CA99-4B3B-A799-CF7217B3032C}"/>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CA99-4B3B-A799-CF7217B3032C}"/>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CA99-4B3B-A799-CF7217B3032C}"/>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CA99-4B3B-A799-CF7217B3032C}"/>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CA99-4B3B-A799-CF7217B3032C}"/>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CA99-4B3B-A799-CF7217B3032C}"/>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CA99-4B3B-A799-CF7217B3032C}"/>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CA99-4B3B-A799-CF7217B3032C}"/>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7-CA99-4B3B-A799-CF7217B3032C}"/>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9-CA99-4B3B-A799-CF7217B3032C}"/>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CA99-4B3B-A799-CF7217B3032C}"/>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D-CA99-4B3B-A799-CF7217B3032C}"/>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F-CA99-4B3B-A799-CF7217B3032C}"/>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1-CA99-4B3B-A799-CF7217B3032C}"/>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CA99-4B3B-A799-CF7217B3032C}"/>
              </c:ext>
            </c:extLst>
          </c:dPt>
          <c:dPt>
            <c:idx val="26"/>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5-CA99-4B3B-A799-CF7217B3032C}"/>
              </c:ext>
            </c:extLst>
          </c:dPt>
          <c:dPt>
            <c:idx val="27"/>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7-CA99-4B3B-A799-CF7217B3032C}"/>
              </c:ext>
            </c:extLst>
          </c:dPt>
          <c:dPt>
            <c:idx val="28"/>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9-CA99-4B3B-A799-CF7217B3032C}"/>
              </c:ext>
            </c:extLst>
          </c:dPt>
          <c:dPt>
            <c:idx val="29"/>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B-CA99-4B3B-A799-CF7217B3032C}"/>
              </c:ext>
            </c:extLst>
          </c:dPt>
          <c:dPt>
            <c:idx val="30"/>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D-CA99-4B3B-A799-CF7217B3032C}"/>
              </c:ext>
            </c:extLst>
          </c:dPt>
          <c:dPt>
            <c:idx val="31"/>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F-CA99-4B3B-A799-CF7217B3032C}"/>
              </c:ext>
            </c:extLst>
          </c:dPt>
          <c:dPt>
            <c:idx val="32"/>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1-CA99-4B3B-A799-CF7217B3032C}"/>
              </c:ext>
            </c:extLst>
          </c:dPt>
          <c:dPt>
            <c:idx val="33"/>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3-CA99-4B3B-A799-CF7217B3032C}"/>
              </c:ext>
            </c:extLst>
          </c:dPt>
          <c:dPt>
            <c:idx val="34"/>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5-CA99-4B3B-A799-CF7217B3032C}"/>
              </c:ext>
            </c:extLst>
          </c:dPt>
          <c:dPt>
            <c:idx val="35"/>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7-CA99-4B3B-A799-CF7217B3032C}"/>
              </c:ext>
            </c:extLst>
          </c:dPt>
          <c:dPt>
            <c:idx val="36"/>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9-CA99-4B3B-A799-CF7217B3032C}"/>
              </c:ext>
            </c:extLst>
          </c:dPt>
          <c:dPt>
            <c:idx val="37"/>
            <c:bubble3D val="0"/>
            <c:spPr>
              <a:solidFill>
                <a:schemeClr val="accent2">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B-CA99-4B3B-A799-CF7217B3032C}"/>
              </c:ext>
            </c:extLst>
          </c:dPt>
          <c:dPt>
            <c:idx val="38"/>
            <c:bubble3D val="0"/>
            <c:spPr>
              <a:solidFill>
                <a:schemeClr val="accent3">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D-CA99-4B3B-A799-CF7217B3032C}"/>
              </c:ext>
            </c:extLst>
          </c:dPt>
          <c:dPt>
            <c:idx val="39"/>
            <c:bubble3D val="0"/>
            <c:spPr>
              <a:solidFill>
                <a:schemeClr val="accent4">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4F-CA99-4B3B-A799-CF7217B3032C}"/>
              </c:ext>
            </c:extLst>
          </c:dPt>
          <c:dPt>
            <c:idx val="40"/>
            <c:bubble3D val="0"/>
            <c:spPr>
              <a:solidFill>
                <a:schemeClr val="accent5">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1-CA99-4B3B-A799-CF7217B3032C}"/>
              </c:ext>
            </c:extLst>
          </c:dPt>
          <c:dPt>
            <c:idx val="41"/>
            <c:bubble3D val="0"/>
            <c:spPr>
              <a:solidFill>
                <a:schemeClr val="accent6">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3-CA99-4B3B-A799-CF7217B3032C}"/>
              </c:ext>
            </c:extLst>
          </c:dPt>
          <c:dPt>
            <c:idx val="42"/>
            <c:bubble3D val="0"/>
            <c:spPr>
              <a:solidFill>
                <a:schemeClr val="accent1">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5-CA99-4B3B-A799-CF7217B3032C}"/>
              </c:ext>
            </c:extLst>
          </c:dPt>
          <c:dPt>
            <c:idx val="43"/>
            <c:bubble3D val="0"/>
            <c:spPr>
              <a:solidFill>
                <a:schemeClr val="accent2">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7-CA99-4B3B-A799-CF7217B3032C}"/>
              </c:ext>
            </c:extLst>
          </c:dPt>
          <c:dPt>
            <c:idx val="44"/>
            <c:bubble3D val="0"/>
            <c:spPr>
              <a:solidFill>
                <a:schemeClr val="accent3">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9-CA99-4B3B-A799-CF7217B3032C}"/>
              </c:ext>
            </c:extLst>
          </c:dPt>
          <c:dPt>
            <c:idx val="45"/>
            <c:bubble3D val="0"/>
            <c:spPr>
              <a:solidFill>
                <a:schemeClr val="accent4">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B-CA99-4B3B-A799-CF7217B3032C}"/>
              </c:ext>
            </c:extLst>
          </c:dPt>
          <c:dPt>
            <c:idx val="46"/>
            <c:bubble3D val="0"/>
            <c:spPr>
              <a:solidFill>
                <a:schemeClr val="accent5">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D-CA99-4B3B-A799-CF7217B3032C}"/>
              </c:ext>
            </c:extLst>
          </c:dPt>
          <c:dPt>
            <c:idx val="47"/>
            <c:bubble3D val="0"/>
            <c:spPr>
              <a:solidFill>
                <a:schemeClr val="accent6">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5F-CA99-4B3B-A799-CF7217B3032C}"/>
              </c:ext>
            </c:extLst>
          </c:dPt>
          <c:dPt>
            <c:idx val="48"/>
            <c:bubble3D val="0"/>
            <c:spPr>
              <a:solidFill>
                <a:schemeClr val="accent1">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1-CA99-4B3B-A799-CF7217B3032C}"/>
              </c:ext>
            </c:extLst>
          </c:dPt>
          <c:dPt>
            <c:idx val="49"/>
            <c:bubble3D val="0"/>
            <c:spPr>
              <a:solidFill>
                <a:schemeClr val="accent2">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3-CA99-4B3B-A799-CF7217B3032C}"/>
              </c:ext>
            </c:extLst>
          </c:dPt>
          <c:dPt>
            <c:idx val="50"/>
            <c:bubble3D val="0"/>
            <c:spPr>
              <a:solidFill>
                <a:schemeClr val="accent3">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5-CA99-4B3B-A799-CF7217B3032C}"/>
              </c:ext>
            </c:extLst>
          </c:dPt>
          <c:dPt>
            <c:idx val="51"/>
            <c:bubble3D val="0"/>
            <c:spPr>
              <a:solidFill>
                <a:schemeClr val="accent4">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7-CA99-4B3B-A799-CF7217B3032C}"/>
              </c:ext>
            </c:extLst>
          </c:dPt>
          <c:dPt>
            <c:idx val="52"/>
            <c:bubble3D val="0"/>
            <c:spPr>
              <a:solidFill>
                <a:schemeClr val="accent5">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9-CA99-4B3B-A799-CF7217B3032C}"/>
              </c:ext>
            </c:extLst>
          </c:dPt>
          <c:dPt>
            <c:idx val="53"/>
            <c:bubble3D val="0"/>
            <c:spPr>
              <a:solidFill>
                <a:schemeClr val="accent6">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6B-CA99-4B3B-A799-CF7217B3032C}"/>
              </c:ext>
            </c:extLst>
          </c:dPt>
          <c:dPt>
            <c:idx val="54"/>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6D-CA99-4B3B-A799-CF7217B3032C}"/>
              </c:ext>
            </c:extLst>
          </c:dPt>
          <c:dPt>
            <c:idx val="55"/>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6F-CA99-4B3B-A799-CF7217B3032C}"/>
              </c:ext>
            </c:extLst>
          </c:dPt>
          <c:dPt>
            <c:idx val="56"/>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71-CA99-4B3B-A799-CF7217B3032C}"/>
              </c:ext>
            </c:extLst>
          </c:dPt>
          <c:dPt>
            <c:idx val="57"/>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73-CA99-4B3B-A799-CF7217B3032C}"/>
              </c:ext>
            </c:extLst>
          </c:dPt>
          <c:dPt>
            <c:idx val="58"/>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75-CA99-4B3B-A799-CF7217B3032C}"/>
              </c:ext>
            </c:extLst>
          </c:dPt>
          <c:dPt>
            <c:idx val="59"/>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77-CA99-4B3B-A799-CF7217B3032C}"/>
              </c:ext>
            </c:extLst>
          </c:dPt>
          <c:dPt>
            <c:idx val="60"/>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9-CA99-4B3B-A799-CF7217B3032C}"/>
              </c:ext>
            </c:extLst>
          </c:dPt>
          <c:dPt>
            <c:idx val="61"/>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B-CA99-4B3B-A799-CF7217B3032C}"/>
              </c:ext>
            </c:extLst>
          </c:dPt>
          <c:dPt>
            <c:idx val="62"/>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D-CA99-4B3B-A799-CF7217B3032C}"/>
              </c:ext>
            </c:extLst>
          </c:dPt>
          <c:dPt>
            <c:idx val="63"/>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7F-CA99-4B3B-A799-CF7217B3032C}"/>
              </c:ext>
            </c:extLst>
          </c:dPt>
          <c:dPt>
            <c:idx val="6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1-CA99-4B3B-A799-CF7217B3032C}"/>
              </c:ext>
            </c:extLst>
          </c:dPt>
          <c:dPt>
            <c:idx val="65"/>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3-CA99-4B3B-A799-CF7217B3032C}"/>
              </c:ext>
            </c:extLst>
          </c:dPt>
          <c:dPt>
            <c:idx val="6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5-CA99-4B3B-A799-CF7217B3032C}"/>
              </c:ext>
            </c:extLst>
          </c:dPt>
          <c:dPt>
            <c:idx val="67"/>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7-CA99-4B3B-A799-CF7217B3032C}"/>
              </c:ext>
            </c:extLst>
          </c:dPt>
          <c:dPt>
            <c:idx val="68"/>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9-CA99-4B3B-A799-CF7217B3032C}"/>
              </c:ext>
            </c:extLst>
          </c:dPt>
          <c:dPt>
            <c:idx val="69"/>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B-CA99-4B3B-A799-CF7217B3032C}"/>
              </c:ext>
            </c:extLst>
          </c:dPt>
          <c:dPt>
            <c:idx val="70"/>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D-CA99-4B3B-A799-CF7217B3032C}"/>
              </c:ext>
            </c:extLst>
          </c:dPt>
          <c:dPt>
            <c:idx val="71"/>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8F-CA99-4B3B-A799-CF7217B3032C}"/>
              </c:ext>
            </c:extLst>
          </c:dPt>
          <c:dPt>
            <c:idx val="72"/>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1-CA99-4B3B-A799-CF7217B3032C}"/>
              </c:ext>
            </c:extLst>
          </c:dPt>
          <c:dPt>
            <c:idx val="73"/>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3-CA99-4B3B-A799-CF7217B3032C}"/>
              </c:ext>
            </c:extLst>
          </c:dPt>
          <c:dPt>
            <c:idx val="74"/>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5-CA99-4B3B-A799-CF7217B3032C}"/>
              </c:ext>
            </c:extLst>
          </c:dPt>
          <c:dPt>
            <c:idx val="75"/>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7-CA99-4B3B-A799-CF7217B3032C}"/>
              </c:ext>
            </c:extLst>
          </c:dPt>
          <c:dPt>
            <c:idx val="76"/>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9-CA99-4B3B-A799-CF7217B3032C}"/>
              </c:ext>
            </c:extLst>
          </c:dPt>
          <c:dPt>
            <c:idx val="77"/>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B-CA99-4B3B-A799-CF7217B3032C}"/>
              </c:ext>
            </c:extLst>
          </c:dPt>
          <c:dPt>
            <c:idx val="78"/>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D-CA99-4B3B-A799-CF7217B3032C}"/>
              </c:ext>
            </c:extLst>
          </c:dPt>
          <c:dPt>
            <c:idx val="79"/>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9F-CA99-4B3B-A799-CF7217B3032C}"/>
              </c:ext>
            </c:extLst>
          </c:dPt>
          <c:dPt>
            <c:idx val="80"/>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1-CA99-4B3B-A799-CF7217B3032C}"/>
              </c:ext>
            </c:extLst>
          </c:dPt>
          <c:dPt>
            <c:idx val="81"/>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3-CA99-4B3B-A799-CF7217B3032C}"/>
              </c:ext>
            </c:extLst>
          </c:dPt>
          <c:dPt>
            <c:idx val="82"/>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5-CA99-4B3B-A799-CF7217B3032C}"/>
              </c:ext>
            </c:extLst>
          </c:dPt>
          <c:dPt>
            <c:idx val="83"/>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7-CA99-4B3B-A799-CF7217B3032C}"/>
              </c:ext>
            </c:extLst>
          </c:dPt>
          <c:dPt>
            <c:idx val="84"/>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9-CA99-4B3B-A799-CF7217B3032C}"/>
              </c:ext>
            </c:extLst>
          </c:dPt>
          <c:dPt>
            <c:idx val="85"/>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B-CA99-4B3B-A799-CF7217B3032C}"/>
              </c:ext>
            </c:extLst>
          </c:dPt>
          <c:dPt>
            <c:idx val="86"/>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D-CA99-4B3B-A799-CF7217B3032C}"/>
              </c:ext>
            </c:extLst>
          </c:dPt>
          <c:dPt>
            <c:idx val="87"/>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AF-CA99-4B3B-A799-CF7217B3032C}"/>
              </c:ext>
            </c:extLst>
          </c:dPt>
          <c:dPt>
            <c:idx val="88"/>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1-CA99-4B3B-A799-CF7217B3032C}"/>
              </c:ext>
            </c:extLst>
          </c:dPt>
          <c:dPt>
            <c:idx val="89"/>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3-CA99-4B3B-A799-CF7217B3032C}"/>
              </c:ext>
            </c:extLst>
          </c:dPt>
          <c:dPt>
            <c:idx val="90"/>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B5-CA99-4B3B-A799-CF7217B3032C}"/>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'poste occupé'!$A$1:$A$91</c:f>
              <c:strCache>
                <c:ptCount val="91"/>
                <c:pt idx="0">
                  <c:v>DIRECTEUR GENERAL</c:v>
                </c:pt>
                <c:pt idx="1">
                  <c:v>DIRECTEUR COMMERCIAL CONFECTION</c:v>
                </c:pt>
                <c:pt idx="2">
                  <c:v>DIRECTEUR COMMERCIAL TEXTILE</c:v>
                </c:pt>
                <c:pt idx="3">
                  <c:v>DIRECTEUR FINANCES ET DE LA COMPTABILITE </c:v>
                </c:pt>
                <c:pt idx="4">
                  <c:v>DIRECTEUR JURIDIQUE ET SECRETAIRE GENERALE DU CONSEIL D'ADMINISTRATION</c:v>
                </c:pt>
                <c:pt idx="5">
                  <c:v>DIRECTEUR TEINTURE FINISSAGE</c:v>
                </c:pt>
                <c:pt idx="6">
                  <c:v>MANAGER ACHATS</c:v>
                </c:pt>
                <c:pt idx="7">
                  <c:v>MANAGER AUDIT</c:v>
                </c:pt>
                <c:pt idx="8">
                  <c:v>MANAGER COMPTABILITE </c:v>
                </c:pt>
                <c:pt idx="9">
                  <c:v>MANAGER IT &amp; SECURITE DES SYSTEMES D'INFORMATION</c:v>
                </c:pt>
                <c:pt idx="10">
                  <c:v>MANAGER LOGISTIQUE ET ENTREPOT</c:v>
                </c:pt>
                <c:pt idx="11">
                  <c:v>MANAGER MARKETING - COMMUNICATION &amp; RP</c:v>
                </c:pt>
                <c:pt idx="12">
                  <c:v>MANAGER OPERATIONS EXPORT</c:v>
                </c:pt>
                <c:pt idx="13">
                  <c:v>MANAGER OPERATIONS IMPORT ET EXPORT</c:v>
                </c:pt>
                <c:pt idx="14">
                  <c:v>MANAGER Q.H.S.E.</c:v>
                </c:pt>
                <c:pt idx="15">
                  <c:v>MANAGER RESSOURCES HUMAINES</c:v>
                </c:pt>
                <c:pt idx="16">
                  <c:v>AGENT EMPLOYES ASSURANCE ET QUALITE</c:v>
                </c:pt>
                <c:pt idx="17">
                  <c:v>ASSISTANTE EXECUTIVE DU DIRECTEUR GENERAL</c:v>
                </c:pt>
                <c:pt idx="18">
                  <c:v>AUDITEUR QUALITE INTERNE SENIOR</c:v>
                </c:pt>
                <c:pt idx="19">
                  <c:v>INSPECTEUR PREVENTION HSE JUNIOR</c:v>
                </c:pt>
                <c:pt idx="20">
                  <c:v>INSTRUCTEUR D'APPLICATION</c:v>
                </c:pt>
                <c:pt idx="21">
                  <c:v>MARCHANDISER</c:v>
                </c:pt>
                <c:pt idx="22">
                  <c:v>MODELISTE JUNIOR</c:v>
                </c:pt>
                <c:pt idx="23">
                  <c:v>SPECIALISTE ACHATS</c:v>
                </c:pt>
                <c:pt idx="24">
                  <c:v>SPECIALISTE ACHATS INTERNATIONAUX</c:v>
                </c:pt>
                <c:pt idx="25">
                  <c:v>SPECIALISTE ACHATS INTERNATIONAUX SENIOR</c:v>
                </c:pt>
                <c:pt idx="26">
                  <c:v>SPECIALISTE ACHATS JUNIOR</c:v>
                </c:pt>
                <c:pt idx="27">
                  <c:v>SPECIALISTE ACHATS SENIOR</c:v>
                </c:pt>
                <c:pt idx="28">
                  <c:v>SPECIALISTE BACK OFFICE</c:v>
                </c:pt>
                <c:pt idx="29">
                  <c:v>SPECIALISTE COMMERCIAL</c:v>
                </c:pt>
                <c:pt idx="30">
                  <c:v>SPECIALISTE COMMERCIAL EXPORT SENIOR</c:v>
                </c:pt>
                <c:pt idx="31">
                  <c:v>SPECIALISTE COMMERCIAL JUNIOR</c:v>
                </c:pt>
                <c:pt idx="32">
                  <c:v>SPECIALISTE COMMERCIAL LOCAL</c:v>
                </c:pt>
                <c:pt idx="33">
                  <c:v>SPECIALISTE COMMERCIAL LOCAL SENIOR</c:v>
                </c:pt>
                <c:pt idx="34">
                  <c:v>SPECIALISTE COMMUNICATION INTERNE</c:v>
                </c:pt>
                <c:pt idx="35">
                  <c:v>SPECIALISTE COMPTABILITE</c:v>
                </c:pt>
                <c:pt idx="36">
                  <c:v>SPECIALISTE COMPTABILITE JUNIOR</c:v>
                </c:pt>
                <c:pt idx="37">
                  <c:v>SPECIALISTE COMPTABILITE SENIOR</c:v>
                </c:pt>
                <c:pt idx="38">
                  <c:v>SPECIALISTE CONFECTION </c:v>
                </c:pt>
                <c:pt idx="39">
                  <c:v>SPECIALISTE CONFECTION SENIOR</c:v>
                </c:pt>
                <c:pt idx="40">
                  <c:v>SPECIALISTE CONTROLE DE GESTION INDUSTRIEL JUNIOR</c:v>
                </c:pt>
                <c:pt idx="41">
                  <c:v>SPECIALISTE DEVELOPPEMENT COMMERCIAL</c:v>
                </c:pt>
                <c:pt idx="42">
                  <c:v>SPECIALISTE DEVELOPPEMENT IT</c:v>
                </c:pt>
                <c:pt idx="43">
                  <c:v>SPECIALISTE DEVELOPPEMENT IT JUNIOR</c:v>
                </c:pt>
                <c:pt idx="44">
                  <c:v>SPECIALISTE DEVELOPPEMENT IT SENIOR</c:v>
                </c:pt>
                <c:pt idx="45">
                  <c:v>SPECIALISTE DEVELOPPEMENT RESSOURCES HUMAINES ET FORMATION SENIOR</c:v>
                </c:pt>
                <c:pt idx="46">
                  <c:v>SPECIALISTE D'INFOGRAPHIE SENIOR</c:v>
                </c:pt>
                <c:pt idx="47">
                  <c:v>SPECIALISTE ENTREPOTS ET EXPEDITION SENIOR</c:v>
                </c:pt>
                <c:pt idx="48">
                  <c:v>SPECIALISTE ENVIRENNEMENT SENIOR</c:v>
                </c:pt>
                <c:pt idx="49">
                  <c:v>SPECIALISTE ERP</c:v>
                </c:pt>
                <c:pt idx="50">
                  <c:v>SPECIALISTE ERP SENIOR</c:v>
                </c:pt>
                <c:pt idx="51">
                  <c:v>SPECIALISTE FINANCES</c:v>
                </c:pt>
                <c:pt idx="52">
                  <c:v>SPECIALISTE FINANCES JUNIOR</c:v>
                </c:pt>
                <c:pt idx="53">
                  <c:v>SPECIALISTE FORMATION ET DÉVELOPPEMENT RH</c:v>
                </c:pt>
                <c:pt idx="54">
                  <c:v>SPECIALISTE GESTION DE STOCK</c:v>
                </c:pt>
                <c:pt idx="55">
                  <c:v>SPECIALISTE GESTION DE STOCK JUNIOR</c:v>
                </c:pt>
                <c:pt idx="56">
                  <c:v>SPECIALISTE HSE</c:v>
                </c:pt>
                <c:pt idx="57">
                  <c:v>SPECIALISTE IMPORT-EXPORT JUNIOR</c:v>
                </c:pt>
                <c:pt idx="58">
                  <c:v>SPECIALISTE IMPRESSION</c:v>
                </c:pt>
                <c:pt idx="59">
                  <c:v>SPECIALISTE INTERVENTION HSE SENIOR</c:v>
                </c:pt>
                <c:pt idx="60">
                  <c:v>SPECIALISTE IT</c:v>
                </c:pt>
                <c:pt idx="61">
                  <c:v>SPECIALISTE IT SENIOR</c:v>
                </c:pt>
                <c:pt idx="62">
                  <c:v>SPECIALISTE JURIDIQUE </c:v>
                </c:pt>
                <c:pt idx="63">
                  <c:v>SPECIALISTE JURIDIQUE SENIOR</c:v>
                </c:pt>
                <c:pt idx="64">
                  <c:v>SPECIALISTE MARKETING</c:v>
                </c:pt>
                <c:pt idx="65">
                  <c:v>SPECIALISTE MOYENS GENERAUX</c:v>
                </c:pt>
                <c:pt idx="66">
                  <c:v>SPECIALISTE MOYENS GENERAUX JUNIOR</c:v>
                </c:pt>
                <c:pt idx="67">
                  <c:v>SPECIALISTE MOYENS GENERAUX SENIOR</c:v>
                </c:pt>
                <c:pt idx="68">
                  <c:v>SPECIALISTE OPERATIONS EXPORT</c:v>
                </c:pt>
                <c:pt idx="69">
                  <c:v>SPECIALISTE OPERATIONS IMPORT &amp; EXPORT</c:v>
                </c:pt>
                <c:pt idx="70">
                  <c:v>SPECIALISTE PATRIMOINE ET ASSURANCE</c:v>
                </c:pt>
                <c:pt idx="71">
                  <c:v>SPECIALISTE PLANIFICATION</c:v>
                </c:pt>
                <c:pt idx="72">
                  <c:v>SPECIALISTE PLANIFICATION SENIOR</c:v>
                </c:pt>
                <c:pt idx="73">
                  <c:v>SPECIALISTE PROJETS ET METHODES SENIOR</c:v>
                </c:pt>
                <c:pt idx="74">
                  <c:v>SPECIALISTE RESSOURCES HUMAINES</c:v>
                </c:pt>
                <c:pt idx="75">
                  <c:v>SPECIALISTE RESSOURCES HUMAINES JUNIOR</c:v>
                </c:pt>
                <c:pt idx="76">
                  <c:v>SPECIALISTE RESSOURCES HUMAINES SENIOR</c:v>
                </c:pt>
                <c:pt idx="77">
                  <c:v>SPECIALISTE SMQ SENIOR</c:v>
                </c:pt>
                <c:pt idx="78">
                  <c:v>EXPERT SYSTEM &amp; METHODOLOGIE</c:v>
                </c:pt>
                <c:pt idx="79">
                  <c:v>GESTIONNAIRE DE STOCK</c:v>
                </c:pt>
                <c:pt idx="80">
                  <c:v>EXPERTS / SPECIALISTE MARQUE ET IMAGE</c:v>
                </c:pt>
                <c:pt idx="81">
                  <c:v>AUDITEUR QUALITE INTERNE JUNIOR</c:v>
                </c:pt>
                <c:pt idx="82">
                  <c:v>CHEF DEPARTEMENT BACK OFFICE</c:v>
                </c:pt>
                <c:pt idx="83">
                  <c:v>CHEF DEPARTEMENT COMMERCIAL LOCAL</c:v>
                </c:pt>
                <c:pt idx="84">
                  <c:v>CHEF DEPARTEMENT COMPTABILITE GENERALE</c:v>
                </c:pt>
                <c:pt idx="85">
                  <c:v>CHEF DEPARTEMENT CONTROLE DE GESTION</c:v>
                </c:pt>
                <c:pt idx="86">
                  <c:v>CHEF DEPARTEMENT CONTROLE QUALITE</c:v>
                </c:pt>
                <c:pt idx="87">
                  <c:v>CHEF DEPARTEMENT DES ACHATS</c:v>
                </c:pt>
                <c:pt idx="88">
                  <c:v>CHEF DEPARTEMENT FINANCES</c:v>
                </c:pt>
                <c:pt idx="89">
                  <c:v>CHEF DEPARTEMENT MOYENS GENERAUX</c:v>
                </c:pt>
                <c:pt idx="90">
                  <c:v>CHEF DEPARTEMENT PATRIMOINES ET PROJETS</c:v>
                </c:pt>
              </c:strCache>
            </c:strRef>
          </c:cat>
          <c:val>
            <c:numRef>
              <c:f>'poste occupé'!$B$1:$B$91</c:f>
              <c:numCache>
                <c:formatCode>0.00%</c:formatCode>
                <c:ptCount val="91"/>
                <c:pt idx="0">
                  <c:v>3.333333333333334E-3</c:v>
                </c:pt>
                <c:pt idx="1">
                  <c:v>3.333333333333334E-3</c:v>
                </c:pt>
                <c:pt idx="2">
                  <c:v>3.333333333333334E-3</c:v>
                </c:pt>
                <c:pt idx="3">
                  <c:v>3.333333333333334E-3</c:v>
                </c:pt>
                <c:pt idx="4">
                  <c:v>3.333333333333334E-3</c:v>
                </c:pt>
                <c:pt idx="5">
                  <c:v>3.333333333333334E-3</c:v>
                </c:pt>
                <c:pt idx="6">
                  <c:v>3.333333333333334E-3</c:v>
                </c:pt>
                <c:pt idx="7">
                  <c:v>3.333333333333334E-3</c:v>
                </c:pt>
                <c:pt idx="8">
                  <c:v>3.333333333333334E-3</c:v>
                </c:pt>
                <c:pt idx="9">
                  <c:v>3.333333333333334E-3</c:v>
                </c:pt>
                <c:pt idx="10">
                  <c:v>3.333333333333334E-3</c:v>
                </c:pt>
                <c:pt idx="11">
                  <c:v>3.333333333333334E-3</c:v>
                </c:pt>
                <c:pt idx="12">
                  <c:v>3.333333333333334E-3</c:v>
                </c:pt>
                <c:pt idx="13">
                  <c:v>3.333333333333334E-3</c:v>
                </c:pt>
                <c:pt idx="14">
                  <c:v>3.333333333333334E-3</c:v>
                </c:pt>
                <c:pt idx="15">
                  <c:v>3.333333333333334E-3</c:v>
                </c:pt>
                <c:pt idx="16">
                  <c:v>3.333333333333334E-3</c:v>
                </c:pt>
                <c:pt idx="17">
                  <c:v>3.333333333333334E-3</c:v>
                </c:pt>
                <c:pt idx="18">
                  <c:v>3.333333333333334E-3</c:v>
                </c:pt>
                <c:pt idx="19">
                  <c:v>3.333333333333334E-3</c:v>
                </c:pt>
                <c:pt idx="20">
                  <c:v>2.3333333333333338E-2</c:v>
                </c:pt>
                <c:pt idx="21">
                  <c:v>1.666666666666667E-2</c:v>
                </c:pt>
                <c:pt idx="22">
                  <c:v>2.0000000000000004E-2</c:v>
                </c:pt>
                <c:pt idx="23">
                  <c:v>2.3333333333333338E-2</c:v>
                </c:pt>
                <c:pt idx="24">
                  <c:v>6.666666666666668E-3</c:v>
                </c:pt>
                <c:pt idx="25">
                  <c:v>1.666666666666667E-2</c:v>
                </c:pt>
                <c:pt idx="26">
                  <c:v>3.333333333333334E-3</c:v>
                </c:pt>
                <c:pt idx="27">
                  <c:v>2.6666666666666672E-2</c:v>
                </c:pt>
                <c:pt idx="28">
                  <c:v>6.666666666666668E-3</c:v>
                </c:pt>
                <c:pt idx="29">
                  <c:v>2.0000000000000004E-2</c:v>
                </c:pt>
                <c:pt idx="30">
                  <c:v>1.3333333333333336E-2</c:v>
                </c:pt>
                <c:pt idx="31">
                  <c:v>3.333333333333334E-3</c:v>
                </c:pt>
                <c:pt idx="32">
                  <c:v>1.666666666666667E-2</c:v>
                </c:pt>
                <c:pt idx="33">
                  <c:v>2.3333333333333338E-2</c:v>
                </c:pt>
                <c:pt idx="34">
                  <c:v>3.333333333333334E-3</c:v>
                </c:pt>
                <c:pt idx="35">
                  <c:v>1.666666666666667E-2</c:v>
                </c:pt>
                <c:pt idx="36">
                  <c:v>3.333333333333334E-3</c:v>
                </c:pt>
                <c:pt idx="37">
                  <c:v>2.3333333333333338E-2</c:v>
                </c:pt>
                <c:pt idx="38">
                  <c:v>1.3333333333333336E-2</c:v>
                </c:pt>
                <c:pt idx="39">
                  <c:v>1.666666666666667E-2</c:v>
                </c:pt>
                <c:pt idx="40">
                  <c:v>3.333333333333334E-3</c:v>
                </c:pt>
                <c:pt idx="41">
                  <c:v>3.0000000000000002E-2</c:v>
                </c:pt>
                <c:pt idx="42">
                  <c:v>1.666666666666667E-2</c:v>
                </c:pt>
                <c:pt idx="43">
                  <c:v>3.333333333333334E-3</c:v>
                </c:pt>
                <c:pt idx="44">
                  <c:v>2.0000000000000004E-2</c:v>
                </c:pt>
                <c:pt idx="45">
                  <c:v>1.0000000000000002E-2</c:v>
                </c:pt>
                <c:pt idx="46">
                  <c:v>2.0000000000000004E-2</c:v>
                </c:pt>
                <c:pt idx="47">
                  <c:v>1.666666666666667E-2</c:v>
                </c:pt>
                <c:pt idx="48">
                  <c:v>2.3333333333333338E-2</c:v>
                </c:pt>
                <c:pt idx="49">
                  <c:v>2.6666666666666672E-2</c:v>
                </c:pt>
                <c:pt idx="50">
                  <c:v>2.0000000000000004E-2</c:v>
                </c:pt>
                <c:pt idx="51">
                  <c:v>1.666666666666667E-2</c:v>
                </c:pt>
                <c:pt idx="52">
                  <c:v>3.333333333333334E-3</c:v>
                </c:pt>
                <c:pt idx="53">
                  <c:v>6.666666666666668E-3</c:v>
                </c:pt>
                <c:pt idx="54">
                  <c:v>3.333333333333334E-2</c:v>
                </c:pt>
                <c:pt idx="55">
                  <c:v>3.333333333333334E-3</c:v>
                </c:pt>
                <c:pt idx="56">
                  <c:v>2.6666666666666672E-2</c:v>
                </c:pt>
                <c:pt idx="57">
                  <c:v>3.333333333333334E-3</c:v>
                </c:pt>
                <c:pt idx="58">
                  <c:v>1.666666666666667E-2</c:v>
                </c:pt>
                <c:pt idx="59">
                  <c:v>3.333333333333334E-2</c:v>
                </c:pt>
                <c:pt idx="60">
                  <c:v>1.3333333333333336E-2</c:v>
                </c:pt>
                <c:pt idx="61">
                  <c:v>1.666666666666667E-2</c:v>
                </c:pt>
                <c:pt idx="62">
                  <c:v>6.666666666666668E-3</c:v>
                </c:pt>
                <c:pt idx="63">
                  <c:v>1.3333333333333336E-2</c:v>
                </c:pt>
                <c:pt idx="64">
                  <c:v>2.0000000000000004E-2</c:v>
                </c:pt>
                <c:pt idx="65">
                  <c:v>1.3333333333333336E-2</c:v>
                </c:pt>
                <c:pt idx="66">
                  <c:v>3.333333333333334E-3</c:v>
                </c:pt>
                <c:pt idx="67">
                  <c:v>2.3333333333333338E-2</c:v>
                </c:pt>
                <c:pt idx="68">
                  <c:v>1.666666666666667E-2</c:v>
                </c:pt>
                <c:pt idx="69">
                  <c:v>1.0000000000000002E-2</c:v>
                </c:pt>
                <c:pt idx="70">
                  <c:v>1.666666666666667E-2</c:v>
                </c:pt>
                <c:pt idx="71">
                  <c:v>1.0000000000000002E-2</c:v>
                </c:pt>
                <c:pt idx="72">
                  <c:v>1.3333333333333336E-2</c:v>
                </c:pt>
                <c:pt idx="73">
                  <c:v>1.3333333333333336E-2</c:v>
                </c:pt>
                <c:pt idx="74">
                  <c:v>1.0000000000000002E-2</c:v>
                </c:pt>
                <c:pt idx="75">
                  <c:v>3.333333333333334E-3</c:v>
                </c:pt>
                <c:pt idx="76">
                  <c:v>2.3333333333333338E-2</c:v>
                </c:pt>
                <c:pt idx="77">
                  <c:v>1.666666666666667E-2</c:v>
                </c:pt>
                <c:pt idx="78">
                  <c:v>3.333333333333334E-3</c:v>
                </c:pt>
                <c:pt idx="79">
                  <c:v>1.3333333333333336E-2</c:v>
                </c:pt>
                <c:pt idx="80">
                  <c:v>1.0000000000000002E-2</c:v>
                </c:pt>
                <c:pt idx="81">
                  <c:v>3.333333333333334E-3</c:v>
                </c:pt>
                <c:pt idx="82">
                  <c:v>3.333333333333334E-3</c:v>
                </c:pt>
                <c:pt idx="83">
                  <c:v>3.333333333333334E-3</c:v>
                </c:pt>
                <c:pt idx="84">
                  <c:v>3.333333333333334E-3</c:v>
                </c:pt>
                <c:pt idx="85">
                  <c:v>3.333333333333334E-3</c:v>
                </c:pt>
                <c:pt idx="86">
                  <c:v>3.333333333333334E-3</c:v>
                </c:pt>
                <c:pt idx="87">
                  <c:v>3.333333333333334E-3</c:v>
                </c:pt>
                <c:pt idx="88">
                  <c:v>3.333333333333334E-3</c:v>
                </c:pt>
                <c:pt idx="89">
                  <c:v>3.333333333333334E-3</c:v>
                </c:pt>
                <c:pt idx="90">
                  <c:v>3.333333333333334E-3</c:v>
                </c:pt>
              </c:numCache>
            </c:numRef>
          </c:val>
          <c:extLst xmlns:c16r2="http://schemas.microsoft.com/office/drawing/2015/06/chart">
            <c:ext xmlns:c16="http://schemas.microsoft.com/office/drawing/2014/chart" uri="{C3380CC4-5D6E-409C-BE32-E72D297353CC}">
              <c16:uniqueId val="{000000B6-CA99-4B3B-A799-CF7217B3032C}"/>
            </c:ext>
          </c:extLst>
        </c:ser>
        <c:ser>
          <c:idx val="1"/>
          <c:order val="1"/>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B8-CA99-4B3B-A799-CF7217B3032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BA-CA99-4B3B-A799-CF7217B3032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BC-CA99-4B3B-A799-CF7217B3032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BE-CA99-4B3B-A799-CF7217B3032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C0-CA99-4B3B-A799-CF7217B3032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C2-CA99-4B3B-A799-CF7217B3032C}"/>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4-CA99-4B3B-A799-CF7217B3032C}"/>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6-CA99-4B3B-A799-CF7217B3032C}"/>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8-CA99-4B3B-A799-CF7217B3032C}"/>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A-CA99-4B3B-A799-CF7217B3032C}"/>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C-CA99-4B3B-A799-CF7217B3032C}"/>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CE-CA99-4B3B-A799-CF7217B3032C}"/>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0-CA99-4B3B-A799-CF7217B3032C}"/>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2-CA99-4B3B-A799-CF7217B3032C}"/>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4-CA99-4B3B-A799-CF7217B3032C}"/>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6-CA99-4B3B-A799-CF7217B3032C}"/>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8-CA99-4B3B-A799-CF7217B3032C}"/>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A-CA99-4B3B-A799-CF7217B3032C}"/>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C-CA99-4B3B-A799-CF7217B3032C}"/>
              </c:ext>
            </c:extLst>
          </c:dPt>
          <c:dPt>
            <c:idx val="19"/>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DE-CA99-4B3B-A799-CF7217B3032C}"/>
              </c:ext>
            </c:extLst>
          </c:dPt>
          <c:dPt>
            <c:idx val="20"/>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0-CA99-4B3B-A799-CF7217B3032C}"/>
              </c:ext>
            </c:extLst>
          </c:dPt>
          <c:dPt>
            <c:idx val="21"/>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2-CA99-4B3B-A799-CF7217B3032C}"/>
              </c:ext>
            </c:extLst>
          </c:dPt>
          <c:dPt>
            <c:idx val="22"/>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4-CA99-4B3B-A799-CF7217B3032C}"/>
              </c:ext>
            </c:extLst>
          </c:dPt>
          <c:dPt>
            <c:idx val="23"/>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6-CA99-4B3B-A799-CF7217B3032C}"/>
              </c:ext>
            </c:extLst>
          </c:dPt>
          <c:dPt>
            <c:idx val="24"/>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8-CA99-4B3B-A799-CF7217B3032C}"/>
              </c:ext>
            </c:extLst>
          </c:dPt>
          <c:dPt>
            <c:idx val="25"/>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A-CA99-4B3B-A799-CF7217B3032C}"/>
              </c:ext>
            </c:extLst>
          </c:dPt>
          <c:dPt>
            <c:idx val="26"/>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C-CA99-4B3B-A799-CF7217B3032C}"/>
              </c:ext>
            </c:extLst>
          </c:dPt>
          <c:dPt>
            <c:idx val="27"/>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EE-CA99-4B3B-A799-CF7217B3032C}"/>
              </c:ext>
            </c:extLst>
          </c:dPt>
          <c:dPt>
            <c:idx val="28"/>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0-CA99-4B3B-A799-CF7217B3032C}"/>
              </c:ext>
            </c:extLst>
          </c:dPt>
          <c:dPt>
            <c:idx val="29"/>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2-CA99-4B3B-A799-CF7217B3032C}"/>
              </c:ext>
            </c:extLst>
          </c:dPt>
          <c:dPt>
            <c:idx val="30"/>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4-CA99-4B3B-A799-CF7217B3032C}"/>
              </c:ext>
            </c:extLst>
          </c:dPt>
          <c:dPt>
            <c:idx val="31"/>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6-CA99-4B3B-A799-CF7217B3032C}"/>
              </c:ext>
            </c:extLst>
          </c:dPt>
          <c:dPt>
            <c:idx val="32"/>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8-CA99-4B3B-A799-CF7217B3032C}"/>
              </c:ext>
            </c:extLst>
          </c:dPt>
          <c:dPt>
            <c:idx val="33"/>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A-CA99-4B3B-A799-CF7217B3032C}"/>
              </c:ext>
            </c:extLst>
          </c:dPt>
          <c:dPt>
            <c:idx val="34"/>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C-CA99-4B3B-A799-CF7217B3032C}"/>
              </c:ext>
            </c:extLst>
          </c:dPt>
          <c:dPt>
            <c:idx val="35"/>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FE-CA99-4B3B-A799-CF7217B3032C}"/>
              </c:ext>
            </c:extLst>
          </c:dPt>
          <c:dPt>
            <c:idx val="36"/>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0-CA99-4B3B-A799-CF7217B3032C}"/>
              </c:ext>
            </c:extLst>
          </c:dPt>
          <c:dPt>
            <c:idx val="37"/>
            <c:bubble3D val="0"/>
            <c:spPr>
              <a:solidFill>
                <a:schemeClr val="accent2">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2-CA99-4B3B-A799-CF7217B3032C}"/>
              </c:ext>
            </c:extLst>
          </c:dPt>
          <c:dPt>
            <c:idx val="38"/>
            <c:bubble3D val="0"/>
            <c:spPr>
              <a:solidFill>
                <a:schemeClr val="accent3">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4-CA99-4B3B-A799-CF7217B3032C}"/>
              </c:ext>
            </c:extLst>
          </c:dPt>
          <c:dPt>
            <c:idx val="39"/>
            <c:bubble3D val="0"/>
            <c:spPr>
              <a:solidFill>
                <a:schemeClr val="accent4">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6-CA99-4B3B-A799-CF7217B3032C}"/>
              </c:ext>
            </c:extLst>
          </c:dPt>
          <c:dPt>
            <c:idx val="40"/>
            <c:bubble3D val="0"/>
            <c:spPr>
              <a:solidFill>
                <a:schemeClr val="accent5">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8-CA99-4B3B-A799-CF7217B3032C}"/>
              </c:ext>
            </c:extLst>
          </c:dPt>
          <c:dPt>
            <c:idx val="41"/>
            <c:bubble3D val="0"/>
            <c:spPr>
              <a:solidFill>
                <a:schemeClr val="accent6">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A-CA99-4B3B-A799-CF7217B3032C}"/>
              </c:ext>
            </c:extLst>
          </c:dPt>
          <c:dPt>
            <c:idx val="42"/>
            <c:bubble3D val="0"/>
            <c:spPr>
              <a:solidFill>
                <a:schemeClr val="accent1">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C-CA99-4B3B-A799-CF7217B3032C}"/>
              </c:ext>
            </c:extLst>
          </c:dPt>
          <c:dPt>
            <c:idx val="43"/>
            <c:bubble3D val="0"/>
            <c:spPr>
              <a:solidFill>
                <a:schemeClr val="accent2">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0E-CA99-4B3B-A799-CF7217B3032C}"/>
              </c:ext>
            </c:extLst>
          </c:dPt>
          <c:dPt>
            <c:idx val="44"/>
            <c:bubble3D val="0"/>
            <c:spPr>
              <a:solidFill>
                <a:schemeClr val="accent3">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0-CA99-4B3B-A799-CF7217B3032C}"/>
              </c:ext>
            </c:extLst>
          </c:dPt>
          <c:dPt>
            <c:idx val="45"/>
            <c:bubble3D val="0"/>
            <c:spPr>
              <a:solidFill>
                <a:schemeClr val="accent4">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2-CA99-4B3B-A799-CF7217B3032C}"/>
              </c:ext>
            </c:extLst>
          </c:dPt>
          <c:dPt>
            <c:idx val="46"/>
            <c:bubble3D val="0"/>
            <c:spPr>
              <a:solidFill>
                <a:schemeClr val="accent5">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4-CA99-4B3B-A799-CF7217B3032C}"/>
              </c:ext>
            </c:extLst>
          </c:dPt>
          <c:dPt>
            <c:idx val="47"/>
            <c:bubble3D val="0"/>
            <c:spPr>
              <a:solidFill>
                <a:schemeClr val="accent6">
                  <a:lumMod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6-CA99-4B3B-A799-CF7217B3032C}"/>
              </c:ext>
            </c:extLst>
          </c:dPt>
          <c:dPt>
            <c:idx val="48"/>
            <c:bubble3D val="0"/>
            <c:spPr>
              <a:solidFill>
                <a:schemeClr val="accent1">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8-CA99-4B3B-A799-CF7217B3032C}"/>
              </c:ext>
            </c:extLst>
          </c:dPt>
          <c:dPt>
            <c:idx val="49"/>
            <c:bubble3D val="0"/>
            <c:spPr>
              <a:solidFill>
                <a:schemeClr val="accent2">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A-CA99-4B3B-A799-CF7217B3032C}"/>
              </c:ext>
            </c:extLst>
          </c:dPt>
          <c:dPt>
            <c:idx val="50"/>
            <c:bubble3D val="0"/>
            <c:spPr>
              <a:solidFill>
                <a:schemeClr val="accent3">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C-CA99-4B3B-A799-CF7217B3032C}"/>
              </c:ext>
            </c:extLst>
          </c:dPt>
          <c:dPt>
            <c:idx val="51"/>
            <c:bubble3D val="0"/>
            <c:spPr>
              <a:solidFill>
                <a:schemeClr val="accent4">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1E-CA99-4B3B-A799-CF7217B3032C}"/>
              </c:ext>
            </c:extLst>
          </c:dPt>
          <c:dPt>
            <c:idx val="52"/>
            <c:bubble3D val="0"/>
            <c:spPr>
              <a:solidFill>
                <a:schemeClr val="accent5">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20-CA99-4B3B-A799-CF7217B3032C}"/>
              </c:ext>
            </c:extLst>
          </c:dPt>
          <c:dPt>
            <c:idx val="53"/>
            <c:bubble3D val="0"/>
            <c:spPr>
              <a:solidFill>
                <a:schemeClr val="accent6">
                  <a:lumMod val="50000"/>
                  <a:lumOff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22-CA99-4B3B-A799-CF7217B3032C}"/>
              </c:ext>
            </c:extLst>
          </c:dPt>
          <c:dPt>
            <c:idx val="54"/>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124-CA99-4B3B-A799-CF7217B3032C}"/>
              </c:ext>
            </c:extLst>
          </c:dPt>
          <c:dPt>
            <c:idx val="55"/>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126-CA99-4B3B-A799-CF7217B3032C}"/>
              </c:ext>
            </c:extLst>
          </c:dPt>
          <c:dPt>
            <c:idx val="56"/>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128-CA99-4B3B-A799-CF7217B3032C}"/>
              </c:ext>
            </c:extLst>
          </c:dPt>
          <c:dPt>
            <c:idx val="57"/>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12A-CA99-4B3B-A799-CF7217B3032C}"/>
              </c:ext>
            </c:extLst>
          </c:dPt>
          <c:dPt>
            <c:idx val="58"/>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12C-CA99-4B3B-A799-CF7217B3032C}"/>
              </c:ext>
            </c:extLst>
          </c:dPt>
          <c:dPt>
            <c:idx val="59"/>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12E-CA99-4B3B-A799-CF7217B3032C}"/>
              </c:ext>
            </c:extLst>
          </c:dPt>
          <c:dPt>
            <c:idx val="60"/>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0-CA99-4B3B-A799-CF7217B3032C}"/>
              </c:ext>
            </c:extLst>
          </c:dPt>
          <c:dPt>
            <c:idx val="61"/>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2-CA99-4B3B-A799-CF7217B3032C}"/>
              </c:ext>
            </c:extLst>
          </c:dPt>
          <c:dPt>
            <c:idx val="62"/>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4-CA99-4B3B-A799-CF7217B3032C}"/>
              </c:ext>
            </c:extLst>
          </c:dPt>
          <c:dPt>
            <c:idx val="63"/>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6-CA99-4B3B-A799-CF7217B3032C}"/>
              </c:ext>
            </c:extLst>
          </c:dPt>
          <c:dPt>
            <c:idx val="6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8-CA99-4B3B-A799-CF7217B3032C}"/>
              </c:ext>
            </c:extLst>
          </c:dPt>
          <c:dPt>
            <c:idx val="65"/>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A-CA99-4B3B-A799-CF7217B3032C}"/>
              </c:ext>
            </c:extLst>
          </c:dPt>
          <c:dPt>
            <c:idx val="66"/>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C-CA99-4B3B-A799-CF7217B3032C}"/>
              </c:ext>
            </c:extLst>
          </c:dPt>
          <c:dPt>
            <c:idx val="67"/>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3E-CA99-4B3B-A799-CF7217B3032C}"/>
              </c:ext>
            </c:extLst>
          </c:dPt>
          <c:dPt>
            <c:idx val="68"/>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0-CA99-4B3B-A799-CF7217B3032C}"/>
              </c:ext>
            </c:extLst>
          </c:dPt>
          <c:dPt>
            <c:idx val="69"/>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2-CA99-4B3B-A799-CF7217B3032C}"/>
              </c:ext>
            </c:extLst>
          </c:dPt>
          <c:dPt>
            <c:idx val="70"/>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4-CA99-4B3B-A799-CF7217B3032C}"/>
              </c:ext>
            </c:extLst>
          </c:dPt>
          <c:dPt>
            <c:idx val="71"/>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6-CA99-4B3B-A799-CF7217B3032C}"/>
              </c:ext>
            </c:extLst>
          </c:dPt>
          <c:dPt>
            <c:idx val="72"/>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8-CA99-4B3B-A799-CF7217B3032C}"/>
              </c:ext>
            </c:extLst>
          </c:dPt>
          <c:dPt>
            <c:idx val="73"/>
            <c:bubble3D val="0"/>
            <c:spPr>
              <a:solidFill>
                <a:schemeClr val="accent2">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A-CA99-4B3B-A799-CF7217B3032C}"/>
              </c:ext>
            </c:extLst>
          </c:dPt>
          <c:dPt>
            <c:idx val="74"/>
            <c:bubble3D val="0"/>
            <c:spPr>
              <a:solidFill>
                <a:schemeClr val="accent3">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C-CA99-4B3B-A799-CF7217B3032C}"/>
              </c:ext>
            </c:extLst>
          </c:dPt>
          <c:dPt>
            <c:idx val="75"/>
            <c:bubble3D val="0"/>
            <c:spPr>
              <a:solidFill>
                <a:schemeClr val="accent4">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4E-CA99-4B3B-A799-CF7217B3032C}"/>
              </c:ext>
            </c:extLst>
          </c:dPt>
          <c:dPt>
            <c:idx val="76"/>
            <c:bubble3D val="0"/>
            <c:spPr>
              <a:solidFill>
                <a:schemeClr val="accent5">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0-CA99-4B3B-A799-CF7217B3032C}"/>
              </c:ext>
            </c:extLst>
          </c:dPt>
          <c:dPt>
            <c:idx val="77"/>
            <c:bubble3D val="0"/>
            <c:spPr>
              <a:solidFill>
                <a:schemeClr val="accent6">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2-CA99-4B3B-A799-CF7217B3032C}"/>
              </c:ext>
            </c:extLst>
          </c:dPt>
          <c:dPt>
            <c:idx val="78"/>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4-CA99-4B3B-A799-CF7217B3032C}"/>
              </c:ext>
            </c:extLst>
          </c:dPt>
          <c:dPt>
            <c:idx val="79"/>
            <c:bubble3D val="0"/>
            <c:spPr>
              <a:solidFill>
                <a:schemeClr val="accent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6-CA99-4B3B-A799-CF7217B3032C}"/>
              </c:ext>
            </c:extLst>
          </c:dPt>
          <c:dPt>
            <c:idx val="80"/>
            <c:bubble3D val="0"/>
            <c:spPr>
              <a:solidFill>
                <a:schemeClr val="accent3">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8-CA99-4B3B-A799-CF7217B3032C}"/>
              </c:ext>
            </c:extLst>
          </c:dPt>
          <c:dPt>
            <c:idx val="81"/>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A-CA99-4B3B-A799-CF7217B3032C}"/>
              </c:ext>
            </c:extLst>
          </c:dPt>
          <c:dPt>
            <c:idx val="82"/>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C-CA99-4B3B-A799-CF7217B3032C}"/>
              </c:ext>
            </c:extLst>
          </c:dPt>
          <c:dPt>
            <c:idx val="83"/>
            <c:bubble3D val="0"/>
            <c:spPr>
              <a:solidFill>
                <a:schemeClr val="accent6">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5E-CA99-4B3B-A799-CF7217B3032C}"/>
              </c:ext>
            </c:extLst>
          </c:dPt>
          <c:dPt>
            <c:idx val="84"/>
            <c:bubble3D val="0"/>
            <c:spPr>
              <a:solidFill>
                <a:schemeClr val="accent1">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0-CA99-4B3B-A799-CF7217B3032C}"/>
              </c:ext>
            </c:extLst>
          </c:dPt>
          <c:dPt>
            <c:idx val="85"/>
            <c:bubble3D val="0"/>
            <c:spPr>
              <a:solidFill>
                <a:schemeClr val="accent2">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2-CA99-4B3B-A799-CF7217B3032C}"/>
              </c:ext>
            </c:extLst>
          </c:dPt>
          <c:dPt>
            <c:idx val="86"/>
            <c:bubble3D val="0"/>
            <c:spPr>
              <a:solidFill>
                <a:schemeClr val="accent3">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4-CA99-4B3B-A799-CF7217B3032C}"/>
              </c:ext>
            </c:extLst>
          </c:dPt>
          <c:dPt>
            <c:idx val="87"/>
            <c:bubble3D val="0"/>
            <c:spPr>
              <a:solidFill>
                <a:schemeClr val="accent4">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6-CA99-4B3B-A799-CF7217B3032C}"/>
              </c:ext>
            </c:extLst>
          </c:dPt>
          <c:dPt>
            <c:idx val="88"/>
            <c:bubble3D val="0"/>
            <c:spPr>
              <a:solidFill>
                <a:schemeClr val="accent5">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8-CA99-4B3B-A799-CF7217B3032C}"/>
              </c:ext>
            </c:extLst>
          </c:dPt>
          <c:dPt>
            <c:idx val="89"/>
            <c:bubble3D val="0"/>
            <c:spPr>
              <a:solidFill>
                <a:schemeClr val="accent6">
                  <a:lumMod val="5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A-CA99-4B3B-A799-CF7217B3032C}"/>
              </c:ext>
            </c:extLst>
          </c:dPt>
          <c:dPt>
            <c:idx val="90"/>
            <c:bubble3D val="0"/>
            <c:spPr>
              <a:solidFill>
                <a:schemeClr val="accent1">
                  <a:lumMod val="70000"/>
                  <a:lumOff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16C-CA99-4B3B-A799-CF7217B3032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'poste occupé'!$A$1:$A$91</c:f>
              <c:strCache>
                <c:ptCount val="91"/>
                <c:pt idx="0">
                  <c:v>DIRECTEUR GENERAL</c:v>
                </c:pt>
                <c:pt idx="1">
                  <c:v>DIRECTEUR COMMERCIAL CONFECTION</c:v>
                </c:pt>
                <c:pt idx="2">
                  <c:v>DIRECTEUR COMMERCIAL TEXTILE</c:v>
                </c:pt>
                <c:pt idx="3">
                  <c:v>DIRECTEUR FINANCES ET DE LA COMPTABILITE </c:v>
                </c:pt>
                <c:pt idx="4">
                  <c:v>DIRECTEUR JURIDIQUE ET SECRETAIRE GENERALE DU CONSEIL D'ADMINISTRATION</c:v>
                </c:pt>
                <c:pt idx="5">
                  <c:v>DIRECTEUR TEINTURE FINISSAGE</c:v>
                </c:pt>
                <c:pt idx="6">
                  <c:v>MANAGER ACHATS</c:v>
                </c:pt>
                <c:pt idx="7">
                  <c:v>MANAGER AUDIT</c:v>
                </c:pt>
                <c:pt idx="8">
                  <c:v>MANAGER COMPTABILITE </c:v>
                </c:pt>
                <c:pt idx="9">
                  <c:v>MANAGER IT &amp; SECURITE DES SYSTEMES D'INFORMATION</c:v>
                </c:pt>
                <c:pt idx="10">
                  <c:v>MANAGER LOGISTIQUE ET ENTREPOT</c:v>
                </c:pt>
                <c:pt idx="11">
                  <c:v>MANAGER MARKETING - COMMUNICATION &amp; RP</c:v>
                </c:pt>
                <c:pt idx="12">
                  <c:v>MANAGER OPERATIONS EXPORT</c:v>
                </c:pt>
                <c:pt idx="13">
                  <c:v>MANAGER OPERATIONS IMPORT ET EXPORT</c:v>
                </c:pt>
                <c:pt idx="14">
                  <c:v>MANAGER Q.H.S.E.</c:v>
                </c:pt>
                <c:pt idx="15">
                  <c:v>MANAGER RESSOURCES HUMAINES</c:v>
                </c:pt>
                <c:pt idx="16">
                  <c:v>AGENT EMPLOYES ASSURANCE ET QUALITE</c:v>
                </c:pt>
                <c:pt idx="17">
                  <c:v>ASSISTANTE EXECUTIVE DU DIRECTEUR GENERAL</c:v>
                </c:pt>
                <c:pt idx="18">
                  <c:v>AUDITEUR QUALITE INTERNE SENIOR</c:v>
                </c:pt>
                <c:pt idx="19">
                  <c:v>INSPECTEUR PREVENTION HSE JUNIOR</c:v>
                </c:pt>
                <c:pt idx="20">
                  <c:v>INSTRUCTEUR D'APPLICATION</c:v>
                </c:pt>
                <c:pt idx="21">
                  <c:v>MARCHANDISER</c:v>
                </c:pt>
                <c:pt idx="22">
                  <c:v>MODELISTE JUNIOR</c:v>
                </c:pt>
                <c:pt idx="23">
                  <c:v>SPECIALISTE ACHATS</c:v>
                </c:pt>
                <c:pt idx="24">
                  <c:v>SPECIALISTE ACHATS INTERNATIONAUX</c:v>
                </c:pt>
                <c:pt idx="25">
                  <c:v>SPECIALISTE ACHATS INTERNATIONAUX SENIOR</c:v>
                </c:pt>
                <c:pt idx="26">
                  <c:v>SPECIALISTE ACHATS JUNIOR</c:v>
                </c:pt>
                <c:pt idx="27">
                  <c:v>SPECIALISTE ACHATS SENIOR</c:v>
                </c:pt>
                <c:pt idx="28">
                  <c:v>SPECIALISTE BACK OFFICE</c:v>
                </c:pt>
                <c:pt idx="29">
                  <c:v>SPECIALISTE COMMERCIAL</c:v>
                </c:pt>
                <c:pt idx="30">
                  <c:v>SPECIALISTE COMMERCIAL EXPORT SENIOR</c:v>
                </c:pt>
                <c:pt idx="31">
                  <c:v>SPECIALISTE COMMERCIAL JUNIOR</c:v>
                </c:pt>
                <c:pt idx="32">
                  <c:v>SPECIALISTE COMMERCIAL LOCAL</c:v>
                </c:pt>
                <c:pt idx="33">
                  <c:v>SPECIALISTE COMMERCIAL LOCAL SENIOR</c:v>
                </c:pt>
                <c:pt idx="34">
                  <c:v>SPECIALISTE COMMUNICATION INTERNE</c:v>
                </c:pt>
                <c:pt idx="35">
                  <c:v>SPECIALISTE COMPTABILITE</c:v>
                </c:pt>
                <c:pt idx="36">
                  <c:v>SPECIALISTE COMPTABILITE JUNIOR</c:v>
                </c:pt>
                <c:pt idx="37">
                  <c:v>SPECIALISTE COMPTABILITE SENIOR</c:v>
                </c:pt>
                <c:pt idx="38">
                  <c:v>SPECIALISTE CONFECTION </c:v>
                </c:pt>
                <c:pt idx="39">
                  <c:v>SPECIALISTE CONFECTION SENIOR</c:v>
                </c:pt>
                <c:pt idx="40">
                  <c:v>SPECIALISTE CONTROLE DE GESTION INDUSTRIEL JUNIOR</c:v>
                </c:pt>
                <c:pt idx="41">
                  <c:v>SPECIALISTE DEVELOPPEMENT COMMERCIAL</c:v>
                </c:pt>
                <c:pt idx="42">
                  <c:v>SPECIALISTE DEVELOPPEMENT IT</c:v>
                </c:pt>
                <c:pt idx="43">
                  <c:v>SPECIALISTE DEVELOPPEMENT IT JUNIOR</c:v>
                </c:pt>
                <c:pt idx="44">
                  <c:v>SPECIALISTE DEVELOPPEMENT IT SENIOR</c:v>
                </c:pt>
                <c:pt idx="45">
                  <c:v>SPECIALISTE DEVELOPPEMENT RESSOURCES HUMAINES ET FORMATION SENIOR</c:v>
                </c:pt>
                <c:pt idx="46">
                  <c:v>SPECIALISTE D'INFOGRAPHIE SENIOR</c:v>
                </c:pt>
                <c:pt idx="47">
                  <c:v>SPECIALISTE ENTREPOTS ET EXPEDITION SENIOR</c:v>
                </c:pt>
                <c:pt idx="48">
                  <c:v>SPECIALISTE ENVIRENNEMENT SENIOR</c:v>
                </c:pt>
                <c:pt idx="49">
                  <c:v>SPECIALISTE ERP</c:v>
                </c:pt>
                <c:pt idx="50">
                  <c:v>SPECIALISTE ERP SENIOR</c:v>
                </c:pt>
                <c:pt idx="51">
                  <c:v>SPECIALISTE FINANCES</c:v>
                </c:pt>
                <c:pt idx="52">
                  <c:v>SPECIALISTE FINANCES JUNIOR</c:v>
                </c:pt>
                <c:pt idx="53">
                  <c:v>SPECIALISTE FORMATION ET DÉVELOPPEMENT RH</c:v>
                </c:pt>
                <c:pt idx="54">
                  <c:v>SPECIALISTE GESTION DE STOCK</c:v>
                </c:pt>
                <c:pt idx="55">
                  <c:v>SPECIALISTE GESTION DE STOCK JUNIOR</c:v>
                </c:pt>
                <c:pt idx="56">
                  <c:v>SPECIALISTE HSE</c:v>
                </c:pt>
                <c:pt idx="57">
                  <c:v>SPECIALISTE IMPORT-EXPORT JUNIOR</c:v>
                </c:pt>
                <c:pt idx="58">
                  <c:v>SPECIALISTE IMPRESSION</c:v>
                </c:pt>
                <c:pt idx="59">
                  <c:v>SPECIALISTE INTERVENTION HSE SENIOR</c:v>
                </c:pt>
                <c:pt idx="60">
                  <c:v>SPECIALISTE IT</c:v>
                </c:pt>
                <c:pt idx="61">
                  <c:v>SPECIALISTE IT SENIOR</c:v>
                </c:pt>
                <c:pt idx="62">
                  <c:v>SPECIALISTE JURIDIQUE </c:v>
                </c:pt>
                <c:pt idx="63">
                  <c:v>SPECIALISTE JURIDIQUE SENIOR</c:v>
                </c:pt>
                <c:pt idx="64">
                  <c:v>SPECIALISTE MARKETING</c:v>
                </c:pt>
                <c:pt idx="65">
                  <c:v>SPECIALISTE MOYENS GENERAUX</c:v>
                </c:pt>
                <c:pt idx="66">
                  <c:v>SPECIALISTE MOYENS GENERAUX JUNIOR</c:v>
                </c:pt>
                <c:pt idx="67">
                  <c:v>SPECIALISTE MOYENS GENERAUX SENIOR</c:v>
                </c:pt>
                <c:pt idx="68">
                  <c:v>SPECIALISTE OPERATIONS EXPORT</c:v>
                </c:pt>
                <c:pt idx="69">
                  <c:v>SPECIALISTE OPERATIONS IMPORT &amp; EXPORT</c:v>
                </c:pt>
                <c:pt idx="70">
                  <c:v>SPECIALISTE PATRIMOINE ET ASSURANCE</c:v>
                </c:pt>
                <c:pt idx="71">
                  <c:v>SPECIALISTE PLANIFICATION</c:v>
                </c:pt>
                <c:pt idx="72">
                  <c:v>SPECIALISTE PLANIFICATION SENIOR</c:v>
                </c:pt>
                <c:pt idx="73">
                  <c:v>SPECIALISTE PROJETS ET METHODES SENIOR</c:v>
                </c:pt>
                <c:pt idx="74">
                  <c:v>SPECIALISTE RESSOURCES HUMAINES</c:v>
                </c:pt>
                <c:pt idx="75">
                  <c:v>SPECIALISTE RESSOURCES HUMAINES JUNIOR</c:v>
                </c:pt>
                <c:pt idx="76">
                  <c:v>SPECIALISTE RESSOURCES HUMAINES SENIOR</c:v>
                </c:pt>
                <c:pt idx="77">
                  <c:v>SPECIALISTE SMQ SENIOR</c:v>
                </c:pt>
                <c:pt idx="78">
                  <c:v>EXPERT SYSTEM &amp; METHODOLOGIE</c:v>
                </c:pt>
                <c:pt idx="79">
                  <c:v>GESTIONNAIRE DE STOCK</c:v>
                </c:pt>
                <c:pt idx="80">
                  <c:v>EXPERTS / SPECIALISTE MARQUE ET IMAGE</c:v>
                </c:pt>
                <c:pt idx="81">
                  <c:v>AUDITEUR QUALITE INTERNE JUNIOR</c:v>
                </c:pt>
                <c:pt idx="82">
                  <c:v>CHEF DEPARTEMENT BACK OFFICE</c:v>
                </c:pt>
                <c:pt idx="83">
                  <c:v>CHEF DEPARTEMENT COMMERCIAL LOCAL</c:v>
                </c:pt>
                <c:pt idx="84">
                  <c:v>CHEF DEPARTEMENT COMPTABILITE GENERALE</c:v>
                </c:pt>
                <c:pt idx="85">
                  <c:v>CHEF DEPARTEMENT CONTROLE DE GESTION</c:v>
                </c:pt>
                <c:pt idx="86">
                  <c:v>CHEF DEPARTEMENT CONTROLE QUALITE</c:v>
                </c:pt>
                <c:pt idx="87">
                  <c:v>CHEF DEPARTEMENT DES ACHATS</c:v>
                </c:pt>
                <c:pt idx="88">
                  <c:v>CHEF DEPARTEMENT FINANCES</c:v>
                </c:pt>
                <c:pt idx="89">
                  <c:v>CHEF DEPARTEMENT MOYENS GENERAUX</c:v>
                </c:pt>
                <c:pt idx="90">
                  <c:v>CHEF DEPARTEMENT PATRIMOINES ET PROJETS</c:v>
                </c:pt>
              </c:strCache>
            </c:strRef>
          </c:cat>
          <c:val>
            <c:numRef>
              <c:f>'poste occupé'!$C$1:$C$91</c:f>
              <c:numCache>
                <c:formatCode>General</c:formatCode>
                <c:ptCount val="91"/>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7</c:v>
                </c:pt>
                <c:pt idx="21">
                  <c:v>5</c:v>
                </c:pt>
                <c:pt idx="22">
                  <c:v>6</c:v>
                </c:pt>
                <c:pt idx="23">
                  <c:v>7</c:v>
                </c:pt>
                <c:pt idx="24">
                  <c:v>2</c:v>
                </c:pt>
                <c:pt idx="25">
                  <c:v>5</c:v>
                </c:pt>
                <c:pt idx="26">
                  <c:v>1</c:v>
                </c:pt>
                <c:pt idx="27">
                  <c:v>8</c:v>
                </c:pt>
                <c:pt idx="28">
                  <c:v>2</c:v>
                </c:pt>
                <c:pt idx="29">
                  <c:v>6</c:v>
                </c:pt>
                <c:pt idx="30">
                  <c:v>4</c:v>
                </c:pt>
                <c:pt idx="31">
                  <c:v>1</c:v>
                </c:pt>
                <c:pt idx="32">
                  <c:v>5</c:v>
                </c:pt>
                <c:pt idx="33">
                  <c:v>7</c:v>
                </c:pt>
                <c:pt idx="34">
                  <c:v>1</c:v>
                </c:pt>
                <c:pt idx="35">
                  <c:v>5</c:v>
                </c:pt>
                <c:pt idx="36">
                  <c:v>1</c:v>
                </c:pt>
                <c:pt idx="37">
                  <c:v>7</c:v>
                </c:pt>
                <c:pt idx="38">
                  <c:v>4</c:v>
                </c:pt>
                <c:pt idx="39">
                  <c:v>5</c:v>
                </c:pt>
                <c:pt idx="40">
                  <c:v>1</c:v>
                </c:pt>
                <c:pt idx="41">
                  <c:v>9</c:v>
                </c:pt>
                <c:pt idx="42">
                  <c:v>5</c:v>
                </c:pt>
                <c:pt idx="43">
                  <c:v>1</c:v>
                </c:pt>
                <c:pt idx="44">
                  <c:v>6</c:v>
                </c:pt>
                <c:pt idx="45">
                  <c:v>3</c:v>
                </c:pt>
                <c:pt idx="46">
                  <c:v>6</c:v>
                </c:pt>
                <c:pt idx="47">
                  <c:v>5</c:v>
                </c:pt>
                <c:pt idx="48">
                  <c:v>7</c:v>
                </c:pt>
                <c:pt idx="49">
                  <c:v>8</c:v>
                </c:pt>
                <c:pt idx="50">
                  <c:v>6</c:v>
                </c:pt>
                <c:pt idx="51">
                  <c:v>5</c:v>
                </c:pt>
                <c:pt idx="52">
                  <c:v>1</c:v>
                </c:pt>
                <c:pt idx="53">
                  <c:v>2</c:v>
                </c:pt>
                <c:pt idx="54">
                  <c:v>10</c:v>
                </c:pt>
                <c:pt idx="55">
                  <c:v>1</c:v>
                </c:pt>
                <c:pt idx="56">
                  <c:v>8</c:v>
                </c:pt>
                <c:pt idx="57">
                  <c:v>1</c:v>
                </c:pt>
                <c:pt idx="58">
                  <c:v>5</c:v>
                </c:pt>
                <c:pt idx="59">
                  <c:v>10</c:v>
                </c:pt>
                <c:pt idx="60">
                  <c:v>4</c:v>
                </c:pt>
                <c:pt idx="61">
                  <c:v>5</c:v>
                </c:pt>
                <c:pt idx="62">
                  <c:v>2</c:v>
                </c:pt>
                <c:pt idx="63">
                  <c:v>4</c:v>
                </c:pt>
                <c:pt idx="64">
                  <c:v>6</c:v>
                </c:pt>
                <c:pt idx="65">
                  <c:v>4</c:v>
                </c:pt>
                <c:pt idx="66">
                  <c:v>1</c:v>
                </c:pt>
                <c:pt idx="67">
                  <c:v>7</c:v>
                </c:pt>
                <c:pt idx="68">
                  <c:v>5</c:v>
                </c:pt>
                <c:pt idx="69">
                  <c:v>3</c:v>
                </c:pt>
                <c:pt idx="70">
                  <c:v>5</c:v>
                </c:pt>
                <c:pt idx="71">
                  <c:v>3</c:v>
                </c:pt>
                <c:pt idx="72">
                  <c:v>4</c:v>
                </c:pt>
                <c:pt idx="73">
                  <c:v>4</c:v>
                </c:pt>
                <c:pt idx="74">
                  <c:v>3</c:v>
                </c:pt>
                <c:pt idx="75">
                  <c:v>1</c:v>
                </c:pt>
                <c:pt idx="76">
                  <c:v>7</c:v>
                </c:pt>
                <c:pt idx="77">
                  <c:v>5</c:v>
                </c:pt>
                <c:pt idx="78">
                  <c:v>1</c:v>
                </c:pt>
                <c:pt idx="79">
                  <c:v>4</c:v>
                </c:pt>
                <c:pt idx="80">
                  <c:v>3</c:v>
                </c:pt>
                <c:pt idx="81">
                  <c:v>1</c:v>
                </c:pt>
                <c:pt idx="82">
                  <c:v>1</c:v>
                </c:pt>
                <c:pt idx="83">
                  <c:v>1</c:v>
                </c:pt>
                <c:pt idx="84">
                  <c:v>1</c:v>
                </c:pt>
                <c:pt idx="85">
                  <c:v>1</c:v>
                </c:pt>
                <c:pt idx="86">
                  <c:v>1</c:v>
                </c:pt>
                <c:pt idx="87">
                  <c:v>1</c:v>
                </c:pt>
                <c:pt idx="88">
                  <c:v>1</c:v>
                </c:pt>
                <c:pt idx="89">
                  <c:v>1</c:v>
                </c:pt>
                <c:pt idx="90">
                  <c:v>1</c:v>
                </c:pt>
              </c:numCache>
            </c:numRef>
          </c:val>
          <c:extLst xmlns:c16r2="http://schemas.microsoft.com/office/drawing/2015/06/chart">
            <c:ext xmlns:c16="http://schemas.microsoft.com/office/drawing/2014/chart" uri="{C3380CC4-5D6E-409C-BE32-E72D297353CC}">
              <c16:uniqueId val="{0000016D-CA99-4B3B-A799-CF7217B3032C}"/>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vert="horz"/>
          <a:lstStyle/>
          <a:p>
            <a:pPr algn="l">
              <a:defRPr sz="1400">
                <a:latin typeface="Times New Roman" panose="02020603050405020304" pitchFamily="18" charset="0"/>
                <a:cs typeface="Times New Roman" panose="02020603050405020304" pitchFamily="18" charset="0"/>
              </a:defRPr>
            </a:pPr>
            <a:r>
              <a:rPr lang="fr-FR" sz="1400">
                <a:latin typeface="Times New Roman" panose="02020603050405020304" pitchFamily="18" charset="0"/>
                <a:cs typeface="Times New Roman" panose="02020603050405020304" pitchFamily="18" charset="0"/>
              </a:rPr>
              <a:t>Expérience professionnelle </a:t>
            </a:r>
          </a:p>
        </c:rich>
      </c:tx>
      <c:layout>
        <c:manualLayout>
          <c:xMode val="edge"/>
          <c:yMode val="edge"/>
          <c:x val="0.15669265856331069"/>
          <c:y val="2.777800210871078E-2"/>
        </c:manualLayout>
      </c:layout>
      <c:overlay val="0"/>
    </c:title>
    <c:autoTitleDeleted val="0"/>
    <c:plotArea>
      <c:layout/>
      <c:pieChart>
        <c:varyColors val="1"/>
        <c:ser>
          <c:idx val="0"/>
          <c:order val="0"/>
          <c:dLbls>
            <c:spPr>
              <a:noFill/>
              <a:ln>
                <a:noFill/>
              </a:ln>
              <a:effectLst/>
            </c:spPr>
            <c:txPr>
              <a:bodyPr rot="0" vert="horz"/>
              <a:lstStyle/>
              <a:p>
                <a:pPr>
                  <a:defRPr sz="800">
                    <a:latin typeface="Times New Roman" panose="02020603050405020304" pitchFamily="18" charset="0"/>
                    <a:cs typeface="Times New Roman" panose="02020603050405020304" pitchFamily="18" charset="0"/>
                  </a:defRPr>
                </a:pPr>
                <a:endParaRPr lang="fr-FR"/>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Feuil1!$B$128:$B$131</c:f>
              <c:strCache>
                <c:ptCount val="4"/>
                <c:pt idx="0">
                  <c:v>Moins de 5 ans</c:v>
                </c:pt>
                <c:pt idx="1">
                  <c:v>de 5 à 10 ans</c:v>
                </c:pt>
                <c:pt idx="2">
                  <c:v>de 11 à 15 ans</c:v>
                </c:pt>
                <c:pt idx="3">
                  <c:v>plus de 15 ans</c:v>
                </c:pt>
              </c:strCache>
            </c:strRef>
          </c:cat>
          <c:val>
            <c:numRef>
              <c:f>Feuil1!$C$128:$C$131</c:f>
              <c:numCache>
                <c:formatCode>0.00%</c:formatCode>
                <c:ptCount val="4"/>
                <c:pt idx="0">
                  <c:v>6.0000000000000026E-2</c:v>
                </c:pt>
                <c:pt idx="1">
                  <c:v>0.5</c:v>
                </c:pt>
                <c:pt idx="2">
                  <c:v>0.35666666666666691</c:v>
                </c:pt>
                <c:pt idx="3">
                  <c:v>8.3333333333333343E-2</c:v>
                </c:pt>
              </c:numCache>
            </c:numRef>
          </c:val>
          <c:extLst xmlns:c16r2="http://schemas.microsoft.com/office/drawing/2015/06/chart">
            <c:ext xmlns:c16="http://schemas.microsoft.com/office/drawing/2014/chart" uri="{C3380CC4-5D6E-409C-BE32-E72D297353CC}">
              <c16:uniqueId val="{00000000-69B1-4CE5-BAA4-9324701E2FB3}"/>
            </c:ext>
          </c:extLst>
        </c:ser>
        <c:dLbls>
          <c:showLegendKey val="0"/>
          <c:showVal val="1"/>
          <c:showCatName val="0"/>
          <c:showSerName val="0"/>
          <c:showPercent val="0"/>
          <c:showBubbleSize val="0"/>
          <c:showLeaderLines val="1"/>
        </c:dLbls>
        <c:firstSliceAng val="0"/>
      </c:pieChart>
    </c:plotArea>
    <c:legend>
      <c:legendPos val="r"/>
      <c:layout>
        <c:manualLayout>
          <c:xMode val="edge"/>
          <c:yMode val="edge"/>
          <c:x val="0.67819637174269498"/>
          <c:y val="0.34575605132691745"/>
          <c:w val="0.26288764875264381"/>
          <c:h val="0.35476086322543088"/>
        </c:manualLayout>
      </c:layout>
      <c:overlay val="0"/>
      <c:txPr>
        <a:bodyPr rot="0" vert="horz"/>
        <a:lstStyle/>
        <a:p>
          <a:pPr>
            <a:defRPr>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zero"/>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1D694AF3374FDC8289E4DF77172030"/>
        <w:category>
          <w:name w:val="Général"/>
          <w:gallery w:val="placeholder"/>
        </w:category>
        <w:types>
          <w:type w:val="bbPlcHdr"/>
        </w:types>
        <w:behaviors>
          <w:behavior w:val="content"/>
        </w:behaviors>
        <w:guid w:val="{F13EC45C-74D5-4B1C-943C-C76964F32CD7}"/>
      </w:docPartPr>
      <w:docPartBody>
        <w:p w:rsidR="00FE1762" w:rsidRDefault="00415128" w:rsidP="00415128">
          <w:pPr>
            <w:pStyle w:val="E41D694AF3374FDC8289E4DF77172030"/>
          </w:pPr>
          <w:r>
            <w:rPr>
              <w:rFonts w:asciiTheme="majorHAnsi" w:eastAsiaTheme="majorEastAsia" w:hAnsiTheme="majorHAnsi" w:cstheme="majorBidi"/>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akkal Majalla">
    <w:panose1 w:val="02000000000000000000"/>
    <w:charset w:val="B2"/>
    <w:family w:val="auto"/>
    <w:pitch w:val="variable"/>
    <w:sig w:usb0="A0002027" w:usb1="80000000" w:usb2="00000108" w:usb3="00000000" w:csb0="000000D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415128"/>
    <w:rsid w:val="0000088E"/>
    <w:rsid w:val="000504A0"/>
    <w:rsid w:val="000A355F"/>
    <w:rsid w:val="001A1375"/>
    <w:rsid w:val="00210016"/>
    <w:rsid w:val="002E5FF0"/>
    <w:rsid w:val="003C22E6"/>
    <w:rsid w:val="00415128"/>
    <w:rsid w:val="00434712"/>
    <w:rsid w:val="00455DFA"/>
    <w:rsid w:val="00526E3A"/>
    <w:rsid w:val="005F3703"/>
    <w:rsid w:val="00607E51"/>
    <w:rsid w:val="0064580F"/>
    <w:rsid w:val="0065380C"/>
    <w:rsid w:val="00754958"/>
    <w:rsid w:val="007C4482"/>
    <w:rsid w:val="008919FA"/>
    <w:rsid w:val="008D6CC8"/>
    <w:rsid w:val="008E1996"/>
    <w:rsid w:val="008E252E"/>
    <w:rsid w:val="009B2A6A"/>
    <w:rsid w:val="00A24214"/>
    <w:rsid w:val="00AB4B1C"/>
    <w:rsid w:val="00AC08EB"/>
    <w:rsid w:val="00B11F68"/>
    <w:rsid w:val="00B123F6"/>
    <w:rsid w:val="00B77AE8"/>
    <w:rsid w:val="00C159C4"/>
    <w:rsid w:val="00C346B7"/>
    <w:rsid w:val="00C90FE5"/>
    <w:rsid w:val="00D55797"/>
    <w:rsid w:val="00DB5BB0"/>
    <w:rsid w:val="00DF3B11"/>
    <w:rsid w:val="00E115D8"/>
    <w:rsid w:val="00E7270F"/>
    <w:rsid w:val="00F5615D"/>
    <w:rsid w:val="00F70C3A"/>
    <w:rsid w:val="00F7733E"/>
    <w:rsid w:val="00FE176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76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41D694AF3374FDC8289E4DF77172030">
    <w:name w:val="E41D694AF3374FDC8289E4DF77172030"/>
    <w:rsid w:val="00415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8F1CD-8211-4291-B5DD-3A30B6672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90671</Words>
  <Characters>498691</Characters>
  <Application>Microsoft Office Word</Application>
  <DocSecurity>0</DocSecurity>
  <Lines>4155</Lines>
  <Paragraphs>1176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N'tic informatigue</dc:creator>
  <cp:keywords/>
  <dc:description/>
  <cp:lastModifiedBy>Compte Microsoft</cp:lastModifiedBy>
  <cp:revision>4</cp:revision>
  <cp:lastPrinted>2026-06-29T21:49:00Z</cp:lastPrinted>
  <dcterms:created xsi:type="dcterms:W3CDTF">2026-06-29T21:49:00Z</dcterms:created>
  <dcterms:modified xsi:type="dcterms:W3CDTF">2026-06-29T21:54:00Z</dcterms:modified>
</cp:coreProperties>
</file>