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emf" ContentType="image/x-emf"/>
  <Override PartName="/word/footer18.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footer10.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197" w:rsidRDefault="00EA7833">
      <w:pPr>
        <w:jc w:val="center"/>
      </w:pPr>
      <w:r>
        <w:rPr>
          <w:noProof/>
          <w:sz w:val="20"/>
          <w:szCs w:val="20"/>
          <w:lang w:eastAsia="fr-FR"/>
        </w:rPr>
        <w:drawing>
          <wp:anchor distT="0" distB="0" distL="114300" distR="114300" simplePos="0" relativeHeight="251667456" behindDoc="1" locked="0" layoutInCell="1" allowOverlap="1">
            <wp:simplePos x="0" y="0"/>
            <wp:positionH relativeFrom="page">
              <wp:posOffset>340175</wp:posOffset>
            </wp:positionH>
            <wp:positionV relativeFrom="paragraph">
              <wp:posOffset>-381670</wp:posOffset>
            </wp:positionV>
            <wp:extent cx="1257345" cy="1374919"/>
            <wp:effectExtent l="0" t="0" r="0" b="0"/>
            <wp:wrapNone/>
            <wp:docPr id="795083500" name="Image 3" descr="Ecole Supérieure de Management Tlemcen الصفحة الرسمية | Tlemc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257345" cy="1374919"/>
                    </a:xfrm>
                    <a:prstGeom prst="rect">
                      <a:avLst/>
                    </a:prstGeom>
                    <a:noFill/>
                    <a:ln>
                      <a:noFill/>
                      <a:prstDash/>
                    </a:ln>
                  </pic:spPr>
                </pic:pic>
              </a:graphicData>
            </a:graphic>
          </wp:anchor>
        </w:drawing>
      </w:r>
      <w:r>
        <w:rPr>
          <w:noProof/>
          <w:sz w:val="20"/>
          <w:szCs w:val="20"/>
          <w:lang w:eastAsia="fr-FR"/>
        </w:rPr>
        <w:drawing>
          <wp:anchor distT="0" distB="0" distL="114300" distR="114300" simplePos="0" relativeHeight="251660288" behindDoc="1" locked="0" layoutInCell="1" allowOverlap="1">
            <wp:simplePos x="0" y="0"/>
            <wp:positionH relativeFrom="page">
              <wp:posOffset>5959364</wp:posOffset>
            </wp:positionH>
            <wp:positionV relativeFrom="paragraph">
              <wp:posOffset>-371959</wp:posOffset>
            </wp:positionV>
            <wp:extent cx="1257345" cy="1374919"/>
            <wp:effectExtent l="0" t="0" r="0" b="0"/>
            <wp:wrapNone/>
            <wp:docPr id="1141078699" name="Image 3" descr="Ecole Supérieure de Management Tlemcen الصفحة الرسمية | Tlemc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257345" cy="1374919"/>
                    </a:xfrm>
                    <a:prstGeom prst="rect">
                      <a:avLst/>
                    </a:prstGeom>
                    <a:noFill/>
                    <a:ln>
                      <a:noFill/>
                      <a:prstDash/>
                    </a:ln>
                  </pic:spPr>
                </pic:pic>
              </a:graphicData>
            </a:graphic>
          </wp:anchor>
        </w:drawing>
      </w:r>
      <w:r>
        <w:rPr>
          <w:rFonts w:ascii="Times New Roman" w:hAnsi="Times New Roman" w:cs="Times New Roman"/>
          <w:b/>
          <w:bCs/>
          <w:sz w:val="28"/>
          <w:szCs w:val="28"/>
        </w:rPr>
        <w:t>REPUBLIQUE ALGERIENNE DEMOCRATIQUE ET</w:t>
      </w:r>
    </w:p>
    <w:p w:rsidR="00D55197" w:rsidRDefault="00EA7833">
      <w:pPr>
        <w:jc w:val="center"/>
        <w:rPr>
          <w:rFonts w:ascii="Times New Roman" w:hAnsi="Times New Roman" w:cs="Times New Roman"/>
          <w:b/>
          <w:bCs/>
          <w:sz w:val="28"/>
          <w:szCs w:val="28"/>
        </w:rPr>
      </w:pPr>
      <w:r>
        <w:rPr>
          <w:rFonts w:ascii="Times New Roman" w:hAnsi="Times New Roman" w:cs="Times New Roman"/>
          <w:b/>
          <w:bCs/>
          <w:sz w:val="28"/>
          <w:szCs w:val="28"/>
        </w:rPr>
        <w:t xml:space="preserve"> POPULAIRE</w:t>
      </w:r>
    </w:p>
    <w:p w:rsidR="00D55197" w:rsidRDefault="00EA7833">
      <w:pPr>
        <w:jc w:val="center"/>
        <w:rPr>
          <w:rFonts w:ascii="Times New Roman" w:hAnsi="Times New Roman" w:cs="Times New Roman"/>
          <w:b/>
          <w:bCs/>
          <w:sz w:val="28"/>
          <w:szCs w:val="28"/>
        </w:rPr>
      </w:pPr>
      <w:r>
        <w:rPr>
          <w:rFonts w:ascii="Times New Roman" w:hAnsi="Times New Roman" w:cs="Times New Roman"/>
          <w:b/>
          <w:bCs/>
          <w:sz w:val="28"/>
          <w:szCs w:val="28"/>
        </w:rPr>
        <w:t xml:space="preserve">MINISTRE DE L'ENSEIGNEMENT </w:t>
      </w:r>
    </w:p>
    <w:p w:rsidR="00D55197" w:rsidRDefault="00EA7833">
      <w:pPr>
        <w:jc w:val="center"/>
        <w:rPr>
          <w:rFonts w:ascii="Times New Roman" w:hAnsi="Times New Roman" w:cs="Times New Roman"/>
          <w:b/>
          <w:bCs/>
          <w:sz w:val="28"/>
          <w:szCs w:val="28"/>
        </w:rPr>
      </w:pPr>
      <w:r>
        <w:rPr>
          <w:rFonts w:ascii="Times New Roman" w:hAnsi="Times New Roman" w:cs="Times New Roman"/>
          <w:b/>
          <w:bCs/>
          <w:sz w:val="28"/>
          <w:szCs w:val="28"/>
        </w:rPr>
        <w:t>SUPÉRIEUR ET DE LA RECHERCHE SCIENTIFIQUE</w:t>
      </w:r>
    </w:p>
    <w:p w:rsidR="00D55197" w:rsidRDefault="00EA7833">
      <w:pPr>
        <w:jc w:val="center"/>
        <w:rPr>
          <w:rFonts w:ascii="Times New Roman" w:hAnsi="Times New Roman" w:cs="Times New Roman"/>
          <w:b/>
          <w:bCs/>
          <w:sz w:val="28"/>
          <w:szCs w:val="28"/>
        </w:rPr>
      </w:pPr>
      <w:r>
        <w:rPr>
          <w:rFonts w:ascii="Times New Roman" w:hAnsi="Times New Roman" w:cs="Times New Roman"/>
          <w:b/>
          <w:bCs/>
          <w:sz w:val="28"/>
          <w:szCs w:val="28"/>
        </w:rPr>
        <w:t>ECOLE SUPÉRIEURE DE MANAGEMENT</w:t>
      </w:r>
    </w:p>
    <w:p w:rsidR="00D55197" w:rsidRDefault="00EA7833">
      <w:pPr>
        <w:jc w:val="center"/>
      </w:pPr>
      <w:r>
        <w:rPr>
          <w:rFonts w:ascii="Times New Roman" w:hAnsi="Times New Roman" w:cs="Times New Roman"/>
          <w:b/>
          <w:bCs/>
          <w:sz w:val="28"/>
          <w:szCs w:val="28"/>
        </w:rPr>
        <w:t xml:space="preserve">TLEMCEN </w:t>
      </w:r>
    </w:p>
    <w:p w:rsidR="00D55197" w:rsidRDefault="00EA7833">
      <w:pPr>
        <w:jc w:val="center"/>
        <w:rPr>
          <w:rFonts w:ascii="Times New Roman" w:hAnsi="Times New Roman" w:cs="Times New Roman"/>
          <w:sz w:val="32"/>
          <w:szCs w:val="32"/>
        </w:rPr>
      </w:pPr>
      <w:r>
        <w:rPr>
          <w:rFonts w:ascii="Times New Roman" w:hAnsi="Times New Roman" w:cs="Times New Roman"/>
          <w:sz w:val="32"/>
          <w:szCs w:val="32"/>
        </w:rPr>
        <w:t>Mémoire de fin d’étude pour l’obtention du diplôme de Master</w:t>
      </w:r>
    </w:p>
    <w:p w:rsidR="00D55197" w:rsidRDefault="00EA7833">
      <w:pPr>
        <w:jc w:val="center"/>
        <w:rPr>
          <w:rFonts w:ascii="Times New Roman" w:hAnsi="Times New Roman" w:cs="Times New Roman"/>
          <w:sz w:val="32"/>
          <w:szCs w:val="32"/>
        </w:rPr>
      </w:pPr>
      <w:r>
        <w:rPr>
          <w:rFonts w:ascii="Times New Roman" w:hAnsi="Times New Roman" w:cs="Times New Roman"/>
          <w:sz w:val="32"/>
          <w:szCs w:val="32"/>
        </w:rPr>
        <w:t>en science commerciale et science de gestion</w:t>
      </w:r>
    </w:p>
    <w:p w:rsidR="00D55197" w:rsidRDefault="00EA7833">
      <w:pPr>
        <w:jc w:val="center"/>
      </w:pPr>
      <w:r>
        <w:rPr>
          <w:rFonts w:ascii="Times New Roman" w:hAnsi="Times New Roman" w:cs="Times New Roman"/>
          <w:b/>
          <w:bCs/>
          <w:sz w:val="32"/>
          <w:szCs w:val="32"/>
        </w:rPr>
        <w:t>Option :</w:t>
      </w:r>
      <w:r>
        <w:rPr>
          <w:rFonts w:ascii="Times New Roman" w:hAnsi="Times New Roman" w:cs="Times New Roman"/>
          <w:sz w:val="32"/>
          <w:szCs w:val="32"/>
        </w:rPr>
        <w:t xml:space="preserve"> Marketing Agroalimentaire et Management Des Services De Santé </w:t>
      </w:r>
    </w:p>
    <w:p w:rsidR="00D55197" w:rsidRDefault="007B5998">
      <w:r w:rsidRPr="007B5998">
        <w:rPr>
          <w:rFonts w:ascii="Times New Roman" w:hAnsi="Times New Roman" w:cs="Times New Roman"/>
          <w:noProof/>
          <w:sz w:val="32"/>
          <w:szCs w:val="32"/>
          <w:lang w:eastAsia="fr-FR"/>
        </w:rPr>
        <w:pict>
          <v:shape id="Rectangle : coins arrondis 5" o:spid="_x0000_s1026" style="position:absolute;margin-left:-23.8pt;margin-top:14.35pt;width:496.65pt;height:114.35pt;z-index:251661312;visibility:visible" coordsize="6307458,1452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" adj="0,,0" path="m242040,at,,484080,484080,242040,,,242040l,1210200at,968160,484080,1452240,,1210200,242040,1452240l6065418,1452240at5823378,968160,6307458,1452240,6065418,1452240,6307458,1210200l6307458,242040at5823378,,6307458,484080,6307458,242040,6065418,l242040,xe" filled="f" strokecolor="#223f59" strokeweight="1.0584mm">
            <v:stroke joinstyle="miter"/>
            <v:shadow on="t" color="black" opacity="26214f" origin="-.5,-.5" offset="1.0584mm,0"/>
            <v:formulas/>
            <v:path arrowok="t" o:connecttype="custom" o:connectlocs="3153729,0;6307458,726120;3153729,1452240;0,726120" o:connectangles="270,0,90,180" textboxrect="70893,70893,6236565,1381347"/>
          </v:shape>
        </w:pict>
      </w:r>
    </w:p>
    <w:p w:rsidR="00750218" w:rsidRPr="00750218" w:rsidRDefault="00750218" w:rsidP="00750218">
      <w:pPr>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40"/>
          <w:szCs w:val="40"/>
          <w:lang w:eastAsia="fr-FR"/>
        </w:rPr>
      </w:pPr>
      <w:r w:rsidRPr="00750218">
        <w:rPr>
          <w:rFonts w:ascii="Times New Roman" w:eastAsia="Times New Roman" w:hAnsi="Times New Roman" w:cs="Times New Roman"/>
          <w:b/>
          <w:bCs/>
          <w:kern w:val="0"/>
          <w:sz w:val="40"/>
          <w:szCs w:val="40"/>
          <w:lang w:eastAsia="fr-FR"/>
        </w:rPr>
        <w:t>Le marketing des produits biologiques et son rôle dans la sécurité sanitaire des aliments : Étude de cas de l'entreprise Dahbia Huile d’Olive, Djelfa.</w:t>
      </w:r>
    </w:p>
    <w:p w:rsidR="00D55197" w:rsidRDefault="00D55197">
      <w:pPr>
        <w:rPr>
          <w:rFonts w:ascii="Times New Roman" w:hAnsi="Times New Roman" w:cs="Times New Roman"/>
          <w:sz w:val="32"/>
          <w:szCs w:val="32"/>
        </w:rPr>
      </w:pPr>
    </w:p>
    <w:p w:rsidR="00D55197" w:rsidRDefault="007B5998">
      <w:r w:rsidRPr="007B5998">
        <w:rPr>
          <w:rFonts w:ascii="Times New Roman" w:hAnsi="Times New Roman" w:cs="Times New Roman"/>
          <w:b/>
          <w:bCs/>
          <w:noProof/>
          <w:sz w:val="32"/>
          <w:szCs w:val="32"/>
          <w:lang w:eastAsia="fr-FR"/>
        </w:rPr>
        <w:pict>
          <v:rect id="Rectangle 6" o:spid="_x0000_s1097" style="position:absolute;margin-left:-37.05pt;margin-top:26.8pt;width:232.4pt;height:48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" filled="f" stroked="f">
            <v:textbox inset="0,0,0,0"/>
          </v:rect>
        </w:pict>
      </w:r>
      <w:r w:rsidRPr="007B5998">
        <w:rPr>
          <w:rFonts w:ascii="Times New Roman" w:hAnsi="Times New Roman" w:cs="Times New Roman"/>
          <w:b/>
          <w:bCs/>
          <w:noProof/>
          <w:sz w:val="32"/>
          <w:szCs w:val="32"/>
          <w:lang w:eastAsia="fr-FR"/>
        </w:rPr>
        <w:pict>
          <v:rect id="_x0000_s1096" style="position:absolute;margin-left:266.95pt;margin-top:26.3pt;width:232.4pt;height:135.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" filled="f" stroked="f">
            <v:textbox inset="0,0,0,0"/>
          </v:rect>
        </w:pict>
      </w:r>
      <w:r w:rsidR="00EA7833">
        <w:rPr>
          <w:rFonts w:ascii="Times New Roman" w:hAnsi="Times New Roman" w:cs="Times New Roman"/>
          <w:b/>
          <w:bCs/>
          <w:sz w:val="32"/>
          <w:szCs w:val="32"/>
        </w:rPr>
        <w:t>Présenté par :</w:t>
      </w:r>
      <w:r w:rsidR="00EA7833">
        <w:rPr>
          <w:rFonts w:ascii="Times New Roman" w:hAnsi="Times New Roman" w:cs="Times New Roman"/>
          <w:sz w:val="32"/>
          <w:szCs w:val="32"/>
        </w:rPr>
        <w:tab/>
      </w:r>
      <w:r w:rsidR="00EA7833">
        <w:rPr>
          <w:rFonts w:ascii="Times New Roman" w:hAnsi="Times New Roman" w:cs="Times New Roman"/>
          <w:b/>
          <w:bCs/>
          <w:sz w:val="32"/>
          <w:szCs w:val="32"/>
        </w:rPr>
        <w:t>Encadré par :</w:t>
      </w:r>
    </w:p>
    <w:p w:rsidR="00D55197" w:rsidRPr="001C08B7" w:rsidRDefault="00EA7833">
      <w:pPr>
        <w:pStyle w:val="Paragraphedeliste"/>
        <w:numPr>
          <w:ilvl w:val="0"/>
          <w:numId w:val="1"/>
        </w:numPr>
        <w:rPr>
          <w:rFonts w:ascii="Times New Roman" w:hAnsi="Times New Roman" w:cs="Times New Roman"/>
          <w:sz w:val="32"/>
          <w:szCs w:val="32"/>
          <w:lang w:val="en-US"/>
        </w:rPr>
      </w:pPr>
      <w:r w:rsidRPr="001C08B7">
        <w:rPr>
          <w:rFonts w:ascii="Times New Roman" w:hAnsi="Times New Roman" w:cs="Times New Roman"/>
          <w:sz w:val="32"/>
          <w:szCs w:val="32"/>
          <w:lang w:val="en-US"/>
        </w:rPr>
        <w:t>Hakkoumi Hanane                                  Dr. Bessaid Oussama Nabil</w:t>
      </w:r>
    </w:p>
    <w:p w:rsidR="00D55197" w:rsidRDefault="00EA7833">
      <w:pPr>
        <w:pStyle w:val="Paragraphedeliste"/>
        <w:numPr>
          <w:ilvl w:val="0"/>
          <w:numId w:val="1"/>
        </w:numPr>
      </w:pPr>
      <w:r>
        <w:rPr>
          <w:rFonts w:ascii="Times New Roman" w:hAnsi="Times New Roman" w:cs="Times New Roman"/>
          <w:sz w:val="32"/>
          <w:szCs w:val="32"/>
        </w:rPr>
        <w:t>Atbi Hanane</w:t>
      </w:r>
    </w:p>
    <w:p w:rsidR="00D55197" w:rsidRDefault="00D55197">
      <w:pPr>
        <w:jc w:val="center"/>
      </w:pPr>
    </w:p>
    <w:p w:rsidR="00D55197" w:rsidRDefault="00EA7833" w:rsidP="00C84B74">
      <w:pPr>
        <w:jc w:val="center"/>
        <w:rPr>
          <w:rFonts w:ascii="Times New Roman" w:hAnsi="Times New Roman" w:cs="Times New Roman"/>
          <w:b/>
          <w:bCs/>
          <w:sz w:val="32"/>
          <w:szCs w:val="32"/>
        </w:rPr>
      </w:pPr>
      <w:r>
        <w:rPr>
          <w:rFonts w:ascii="Times New Roman" w:hAnsi="Times New Roman" w:cs="Times New Roman"/>
          <w:b/>
          <w:bCs/>
          <w:sz w:val="32"/>
          <w:szCs w:val="32"/>
        </w:rPr>
        <w:t xml:space="preserve">Evalué le : </w:t>
      </w:r>
      <w:r w:rsidR="00C84B74">
        <w:rPr>
          <w:rFonts w:ascii="Times New Roman" w:hAnsi="Times New Roman" w:cs="Times New Roman"/>
          <w:b/>
          <w:bCs/>
          <w:sz w:val="32"/>
          <w:szCs w:val="32"/>
        </w:rPr>
        <w:t>18</w:t>
      </w:r>
      <w:r>
        <w:rPr>
          <w:rFonts w:ascii="Times New Roman" w:hAnsi="Times New Roman" w:cs="Times New Roman"/>
          <w:b/>
          <w:bCs/>
          <w:sz w:val="32"/>
          <w:szCs w:val="32"/>
        </w:rPr>
        <w:t xml:space="preserve"> juin 202</w:t>
      </w:r>
      <w:r w:rsidR="009A0BED">
        <w:rPr>
          <w:rFonts w:ascii="Times New Roman" w:hAnsi="Times New Roman" w:cs="Times New Roman" w:hint="cs"/>
          <w:b/>
          <w:bCs/>
          <w:sz w:val="32"/>
          <w:szCs w:val="32"/>
          <w:rtl/>
        </w:rPr>
        <w:t>6</w:t>
      </w:r>
      <w:r>
        <w:rPr>
          <w:rFonts w:ascii="Times New Roman" w:hAnsi="Times New Roman" w:cs="Times New Roman"/>
          <w:b/>
          <w:bCs/>
          <w:sz w:val="32"/>
          <w:szCs w:val="32"/>
        </w:rPr>
        <w:t>"</w:t>
      </w:r>
    </w:p>
    <w:p w:rsidR="00D55197" w:rsidRDefault="00EA7833">
      <w:pPr>
        <w:jc w:val="center"/>
      </w:pPr>
      <w:r>
        <w:rPr>
          <w:rFonts w:ascii="Times New Roman" w:hAnsi="Times New Roman" w:cs="Times New Roman"/>
          <w:b/>
          <w:bCs/>
          <w:sz w:val="32"/>
          <w:szCs w:val="32"/>
        </w:rPr>
        <w:t>Par le jury composé de</w:t>
      </w:r>
      <w:r>
        <w:rPr>
          <w:rFonts w:ascii="Times New Roman" w:hAnsi="Times New Roman" w:cs="Times New Roman"/>
          <w:sz w:val="28"/>
          <w:szCs w:val="28"/>
        </w:rPr>
        <w:t xml:space="preserve"> :</w:t>
      </w:r>
    </w:p>
    <w:p w:rsidR="00D55197" w:rsidRDefault="00EA7833" w:rsidP="008D4031">
      <w:pPr>
        <w:rPr>
          <w:rFonts w:ascii="Times New Roman" w:hAnsi="Times New Roman" w:cs="Times New Roman"/>
          <w:b/>
          <w:bCs/>
          <w:sz w:val="32"/>
          <w:szCs w:val="32"/>
        </w:rPr>
      </w:pPr>
      <w:r>
        <w:rPr>
          <w:rFonts w:ascii="Times New Roman" w:hAnsi="Times New Roman" w:cs="Times New Roman"/>
          <w:b/>
          <w:bCs/>
          <w:sz w:val="32"/>
          <w:szCs w:val="32"/>
        </w:rPr>
        <w:t>Président......</w:t>
      </w:r>
      <w:r w:rsidR="008D4031" w:rsidRPr="008D4031">
        <w:rPr>
          <w:rFonts w:ascii="Times New Roman" w:hAnsi="Times New Roman" w:cs="Times New Roman"/>
          <w:sz w:val="32"/>
          <w:szCs w:val="32"/>
        </w:rPr>
        <w:t xml:space="preserve">CHEKROUNE </w:t>
      </w:r>
      <w:r w:rsidR="008D4031">
        <w:rPr>
          <w:rFonts w:ascii="Times New Roman" w:hAnsi="Times New Roman" w:cs="Times New Roman"/>
          <w:sz w:val="32"/>
          <w:szCs w:val="32"/>
        </w:rPr>
        <w:t>M</w:t>
      </w:r>
      <w:r w:rsidR="008D4031" w:rsidRPr="008D4031">
        <w:rPr>
          <w:rFonts w:ascii="Times New Roman" w:hAnsi="Times New Roman" w:cs="Times New Roman"/>
          <w:sz w:val="32"/>
          <w:szCs w:val="32"/>
        </w:rPr>
        <w:t>eriem</w:t>
      </w:r>
      <w:r w:rsidR="008D4031">
        <w:rPr>
          <w:rFonts w:ascii="Times New Roman" w:hAnsi="Times New Roman" w:cs="Times New Roman"/>
          <w:b/>
          <w:bCs/>
          <w:sz w:val="32"/>
          <w:szCs w:val="32"/>
        </w:rPr>
        <w:t>………………….</w:t>
      </w:r>
      <w:r>
        <w:rPr>
          <w:rFonts w:ascii="Times New Roman" w:hAnsi="Times New Roman" w:cs="Times New Roman"/>
          <w:b/>
          <w:bCs/>
          <w:sz w:val="32"/>
          <w:szCs w:val="32"/>
        </w:rPr>
        <w:t>....</w:t>
      </w:r>
      <w:r w:rsidR="008D4031">
        <w:rPr>
          <w:rFonts w:ascii="Times New Roman" w:hAnsi="Times New Roman" w:cs="Times New Roman"/>
          <w:b/>
          <w:bCs/>
          <w:sz w:val="32"/>
          <w:szCs w:val="32"/>
        </w:rPr>
        <w:t>..</w:t>
      </w:r>
      <w:r>
        <w:rPr>
          <w:rFonts w:ascii="Times New Roman" w:hAnsi="Times New Roman" w:cs="Times New Roman"/>
          <w:b/>
          <w:bCs/>
          <w:sz w:val="32"/>
          <w:szCs w:val="32"/>
        </w:rPr>
        <w:t xml:space="preserve"> </w:t>
      </w:r>
      <w:r w:rsidR="008D4031">
        <w:rPr>
          <w:rFonts w:ascii="Times New Roman" w:hAnsi="Times New Roman" w:cs="Times New Roman"/>
          <w:b/>
          <w:bCs/>
          <w:sz w:val="32"/>
          <w:szCs w:val="32"/>
        </w:rPr>
        <w:t>ESMT</w:t>
      </w:r>
    </w:p>
    <w:p w:rsidR="00D55197" w:rsidRDefault="008D4031" w:rsidP="008D4031">
      <w:pPr>
        <w:rPr>
          <w:rFonts w:ascii="Times New Roman" w:hAnsi="Times New Roman" w:cs="Times New Roman"/>
          <w:b/>
          <w:bCs/>
          <w:sz w:val="32"/>
          <w:szCs w:val="32"/>
        </w:rPr>
      </w:pPr>
      <w:r w:rsidRPr="007B5998">
        <w:rPr>
          <w:rFonts w:ascii="Times New Roman" w:hAnsi="Times New Roman" w:cs="Times New Roman"/>
          <w:noProof/>
          <w:sz w:val="32"/>
          <w:szCs w:val="32"/>
          <w:lang w:eastAsia="fr-FR"/>
        </w:rPr>
        <w:pict>
          <v:rect id="Rectangle 7" o:spid="_x0000_s1095" style="position:absolute;margin-left:93.65pt;margin-top:8.1pt;width:259.7pt;height:30.9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" filled="f" stroked="f">
            <v:textbox inset="0,0,0,0"/>
          </v:rect>
        </w:pict>
      </w:r>
      <w:r w:rsidR="00EA7833">
        <w:rPr>
          <w:rFonts w:ascii="Times New Roman" w:hAnsi="Times New Roman" w:cs="Times New Roman"/>
          <w:b/>
          <w:bCs/>
          <w:sz w:val="32"/>
          <w:szCs w:val="32"/>
        </w:rPr>
        <w:t xml:space="preserve">Encadreur.... </w:t>
      </w:r>
      <w:r w:rsidRPr="00C84B74">
        <w:rPr>
          <w:rFonts w:ascii="Times New Roman" w:hAnsi="Times New Roman" w:cs="Times New Roman"/>
          <w:sz w:val="32"/>
          <w:szCs w:val="32"/>
        </w:rPr>
        <w:t>BESSAID</w:t>
      </w:r>
      <w:r w:rsidR="00EA7833" w:rsidRPr="00C84B74">
        <w:rPr>
          <w:rFonts w:ascii="Times New Roman" w:hAnsi="Times New Roman" w:cs="Times New Roman"/>
          <w:sz w:val="32"/>
          <w:szCs w:val="32"/>
        </w:rPr>
        <w:t xml:space="preserve"> Oussama Nabil</w:t>
      </w:r>
      <w:r w:rsidR="00EA7833">
        <w:rPr>
          <w:rFonts w:ascii="Times New Roman" w:hAnsi="Times New Roman" w:cs="Times New Roman"/>
          <w:b/>
          <w:bCs/>
          <w:sz w:val="32"/>
          <w:szCs w:val="32"/>
        </w:rPr>
        <w:t xml:space="preserve"> </w:t>
      </w:r>
      <w:r>
        <w:rPr>
          <w:rFonts w:ascii="Times New Roman" w:hAnsi="Times New Roman" w:cs="Times New Roman"/>
          <w:b/>
          <w:bCs/>
          <w:sz w:val="32"/>
          <w:szCs w:val="32"/>
        </w:rPr>
        <w:t>……………..</w:t>
      </w:r>
      <w:r w:rsidR="00EA7833">
        <w:rPr>
          <w:rFonts w:ascii="Times New Roman" w:hAnsi="Times New Roman" w:cs="Times New Roman"/>
          <w:b/>
          <w:bCs/>
          <w:sz w:val="32"/>
          <w:szCs w:val="32"/>
        </w:rPr>
        <w:t xml:space="preserve">..... </w:t>
      </w:r>
      <w:r>
        <w:rPr>
          <w:rFonts w:ascii="Times New Roman" w:hAnsi="Times New Roman" w:cs="Times New Roman"/>
          <w:b/>
          <w:bCs/>
          <w:sz w:val="32"/>
          <w:szCs w:val="32"/>
        </w:rPr>
        <w:t>ESMT</w:t>
      </w:r>
    </w:p>
    <w:p w:rsidR="00D55197" w:rsidRDefault="00EA7833" w:rsidP="008D4031">
      <w:r>
        <w:rPr>
          <w:rFonts w:ascii="Times New Roman" w:hAnsi="Times New Roman" w:cs="Times New Roman"/>
          <w:b/>
          <w:bCs/>
          <w:sz w:val="32"/>
          <w:szCs w:val="32"/>
        </w:rPr>
        <w:t>Examinateur ...</w:t>
      </w:r>
      <w:r w:rsidR="008D4031">
        <w:rPr>
          <w:rFonts w:ascii="Times New Roman" w:hAnsi="Times New Roman" w:cs="Times New Roman"/>
          <w:b/>
          <w:bCs/>
          <w:sz w:val="32"/>
          <w:szCs w:val="32"/>
        </w:rPr>
        <w:t xml:space="preserve"> </w:t>
      </w:r>
      <w:r w:rsidR="008D4031" w:rsidRPr="00C84B74">
        <w:rPr>
          <w:rFonts w:ascii="Times New Roman" w:hAnsi="Times New Roman" w:cs="Times New Roman"/>
          <w:sz w:val="32"/>
          <w:szCs w:val="32"/>
        </w:rPr>
        <w:t>BOUSADIA Hichem</w:t>
      </w:r>
      <w:r>
        <w:rPr>
          <w:rFonts w:ascii="Times New Roman" w:hAnsi="Times New Roman" w:cs="Times New Roman"/>
          <w:b/>
          <w:bCs/>
          <w:sz w:val="32"/>
          <w:szCs w:val="32"/>
        </w:rPr>
        <w:t>........................</w:t>
      </w:r>
      <w:r w:rsidR="008D4031">
        <w:rPr>
          <w:rFonts w:ascii="Times New Roman" w:hAnsi="Times New Roman" w:cs="Times New Roman"/>
          <w:b/>
          <w:bCs/>
          <w:sz w:val="32"/>
          <w:szCs w:val="32"/>
        </w:rPr>
        <w:t>.......</w:t>
      </w:r>
      <w:r>
        <w:rPr>
          <w:rFonts w:ascii="Times New Roman" w:hAnsi="Times New Roman" w:cs="Times New Roman"/>
          <w:b/>
          <w:bCs/>
          <w:sz w:val="32"/>
          <w:szCs w:val="32"/>
        </w:rPr>
        <w:t xml:space="preserve">.. </w:t>
      </w:r>
      <w:r w:rsidR="008D4031">
        <w:rPr>
          <w:rFonts w:ascii="Times New Roman" w:hAnsi="Times New Roman" w:cs="Times New Roman"/>
          <w:b/>
          <w:bCs/>
          <w:sz w:val="32"/>
          <w:szCs w:val="32"/>
        </w:rPr>
        <w:t>ESMT</w:t>
      </w:r>
    </w:p>
    <w:p w:rsidR="00D55197" w:rsidRDefault="00EA7833">
      <w:pPr>
        <w:tabs>
          <w:tab w:val="left" w:pos="2734"/>
        </w:tabs>
        <w:rPr>
          <w:rFonts w:ascii="Times New Roman" w:hAnsi="Times New Roman" w:cs="Times New Roman"/>
          <w:b/>
          <w:bCs/>
          <w:sz w:val="32"/>
          <w:szCs w:val="32"/>
          <w:rtl/>
          <w:lang w:bidi="ar-DZ"/>
        </w:rPr>
      </w:pPr>
      <w:r>
        <w:tab/>
      </w:r>
      <w:r>
        <w:rPr>
          <w:rFonts w:ascii="Times New Roman" w:hAnsi="Times New Roman" w:cs="Times New Roman"/>
          <w:b/>
          <w:bCs/>
          <w:sz w:val="32"/>
          <w:szCs w:val="32"/>
        </w:rPr>
        <w:t>Année universitaire: 2026-202</w:t>
      </w:r>
      <w:r>
        <w:rPr>
          <w:rFonts w:ascii="Times New Roman" w:hAnsi="Times New Roman" w:cs="Times New Roman"/>
          <w:b/>
          <w:bCs/>
          <w:sz w:val="32"/>
          <w:szCs w:val="32"/>
          <w:lang w:bidi="ar-DZ"/>
        </w:rPr>
        <w:t>5</w:t>
      </w:r>
    </w:p>
    <w:p w:rsidR="009A0BED" w:rsidRDefault="009A0BED">
      <w:pPr>
        <w:tabs>
          <w:tab w:val="left" w:pos="2734"/>
        </w:tabs>
      </w:pPr>
    </w:p>
    <w:p w:rsidR="00234F25" w:rsidRPr="00234F25" w:rsidRDefault="00234F25" w:rsidP="00234F25">
      <w:pPr>
        <w:rPr>
          <w:rtl/>
        </w:rPr>
      </w:pPr>
    </w:p>
    <w:p w:rsidR="00234F25" w:rsidRPr="00234F25" w:rsidRDefault="00234F25" w:rsidP="00234F25">
      <w:pPr>
        <w:rPr>
          <w:rtl/>
        </w:rPr>
      </w:pPr>
    </w:p>
    <w:p w:rsidR="00234F25" w:rsidRDefault="00234F25" w:rsidP="00234F25"/>
    <w:p w:rsidR="001C08B7" w:rsidRDefault="001C08B7" w:rsidP="00234F25"/>
    <w:p w:rsidR="001C08B7" w:rsidRDefault="001C08B7" w:rsidP="00234F25"/>
    <w:p w:rsidR="001C08B7" w:rsidRDefault="001C08B7" w:rsidP="00234F25">
      <w:r>
        <w:rPr>
          <w:noProof/>
          <w:lang w:eastAsia="fr-FR"/>
        </w:rPr>
        <w:drawing>
          <wp:anchor distT="0" distB="0" distL="114300" distR="114300" simplePos="0" relativeHeight="251756544" behindDoc="1" locked="0" layoutInCell="1" allowOverlap="1">
            <wp:simplePos x="0" y="0"/>
            <wp:positionH relativeFrom="margin">
              <wp:posOffset>-121920</wp:posOffset>
            </wp:positionH>
            <wp:positionV relativeFrom="paragraph">
              <wp:posOffset>292100</wp:posOffset>
            </wp:positionV>
            <wp:extent cx="6363946" cy="5370286"/>
            <wp:effectExtent l="0" t="0" r="0" b="1270"/>
            <wp:wrapNone/>
            <wp:docPr id="99474481" name="Image 9" descr="‫بسم الله الرحمن الرحيم مزخرفة 2024 - موسوع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بسم الله الرحمن الرحيم مزخرفة 2024 - موسوعة‬‎"/>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3946" cy="5370286"/>
                    </a:xfrm>
                    <a:prstGeom prst="rect">
                      <a:avLst/>
                    </a:prstGeom>
                    <a:noFill/>
                    <a:ln>
                      <a:noFill/>
                    </a:ln>
                  </pic:spPr>
                </pic:pic>
              </a:graphicData>
            </a:graphic>
          </wp:anchor>
        </w:drawing>
      </w:r>
    </w:p>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Default="001C08B7" w:rsidP="00234F25"/>
    <w:p w:rsidR="001C08B7" w:rsidRPr="00234F25" w:rsidRDefault="001C08B7" w:rsidP="00234F25">
      <w:pPr>
        <w:rPr>
          <w:rtl/>
        </w:rPr>
      </w:pPr>
    </w:p>
    <w:p w:rsidR="001C08B7" w:rsidRDefault="001C08B7" w:rsidP="00234F25">
      <w:pPr>
        <w:sectPr w:rsidR="001C08B7" w:rsidSect="005236B6">
          <w:footerReference w:type="default" r:id="rId10"/>
          <w:footnotePr>
            <w:numRestart w:val="eachPage"/>
          </w:footnotePr>
          <w:pgSz w:w="11906" w:h="16838"/>
          <w:pgMar w:top="1417" w:right="1417" w:bottom="1417" w:left="1417" w:header="720" w:footer="720" w:gutter="0"/>
          <w:pgBorders w:display="firstPage" w:offsetFrom="page">
            <w:top w:val="single" w:sz="48" w:space="24" w:color="000000"/>
            <w:left w:val="single" w:sz="48" w:space="24" w:color="000000"/>
            <w:bottom w:val="single" w:sz="48" w:space="24" w:color="000000"/>
            <w:right w:val="single" w:sz="48" w:space="24" w:color="000000"/>
          </w:pgBorders>
          <w:cols w:space="720"/>
          <w:docGrid w:linePitch="299"/>
        </w:sectPr>
      </w:pPr>
    </w:p>
    <w:p w:rsidR="00234F25" w:rsidRPr="00234F25" w:rsidRDefault="00234F25" w:rsidP="00234F25">
      <w:pPr>
        <w:rPr>
          <w:rtl/>
        </w:rPr>
      </w:pPr>
    </w:p>
    <w:p w:rsidR="00893377" w:rsidRDefault="00893377" w:rsidP="00D850BE">
      <w:pPr>
        <w:tabs>
          <w:tab w:val="left" w:pos="2160"/>
        </w:tabs>
        <w:jc w:val="center"/>
        <w:rPr>
          <w:rFonts w:ascii="Edwardian Script ITC" w:hAnsi="Edwardian Script ITC"/>
          <w:b/>
          <w:bCs/>
          <w:sz w:val="96"/>
          <w:szCs w:val="96"/>
        </w:rPr>
      </w:pPr>
      <w:r>
        <w:rPr>
          <w:noProof/>
          <w:lang w:eastAsia="fr-FR"/>
        </w:rPr>
        <w:drawing>
          <wp:anchor distT="0" distB="0" distL="114300" distR="114300" simplePos="0" relativeHeight="251669504" behindDoc="1" locked="0" layoutInCell="1" allowOverlap="1">
            <wp:simplePos x="0" y="0"/>
            <wp:positionH relativeFrom="page">
              <wp:align>left</wp:align>
            </wp:positionH>
            <wp:positionV relativeFrom="paragraph">
              <wp:posOffset>-707753</wp:posOffset>
            </wp:positionV>
            <wp:extent cx="2579615" cy="1562100"/>
            <wp:effectExtent l="0" t="0" r="0" b="0"/>
            <wp:wrapNone/>
            <wp:docPr id="1401816227" name="Image 7" descr="‫مهم جدا للطالب الجامعي في 2023: كيفية اعداد مذكرة مشروع نهاية الدراسة حسب  المادة 25 من المرسوم رقم 171 - Startup-diplome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مهم جدا للطالب الجامعي في 2023: كيفية اعداد مذكرة مشروع نهاية الدراسة حسب  المادة 25 من المرسوم رقم 171 - Startup-diplome127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9615" cy="1562100"/>
                    </a:xfrm>
                    <a:prstGeom prst="rect">
                      <a:avLst/>
                    </a:prstGeom>
                    <a:noFill/>
                    <a:ln>
                      <a:noFill/>
                    </a:ln>
                  </pic:spPr>
                </pic:pic>
              </a:graphicData>
            </a:graphic>
          </wp:anchor>
        </w:drawing>
      </w:r>
    </w:p>
    <w:p w:rsidR="00D850BE" w:rsidRDefault="00D850BE" w:rsidP="00B20DAD">
      <w:pPr>
        <w:tabs>
          <w:tab w:val="left" w:pos="2160"/>
        </w:tabs>
        <w:jc w:val="center"/>
        <w:rPr>
          <w:rFonts w:ascii="Edwardian Script ITC" w:hAnsi="Edwardian Script ITC"/>
          <w:b/>
          <w:bCs/>
          <w:sz w:val="96"/>
          <w:szCs w:val="96"/>
        </w:rPr>
      </w:pPr>
      <w:r w:rsidRPr="00F577B5">
        <w:rPr>
          <w:rFonts w:ascii="Edwardian Script ITC" w:hAnsi="Edwardian Script ITC"/>
          <w:b/>
          <w:bCs/>
          <w:sz w:val="96"/>
          <w:szCs w:val="96"/>
        </w:rPr>
        <w:t>Remerciements</w:t>
      </w:r>
      <w:r>
        <w:rPr>
          <w:rFonts w:ascii="Edwardian Script ITC" w:hAnsi="Edwardian Script ITC" w:hint="cs"/>
          <w:b/>
          <w:bCs/>
          <w:sz w:val="96"/>
          <w:szCs w:val="96"/>
          <w:rtl/>
        </w:rPr>
        <w:t> </w:t>
      </w:r>
      <w:r>
        <w:rPr>
          <w:rFonts w:ascii="Edwardian Script ITC" w:hAnsi="Edwardian Script ITC"/>
          <w:b/>
          <w:bCs/>
          <w:sz w:val="96"/>
          <w:szCs w:val="96"/>
        </w:rPr>
        <w:t>:</w:t>
      </w:r>
    </w:p>
    <w:p w:rsidR="00D850BE" w:rsidRDefault="00D850BE" w:rsidP="00B20DAD">
      <w:pPr>
        <w:tabs>
          <w:tab w:val="left" w:pos="2160"/>
        </w:tabs>
        <w:jc w:val="both"/>
        <w:rPr>
          <w:rFonts w:asciiTheme="majorBidi" w:hAnsiTheme="majorBidi" w:cstheme="majorBidi"/>
          <w:sz w:val="44"/>
          <w:szCs w:val="44"/>
        </w:rPr>
      </w:pPr>
      <w:r w:rsidRPr="00463364">
        <w:rPr>
          <w:rFonts w:asciiTheme="majorBidi" w:hAnsiTheme="majorBidi" w:cstheme="majorBidi"/>
          <w:sz w:val="44"/>
          <w:szCs w:val="44"/>
        </w:rPr>
        <w:t xml:space="preserve">Nous remercions Dieu Tout-Puissant pour la force et la patience qu’Il nous a accordées afin de réaliser ce travail. </w:t>
      </w:r>
    </w:p>
    <w:p w:rsidR="00D850BE" w:rsidRDefault="00D850BE" w:rsidP="00B20DAD">
      <w:pPr>
        <w:tabs>
          <w:tab w:val="left" w:pos="2160"/>
        </w:tabs>
        <w:jc w:val="both"/>
        <w:rPr>
          <w:rFonts w:asciiTheme="majorBidi" w:hAnsiTheme="majorBidi" w:cstheme="majorBidi"/>
          <w:sz w:val="44"/>
          <w:szCs w:val="44"/>
        </w:rPr>
      </w:pPr>
      <w:r w:rsidRPr="00463364">
        <w:rPr>
          <w:rFonts w:asciiTheme="majorBidi" w:hAnsiTheme="majorBidi" w:cstheme="majorBidi"/>
          <w:sz w:val="44"/>
          <w:szCs w:val="44"/>
        </w:rPr>
        <w:t>Nous adressons nos sincères remerciements à notre encadreurpour son accompagnement, ses conseils et son soutien précieux.</w:t>
      </w:r>
    </w:p>
    <w:p w:rsidR="00D850BE" w:rsidRDefault="00D850BE" w:rsidP="00B20DAD">
      <w:pPr>
        <w:tabs>
          <w:tab w:val="left" w:pos="2160"/>
        </w:tabs>
        <w:jc w:val="both"/>
        <w:rPr>
          <w:rFonts w:asciiTheme="majorBidi" w:hAnsiTheme="majorBidi" w:cstheme="majorBidi"/>
          <w:sz w:val="44"/>
          <w:szCs w:val="44"/>
        </w:rPr>
      </w:pPr>
      <w:r w:rsidRPr="00463364">
        <w:rPr>
          <w:rFonts w:asciiTheme="majorBidi" w:hAnsiTheme="majorBidi" w:cstheme="majorBidi"/>
          <w:sz w:val="44"/>
          <w:szCs w:val="44"/>
        </w:rPr>
        <w:t xml:space="preserve"> Nos remerciements vont également aux membres du jury, à nos enseignants, ainsi qu’à nos familles pour leurs encouragements et leur appui constant. À tous ceux qui ont contribué, de près ou de loin, à la réalisation de ce mémoire, nous exprimons notre profonde gratitude.</w:t>
      </w:r>
    </w:p>
    <w:p w:rsidR="00234F25" w:rsidRPr="00234F25" w:rsidRDefault="00234F25" w:rsidP="00234F25">
      <w:pPr>
        <w:rPr>
          <w:rtl/>
        </w:rPr>
      </w:pPr>
    </w:p>
    <w:p w:rsidR="00234F25" w:rsidRPr="00234F25" w:rsidRDefault="00234F25" w:rsidP="00234F25">
      <w:pPr>
        <w:rPr>
          <w:rtl/>
        </w:rPr>
      </w:pPr>
    </w:p>
    <w:p w:rsidR="00234F25" w:rsidRPr="00234F25" w:rsidRDefault="00234F25" w:rsidP="00234F25">
      <w:pPr>
        <w:rPr>
          <w:rtl/>
        </w:rPr>
      </w:pPr>
    </w:p>
    <w:p w:rsidR="00234F25" w:rsidRPr="00234F25" w:rsidRDefault="00234F25" w:rsidP="00234F25">
      <w:pPr>
        <w:rPr>
          <w:rtl/>
        </w:rPr>
      </w:pPr>
    </w:p>
    <w:p w:rsidR="00234F25" w:rsidRPr="00234F25" w:rsidRDefault="00234F25" w:rsidP="00234F25">
      <w:pPr>
        <w:rPr>
          <w:rtl/>
        </w:rPr>
      </w:pPr>
    </w:p>
    <w:p w:rsidR="00234F25" w:rsidRDefault="006F0846" w:rsidP="00893377">
      <w:r>
        <w:rPr>
          <w:noProof/>
          <w:lang w:eastAsia="fr-FR"/>
        </w:rPr>
        <w:drawing>
          <wp:anchor distT="0" distB="0" distL="114300" distR="114300" simplePos="0" relativeHeight="251678720" behindDoc="1" locked="0" layoutInCell="1" allowOverlap="1">
            <wp:simplePos x="0" y="0"/>
            <wp:positionH relativeFrom="page">
              <wp:posOffset>4638675</wp:posOffset>
            </wp:positionH>
            <wp:positionV relativeFrom="paragraph">
              <wp:posOffset>14605</wp:posOffset>
            </wp:positionV>
            <wp:extent cx="2743200" cy="1661160"/>
            <wp:effectExtent l="0" t="0" r="0" b="0"/>
            <wp:wrapNone/>
            <wp:docPr id="1864916332" name="Image 7" descr="‫مهم جدا للطالب الجامعي في 2023: كيفية اعداد مذكرة مشروع نهاية الدراسة حسب  المادة 25 من المرسوم رقم 171 - Startup-diplome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مهم جدا للطالب الجامعي في 2023: كيفية اعداد مذكرة مشروع نهاية الدراسة حسب  المادة 25 من المرسوم رقم 171 - Startup-diplome127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661160"/>
                    </a:xfrm>
                    <a:prstGeom prst="rect">
                      <a:avLst/>
                    </a:prstGeom>
                    <a:noFill/>
                    <a:ln>
                      <a:noFill/>
                    </a:ln>
                  </pic:spPr>
                </pic:pic>
              </a:graphicData>
            </a:graphic>
          </wp:anchor>
        </w:drawing>
      </w:r>
    </w:p>
    <w:p w:rsidR="00234F25" w:rsidRDefault="00234F25" w:rsidP="00234F25">
      <w:pPr>
        <w:tabs>
          <w:tab w:val="left" w:pos="7920"/>
        </w:tabs>
        <w:rPr>
          <w:rtl/>
        </w:rPr>
      </w:pPr>
    </w:p>
    <w:p w:rsidR="00A43337" w:rsidRDefault="00A43337" w:rsidP="006B2E3E">
      <w:pPr>
        <w:tabs>
          <w:tab w:val="left" w:pos="7920"/>
        </w:tabs>
        <w:jc w:val="center"/>
        <w:rPr>
          <w:rFonts w:ascii="Edwardian Script ITC" w:hAnsi="Edwardian Script ITC"/>
          <w:b/>
          <w:bCs/>
          <w:sz w:val="96"/>
          <w:szCs w:val="96"/>
          <w:rtl/>
        </w:rPr>
      </w:pPr>
      <w:r>
        <w:rPr>
          <w:noProof/>
          <w:lang w:eastAsia="fr-FR"/>
        </w:rPr>
        <w:lastRenderedPageBreak/>
        <w:drawing>
          <wp:anchor distT="0" distB="0" distL="114300" distR="114300" simplePos="0" relativeHeight="251685888" behindDoc="1" locked="0" layoutInCell="1" allowOverlap="1">
            <wp:simplePos x="0" y="0"/>
            <wp:positionH relativeFrom="page">
              <wp:posOffset>4765675</wp:posOffset>
            </wp:positionH>
            <wp:positionV relativeFrom="paragraph">
              <wp:posOffset>-792480</wp:posOffset>
            </wp:positionV>
            <wp:extent cx="2579615" cy="1562100"/>
            <wp:effectExtent l="0" t="0" r="0" b="0"/>
            <wp:wrapNone/>
            <wp:docPr id="682630768" name="Image 7" descr="‫مهم جدا للطالب الجامعي في 2023: كيفية اعداد مذكرة مشروع نهاية الدراسة حسب  المادة 25 من المرسوم رقم 171 - Startup-diplome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مهم جدا للطالب الجامعي في 2023: كيفية اعداد مذكرة مشروع نهاية الدراسة حسب  المادة 25 من المرسوم رقم 171 - Startup-diplome127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9615" cy="1562100"/>
                    </a:xfrm>
                    <a:prstGeom prst="rect">
                      <a:avLst/>
                    </a:prstGeom>
                    <a:noFill/>
                    <a:ln>
                      <a:noFill/>
                    </a:ln>
                  </pic:spPr>
                </pic:pic>
              </a:graphicData>
            </a:graphic>
          </wp:anchor>
        </w:drawing>
      </w:r>
    </w:p>
    <w:p w:rsidR="00A43337" w:rsidRPr="00690B08" w:rsidRDefault="007B5998" w:rsidP="00690B08">
      <w:pPr>
        <w:tabs>
          <w:tab w:val="left" w:pos="7920"/>
        </w:tabs>
        <w:jc w:val="center"/>
        <w:rPr>
          <w:rtl/>
        </w:rPr>
      </w:pPr>
      <w:r>
        <w:rPr>
          <w:noProof/>
          <w:rtl/>
          <w:lang w:eastAsia="fr-FR"/>
        </w:rPr>
        <w:pict>
          <v:rect id="Rectangle 8" o:spid="_x0000_s1094" style="position:absolute;left:0;text-align:left;margin-left:-25.85pt;margin-top:74.15pt;width:501pt;height:517.5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" filled="f" stroked="f" strokeweight="1pt"/>
        </w:pict>
      </w:r>
      <w:r w:rsidR="00690B08">
        <w:rPr>
          <w:rFonts w:ascii="Edwardian Script ITC" w:hAnsi="Edwardian Script ITC"/>
          <w:b/>
          <w:bCs/>
          <w:sz w:val="96"/>
          <w:szCs w:val="96"/>
        </w:rPr>
        <w:t>Dédicace</w:t>
      </w:r>
      <w:r w:rsidR="00383CD1">
        <w:rPr>
          <w:rFonts w:ascii="Edwardian Script ITC" w:hAnsi="Edwardian Script ITC"/>
          <w:b/>
          <w:bCs/>
          <w:sz w:val="96"/>
          <w:szCs w:val="96"/>
        </w:rPr>
        <w:t>:</w:t>
      </w:r>
    </w:p>
    <w:p w:rsidR="00A43337" w:rsidRDefault="00A43337" w:rsidP="00A43337">
      <w:pPr>
        <w:jc w:val="center"/>
        <w:rPr>
          <w:rFonts w:ascii="Times New Roman" w:hAnsi="Times New Roman" w:cs="Times New Roman"/>
          <w:sz w:val="24"/>
          <w:szCs w:val="24"/>
          <w:rtl/>
        </w:rPr>
      </w:pPr>
    </w:p>
    <w:p w:rsidR="00A43337" w:rsidRDefault="00A43337" w:rsidP="00A43337">
      <w:pPr>
        <w:jc w:val="center"/>
        <w:rPr>
          <w:rFonts w:ascii="Times New Roman" w:hAnsi="Times New Roman" w:cs="Times New Roman"/>
          <w:sz w:val="24"/>
          <w:szCs w:val="24"/>
          <w:rtl/>
        </w:rPr>
      </w:pPr>
      <w:r w:rsidRPr="00A43337">
        <w:rPr>
          <w:rFonts w:ascii="Times New Roman" w:hAnsi="Times New Roman" w:cs="Times New Roman"/>
          <w:sz w:val="24"/>
          <w:szCs w:val="24"/>
        </w:rPr>
        <w:t>Je dédie ce modeste travail à mes très chers parents, ma mère et mon père, pour leur amour, leur soutien, leurs sacrifices et leurs encouragements tout au long de mon parcours.</w:t>
      </w:r>
    </w:p>
    <w:p w:rsidR="00A43337" w:rsidRPr="00A43337" w:rsidRDefault="00A43337" w:rsidP="00A43337">
      <w:pPr>
        <w:jc w:val="center"/>
        <w:rPr>
          <w:rFonts w:ascii="Times New Roman" w:hAnsi="Times New Roman" w:cs="Times New Roman"/>
          <w:sz w:val="24"/>
          <w:szCs w:val="24"/>
        </w:rPr>
      </w:pPr>
    </w:p>
    <w:p w:rsidR="00A43337" w:rsidRDefault="00A43337" w:rsidP="00A43337">
      <w:pPr>
        <w:jc w:val="center"/>
        <w:rPr>
          <w:rFonts w:ascii="Times New Roman" w:hAnsi="Times New Roman" w:cs="Times New Roman"/>
          <w:sz w:val="24"/>
          <w:szCs w:val="24"/>
          <w:rtl/>
        </w:rPr>
      </w:pPr>
      <w:r w:rsidRPr="00A43337">
        <w:rPr>
          <w:rFonts w:ascii="Times New Roman" w:hAnsi="Times New Roman" w:cs="Times New Roman"/>
          <w:sz w:val="24"/>
          <w:szCs w:val="24"/>
        </w:rPr>
        <w:t>À mes deux frères, pour leur présence et leur soutien.</w:t>
      </w:r>
    </w:p>
    <w:p w:rsidR="00A43337" w:rsidRPr="00A43337" w:rsidRDefault="00A43337" w:rsidP="00A43337">
      <w:pPr>
        <w:jc w:val="center"/>
        <w:rPr>
          <w:rFonts w:ascii="Times New Roman" w:hAnsi="Times New Roman" w:cs="Times New Roman"/>
          <w:sz w:val="24"/>
          <w:szCs w:val="24"/>
        </w:rPr>
      </w:pPr>
    </w:p>
    <w:p w:rsidR="00A43337" w:rsidRDefault="00A43337" w:rsidP="00A43337">
      <w:pPr>
        <w:jc w:val="center"/>
        <w:rPr>
          <w:rFonts w:ascii="Times New Roman" w:hAnsi="Times New Roman" w:cs="Times New Roman"/>
          <w:sz w:val="24"/>
          <w:szCs w:val="24"/>
          <w:rtl/>
        </w:rPr>
      </w:pPr>
      <w:r w:rsidRPr="00A43337">
        <w:rPr>
          <w:rFonts w:ascii="Times New Roman" w:hAnsi="Times New Roman" w:cs="Times New Roman"/>
          <w:sz w:val="24"/>
          <w:szCs w:val="24"/>
        </w:rPr>
        <w:t>À mes amies, pour leur sincérité et les moments partagés durant ce parcours universitaire.</w:t>
      </w:r>
    </w:p>
    <w:p w:rsidR="00A43337" w:rsidRPr="00A43337" w:rsidRDefault="00A43337" w:rsidP="00A43337">
      <w:pPr>
        <w:jc w:val="center"/>
        <w:rPr>
          <w:rFonts w:ascii="Times New Roman" w:hAnsi="Times New Roman" w:cs="Times New Roman"/>
          <w:sz w:val="24"/>
          <w:szCs w:val="24"/>
        </w:rPr>
      </w:pPr>
    </w:p>
    <w:p w:rsidR="00A43337" w:rsidRDefault="00A43337" w:rsidP="00A43337">
      <w:pPr>
        <w:jc w:val="center"/>
        <w:rPr>
          <w:rFonts w:ascii="Times New Roman" w:hAnsi="Times New Roman" w:cs="Times New Roman"/>
          <w:sz w:val="24"/>
          <w:szCs w:val="24"/>
          <w:rtl/>
        </w:rPr>
      </w:pPr>
      <w:r w:rsidRPr="00A43337">
        <w:rPr>
          <w:rFonts w:ascii="Times New Roman" w:hAnsi="Times New Roman" w:cs="Times New Roman"/>
          <w:sz w:val="24"/>
          <w:szCs w:val="24"/>
        </w:rPr>
        <w:t>À l’ensemble de mes professeurs de l’École Supérieure de Management de Tlemcen, pour la qualité de leur enseignement et leurs précieux conseils.</w:t>
      </w:r>
    </w:p>
    <w:p w:rsidR="00A43337" w:rsidRPr="00A43337" w:rsidRDefault="00A43337" w:rsidP="00A43337">
      <w:pPr>
        <w:jc w:val="center"/>
        <w:rPr>
          <w:rFonts w:ascii="Times New Roman" w:hAnsi="Times New Roman" w:cs="Times New Roman"/>
          <w:sz w:val="24"/>
          <w:szCs w:val="24"/>
        </w:rPr>
      </w:pPr>
    </w:p>
    <w:p w:rsidR="00A43337" w:rsidRPr="00A43337" w:rsidRDefault="00A43337" w:rsidP="00A43337">
      <w:pPr>
        <w:jc w:val="center"/>
        <w:rPr>
          <w:rFonts w:ascii="Times New Roman" w:hAnsi="Times New Roman" w:cs="Times New Roman"/>
          <w:sz w:val="24"/>
          <w:szCs w:val="24"/>
        </w:rPr>
      </w:pPr>
      <w:r w:rsidRPr="00A43337">
        <w:rPr>
          <w:rFonts w:ascii="Times New Roman" w:hAnsi="Times New Roman" w:cs="Times New Roman"/>
          <w:sz w:val="24"/>
          <w:szCs w:val="24"/>
        </w:rPr>
        <w:t>Enfin, à toutes les personnes ayant contribué, de près ou de loin, à la réalisation de ce travail.</w:t>
      </w:r>
    </w:p>
    <w:p w:rsidR="00383CD1" w:rsidRDefault="00383CD1"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r>
        <w:rPr>
          <w:noProof/>
          <w:lang w:eastAsia="fr-FR"/>
        </w:rPr>
        <w:drawing>
          <wp:anchor distT="0" distB="0" distL="114300" distR="114300" simplePos="0" relativeHeight="251687936" behindDoc="1" locked="0" layoutInCell="1" allowOverlap="1">
            <wp:simplePos x="0" y="0"/>
            <wp:positionH relativeFrom="page">
              <wp:posOffset>304800</wp:posOffset>
            </wp:positionH>
            <wp:positionV relativeFrom="paragraph">
              <wp:posOffset>224155</wp:posOffset>
            </wp:positionV>
            <wp:extent cx="2743200" cy="1661160"/>
            <wp:effectExtent l="0" t="0" r="0" b="0"/>
            <wp:wrapNone/>
            <wp:docPr id="1791636928" name="Image 7" descr="‫مهم جدا للطالب الجامعي في 2023: كيفية اعداد مذكرة مشروع نهاية الدراسة حسب  المادة 25 من المرسوم رقم 171 - Startup-diplome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مهم جدا للطالب الجامعي في 2023: كيفية اعداد مذكرة مشروع نهاية الدراسة حسب  المادة 25 من المرسوم رقم 171 - Startup-diplome127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661160"/>
                    </a:xfrm>
                    <a:prstGeom prst="rect">
                      <a:avLst/>
                    </a:prstGeom>
                    <a:noFill/>
                    <a:ln>
                      <a:noFill/>
                    </a:ln>
                  </pic:spPr>
                </pic:pic>
              </a:graphicData>
            </a:graphic>
          </wp:anchor>
        </w:drawing>
      </w: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Pr>
      </w:pPr>
    </w:p>
    <w:p w:rsidR="00690B08" w:rsidRDefault="00690B08" w:rsidP="00383CD1">
      <w:pPr>
        <w:rPr>
          <w:rFonts w:ascii="Times New Roman" w:hAnsi="Times New Roman" w:cs="Times New Roman"/>
          <w:sz w:val="24"/>
          <w:szCs w:val="24"/>
        </w:rPr>
      </w:pPr>
    </w:p>
    <w:p w:rsidR="00690B08" w:rsidRDefault="00690B08" w:rsidP="00383CD1">
      <w:pPr>
        <w:rPr>
          <w:rFonts w:ascii="Times New Roman" w:hAnsi="Times New Roman" w:cs="Times New Roman"/>
          <w:sz w:val="24"/>
          <w:szCs w:val="24"/>
        </w:rPr>
      </w:pPr>
    </w:p>
    <w:p w:rsidR="00690B08" w:rsidRDefault="00690B08"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r>
        <w:rPr>
          <w:noProof/>
          <w:lang w:eastAsia="fr-FR"/>
        </w:rPr>
        <w:lastRenderedPageBreak/>
        <w:drawing>
          <wp:anchor distT="0" distB="0" distL="114300" distR="114300" simplePos="0" relativeHeight="251676672" behindDoc="1" locked="0" layoutInCell="1" allowOverlap="1">
            <wp:simplePos x="0" y="0"/>
            <wp:positionH relativeFrom="page">
              <wp:posOffset>4588510</wp:posOffset>
            </wp:positionH>
            <wp:positionV relativeFrom="paragraph">
              <wp:posOffset>-643255</wp:posOffset>
            </wp:positionV>
            <wp:extent cx="2743200" cy="1661160"/>
            <wp:effectExtent l="0" t="0" r="0" b="0"/>
            <wp:wrapNone/>
            <wp:docPr id="1257844048" name="Image 7" descr="‫مهم جدا للطالب الجامعي في 2023: كيفية اعداد مذكرة مشروع نهاية الدراسة حسب  المادة 25 من المرسوم رقم 171 - Startup-diplome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مهم جدا للطالب الجامعي في 2023: كيفية اعداد مذكرة مشروع نهاية الدراسة حسب  المادة 25 من المرسوم رقم 171 - Startup-diplome127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661160"/>
                    </a:xfrm>
                    <a:prstGeom prst="rect">
                      <a:avLst/>
                    </a:prstGeom>
                    <a:noFill/>
                    <a:ln>
                      <a:noFill/>
                    </a:ln>
                  </pic:spPr>
                </pic:pic>
              </a:graphicData>
            </a:graphic>
          </wp:anchor>
        </w:drawing>
      </w:r>
    </w:p>
    <w:p w:rsidR="00A43337" w:rsidRDefault="00A43337" w:rsidP="00383CD1">
      <w:pPr>
        <w:rPr>
          <w:rFonts w:ascii="Times New Roman" w:hAnsi="Times New Roman" w:cs="Times New Roman"/>
          <w:sz w:val="24"/>
          <w:szCs w:val="24"/>
          <w:rtl/>
        </w:rPr>
      </w:pPr>
    </w:p>
    <w:p w:rsidR="00A43337" w:rsidRDefault="00A43337" w:rsidP="00383CD1">
      <w:pPr>
        <w:rPr>
          <w:rFonts w:ascii="Times New Roman" w:hAnsi="Times New Roman" w:cs="Times New Roman"/>
          <w:sz w:val="24"/>
          <w:szCs w:val="24"/>
          <w:rtl/>
        </w:rPr>
      </w:pPr>
    </w:p>
    <w:p w:rsidR="00AA4944" w:rsidRPr="00996144" w:rsidRDefault="00690B08" w:rsidP="00996144">
      <w:pPr>
        <w:tabs>
          <w:tab w:val="left" w:pos="1060"/>
        </w:tabs>
        <w:jc w:val="center"/>
        <w:rPr>
          <w:sz w:val="48"/>
          <w:szCs w:val="48"/>
        </w:rPr>
      </w:pPr>
      <w:r>
        <w:rPr>
          <w:rFonts w:ascii="Edwardian Script ITC" w:hAnsi="Edwardian Script ITC"/>
          <w:b/>
          <w:bCs/>
          <w:sz w:val="96"/>
          <w:szCs w:val="96"/>
        </w:rPr>
        <w:t>Dédicace</w:t>
      </w:r>
      <w:r w:rsidR="00383CD1">
        <w:rPr>
          <w:rFonts w:ascii="Edwardian Script ITC" w:hAnsi="Edwardian Script ITC"/>
          <w:b/>
          <w:bCs/>
          <w:sz w:val="96"/>
          <w:szCs w:val="96"/>
        </w:rPr>
        <w:t>:</w:t>
      </w:r>
    </w:p>
    <w:p w:rsidR="00AA4944" w:rsidRPr="00D40373" w:rsidRDefault="00AA4944" w:rsidP="00AA4944">
      <w:pPr>
        <w:spacing w:before="100" w:beforeAutospacing="1" w:after="100" w:afterAutospacing="1" w:line="360" w:lineRule="auto"/>
        <w:jc w:val="center"/>
        <w:rPr>
          <w:rFonts w:asciiTheme="majorBidi" w:eastAsia="Times New Roman" w:hAnsiTheme="majorBidi" w:cstheme="majorBidi"/>
          <w:sz w:val="24"/>
          <w:szCs w:val="24"/>
          <w:lang w:eastAsia="fr-FR"/>
        </w:rPr>
      </w:pPr>
      <w:r w:rsidRPr="00D40373">
        <w:rPr>
          <w:rFonts w:asciiTheme="majorBidi" w:eastAsia="Times New Roman" w:hAnsiTheme="majorBidi" w:cstheme="majorBidi"/>
          <w:sz w:val="24"/>
          <w:szCs w:val="24"/>
          <w:lang w:eastAsia="fr-FR"/>
        </w:rPr>
        <w:t>À mes chers parents, qui ont été le premier soutien et le véritable pilier de mon parcours, et qui n’ont jamais cessé de se sacrifier pour mon bien-être et ma réussite.</w:t>
      </w:r>
    </w:p>
    <w:p w:rsidR="00AA4944" w:rsidRPr="00D40373" w:rsidRDefault="00AA4944" w:rsidP="00AA4944">
      <w:pPr>
        <w:spacing w:before="100" w:beforeAutospacing="1" w:after="100" w:afterAutospacing="1" w:line="360" w:lineRule="auto"/>
        <w:jc w:val="center"/>
        <w:rPr>
          <w:rFonts w:asciiTheme="majorBidi" w:eastAsia="Times New Roman" w:hAnsiTheme="majorBidi" w:cstheme="majorBidi"/>
          <w:sz w:val="24"/>
          <w:szCs w:val="24"/>
          <w:lang w:eastAsia="fr-FR"/>
        </w:rPr>
      </w:pPr>
      <w:r w:rsidRPr="00D40373">
        <w:rPr>
          <w:rFonts w:asciiTheme="majorBidi" w:eastAsia="Times New Roman" w:hAnsiTheme="majorBidi" w:cstheme="majorBidi"/>
          <w:sz w:val="24"/>
          <w:szCs w:val="24"/>
          <w:lang w:eastAsia="fr-FR"/>
        </w:rPr>
        <w:t>À mes frères et sœurs, qui ont toujours vu en moi un modèle, et qui m’ont donné la force de continuer et de m’améliorer à chaque étape.</w:t>
      </w:r>
    </w:p>
    <w:p w:rsidR="00AA4944" w:rsidRPr="00D40373" w:rsidRDefault="00AA4944" w:rsidP="00EE36A0">
      <w:pPr>
        <w:spacing w:before="100" w:beforeAutospacing="1" w:after="100" w:afterAutospacing="1" w:line="360" w:lineRule="auto"/>
        <w:jc w:val="center"/>
        <w:rPr>
          <w:rFonts w:asciiTheme="majorBidi" w:eastAsia="Times New Roman" w:hAnsiTheme="majorBidi" w:cstheme="majorBidi"/>
          <w:sz w:val="24"/>
          <w:szCs w:val="24"/>
          <w:lang w:eastAsia="fr-FR"/>
        </w:rPr>
      </w:pPr>
      <w:r w:rsidRPr="00D40373">
        <w:rPr>
          <w:rFonts w:asciiTheme="majorBidi" w:eastAsia="Times New Roman" w:hAnsiTheme="majorBidi" w:cstheme="majorBidi"/>
          <w:sz w:val="24"/>
          <w:szCs w:val="24"/>
          <w:lang w:eastAsia="fr-FR"/>
        </w:rPr>
        <w:t xml:space="preserve">À ma grande famille, d’El </w:t>
      </w:r>
      <w:r w:rsidR="00EE36A0">
        <w:rPr>
          <w:rFonts w:asciiTheme="majorBidi" w:eastAsia="Times New Roman" w:hAnsiTheme="majorBidi" w:cstheme="majorBidi"/>
          <w:sz w:val="24"/>
          <w:szCs w:val="24"/>
          <w:lang w:eastAsia="fr-FR"/>
        </w:rPr>
        <w:t>Abio</w:t>
      </w:r>
      <w:r w:rsidRPr="00D40373">
        <w:rPr>
          <w:rFonts w:asciiTheme="majorBidi" w:eastAsia="Times New Roman" w:hAnsiTheme="majorBidi" w:cstheme="majorBidi"/>
          <w:sz w:val="24"/>
          <w:szCs w:val="24"/>
          <w:lang w:eastAsia="fr-FR"/>
        </w:rPr>
        <w:t>dh Sidi Cheikh et de Tlemcen, chacun de ses membres, pour leur amour et leur soutien constant tout au long de mon parcours.</w:t>
      </w:r>
    </w:p>
    <w:p w:rsidR="00AA4944" w:rsidRPr="00D40373" w:rsidRDefault="00AA4944" w:rsidP="00AA4944">
      <w:pPr>
        <w:spacing w:before="100" w:beforeAutospacing="1" w:after="100" w:afterAutospacing="1" w:line="360" w:lineRule="auto"/>
        <w:jc w:val="center"/>
        <w:rPr>
          <w:rFonts w:asciiTheme="majorBidi" w:eastAsia="Times New Roman" w:hAnsiTheme="majorBidi" w:cstheme="majorBidi"/>
          <w:sz w:val="24"/>
          <w:szCs w:val="24"/>
          <w:lang w:eastAsia="fr-FR"/>
        </w:rPr>
      </w:pPr>
      <w:r w:rsidRPr="00D40373">
        <w:rPr>
          <w:rFonts w:asciiTheme="majorBidi" w:eastAsia="Times New Roman" w:hAnsiTheme="majorBidi" w:cstheme="majorBidi"/>
          <w:sz w:val="24"/>
          <w:szCs w:val="24"/>
          <w:lang w:eastAsia="fr-FR"/>
        </w:rPr>
        <w:t>À tous ceux qui ont tenté, volontairement ou non, de me freiner ou de me décourager, je leur dis que cela m’a rendu plus forte et plus déterminée à réussir.</w:t>
      </w:r>
    </w:p>
    <w:p w:rsidR="00AA4944" w:rsidRPr="00D40373" w:rsidRDefault="00AA4944" w:rsidP="00AA4944">
      <w:pPr>
        <w:spacing w:before="100" w:beforeAutospacing="1" w:after="100" w:afterAutospacing="1" w:line="360" w:lineRule="auto"/>
        <w:jc w:val="center"/>
        <w:rPr>
          <w:rFonts w:asciiTheme="majorBidi" w:eastAsia="Times New Roman" w:hAnsiTheme="majorBidi" w:cstheme="majorBidi"/>
          <w:sz w:val="24"/>
          <w:szCs w:val="24"/>
          <w:lang w:eastAsia="fr-FR"/>
        </w:rPr>
      </w:pPr>
      <w:r w:rsidRPr="00D40373">
        <w:rPr>
          <w:rFonts w:asciiTheme="majorBidi" w:eastAsia="Times New Roman" w:hAnsiTheme="majorBidi" w:cstheme="majorBidi"/>
          <w:sz w:val="24"/>
          <w:szCs w:val="24"/>
          <w:lang w:eastAsia="fr-FR"/>
        </w:rPr>
        <w:t>À moi-même, pour la patience, la persévérance et les efforts fournis afin d’atteindre ce moment.</w:t>
      </w:r>
    </w:p>
    <w:p w:rsidR="00AA4944" w:rsidRPr="00D40373" w:rsidRDefault="00AA4944" w:rsidP="00EE36A0">
      <w:pPr>
        <w:spacing w:before="100" w:beforeAutospacing="1" w:after="100" w:afterAutospacing="1" w:line="360" w:lineRule="auto"/>
        <w:jc w:val="center"/>
        <w:rPr>
          <w:rFonts w:asciiTheme="majorBidi" w:eastAsia="Times New Roman" w:hAnsiTheme="majorBidi" w:cstheme="majorBidi"/>
          <w:sz w:val="24"/>
          <w:szCs w:val="24"/>
          <w:lang w:eastAsia="fr-FR"/>
        </w:rPr>
      </w:pPr>
      <w:r w:rsidRPr="00D40373">
        <w:rPr>
          <w:rFonts w:asciiTheme="majorBidi" w:eastAsia="Times New Roman" w:hAnsiTheme="majorBidi" w:cstheme="majorBidi"/>
          <w:sz w:val="24"/>
          <w:szCs w:val="24"/>
          <w:lang w:eastAsia="fr-FR"/>
        </w:rPr>
        <w:t>À mes camarades et à mes enseignants de l</w:t>
      </w:r>
      <w:r w:rsidR="00EE36A0">
        <w:rPr>
          <w:rFonts w:asciiTheme="majorBidi" w:eastAsia="Times New Roman" w:hAnsiTheme="majorBidi" w:cstheme="majorBidi"/>
          <w:sz w:val="24"/>
          <w:szCs w:val="24"/>
          <w:lang w:eastAsia="fr-FR"/>
        </w:rPr>
        <w:t>’</w:t>
      </w:r>
      <w:r w:rsidRPr="00D40373">
        <w:rPr>
          <w:rFonts w:asciiTheme="majorBidi" w:eastAsia="Times New Roman" w:hAnsiTheme="majorBidi" w:cstheme="majorBidi"/>
          <w:sz w:val="24"/>
          <w:szCs w:val="24"/>
          <w:lang w:eastAsia="fr-FR"/>
        </w:rPr>
        <w:t>École Supérieure de Management, pour leur accompagnement, leur savoir et leur soutien tout au long de cette formation.</w:t>
      </w:r>
    </w:p>
    <w:p w:rsidR="00AA4944" w:rsidRPr="00125AA6" w:rsidRDefault="00AA4944" w:rsidP="00AA4944">
      <w:pPr>
        <w:spacing w:before="100" w:beforeAutospacing="1" w:after="100" w:afterAutospacing="1" w:line="360" w:lineRule="auto"/>
        <w:jc w:val="center"/>
        <w:rPr>
          <w:rFonts w:asciiTheme="majorBidi" w:eastAsia="Times New Roman" w:hAnsiTheme="majorBidi" w:cstheme="majorBidi"/>
          <w:kern w:val="0"/>
          <w:sz w:val="24"/>
          <w:szCs w:val="24"/>
          <w:lang w:eastAsia="fr-FR"/>
        </w:rPr>
      </w:pPr>
      <w:r w:rsidRPr="00D40373">
        <w:rPr>
          <w:rFonts w:asciiTheme="majorBidi" w:eastAsia="Times New Roman" w:hAnsiTheme="majorBidi" w:cstheme="majorBidi"/>
          <w:sz w:val="24"/>
          <w:szCs w:val="24"/>
          <w:lang w:eastAsia="fr-FR"/>
        </w:rPr>
        <w:t>Et à toute personne ayant croisé mon chemin et laissé une empreinte, positive ou difficile, car chaque expérience a contribué à construire la personne que je suis aujourd’hui.</w:t>
      </w:r>
    </w:p>
    <w:p w:rsidR="00383CD1" w:rsidRDefault="00A43337" w:rsidP="00383CD1">
      <w:pPr>
        <w:tabs>
          <w:tab w:val="left" w:pos="1124"/>
        </w:tabs>
        <w:rPr>
          <w:sz w:val="48"/>
          <w:szCs w:val="48"/>
        </w:rPr>
      </w:pPr>
      <w:r>
        <w:rPr>
          <w:noProof/>
          <w:lang w:eastAsia="fr-FR"/>
        </w:rPr>
        <w:drawing>
          <wp:anchor distT="0" distB="0" distL="114300" distR="114300" simplePos="0" relativeHeight="251682816" behindDoc="1" locked="0" layoutInCell="1" allowOverlap="1">
            <wp:simplePos x="0" y="0"/>
            <wp:positionH relativeFrom="page">
              <wp:posOffset>207010</wp:posOffset>
            </wp:positionH>
            <wp:positionV relativeFrom="paragraph">
              <wp:posOffset>8255</wp:posOffset>
            </wp:positionV>
            <wp:extent cx="2743200" cy="1661160"/>
            <wp:effectExtent l="0" t="0" r="0" b="0"/>
            <wp:wrapNone/>
            <wp:docPr id="224787825" name="Image 7" descr="‫مهم جدا للطالب الجامعي في 2023: كيفية اعداد مذكرة مشروع نهاية الدراسة حسب  المادة 25 من المرسوم رقم 171 - Startup-diplome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مهم جدا للطالب الجامعي في 2023: كيفية اعداد مذكرة مشروع نهاية الدراسة حسب  المادة 25 من المرسوم رقم 171 - Startup-diplome127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661160"/>
                    </a:xfrm>
                    <a:prstGeom prst="rect">
                      <a:avLst/>
                    </a:prstGeom>
                    <a:noFill/>
                    <a:ln>
                      <a:noFill/>
                    </a:ln>
                  </pic:spPr>
                </pic:pic>
              </a:graphicData>
            </a:graphic>
          </wp:anchor>
        </w:drawing>
      </w:r>
    </w:p>
    <w:p w:rsidR="00383CD1" w:rsidRPr="00383CD1" w:rsidRDefault="00383CD1" w:rsidP="00383CD1">
      <w:pPr>
        <w:rPr>
          <w:sz w:val="48"/>
          <w:szCs w:val="48"/>
        </w:rPr>
      </w:pPr>
    </w:p>
    <w:p w:rsidR="00383CD1" w:rsidRPr="00383CD1" w:rsidRDefault="00383CD1" w:rsidP="00383CD1">
      <w:pPr>
        <w:rPr>
          <w:sz w:val="48"/>
          <w:szCs w:val="48"/>
        </w:rPr>
      </w:pPr>
    </w:p>
    <w:p w:rsidR="005C5261" w:rsidRDefault="005C5261" w:rsidP="00383CD1">
      <w:pPr>
        <w:tabs>
          <w:tab w:val="left" w:pos="5095"/>
        </w:tabs>
        <w:rPr>
          <w:sz w:val="28"/>
          <w:szCs w:val="28"/>
          <w:rtl/>
          <w:lang w:bidi="ar-DZ"/>
        </w:rPr>
        <w:sectPr w:rsidR="005C5261" w:rsidSect="00147113">
          <w:footerReference w:type="default" r:id="rId12"/>
          <w:footnotePr>
            <w:numRestart w:val="eachPage"/>
          </w:footnotePr>
          <w:pgSz w:w="11906" w:h="16838"/>
          <w:pgMar w:top="1417" w:right="1417" w:bottom="1417" w:left="1417" w:header="720" w:footer="720" w:gutter="0"/>
          <w:pgNumType w:fmt="upperRoman" w:start="1"/>
          <w:cols w:space="720"/>
          <w:docGrid w:linePitch="299"/>
        </w:sectPr>
      </w:pPr>
    </w:p>
    <w:p w:rsidR="0003572A" w:rsidRPr="005C5261" w:rsidRDefault="0003572A" w:rsidP="00383CD1">
      <w:pPr>
        <w:tabs>
          <w:tab w:val="left" w:pos="5095"/>
        </w:tabs>
        <w:rPr>
          <w:sz w:val="28"/>
          <w:szCs w:val="28"/>
        </w:rPr>
      </w:pPr>
    </w:p>
    <w:p w:rsidR="00893377" w:rsidRPr="005C5261" w:rsidRDefault="00893377" w:rsidP="00893377">
      <w:pPr>
        <w:rPr>
          <w:sz w:val="28"/>
          <w:szCs w:val="28"/>
        </w:rPr>
      </w:pPr>
    </w:p>
    <w:p w:rsidR="00893377" w:rsidRPr="00893377" w:rsidRDefault="00893377" w:rsidP="00893377">
      <w:pPr>
        <w:rPr>
          <w:sz w:val="48"/>
          <w:szCs w:val="48"/>
        </w:rPr>
      </w:pPr>
    </w:p>
    <w:p w:rsidR="00893377" w:rsidRPr="00893377" w:rsidRDefault="00893377" w:rsidP="00893377">
      <w:pPr>
        <w:rPr>
          <w:sz w:val="48"/>
          <w:szCs w:val="48"/>
        </w:rPr>
      </w:pPr>
    </w:p>
    <w:p w:rsidR="00893377" w:rsidRPr="00893377" w:rsidRDefault="007B5998" w:rsidP="00893377">
      <w:pPr>
        <w:rPr>
          <w:sz w:val="48"/>
          <w:szCs w:val="48"/>
        </w:rPr>
      </w:pPr>
      <w:r>
        <w:rPr>
          <w:noProof/>
          <w:sz w:val="48"/>
          <w:szCs w:val="48"/>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11" o:spid="_x0000_s1093" type="#_x0000_t98" style="position:absolute;margin-left:0;margin-top:36.1pt;width:465.5pt;height:292.5pt;z-index:-251625472;visibility:visible;mso-position-horizontal:center;mso-position-horizontal-relative:margin;v-text-anchor:middle" wrapcoords="20452 -55 20209 111 19826 665 19791 1717 696 2548 452 2658 -70 3268 -70 20603 70 21212 139 21323 591 21655 765 21655 904 21655 1043 21655 1530 21323 1774 20382 1774 19440 9809 19440 21461 18942 21461 18554 21670 17723 21635 665 21183 0 21009 -55 20452 -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" filled="f" strokecolor="black [3213]" strokeweight="2.25pt">
            <v:stroke joinstyle="miter"/>
            <v:shadow on="t" color="black" opacity="26214f" origin="-.5,.5" offset=".74836mm,-.74836mm"/>
            <w10:wrap type="tight" anchorx="margin"/>
          </v:shape>
        </w:pict>
      </w:r>
    </w:p>
    <w:p w:rsidR="00893377" w:rsidRPr="00893377" w:rsidRDefault="007B5998" w:rsidP="00893377">
      <w:pPr>
        <w:rPr>
          <w:sz w:val="48"/>
          <w:szCs w:val="48"/>
        </w:rPr>
      </w:pPr>
      <w:r>
        <w:rPr>
          <w:noProof/>
          <w:sz w:val="48"/>
          <w:szCs w:val="48"/>
          <w:lang w:eastAsia="fr-FR"/>
        </w:rPr>
        <w:pict>
          <v:shapetype id="_x0000_t202" coordsize="21600,21600" o:spt="202" path="m,l,21600r21600,l21600,xe">
            <v:stroke joinstyle="miter"/>
            <v:path gradientshapeok="t" o:connecttype="rect"/>
          </v:shapetype>
          <v:shape id="Zone de texte 12" o:spid="_x0000_s1092" type="#_x0000_t202" style="position:absolute;margin-left:0;margin-top:110.75pt;width:468pt;height:116.7pt;z-index:251689984;visibility:visible;mso-position-horizontal:left;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" filled="f" stroked="f" strokeweight=".5pt">
            <v:textbox>
              <w:txbxContent>
                <w:p w:rsidR="00B54D3C" w:rsidRPr="006E1B03" w:rsidRDefault="00B54D3C" w:rsidP="006E1B03">
                  <w:pPr>
                    <w:jc w:val="center"/>
                    <w:rPr>
                      <w:rFonts w:asciiTheme="majorBidi" w:hAnsiTheme="majorBidi" w:cstheme="majorBidi"/>
                      <w:b/>
                      <w:bCs/>
                      <w:sz w:val="96"/>
                      <w:szCs w:val="96"/>
                    </w:rPr>
                  </w:pPr>
                  <w:r>
                    <w:rPr>
                      <w:rFonts w:asciiTheme="majorBidi" w:hAnsiTheme="majorBidi" w:cstheme="majorBidi"/>
                      <w:b/>
                      <w:bCs/>
                      <w:sz w:val="96"/>
                      <w:szCs w:val="96"/>
                    </w:rPr>
                    <w:t>Sommaire</w:t>
                  </w:r>
                </w:p>
              </w:txbxContent>
            </v:textbox>
            <w10:wrap anchorx="margin"/>
          </v:shape>
        </w:pict>
      </w:r>
    </w:p>
    <w:p w:rsidR="00893377" w:rsidRPr="00893377" w:rsidRDefault="00893377" w:rsidP="00893377">
      <w:pPr>
        <w:rPr>
          <w:noProof/>
          <w:sz w:val="48"/>
          <w:szCs w:val="48"/>
        </w:rPr>
      </w:pPr>
    </w:p>
    <w:p w:rsidR="00893377" w:rsidRPr="00893377" w:rsidRDefault="00893377" w:rsidP="00893377">
      <w:pPr>
        <w:rPr>
          <w:sz w:val="48"/>
          <w:szCs w:val="48"/>
        </w:rPr>
      </w:pPr>
    </w:p>
    <w:p w:rsidR="00893377" w:rsidRPr="00893377" w:rsidRDefault="00893377" w:rsidP="00893377">
      <w:pPr>
        <w:rPr>
          <w:sz w:val="48"/>
          <w:szCs w:val="48"/>
        </w:rPr>
      </w:pPr>
    </w:p>
    <w:p w:rsidR="00893377" w:rsidRPr="00893377" w:rsidRDefault="00893377" w:rsidP="00893377">
      <w:pPr>
        <w:rPr>
          <w:sz w:val="48"/>
          <w:szCs w:val="48"/>
        </w:rPr>
      </w:pPr>
    </w:p>
    <w:p w:rsidR="00893377" w:rsidRDefault="00893377" w:rsidP="00893377">
      <w:pPr>
        <w:rPr>
          <w:sz w:val="48"/>
          <w:szCs w:val="48"/>
        </w:rPr>
      </w:pPr>
    </w:p>
    <w:p w:rsidR="00147113" w:rsidRDefault="00147113" w:rsidP="00226F23">
      <w:pPr>
        <w:jc w:val="center"/>
        <w:rPr>
          <w:sz w:val="48"/>
          <w:szCs w:val="48"/>
        </w:rPr>
        <w:sectPr w:rsidR="00147113" w:rsidSect="00EA0836">
          <w:footerReference w:type="default" r:id="rId13"/>
          <w:footnotePr>
            <w:numRestart w:val="eachPage"/>
          </w:footnotePr>
          <w:pgSz w:w="11906" w:h="16838"/>
          <w:pgMar w:top="1417" w:right="1417" w:bottom="1417" w:left="1417" w:header="720" w:footer="720" w:gutter="0"/>
          <w:pgBorders w:display="firstPage" w:offsetFrom="page">
            <w:top w:val="tornPaperBlack" w:sz="31" w:space="24" w:color="000000" w:themeColor="text1"/>
            <w:left w:val="tornPaperBlack" w:sz="31" w:space="24" w:color="000000" w:themeColor="text1"/>
            <w:bottom w:val="tornPaperBlack" w:sz="31" w:space="24" w:color="000000" w:themeColor="text1"/>
            <w:right w:val="tornPaperBlack" w:sz="31" w:space="24" w:color="000000" w:themeColor="text1"/>
          </w:pgBorders>
          <w:cols w:space="720"/>
        </w:sectPr>
      </w:pPr>
    </w:p>
    <w:p w:rsidR="00147113" w:rsidRDefault="00147113" w:rsidP="00226F23">
      <w:pPr>
        <w:suppressAutoHyphens w:val="0"/>
        <w:rPr>
          <w:rFonts w:asciiTheme="majorBidi" w:hAnsiTheme="majorBidi" w:cstheme="majorBidi"/>
          <w:b/>
          <w:bCs/>
          <w:sz w:val="36"/>
          <w:szCs w:val="36"/>
        </w:rPr>
      </w:pPr>
    </w:p>
    <w:p w:rsidR="006E1B03" w:rsidRDefault="00581B13" w:rsidP="006E1B03">
      <w:pPr>
        <w:suppressAutoHyphens w:val="0"/>
        <w:jc w:val="center"/>
        <w:rPr>
          <w:rFonts w:asciiTheme="majorBidi" w:hAnsiTheme="majorBidi" w:cstheme="majorBidi"/>
          <w:b/>
          <w:bCs/>
          <w:sz w:val="36"/>
          <w:szCs w:val="36"/>
        </w:rPr>
      </w:pPr>
      <w:r w:rsidRPr="00B745F2">
        <w:rPr>
          <w:rFonts w:asciiTheme="majorBidi" w:hAnsiTheme="majorBidi" w:cstheme="majorBidi"/>
          <w:b/>
          <w:bCs/>
          <w:sz w:val="36"/>
          <w:szCs w:val="36"/>
        </w:rPr>
        <w:t>S</w:t>
      </w:r>
      <w:r w:rsidR="00B745F2" w:rsidRPr="00B745F2">
        <w:rPr>
          <w:rFonts w:asciiTheme="majorBidi" w:hAnsiTheme="majorBidi" w:cstheme="majorBidi"/>
          <w:b/>
          <w:bCs/>
          <w:sz w:val="36"/>
          <w:szCs w:val="36"/>
        </w:rPr>
        <w:t>ommaire</w:t>
      </w:r>
    </w:p>
    <w:p w:rsidR="00096C0F" w:rsidRDefault="007B5998" w:rsidP="002D5A00">
      <w:pPr>
        <w:pStyle w:val="TM1"/>
        <w:rPr>
          <w:rFonts w:asciiTheme="minorHAnsi" w:eastAsiaTheme="minorEastAsia" w:hAnsiTheme="minorHAnsi" w:cstheme="minorBidi"/>
          <w:noProof/>
          <w:kern w:val="2"/>
          <w:lang w:eastAsia="fr-FR"/>
        </w:rPr>
      </w:pPr>
      <w:r w:rsidRPr="00016D60">
        <w:rPr>
          <w:b/>
          <w:bCs/>
        </w:rPr>
        <w:fldChar w:fldCharType="begin"/>
      </w:r>
      <w:r w:rsidR="00226F23" w:rsidRPr="00016D60">
        <w:rPr>
          <w:b/>
          <w:bCs/>
        </w:rPr>
        <w:instrText xml:space="preserve"> TOC \o "1-2" \h \z \u </w:instrText>
      </w:r>
      <w:r w:rsidRPr="00016D60">
        <w:rPr>
          <w:b/>
          <w:bCs/>
        </w:rPr>
        <w:fldChar w:fldCharType="separate"/>
      </w:r>
      <w:hyperlink w:anchor="_Toc230900912" w:history="1">
        <w:r w:rsidR="00096C0F" w:rsidRPr="00967580">
          <w:rPr>
            <w:rStyle w:val="Lienhypertexte"/>
            <w:b/>
            <w:bCs/>
            <w:noProof/>
          </w:rPr>
          <w:t>Liste des tableaux</w:t>
        </w:r>
        <w:r w:rsidR="00096C0F">
          <w:rPr>
            <w:noProof/>
            <w:webHidden/>
          </w:rPr>
          <w:tab/>
        </w:r>
        <w:r>
          <w:rPr>
            <w:noProof/>
            <w:webHidden/>
          </w:rPr>
          <w:fldChar w:fldCharType="begin"/>
        </w:r>
        <w:r w:rsidR="00096C0F">
          <w:rPr>
            <w:noProof/>
            <w:webHidden/>
          </w:rPr>
          <w:instrText xml:space="preserve"> PAGEREF _Toc230900912 \h </w:instrText>
        </w:r>
        <w:r>
          <w:rPr>
            <w:noProof/>
            <w:webHidden/>
          </w:rPr>
        </w:r>
        <w:r>
          <w:rPr>
            <w:noProof/>
            <w:webHidden/>
          </w:rPr>
          <w:fldChar w:fldCharType="separate"/>
        </w:r>
        <w:r w:rsidR="00515B25">
          <w:rPr>
            <w:noProof/>
            <w:webHidden/>
          </w:rPr>
          <w:t>VII</w:t>
        </w:r>
        <w:r>
          <w:rPr>
            <w:noProof/>
            <w:webHidden/>
          </w:rPr>
          <w:fldChar w:fldCharType="end"/>
        </w:r>
      </w:hyperlink>
    </w:p>
    <w:p w:rsidR="00096C0F" w:rsidRDefault="007B5998" w:rsidP="002D5A00">
      <w:pPr>
        <w:pStyle w:val="TM1"/>
        <w:rPr>
          <w:rFonts w:asciiTheme="minorHAnsi" w:eastAsiaTheme="minorEastAsia" w:hAnsiTheme="minorHAnsi" w:cstheme="minorBidi"/>
          <w:noProof/>
          <w:kern w:val="2"/>
          <w:lang w:eastAsia="fr-FR"/>
        </w:rPr>
      </w:pPr>
      <w:hyperlink w:anchor="_Toc230900913" w:history="1">
        <w:r w:rsidR="00096C0F" w:rsidRPr="00967580">
          <w:rPr>
            <w:rStyle w:val="Lienhypertexte"/>
            <w:b/>
            <w:bCs/>
            <w:noProof/>
          </w:rPr>
          <w:t>Liste des figures</w:t>
        </w:r>
        <w:r w:rsidR="00096C0F">
          <w:rPr>
            <w:noProof/>
            <w:webHidden/>
          </w:rPr>
          <w:tab/>
        </w:r>
        <w:r>
          <w:rPr>
            <w:noProof/>
            <w:webHidden/>
          </w:rPr>
          <w:fldChar w:fldCharType="begin"/>
        </w:r>
        <w:r w:rsidR="00096C0F">
          <w:rPr>
            <w:noProof/>
            <w:webHidden/>
          </w:rPr>
          <w:instrText xml:space="preserve"> PAGEREF _Toc230900913 \h </w:instrText>
        </w:r>
        <w:r>
          <w:rPr>
            <w:noProof/>
            <w:webHidden/>
          </w:rPr>
        </w:r>
        <w:r>
          <w:rPr>
            <w:noProof/>
            <w:webHidden/>
          </w:rPr>
          <w:fldChar w:fldCharType="separate"/>
        </w:r>
        <w:r w:rsidR="00515B25">
          <w:rPr>
            <w:noProof/>
            <w:webHidden/>
          </w:rPr>
          <w:t>X</w:t>
        </w:r>
        <w:r>
          <w:rPr>
            <w:noProof/>
            <w:webHidden/>
          </w:rPr>
          <w:fldChar w:fldCharType="end"/>
        </w:r>
      </w:hyperlink>
    </w:p>
    <w:p w:rsidR="00096C0F" w:rsidRDefault="007B5998" w:rsidP="002D5A00">
      <w:pPr>
        <w:pStyle w:val="TM1"/>
        <w:rPr>
          <w:rFonts w:asciiTheme="minorHAnsi" w:eastAsiaTheme="minorEastAsia" w:hAnsiTheme="minorHAnsi" w:cstheme="minorBidi"/>
          <w:noProof/>
          <w:kern w:val="2"/>
          <w:lang w:eastAsia="fr-FR"/>
        </w:rPr>
      </w:pPr>
      <w:hyperlink w:anchor="_Toc230900914" w:history="1">
        <w:r w:rsidR="00096C0F" w:rsidRPr="00967580">
          <w:rPr>
            <w:rStyle w:val="Lienhypertexte"/>
            <w:b/>
            <w:bCs/>
            <w:noProof/>
          </w:rPr>
          <w:t>Liste des abréviations</w:t>
        </w:r>
        <w:r w:rsidR="00096C0F">
          <w:rPr>
            <w:noProof/>
            <w:webHidden/>
          </w:rPr>
          <w:tab/>
        </w:r>
        <w:r>
          <w:rPr>
            <w:noProof/>
            <w:webHidden/>
          </w:rPr>
          <w:fldChar w:fldCharType="begin"/>
        </w:r>
        <w:r w:rsidR="00096C0F">
          <w:rPr>
            <w:noProof/>
            <w:webHidden/>
          </w:rPr>
          <w:instrText xml:space="preserve"> PAGEREF _Toc230900914 \h </w:instrText>
        </w:r>
        <w:r>
          <w:rPr>
            <w:noProof/>
            <w:webHidden/>
          </w:rPr>
        </w:r>
        <w:r>
          <w:rPr>
            <w:noProof/>
            <w:webHidden/>
          </w:rPr>
          <w:fldChar w:fldCharType="separate"/>
        </w:r>
        <w:r w:rsidR="00515B25">
          <w:rPr>
            <w:noProof/>
            <w:webHidden/>
          </w:rPr>
          <w:t>XII</w:t>
        </w:r>
        <w:r>
          <w:rPr>
            <w:noProof/>
            <w:webHidden/>
          </w:rPr>
          <w:fldChar w:fldCharType="end"/>
        </w:r>
      </w:hyperlink>
    </w:p>
    <w:p w:rsidR="00096C0F" w:rsidRDefault="007B5998" w:rsidP="002D5A00">
      <w:pPr>
        <w:pStyle w:val="TM1"/>
        <w:rPr>
          <w:rFonts w:asciiTheme="minorHAnsi" w:eastAsiaTheme="minorEastAsia" w:hAnsiTheme="minorHAnsi" w:cstheme="minorBidi"/>
          <w:noProof/>
          <w:kern w:val="2"/>
          <w:lang w:eastAsia="fr-FR"/>
        </w:rPr>
      </w:pPr>
      <w:hyperlink w:anchor="_Toc230900915" w:history="1">
        <w:r w:rsidR="00096C0F" w:rsidRPr="00967580">
          <w:rPr>
            <w:rStyle w:val="Lienhypertexte"/>
            <w:b/>
            <w:bCs/>
            <w:noProof/>
          </w:rPr>
          <w:t>Résumé</w:t>
        </w:r>
        <w:r w:rsidR="00096C0F">
          <w:rPr>
            <w:noProof/>
            <w:webHidden/>
          </w:rPr>
          <w:tab/>
        </w:r>
        <w:r>
          <w:rPr>
            <w:noProof/>
            <w:webHidden/>
          </w:rPr>
          <w:fldChar w:fldCharType="begin"/>
        </w:r>
        <w:r w:rsidR="00096C0F">
          <w:rPr>
            <w:noProof/>
            <w:webHidden/>
          </w:rPr>
          <w:instrText xml:space="preserve"> PAGEREF _Toc230900915 \h </w:instrText>
        </w:r>
        <w:r>
          <w:rPr>
            <w:noProof/>
            <w:webHidden/>
          </w:rPr>
        </w:r>
        <w:r>
          <w:rPr>
            <w:noProof/>
            <w:webHidden/>
          </w:rPr>
          <w:fldChar w:fldCharType="separate"/>
        </w:r>
        <w:r w:rsidR="00515B25">
          <w:rPr>
            <w:noProof/>
            <w:webHidden/>
          </w:rPr>
          <w:t>XV</w:t>
        </w:r>
        <w:r>
          <w:rPr>
            <w:noProof/>
            <w:webHidden/>
          </w:rPr>
          <w:fldChar w:fldCharType="end"/>
        </w:r>
      </w:hyperlink>
    </w:p>
    <w:p w:rsidR="00096C0F" w:rsidRDefault="007B5998" w:rsidP="002D5A00">
      <w:pPr>
        <w:pStyle w:val="TM1"/>
        <w:rPr>
          <w:rFonts w:asciiTheme="minorHAnsi" w:eastAsiaTheme="minorEastAsia" w:hAnsiTheme="minorHAnsi" w:cstheme="minorBidi"/>
          <w:noProof/>
          <w:kern w:val="2"/>
          <w:lang w:eastAsia="fr-FR"/>
        </w:rPr>
      </w:pPr>
      <w:hyperlink w:anchor="_Toc230900916" w:history="1">
        <w:r w:rsidR="00096C0F" w:rsidRPr="00967580">
          <w:rPr>
            <w:rStyle w:val="Lienhypertexte"/>
            <w:b/>
            <w:bCs/>
            <w:noProof/>
          </w:rPr>
          <w:t>Introduction Générale</w:t>
        </w:r>
        <w:r w:rsidR="00096C0F" w:rsidRPr="00967580">
          <w:rPr>
            <w:rStyle w:val="Lienhypertexte"/>
            <w:noProof/>
          </w:rPr>
          <w:t> :</w:t>
        </w:r>
        <w:r w:rsidR="00096C0F">
          <w:rPr>
            <w:noProof/>
            <w:webHidden/>
          </w:rPr>
          <w:tab/>
        </w:r>
        <w:r>
          <w:rPr>
            <w:noProof/>
            <w:webHidden/>
          </w:rPr>
          <w:fldChar w:fldCharType="begin"/>
        </w:r>
        <w:r w:rsidR="00096C0F">
          <w:rPr>
            <w:noProof/>
            <w:webHidden/>
          </w:rPr>
          <w:instrText xml:space="preserve"> PAGEREF _Toc230900916 \h </w:instrText>
        </w:r>
        <w:r>
          <w:rPr>
            <w:noProof/>
            <w:webHidden/>
          </w:rPr>
        </w:r>
        <w:r>
          <w:rPr>
            <w:noProof/>
            <w:webHidden/>
          </w:rPr>
          <w:fldChar w:fldCharType="separate"/>
        </w:r>
        <w:r w:rsidR="00515B25">
          <w:rPr>
            <w:noProof/>
            <w:webHidden/>
          </w:rPr>
          <w:t>1</w:t>
        </w:r>
        <w:r>
          <w:rPr>
            <w:noProof/>
            <w:webHidden/>
          </w:rPr>
          <w:fldChar w:fldCharType="end"/>
        </w:r>
      </w:hyperlink>
    </w:p>
    <w:p w:rsidR="00096C0F" w:rsidRDefault="007B5998" w:rsidP="002D5A00">
      <w:pPr>
        <w:pStyle w:val="TM1"/>
        <w:rPr>
          <w:rFonts w:asciiTheme="minorHAnsi" w:eastAsiaTheme="minorEastAsia" w:hAnsiTheme="minorHAnsi" w:cstheme="minorBidi"/>
          <w:noProof/>
          <w:kern w:val="2"/>
          <w:lang w:eastAsia="fr-FR"/>
        </w:rPr>
      </w:pPr>
      <w:hyperlink w:anchor="_Toc230900917" w:history="1">
        <w:r w:rsidR="00096C0F" w:rsidRPr="00967580">
          <w:rPr>
            <w:rStyle w:val="Lienhypertexte"/>
            <w:b/>
            <w:bCs/>
            <w:noProof/>
          </w:rPr>
          <w:t>Chapitre I</w:t>
        </w:r>
        <w:r w:rsidR="00096C0F" w:rsidRPr="00967580">
          <w:rPr>
            <w:rStyle w:val="Lienhypertexte"/>
            <w:b/>
            <w:bCs/>
            <w:noProof/>
            <w:rtl/>
          </w:rPr>
          <w:t> </w:t>
        </w:r>
        <w:r w:rsidR="00096C0F" w:rsidRPr="00967580">
          <w:rPr>
            <w:rStyle w:val="Lienhypertexte"/>
            <w:b/>
            <w:bCs/>
            <w:noProof/>
          </w:rPr>
          <w:t>:Cadre conceptuel du marketing biologique et spécificité des produits biologiques.</w:t>
        </w:r>
        <w:r w:rsidR="00096C0F">
          <w:rPr>
            <w:noProof/>
            <w:webHidden/>
          </w:rPr>
          <w:tab/>
        </w:r>
        <w:r>
          <w:rPr>
            <w:noProof/>
            <w:webHidden/>
          </w:rPr>
          <w:fldChar w:fldCharType="begin"/>
        </w:r>
        <w:r w:rsidR="00096C0F">
          <w:rPr>
            <w:noProof/>
            <w:webHidden/>
          </w:rPr>
          <w:instrText xml:space="preserve"> PAGEREF _Toc230900917 \h </w:instrText>
        </w:r>
        <w:r>
          <w:rPr>
            <w:noProof/>
            <w:webHidden/>
          </w:rPr>
        </w:r>
        <w:r>
          <w:rPr>
            <w:noProof/>
            <w:webHidden/>
          </w:rPr>
          <w:fldChar w:fldCharType="separate"/>
        </w:r>
        <w:r w:rsidR="00515B25">
          <w:rPr>
            <w:noProof/>
            <w:webHidden/>
          </w:rPr>
          <w:t>14</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18" w:history="1">
        <w:r w:rsidR="00096C0F" w:rsidRPr="00967580">
          <w:rPr>
            <w:rStyle w:val="Lienhypertexte"/>
            <w:rFonts w:asciiTheme="majorBidi" w:hAnsiTheme="majorBidi" w:cstheme="majorBidi"/>
            <w:b/>
            <w:bCs/>
            <w:noProof/>
          </w:rPr>
          <w:t xml:space="preserve">Section </w:t>
        </w:r>
        <w:r w:rsidR="00096C0F" w:rsidRPr="00967580">
          <w:rPr>
            <w:rStyle w:val="Lienhypertexte"/>
            <w:rFonts w:asciiTheme="majorBidi" w:hAnsiTheme="majorBidi" w:cstheme="majorBidi"/>
            <w:b/>
            <w:bCs/>
            <w:noProof/>
            <w:rtl/>
          </w:rPr>
          <w:t>0</w:t>
        </w:r>
        <w:r w:rsidR="00096C0F" w:rsidRPr="00967580">
          <w:rPr>
            <w:rStyle w:val="Lienhypertexte"/>
            <w:rFonts w:asciiTheme="majorBidi" w:hAnsiTheme="majorBidi" w:cstheme="majorBidi"/>
            <w:b/>
            <w:bCs/>
            <w:noProof/>
          </w:rPr>
          <w:t xml:space="preserve">1 : </w:t>
        </w:r>
        <w:r w:rsidR="00096C0F" w:rsidRPr="00967580">
          <w:rPr>
            <w:rStyle w:val="Lienhypertexte"/>
            <w:rFonts w:asciiTheme="majorBidi" w:hAnsiTheme="majorBidi" w:cstheme="majorBidi"/>
            <w:noProof/>
          </w:rPr>
          <w:t>Notion du marketing biologique</w:t>
        </w:r>
        <w:r w:rsidR="00096C0F">
          <w:rPr>
            <w:noProof/>
            <w:webHidden/>
          </w:rPr>
          <w:tab/>
        </w:r>
        <w:r>
          <w:rPr>
            <w:noProof/>
            <w:webHidden/>
          </w:rPr>
          <w:fldChar w:fldCharType="begin"/>
        </w:r>
        <w:r w:rsidR="00096C0F">
          <w:rPr>
            <w:noProof/>
            <w:webHidden/>
          </w:rPr>
          <w:instrText xml:space="preserve"> PAGEREF _Toc230900918 \h </w:instrText>
        </w:r>
        <w:r>
          <w:rPr>
            <w:noProof/>
            <w:webHidden/>
          </w:rPr>
        </w:r>
        <w:r>
          <w:rPr>
            <w:noProof/>
            <w:webHidden/>
          </w:rPr>
          <w:fldChar w:fldCharType="separate"/>
        </w:r>
        <w:r w:rsidR="00515B25">
          <w:rPr>
            <w:noProof/>
            <w:webHidden/>
          </w:rPr>
          <w:t>16</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19" w:history="1">
        <w:r w:rsidR="00096C0F" w:rsidRPr="00967580">
          <w:rPr>
            <w:rStyle w:val="Lienhypertexte"/>
            <w:rFonts w:asciiTheme="majorBidi" w:hAnsiTheme="majorBidi" w:cstheme="majorBidi"/>
            <w:b/>
            <w:bCs/>
            <w:noProof/>
            <w:lang w:bidi="ar-DZ"/>
          </w:rPr>
          <w:t xml:space="preserve">Section 02 : </w:t>
        </w:r>
        <w:r w:rsidR="00096C0F" w:rsidRPr="00967580">
          <w:rPr>
            <w:rStyle w:val="Lienhypertexte"/>
            <w:rFonts w:asciiTheme="majorBidi" w:hAnsiTheme="majorBidi" w:cstheme="majorBidi"/>
            <w:noProof/>
            <w:lang w:bidi="ar-DZ"/>
          </w:rPr>
          <w:t>L’approche scientifique et commerciale des produits biologiques.</w:t>
        </w:r>
        <w:r w:rsidR="00096C0F">
          <w:rPr>
            <w:noProof/>
            <w:webHidden/>
          </w:rPr>
          <w:tab/>
        </w:r>
        <w:r>
          <w:rPr>
            <w:noProof/>
            <w:webHidden/>
          </w:rPr>
          <w:fldChar w:fldCharType="begin"/>
        </w:r>
        <w:r w:rsidR="00096C0F">
          <w:rPr>
            <w:noProof/>
            <w:webHidden/>
          </w:rPr>
          <w:instrText xml:space="preserve"> PAGEREF _Toc230900919 \h </w:instrText>
        </w:r>
        <w:r>
          <w:rPr>
            <w:noProof/>
            <w:webHidden/>
          </w:rPr>
        </w:r>
        <w:r>
          <w:rPr>
            <w:noProof/>
            <w:webHidden/>
          </w:rPr>
          <w:fldChar w:fldCharType="separate"/>
        </w:r>
        <w:r w:rsidR="00515B25">
          <w:rPr>
            <w:noProof/>
            <w:webHidden/>
          </w:rPr>
          <w:t>30</w:t>
        </w:r>
        <w:r>
          <w:rPr>
            <w:noProof/>
            <w:webHidden/>
          </w:rPr>
          <w:fldChar w:fldCharType="end"/>
        </w:r>
      </w:hyperlink>
    </w:p>
    <w:p w:rsidR="00096C0F" w:rsidRDefault="007B5998" w:rsidP="002D5A00">
      <w:pPr>
        <w:pStyle w:val="TM1"/>
        <w:rPr>
          <w:rFonts w:asciiTheme="minorHAnsi" w:eastAsiaTheme="minorEastAsia" w:hAnsiTheme="minorHAnsi" w:cstheme="minorBidi"/>
          <w:noProof/>
          <w:kern w:val="2"/>
          <w:lang w:eastAsia="fr-FR"/>
        </w:rPr>
      </w:pPr>
      <w:hyperlink w:anchor="_Toc230900920" w:history="1">
        <w:r w:rsidR="00096C0F" w:rsidRPr="00967580">
          <w:rPr>
            <w:rStyle w:val="Lienhypertexte"/>
            <w:noProof/>
          </w:rPr>
          <w:t xml:space="preserve">Chapitre </w:t>
        </w:r>
        <w:r w:rsidR="00096C0F" w:rsidRPr="00967580">
          <w:rPr>
            <w:rStyle w:val="Lienhypertexte"/>
            <w:b/>
            <w:bCs/>
            <w:noProof/>
          </w:rPr>
          <w:t>II :</w:t>
        </w:r>
        <w:r w:rsidR="00096C0F" w:rsidRPr="00967580">
          <w:rPr>
            <w:rStyle w:val="Lienhypertexte"/>
            <w:noProof/>
          </w:rPr>
          <w:t xml:space="preserve"> Le rôle stratégique du marketing dans le renforcement de la sécurité sanitaire des aliments</w:t>
        </w:r>
        <w:r w:rsidR="00096C0F">
          <w:rPr>
            <w:noProof/>
            <w:webHidden/>
          </w:rPr>
          <w:tab/>
        </w:r>
        <w:r>
          <w:rPr>
            <w:noProof/>
            <w:webHidden/>
          </w:rPr>
          <w:fldChar w:fldCharType="begin"/>
        </w:r>
        <w:r w:rsidR="00096C0F">
          <w:rPr>
            <w:noProof/>
            <w:webHidden/>
          </w:rPr>
          <w:instrText xml:space="preserve"> PAGEREF _Toc230900920 \h </w:instrText>
        </w:r>
        <w:r>
          <w:rPr>
            <w:noProof/>
            <w:webHidden/>
          </w:rPr>
        </w:r>
        <w:r>
          <w:rPr>
            <w:noProof/>
            <w:webHidden/>
          </w:rPr>
          <w:fldChar w:fldCharType="separate"/>
        </w:r>
        <w:r w:rsidR="00515B25">
          <w:rPr>
            <w:noProof/>
            <w:webHidden/>
          </w:rPr>
          <w:t>66</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21" w:history="1">
        <w:r w:rsidR="00096C0F" w:rsidRPr="00967580">
          <w:rPr>
            <w:rStyle w:val="Lienhypertexte"/>
            <w:rFonts w:asciiTheme="majorBidi" w:hAnsiTheme="majorBidi" w:cstheme="majorBidi"/>
            <w:b/>
            <w:bCs/>
            <w:noProof/>
            <w:lang w:eastAsia="fr-FR"/>
          </w:rPr>
          <w:t xml:space="preserve">Section 01 : </w:t>
        </w:r>
        <w:r w:rsidR="00096C0F" w:rsidRPr="00967580">
          <w:rPr>
            <w:rStyle w:val="Lienhypertexte"/>
            <w:rFonts w:asciiTheme="majorBidi" w:hAnsiTheme="majorBidi" w:cstheme="majorBidi"/>
            <w:noProof/>
            <w:lang w:eastAsia="fr-FR"/>
          </w:rPr>
          <w:t>Approche de la sécurité sanitaire des aliments</w:t>
        </w:r>
        <w:r w:rsidR="00096C0F">
          <w:rPr>
            <w:noProof/>
            <w:webHidden/>
          </w:rPr>
          <w:tab/>
        </w:r>
        <w:r>
          <w:rPr>
            <w:noProof/>
            <w:webHidden/>
          </w:rPr>
          <w:fldChar w:fldCharType="begin"/>
        </w:r>
        <w:r w:rsidR="00096C0F">
          <w:rPr>
            <w:noProof/>
            <w:webHidden/>
          </w:rPr>
          <w:instrText xml:space="preserve"> PAGEREF _Toc230900921 \h </w:instrText>
        </w:r>
        <w:r>
          <w:rPr>
            <w:noProof/>
            <w:webHidden/>
          </w:rPr>
        </w:r>
        <w:r>
          <w:rPr>
            <w:noProof/>
            <w:webHidden/>
          </w:rPr>
          <w:fldChar w:fldCharType="separate"/>
        </w:r>
        <w:r w:rsidR="00515B25">
          <w:rPr>
            <w:noProof/>
            <w:webHidden/>
          </w:rPr>
          <w:t>68</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22" w:history="1">
        <w:r w:rsidR="00096C0F" w:rsidRPr="00967580">
          <w:rPr>
            <w:rStyle w:val="Lienhypertexte"/>
            <w:rFonts w:asciiTheme="majorBidi" w:hAnsiTheme="majorBidi" w:cstheme="majorBidi"/>
            <w:b/>
            <w:bCs/>
            <w:noProof/>
            <w:lang w:eastAsia="fr-FR"/>
          </w:rPr>
          <w:t xml:space="preserve">Section 02 : </w:t>
        </w:r>
        <w:r w:rsidR="00096C0F" w:rsidRPr="00967580">
          <w:rPr>
            <w:rStyle w:val="Lienhypertexte"/>
            <w:rFonts w:asciiTheme="majorBidi" w:hAnsiTheme="majorBidi" w:cstheme="majorBidi"/>
            <w:noProof/>
            <w:lang w:eastAsia="fr-FR"/>
          </w:rPr>
          <w:t>Mécanismes marketing comme leviers de la sécurité sanitaire</w:t>
        </w:r>
        <w:r w:rsidR="00096C0F">
          <w:rPr>
            <w:noProof/>
            <w:webHidden/>
          </w:rPr>
          <w:tab/>
        </w:r>
        <w:r>
          <w:rPr>
            <w:noProof/>
            <w:webHidden/>
          </w:rPr>
          <w:fldChar w:fldCharType="begin"/>
        </w:r>
        <w:r w:rsidR="00096C0F">
          <w:rPr>
            <w:noProof/>
            <w:webHidden/>
          </w:rPr>
          <w:instrText xml:space="preserve"> PAGEREF _Toc230900922 \h </w:instrText>
        </w:r>
        <w:r>
          <w:rPr>
            <w:noProof/>
            <w:webHidden/>
          </w:rPr>
        </w:r>
        <w:r>
          <w:rPr>
            <w:noProof/>
            <w:webHidden/>
          </w:rPr>
          <w:fldChar w:fldCharType="separate"/>
        </w:r>
        <w:r w:rsidR="00515B25">
          <w:rPr>
            <w:noProof/>
            <w:webHidden/>
          </w:rPr>
          <w:t>92</w:t>
        </w:r>
        <w:r>
          <w:rPr>
            <w:noProof/>
            <w:webHidden/>
          </w:rPr>
          <w:fldChar w:fldCharType="end"/>
        </w:r>
      </w:hyperlink>
    </w:p>
    <w:p w:rsidR="00096C0F" w:rsidRDefault="007B5998" w:rsidP="002D5A00">
      <w:pPr>
        <w:pStyle w:val="TM1"/>
        <w:rPr>
          <w:rFonts w:asciiTheme="minorHAnsi" w:eastAsiaTheme="minorEastAsia" w:hAnsiTheme="minorHAnsi" w:cstheme="minorBidi"/>
          <w:noProof/>
          <w:kern w:val="2"/>
          <w:lang w:eastAsia="fr-FR"/>
        </w:rPr>
      </w:pPr>
      <w:hyperlink w:anchor="_Toc230900923" w:history="1">
        <w:r w:rsidR="00096C0F" w:rsidRPr="00967580">
          <w:rPr>
            <w:rStyle w:val="Lienhypertexte"/>
            <w:b/>
            <w:bCs/>
            <w:noProof/>
          </w:rPr>
          <w:t>Chapitre III : Étude de terrain : marketing biologique et sécurité sanitaire – Cas Dahbia</w:t>
        </w:r>
        <w:r w:rsidR="00096C0F">
          <w:rPr>
            <w:noProof/>
            <w:webHidden/>
          </w:rPr>
          <w:tab/>
        </w:r>
        <w:r>
          <w:rPr>
            <w:noProof/>
            <w:webHidden/>
          </w:rPr>
          <w:fldChar w:fldCharType="begin"/>
        </w:r>
        <w:r w:rsidR="00096C0F">
          <w:rPr>
            <w:noProof/>
            <w:webHidden/>
          </w:rPr>
          <w:instrText xml:space="preserve"> PAGEREF _Toc230900923 \h </w:instrText>
        </w:r>
        <w:r>
          <w:rPr>
            <w:noProof/>
            <w:webHidden/>
          </w:rPr>
        </w:r>
        <w:r>
          <w:rPr>
            <w:noProof/>
            <w:webHidden/>
          </w:rPr>
          <w:fldChar w:fldCharType="separate"/>
        </w:r>
        <w:r w:rsidR="00515B25">
          <w:rPr>
            <w:noProof/>
            <w:webHidden/>
          </w:rPr>
          <w:t>112</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24" w:history="1">
        <w:r w:rsidR="00096C0F" w:rsidRPr="00967580">
          <w:rPr>
            <w:rStyle w:val="Lienhypertexte"/>
            <w:rFonts w:asciiTheme="majorBidi" w:hAnsiTheme="majorBidi" w:cstheme="majorBidi"/>
            <w:b/>
            <w:bCs/>
            <w:noProof/>
          </w:rPr>
          <w:t>Section1: Cadre méthodologique de l’étude et présentation de l’entrepriseIntroduction</w:t>
        </w:r>
        <w:r w:rsidR="00096C0F">
          <w:rPr>
            <w:noProof/>
            <w:webHidden/>
          </w:rPr>
          <w:tab/>
        </w:r>
        <w:r>
          <w:rPr>
            <w:noProof/>
            <w:webHidden/>
          </w:rPr>
          <w:fldChar w:fldCharType="begin"/>
        </w:r>
        <w:r w:rsidR="00096C0F">
          <w:rPr>
            <w:noProof/>
            <w:webHidden/>
          </w:rPr>
          <w:instrText xml:space="preserve"> PAGEREF _Toc230900924 \h </w:instrText>
        </w:r>
        <w:r>
          <w:rPr>
            <w:noProof/>
            <w:webHidden/>
          </w:rPr>
        </w:r>
        <w:r>
          <w:rPr>
            <w:noProof/>
            <w:webHidden/>
          </w:rPr>
          <w:fldChar w:fldCharType="separate"/>
        </w:r>
        <w:r w:rsidR="00515B25">
          <w:rPr>
            <w:noProof/>
            <w:webHidden/>
          </w:rPr>
          <w:t>114</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25" w:history="1">
        <w:r w:rsidR="00096C0F" w:rsidRPr="00967580">
          <w:rPr>
            <w:rStyle w:val="Lienhypertexte"/>
            <w:rFonts w:asciiTheme="majorBidi" w:hAnsiTheme="majorBidi" w:cstheme="majorBidi"/>
            <w:b/>
            <w:bCs/>
            <w:noProof/>
          </w:rPr>
          <w:t xml:space="preserve">Section 2 : </w:t>
        </w:r>
        <w:r w:rsidR="00096C0F" w:rsidRPr="00967580">
          <w:rPr>
            <w:rStyle w:val="Lienhypertexte"/>
            <w:rFonts w:asciiTheme="majorBidi" w:hAnsiTheme="majorBidi" w:cstheme="majorBidi"/>
            <w:noProof/>
          </w:rPr>
          <w:t>Analyse des résultats de terrain et présentation de l’étude de cas.</w:t>
        </w:r>
        <w:r w:rsidR="00096C0F">
          <w:rPr>
            <w:noProof/>
            <w:webHidden/>
          </w:rPr>
          <w:tab/>
        </w:r>
        <w:r>
          <w:rPr>
            <w:noProof/>
            <w:webHidden/>
          </w:rPr>
          <w:fldChar w:fldCharType="begin"/>
        </w:r>
        <w:r w:rsidR="00096C0F">
          <w:rPr>
            <w:noProof/>
            <w:webHidden/>
          </w:rPr>
          <w:instrText xml:space="preserve"> PAGEREF _Toc230900925 \h </w:instrText>
        </w:r>
        <w:r>
          <w:rPr>
            <w:noProof/>
            <w:webHidden/>
          </w:rPr>
        </w:r>
        <w:r>
          <w:rPr>
            <w:noProof/>
            <w:webHidden/>
          </w:rPr>
          <w:fldChar w:fldCharType="separate"/>
        </w:r>
        <w:r w:rsidR="00515B25">
          <w:rPr>
            <w:noProof/>
            <w:webHidden/>
          </w:rPr>
          <w:t>122</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26" w:history="1">
        <w:r w:rsidR="00096C0F" w:rsidRPr="00967580">
          <w:rPr>
            <w:rStyle w:val="Lienhypertexte"/>
            <w:rFonts w:ascii="Times New Roman" w:hAnsi="Times New Roman"/>
            <w:b/>
            <w:bCs/>
            <w:noProof/>
            <w:lang w:eastAsia="fr-FR" w:bidi="ar-DZ"/>
          </w:rPr>
          <w:t>Section 03 :</w:t>
        </w:r>
        <w:r w:rsidR="00096C0F" w:rsidRPr="00967580">
          <w:rPr>
            <w:rStyle w:val="Lienhypertexte"/>
            <w:rFonts w:ascii="Times New Roman" w:hAnsi="Times New Roman"/>
            <w:noProof/>
            <w:lang w:eastAsia="fr-FR" w:bidi="ar-DZ"/>
          </w:rPr>
          <w:t xml:space="preserve"> le cadre méthodologique et analyse de résultats de l’ étude</w:t>
        </w:r>
        <w:r w:rsidR="00096C0F">
          <w:rPr>
            <w:noProof/>
            <w:webHidden/>
          </w:rPr>
          <w:tab/>
        </w:r>
        <w:r>
          <w:rPr>
            <w:noProof/>
            <w:webHidden/>
          </w:rPr>
          <w:fldChar w:fldCharType="begin"/>
        </w:r>
        <w:r w:rsidR="00096C0F">
          <w:rPr>
            <w:noProof/>
            <w:webHidden/>
          </w:rPr>
          <w:instrText xml:space="preserve"> PAGEREF _Toc230900926 \h </w:instrText>
        </w:r>
        <w:r>
          <w:rPr>
            <w:noProof/>
            <w:webHidden/>
          </w:rPr>
        </w:r>
        <w:r>
          <w:rPr>
            <w:noProof/>
            <w:webHidden/>
          </w:rPr>
          <w:fldChar w:fldCharType="separate"/>
        </w:r>
        <w:r w:rsidR="00515B25">
          <w:rPr>
            <w:noProof/>
            <w:webHidden/>
          </w:rPr>
          <w:t>142</w:t>
        </w:r>
        <w:r>
          <w:rPr>
            <w:noProof/>
            <w:webHidden/>
          </w:rPr>
          <w:fldChar w:fldCharType="end"/>
        </w:r>
      </w:hyperlink>
    </w:p>
    <w:p w:rsidR="00096C0F"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927" w:history="1">
        <w:r w:rsidR="00096C0F" w:rsidRPr="00967580">
          <w:rPr>
            <w:rStyle w:val="Lienhypertexte"/>
            <w:rFonts w:asciiTheme="majorBidi" w:hAnsiTheme="majorBidi" w:cstheme="majorBidi"/>
            <w:b/>
            <w:bCs/>
            <w:noProof/>
            <w:lang w:eastAsia="fr-FR"/>
          </w:rPr>
          <w:t>Conclusion :</w:t>
        </w:r>
        <w:r w:rsidR="00096C0F">
          <w:rPr>
            <w:noProof/>
            <w:webHidden/>
          </w:rPr>
          <w:tab/>
        </w:r>
        <w:r>
          <w:rPr>
            <w:noProof/>
            <w:webHidden/>
          </w:rPr>
          <w:fldChar w:fldCharType="begin"/>
        </w:r>
        <w:r w:rsidR="00096C0F">
          <w:rPr>
            <w:noProof/>
            <w:webHidden/>
          </w:rPr>
          <w:instrText xml:space="preserve"> PAGEREF _Toc230900927 \h </w:instrText>
        </w:r>
        <w:r>
          <w:rPr>
            <w:noProof/>
            <w:webHidden/>
          </w:rPr>
        </w:r>
        <w:r>
          <w:rPr>
            <w:noProof/>
            <w:webHidden/>
          </w:rPr>
          <w:fldChar w:fldCharType="separate"/>
        </w:r>
        <w:r w:rsidR="00515B25">
          <w:rPr>
            <w:noProof/>
            <w:webHidden/>
          </w:rPr>
          <w:t>177</w:t>
        </w:r>
        <w:r>
          <w:rPr>
            <w:noProof/>
            <w:webHidden/>
          </w:rPr>
          <w:fldChar w:fldCharType="end"/>
        </w:r>
      </w:hyperlink>
    </w:p>
    <w:p w:rsidR="00581B13" w:rsidRPr="006337C3" w:rsidRDefault="007B5998" w:rsidP="00016D60">
      <w:pPr>
        <w:suppressAutoHyphens w:val="0"/>
        <w:spacing w:after="0" w:line="360" w:lineRule="auto"/>
        <w:jc w:val="lowKashida"/>
        <w:rPr>
          <w:rFonts w:asciiTheme="majorBidi" w:hAnsiTheme="majorBidi" w:cstheme="majorBidi"/>
          <w:b/>
          <w:bCs/>
          <w:sz w:val="24"/>
          <w:szCs w:val="24"/>
        </w:rPr>
      </w:pPr>
      <w:r w:rsidRPr="00016D60">
        <w:rPr>
          <w:rFonts w:asciiTheme="majorBidi" w:hAnsiTheme="majorBidi" w:cstheme="majorBidi"/>
          <w:b/>
          <w:bCs/>
          <w:sz w:val="24"/>
          <w:szCs w:val="24"/>
        </w:rPr>
        <w:fldChar w:fldCharType="end"/>
      </w:r>
    </w:p>
    <w:p w:rsidR="00581B13" w:rsidRPr="00581B13" w:rsidRDefault="00581B13" w:rsidP="00581B13">
      <w:pPr>
        <w:suppressAutoHyphens w:val="0"/>
        <w:rPr>
          <w:rFonts w:asciiTheme="majorBidi" w:hAnsiTheme="majorBidi" w:cstheme="majorBidi"/>
          <w:b/>
          <w:bCs/>
          <w:sz w:val="24"/>
          <w:szCs w:val="24"/>
        </w:rPr>
      </w:pPr>
    </w:p>
    <w:p w:rsidR="00581B13" w:rsidRPr="00581B13" w:rsidRDefault="00581B13" w:rsidP="00581B13">
      <w:pPr>
        <w:suppressAutoHyphens w:val="0"/>
        <w:rPr>
          <w:rFonts w:asciiTheme="majorBidi" w:hAnsiTheme="majorBidi" w:cstheme="majorBidi"/>
          <w:b/>
          <w:bCs/>
          <w:sz w:val="24"/>
          <w:szCs w:val="24"/>
        </w:rPr>
      </w:pPr>
    </w:p>
    <w:p w:rsidR="007E48A5" w:rsidRPr="007E48A5" w:rsidRDefault="007E48A5" w:rsidP="007E48A5">
      <w:pPr>
        <w:pStyle w:val="Paragraphedeliste"/>
        <w:numPr>
          <w:ilvl w:val="3"/>
          <w:numId w:val="1"/>
        </w:numPr>
        <w:suppressAutoHyphens w:val="0"/>
        <w:jc w:val="both"/>
        <w:rPr>
          <w:rFonts w:asciiTheme="majorBidi" w:hAnsiTheme="majorBidi" w:cstheme="majorBidi"/>
          <w:b/>
          <w:bCs/>
          <w:color w:val="385623" w:themeColor="accent6" w:themeShade="80"/>
          <w:sz w:val="28"/>
          <w:szCs w:val="28"/>
        </w:rPr>
      </w:pPr>
      <w:r w:rsidRPr="007E48A5">
        <w:rPr>
          <w:sz w:val="48"/>
          <w:szCs w:val="48"/>
        </w:rPr>
        <w:br w:type="page"/>
      </w:r>
    </w:p>
    <w:p w:rsidR="007E48A5" w:rsidRDefault="007E48A5" w:rsidP="00B745F2">
      <w:pPr>
        <w:suppressAutoHyphens w:val="0"/>
        <w:rPr>
          <w:sz w:val="48"/>
          <w:szCs w:val="48"/>
        </w:rPr>
        <w:sectPr w:rsidR="007E48A5" w:rsidSect="00EA0836">
          <w:footerReference w:type="default" r:id="rId14"/>
          <w:footnotePr>
            <w:numRestart w:val="eachPage"/>
          </w:footnotePr>
          <w:pgSz w:w="11906" w:h="16838"/>
          <w:pgMar w:top="1417" w:right="1417" w:bottom="1417" w:left="1417" w:header="720" w:footer="720" w:gutter="0"/>
          <w:pgNumType w:fmt="upperRoman"/>
          <w:cols w:space="720"/>
        </w:sectPr>
      </w:pPr>
    </w:p>
    <w:p w:rsidR="007600AC" w:rsidRDefault="007600AC">
      <w:pPr>
        <w:suppressAutoHyphens w:val="0"/>
        <w:rPr>
          <w:sz w:val="48"/>
          <w:szCs w:val="48"/>
        </w:rPr>
      </w:pPr>
    </w:p>
    <w:p w:rsidR="007E48A5" w:rsidRDefault="007E48A5">
      <w:pPr>
        <w:suppressAutoHyphens w:val="0"/>
        <w:rPr>
          <w:sz w:val="48"/>
          <w:szCs w:val="48"/>
        </w:rPr>
      </w:pPr>
    </w:p>
    <w:p w:rsidR="003D023C" w:rsidRDefault="003D023C">
      <w:pPr>
        <w:suppressAutoHyphens w:val="0"/>
        <w:rPr>
          <w:sz w:val="48"/>
          <w:szCs w:val="48"/>
        </w:rPr>
      </w:pPr>
    </w:p>
    <w:p w:rsidR="00147113" w:rsidRDefault="007B5998" w:rsidP="00147113">
      <w:pPr>
        <w:rPr>
          <w:sz w:val="48"/>
          <w:szCs w:val="48"/>
        </w:rPr>
      </w:pPr>
      <w:r>
        <w:rPr>
          <w:noProof/>
          <w:sz w:val="48"/>
          <w:szCs w:val="48"/>
          <w:lang w:eastAsia="fr-FR"/>
        </w:rPr>
        <w:pict>
          <v:rect id="Rectangle 49" o:spid="_x0000_s1091" style="position:absolute;margin-left:75.4pt;margin-top:124.15pt;width:348.75pt;height:141pt;z-index:251788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" filled="f" stroked="f" strokeweight="1pt"/>
        </w:pict>
      </w:r>
    </w:p>
    <w:p w:rsidR="00147113" w:rsidRPr="00147113" w:rsidRDefault="007B5998" w:rsidP="00147113">
      <w:pPr>
        <w:rPr>
          <w:sz w:val="48"/>
          <w:szCs w:val="48"/>
        </w:rPr>
      </w:pPr>
      <w:r>
        <w:rPr>
          <w:noProof/>
          <w:sz w:val="48"/>
          <w:szCs w:val="48"/>
          <w:lang w:eastAsia="fr-FR"/>
        </w:rPr>
        <w:pict>
          <v:shape id="_x0000_s1027" type="#_x0000_t98" style="position:absolute;margin-left:0;margin-top:12.5pt;width:465.5pt;height:292.5pt;z-index:-251526144;visibility:visible;mso-position-horizontal:center;mso-position-horizontal-relative:margin;v-text-anchor:middle" wrapcoords="20452 -55 20209 111 19826 665 19791 1717 696 2548 452 2658 -70 3268 -70 20603 70 21212 139 21323 591 21655 765 21655 904 21655 1043 21655 1530 21323 1774 20382 1774 19440 9809 19440 21461 18942 21461 18554 21670 17723 21635 665 21183 0 21009 -55 20452 -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" filled="f" strokecolor="black [3213]" strokeweight="2.25pt">
            <v:stroke joinstyle="miter"/>
            <v:shadow on="t" color="black" opacity="26214f" origin="-.5,.5" offset=".74836mm,-.74836mm"/>
            <v:textbox>
              <w:txbxContent>
                <w:p w:rsidR="00B54D3C" w:rsidRPr="007A3346" w:rsidRDefault="00B54D3C" w:rsidP="007A3346">
                  <w:pPr>
                    <w:jc w:val="center"/>
                    <w:rPr>
                      <w:b/>
                      <w:bCs/>
                      <w:color w:val="000000" w:themeColor="text1"/>
                      <w:sz w:val="72"/>
                      <w:szCs w:val="72"/>
                    </w:rPr>
                  </w:pPr>
                  <w:r w:rsidRPr="007A3346">
                    <w:rPr>
                      <w:b/>
                      <w:bCs/>
                      <w:noProof/>
                      <w:color w:val="000000" w:themeColor="text1"/>
                      <w:sz w:val="72"/>
                      <w:szCs w:val="72"/>
                    </w:rPr>
                    <w:t xml:space="preserve">Liste des tableaux </w:t>
                  </w:r>
                </w:p>
              </w:txbxContent>
            </v:textbox>
            <w10:wrap type="tight" anchorx="margin"/>
          </v:shape>
        </w:pict>
      </w:r>
    </w:p>
    <w:p w:rsidR="00147113" w:rsidRP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650768" w:rsidRDefault="00650768" w:rsidP="00147113">
      <w:pPr>
        <w:rPr>
          <w:sz w:val="48"/>
          <w:szCs w:val="48"/>
        </w:rPr>
        <w:sectPr w:rsidR="00650768" w:rsidSect="00EA0836">
          <w:footerReference w:type="default" r:id="rId15"/>
          <w:footnotePr>
            <w:numRestart w:val="eachPage"/>
          </w:footnotePr>
          <w:pgSz w:w="11906" w:h="16838"/>
          <w:pgMar w:top="1417" w:right="1417" w:bottom="1417" w:left="1417" w:header="720" w:footer="720" w:gutter="0"/>
          <w:pgBorders w:display="firstPage" w:offsetFrom="page">
            <w:top w:val="tornPaperBlack" w:sz="31" w:space="24" w:color="000000" w:themeColor="text1"/>
            <w:left w:val="tornPaperBlack" w:sz="31" w:space="24" w:color="000000" w:themeColor="text1"/>
            <w:bottom w:val="tornPaperBlack" w:sz="31" w:space="24" w:color="000000" w:themeColor="text1"/>
            <w:right w:val="tornPaperBlack" w:sz="31" w:space="24" w:color="000000" w:themeColor="text1"/>
          </w:pgBorders>
          <w:cols w:space="720"/>
        </w:sectPr>
      </w:pPr>
    </w:p>
    <w:p w:rsidR="00496B07" w:rsidRPr="009A582D" w:rsidRDefault="00496B07" w:rsidP="00496B07">
      <w:pPr>
        <w:pStyle w:val="Titre1"/>
        <w:spacing w:after="0" w:line="360" w:lineRule="auto"/>
        <w:jc w:val="center"/>
        <w:rPr>
          <w:rFonts w:asciiTheme="majorBidi" w:hAnsiTheme="majorBidi" w:cstheme="majorBidi"/>
          <w:b/>
          <w:bCs/>
          <w:color w:val="auto"/>
          <w:sz w:val="24"/>
          <w:szCs w:val="24"/>
        </w:rPr>
      </w:pPr>
      <w:bookmarkStart w:id="0" w:name="_Toc230558603"/>
      <w:bookmarkStart w:id="1" w:name="_Toc230900238"/>
      <w:bookmarkStart w:id="2" w:name="_Toc230900912"/>
      <w:r w:rsidRPr="009A582D">
        <w:rPr>
          <w:rFonts w:asciiTheme="majorBidi" w:hAnsiTheme="majorBidi" w:cstheme="majorBidi"/>
          <w:b/>
          <w:bCs/>
          <w:color w:val="auto"/>
          <w:sz w:val="24"/>
          <w:szCs w:val="24"/>
        </w:rPr>
        <w:lastRenderedPageBreak/>
        <w:t>Liste des tableaux</w:t>
      </w:r>
      <w:bookmarkEnd w:id="0"/>
      <w:bookmarkEnd w:id="1"/>
      <w:bookmarkEnd w:id="2"/>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r w:rsidRPr="0095459C">
        <w:rPr>
          <w:rFonts w:asciiTheme="majorBidi" w:hAnsiTheme="majorBidi" w:cstheme="majorBidi"/>
          <w:sz w:val="24"/>
          <w:szCs w:val="24"/>
        </w:rPr>
        <w:fldChar w:fldCharType="begin"/>
      </w:r>
      <w:r w:rsidR="004D3061" w:rsidRPr="0095459C">
        <w:rPr>
          <w:rFonts w:asciiTheme="majorBidi" w:hAnsiTheme="majorBidi" w:cstheme="majorBidi"/>
          <w:sz w:val="24"/>
          <w:szCs w:val="24"/>
        </w:rPr>
        <w:instrText xml:space="preserve"> TOC \h \z \c "Tableau" </w:instrText>
      </w:r>
      <w:r w:rsidRPr="0095459C">
        <w:rPr>
          <w:rFonts w:asciiTheme="majorBidi" w:hAnsiTheme="majorBidi" w:cstheme="majorBidi"/>
          <w:sz w:val="24"/>
          <w:szCs w:val="24"/>
        </w:rPr>
        <w:fldChar w:fldCharType="separate"/>
      </w:r>
      <w:hyperlink w:anchor="_Toc230400739" w:history="1">
        <w:r w:rsidR="0095459C" w:rsidRPr="0095459C">
          <w:rPr>
            <w:rStyle w:val="Lienhypertexte"/>
            <w:rFonts w:asciiTheme="majorBidi" w:hAnsiTheme="majorBidi" w:cstheme="majorBidi"/>
            <w:b/>
            <w:bCs/>
            <w:noProof/>
            <w:sz w:val="24"/>
            <w:szCs w:val="24"/>
          </w:rPr>
          <w:t xml:space="preserve">Tableau 1 : </w:t>
        </w:r>
        <w:r w:rsidR="0095459C" w:rsidRPr="0095459C">
          <w:rPr>
            <w:rStyle w:val="Lienhypertexte"/>
            <w:rFonts w:asciiTheme="majorBidi" w:hAnsiTheme="majorBidi" w:cstheme="majorBidi"/>
            <w:noProof/>
            <w:sz w:val="24"/>
            <w:szCs w:val="24"/>
          </w:rPr>
          <w:t>Exigences principales de la certification Bio</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_Toc230400739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41</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0" w:history="1">
        <w:r w:rsidR="0095459C" w:rsidRPr="0095459C">
          <w:rPr>
            <w:rStyle w:val="Lienhypertexte"/>
            <w:rFonts w:asciiTheme="majorBidi" w:hAnsiTheme="majorBidi" w:cstheme="majorBidi"/>
            <w:b/>
            <w:bCs/>
            <w:noProof/>
            <w:sz w:val="24"/>
            <w:szCs w:val="24"/>
            <w:lang w:bidi="ar-DZ"/>
          </w:rPr>
          <w:t xml:space="preserve">Tableau 2 : </w:t>
        </w:r>
        <w:r w:rsidR="0095459C" w:rsidRPr="0095459C">
          <w:rPr>
            <w:rStyle w:val="Lienhypertexte"/>
            <w:rFonts w:asciiTheme="majorBidi" w:hAnsiTheme="majorBidi" w:cstheme="majorBidi"/>
            <w:noProof/>
            <w:sz w:val="24"/>
            <w:szCs w:val="24"/>
            <w:lang w:bidi="ar-DZ"/>
          </w:rPr>
          <w:t>les pourcentages de matière organique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_Toc230400740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47</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1" w:history="1">
        <w:r w:rsidR="0095459C" w:rsidRPr="0095459C">
          <w:rPr>
            <w:rStyle w:val="Lienhypertexte"/>
            <w:rFonts w:asciiTheme="majorBidi" w:hAnsiTheme="majorBidi" w:cstheme="majorBidi"/>
            <w:b/>
            <w:bCs/>
            <w:noProof/>
            <w:sz w:val="24"/>
            <w:szCs w:val="24"/>
            <w:lang w:bidi="ar-DZ"/>
          </w:rPr>
          <w:t>Tableau 3 :</w:t>
        </w:r>
        <w:r w:rsidR="0095459C" w:rsidRPr="0095459C">
          <w:rPr>
            <w:rStyle w:val="Lienhypertexte"/>
            <w:rFonts w:asciiTheme="majorBidi" w:hAnsiTheme="majorBidi" w:cstheme="majorBidi"/>
            <w:noProof/>
            <w:sz w:val="24"/>
            <w:szCs w:val="24"/>
            <w:lang w:bidi="ar-DZ"/>
          </w:rPr>
          <w:t xml:space="preserve"> Exigences techniques et différences concrètes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_Toc230400741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50</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2" w:history="1">
        <w:r w:rsidR="0095459C" w:rsidRPr="0095459C">
          <w:rPr>
            <w:rStyle w:val="Lienhypertexte"/>
            <w:rFonts w:asciiTheme="majorBidi" w:hAnsiTheme="majorBidi" w:cstheme="majorBidi"/>
            <w:b/>
            <w:bCs/>
            <w:noProof/>
            <w:sz w:val="24"/>
            <w:szCs w:val="24"/>
            <w:lang w:bidi="ar-DZ"/>
          </w:rPr>
          <w:t>Tableau 4 :</w:t>
        </w:r>
        <w:r w:rsidR="0095459C" w:rsidRPr="0095459C">
          <w:rPr>
            <w:rStyle w:val="Lienhypertexte"/>
            <w:rFonts w:asciiTheme="majorBidi" w:hAnsiTheme="majorBidi" w:cstheme="majorBidi"/>
            <w:noProof/>
            <w:sz w:val="24"/>
            <w:szCs w:val="24"/>
            <w:lang w:bidi="ar-DZ"/>
          </w:rPr>
          <w:t xml:space="preserve"> Exigences techniques et différences concrètes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_Toc230400742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52</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3" w:history="1">
        <w:r w:rsidR="0095459C" w:rsidRPr="0095459C">
          <w:rPr>
            <w:rStyle w:val="Lienhypertexte"/>
            <w:rFonts w:asciiTheme="majorBidi" w:hAnsiTheme="majorBidi" w:cstheme="majorBidi"/>
            <w:b/>
            <w:bCs/>
            <w:noProof/>
            <w:sz w:val="24"/>
            <w:szCs w:val="24"/>
            <w:lang w:bidi="ar-DZ"/>
          </w:rPr>
          <w:t xml:space="preserve">Tableau 5 : </w:t>
        </w:r>
        <w:r w:rsidR="0095459C" w:rsidRPr="0095459C">
          <w:rPr>
            <w:rStyle w:val="Lienhypertexte"/>
            <w:rFonts w:asciiTheme="majorBidi" w:hAnsiTheme="majorBidi" w:cstheme="majorBidi"/>
            <w:noProof/>
            <w:sz w:val="24"/>
            <w:szCs w:val="24"/>
            <w:lang w:bidi="ar-DZ"/>
          </w:rPr>
          <w:t>Évolution des superficies de terres aptes à la production biologique en Algérie (2010-2015)</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_Toc230400743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59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4" w:history="1">
        <w:r w:rsidR="0095459C" w:rsidRPr="0095459C">
          <w:rPr>
            <w:rStyle w:val="Lienhypertexte"/>
            <w:rFonts w:asciiTheme="majorBidi" w:hAnsiTheme="majorBidi" w:cstheme="majorBidi"/>
            <w:b/>
            <w:bCs/>
            <w:noProof/>
            <w:sz w:val="24"/>
            <w:szCs w:val="24"/>
          </w:rPr>
          <w:t xml:space="preserve">Tableau 6 : </w:t>
        </w:r>
        <w:r w:rsidR="0095459C" w:rsidRPr="0095459C">
          <w:rPr>
            <w:rStyle w:val="Lienhypertexte"/>
            <w:rFonts w:asciiTheme="majorBidi" w:hAnsiTheme="majorBidi" w:cstheme="majorBidi"/>
            <w:noProof/>
            <w:sz w:val="24"/>
            <w:szCs w:val="24"/>
          </w:rPr>
          <w:t>Structure du marché – Répartition des superficies biologiques par produit (2015)</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_Toc230400744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60</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5" w:history="1">
        <w:r w:rsidR="0095459C" w:rsidRPr="0095459C">
          <w:rPr>
            <w:rStyle w:val="Lienhypertexte"/>
            <w:rFonts w:asciiTheme="majorBidi" w:hAnsiTheme="majorBidi" w:cstheme="majorBidi"/>
            <w:b/>
            <w:bCs/>
            <w:noProof/>
            <w:kern w:val="2"/>
            <w:sz w:val="24"/>
            <w:szCs w:val="24"/>
          </w:rPr>
          <w:t>Tableau 7 :</w:t>
        </w:r>
        <w:r w:rsidR="0095459C" w:rsidRPr="0095459C">
          <w:rPr>
            <w:rStyle w:val="Lienhypertexte"/>
            <w:rFonts w:asciiTheme="majorBidi" w:hAnsiTheme="majorBidi" w:cstheme="majorBidi"/>
            <w:noProof/>
            <w:kern w:val="2"/>
            <w:sz w:val="24"/>
            <w:szCs w:val="24"/>
          </w:rPr>
          <w:t xml:space="preserve"> Analyse comparative des risques sanitaires et environnementaux entre les produits biologiques et conventionnels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_Toc230400745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84</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6" w:history="1">
        <w:r w:rsidR="0095459C" w:rsidRPr="0095459C">
          <w:rPr>
            <w:rStyle w:val="Lienhypertexte"/>
            <w:rFonts w:asciiTheme="majorBidi" w:hAnsiTheme="majorBidi" w:cstheme="majorBidi"/>
            <w:b/>
            <w:bCs/>
            <w:noProof/>
            <w:sz w:val="24"/>
            <w:szCs w:val="24"/>
          </w:rPr>
          <w:t>Tableau 8 :</w:t>
        </w:r>
        <w:r w:rsidR="0095459C" w:rsidRPr="0095459C">
          <w:rPr>
            <w:rStyle w:val="Lienhypertexte"/>
            <w:rFonts w:asciiTheme="majorBidi" w:hAnsiTheme="majorBidi" w:cstheme="majorBidi"/>
            <w:noProof/>
            <w:sz w:val="24"/>
            <w:szCs w:val="24"/>
          </w:rPr>
          <w:t xml:space="preserve"> Évolution temporelle de la production normative en sécurité alimentaire au sein de l’Institut Algérien de Normalisation (1990–2023)</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_Toc230400746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91</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7" w:history="1">
        <w:r w:rsidR="0095459C" w:rsidRPr="0095459C">
          <w:rPr>
            <w:rStyle w:val="Lienhypertexte"/>
            <w:rFonts w:asciiTheme="majorBidi" w:hAnsiTheme="majorBidi" w:cstheme="majorBidi"/>
            <w:b/>
            <w:bCs/>
            <w:noProof/>
            <w:sz w:val="24"/>
            <w:szCs w:val="24"/>
          </w:rPr>
          <w:t>Tableau 9 : Les rôles des acteurs dans le système d’étiquetage alimentaire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_Toc230400747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96</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8" w:history="1">
        <w:r w:rsidR="0095459C" w:rsidRPr="0095459C">
          <w:rPr>
            <w:rStyle w:val="Lienhypertexte"/>
            <w:rFonts w:asciiTheme="majorBidi" w:hAnsiTheme="majorBidi" w:cstheme="majorBidi"/>
            <w:b/>
            <w:bCs/>
            <w:noProof/>
            <w:kern w:val="2"/>
            <w:sz w:val="24"/>
            <w:szCs w:val="24"/>
          </w:rPr>
          <w:t>Tableau 10 :</w:t>
        </w:r>
        <w:r w:rsidR="0095459C" w:rsidRPr="0095459C">
          <w:rPr>
            <w:rStyle w:val="Lienhypertexte"/>
            <w:rFonts w:asciiTheme="majorBidi" w:hAnsiTheme="majorBidi" w:cstheme="majorBidi"/>
            <w:noProof/>
            <w:kern w:val="2"/>
            <w:sz w:val="24"/>
            <w:szCs w:val="24"/>
          </w:rPr>
          <w:t xml:space="preserve"> Les avantages de l’étiquetage pour l’entreprise, Les gouvernements et Les Consommateurs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_Toc230400748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97</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49" w:history="1">
        <w:r w:rsidR="0095459C" w:rsidRPr="0095459C">
          <w:rPr>
            <w:rStyle w:val="Lienhypertexte"/>
            <w:rFonts w:asciiTheme="majorBidi" w:hAnsiTheme="majorBidi" w:cstheme="majorBidi"/>
            <w:b/>
            <w:bCs/>
            <w:noProof/>
            <w:sz w:val="24"/>
            <w:szCs w:val="24"/>
          </w:rPr>
          <w:t xml:space="preserve">Tableau 11 : </w:t>
        </w:r>
        <w:r w:rsidR="0095459C" w:rsidRPr="0095459C">
          <w:rPr>
            <w:rStyle w:val="Lienhypertexte"/>
            <w:rFonts w:asciiTheme="majorBidi" w:hAnsiTheme="majorBidi" w:cstheme="majorBidi"/>
            <w:noProof/>
            <w:sz w:val="24"/>
            <w:szCs w:val="24"/>
          </w:rPr>
          <w:t>Présentation des personnes interrogées et caractéristiques des entretiens réalisés au sein de l’entreprise Dahbia</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_Toc230400749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119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0" w:history="1">
        <w:r w:rsidR="0095459C" w:rsidRPr="0095459C">
          <w:rPr>
            <w:rStyle w:val="Lienhypertexte"/>
            <w:rFonts w:asciiTheme="majorBidi" w:hAnsiTheme="majorBidi" w:cstheme="majorBidi"/>
            <w:b/>
            <w:bCs/>
            <w:noProof/>
            <w:sz w:val="24"/>
            <w:szCs w:val="24"/>
          </w:rPr>
          <w:t>Tableau 12 :</w:t>
        </w:r>
        <w:r w:rsidR="0095459C" w:rsidRPr="0095459C">
          <w:rPr>
            <w:rStyle w:val="Lienhypertexte"/>
            <w:rFonts w:asciiTheme="majorBidi" w:hAnsiTheme="majorBidi" w:cstheme="majorBidi"/>
            <w:noProof/>
            <w:sz w:val="24"/>
            <w:szCs w:val="24"/>
          </w:rPr>
          <w:t xml:space="preserve"> tableau représentatif de l’entreprise Dahbia huile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_Toc230400750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121</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1" w:history="1">
        <w:r w:rsidR="0095459C" w:rsidRPr="0095459C">
          <w:rPr>
            <w:rStyle w:val="Lienhypertexte"/>
            <w:rFonts w:asciiTheme="majorBidi" w:eastAsia="Times New Roman" w:hAnsiTheme="majorBidi" w:cstheme="majorBidi"/>
            <w:b/>
            <w:bCs/>
            <w:noProof/>
            <w:sz w:val="24"/>
            <w:szCs w:val="24"/>
            <w:lang w:eastAsia="fr-FR"/>
          </w:rPr>
          <w:t>Tableau 13 :</w:t>
        </w:r>
        <w:r w:rsidR="0095459C" w:rsidRPr="0095459C">
          <w:rPr>
            <w:rStyle w:val="Lienhypertexte"/>
            <w:rFonts w:asciiTheme="majorBidi" w:eastAsia="Times New Roman" w:hAnsiTheme="majorBidi" w:cstheme="majorBidi"/>
            <w:noProof/>
            <w:sz w:val="24"/>
            <w:szCs w:val="24"/>
            <w:lang w:eastAsia="fr-FR"/>
          </w:rPr>
          <w:t xml:space="preserve"> Profil professionnel et présentation de l’entreprise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_Toc230400751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123</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2" w:history="1">
        <w:r w:rsidR="0095459C" w:rsidRPr="0095459C">
          <w:rPr>
            <w:rStyle w:val="Lienhypertexte"/>
            <w:rFonts w:asciiTheme="majorBidi" w:eastAsia="Times New Roman" w:hAnsiTheme="majorBidi" w:cstheme="majorBidi"/>
            <w:b/>
            <w:bCs/>
            <w:noProof/>
            <w:sz w:val="24"/>
            <w:szCs w:val="24"/>
            <w:lang w:eastAsia="fr-FR"/>
          </w:rPr>
          <w:t>Tableau 14 : Mise en œuvre du système de production biologique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_Toc230400752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124</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3" w:history="1">
        <w:r w:rsidR="0095459C" w:rsidRPr="0095459C">
          <w:rPr>
            <w:rStyle w:val="Lienhypertexte"/>
            <w:rFonts w:asciiTheme="majorBidi" w:hAnsiTheme="majorBidi" w:cstheme="majorBidi"/>
            <w:b/>
            <w:bCs/>
            <w:noProof/>
            <w:sz w:val="24"/>
            <w:szCs w:val="24"/>
          </w:rPr>
          <w:t xml:space="preserve">Tableau 15 : </w:t>
        </w:r>
        <w:r w:rsidR="0095459C" w:rsidRPr="0095459C">
          <w:rPr>
            <w:rStyle w:val="Lienhypertexte"/>
            <w:rFonts w:asciiTheme="majorBidi" w:hAnsiTheme="majorBidi" w:cstheme="majorBidi"/>
            <w:noProof/>
            <w:sz w:val="24"/>
            <w:szCs w:val="24"/>
          </w:rPr>
          <w:t>Certifications et conformité aux normes internationales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_Toc230400753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127</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4" w:history="1">
        <w:r w:rsidR="0095459C" w:rsidRPr="0095459C">
          <w:rPr>
            <w:rStyle w:val="Lienhypertexte"/>
            <w:rFonts w:asciiTheme="majorBidi" w:hAnsiTheme="majorBidi" w:cstheme="majorBidi"/>
            <w:b/>
            <w:bCs/>
            <w:noProof/>
            <w:kern w:val="2"/>
            <w:sz w:val="24"/>
            <w:szCs w:val="24"/>
          </w:rPr>
          <w:t>Tableau 16 :</w:t>
        </w:r>
        <w:r w:rsidR="0095459C" w:rsidRPr="0095459C">
          <w:rPr>
            <w:rStyle w:val="Lienhypertexte"/>
            <w:rFonts w:asciiTheme="majorBidi" w:hAnsiTheme="majorBidi" w:cstheme="majorBidi"/>
            <w:noProof/>
            <w:kern w:val="2"/>
            <w:sz w:val="24"/>
            <w:szCs w:val="24"/>
          </w:rPr>
          <w:t xml:space="preserve"> Étapes de production de l’huile d’olive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_Toc230400754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128</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5" w:history="1">
        <w:r w:rsidR="0095459C" w:rsidRPr="0095459C">
          <w:rPr>
            <w:rStyle w:val="Lienhypertexte"/>
            <w:rFonts w:asciiTheme="majorBidi" w:hAnsiTheme="majorBidi" w:cstheme="majorBidi"/>
            <w:b/>
            <w:bCs/>
            <w:noProof/>
            <w:sz w:val="24"/>
            <w:szCs w:val="24"/>
          </w:rPr>
          <w:t xml:space="preserve">Tableau 17 : </w:t>
        </w:r>
        <w:r w:rsidR="0095459C" w:rsidRPr="0095459C">
          <w:rPr>
            <w:rStyle w:val="Lienhypertexte"/>
            <w:rFonts w:asciiTheme="majorBidi" w:hAnsiTheme="majorBidi" w:cstheme="majorBidi"/>
            <w:noProof/>
            <w:sz w:val="24"/>
            <w:szCs w:val="24"/>
          </w:rPr>
          <w:t>Stockage et conditionnement</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_Toc230400755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129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6" w:history="1">
        <w:r w:rsidR="0095459C" w:rsidRPr="0095459C">
          <w:rPr>
            <w:rStyle w:val="Lienhypertexte"/>
            <w:rFonts w:asciiTheme="majorBidi" w:hAnsiTheme="majorBidi" w:cstheme="majorBidi"/>
            <w:b/>
            <w:bCs/>
            <w:noProof/>
            <w:kern w:val="2"/>
            <w:sz w:val="24"/>
            <w:szCs w:val="24"/>
          </w:rPr>
          <w:t xml:space="preserve">Tableau 18 : </w:t>
        </w:r>
        <w:r w:rsidR="0095459C" w:rsidRPr="0095459C">
          <w:rPr>
            <w:rStyle w:val="Lienhypertexte"/>
            <w:rFonts w:asciiTheme="majorBidi" w:hAnsiTheme="majorBidi" w:cstheme="majorBidi"/>
            <w:noProof/>
            <w:kern w:val="2"/>
            <w:sz w:val="24"/>
            <w:szCs w:val="24"/>
          </w:rPr>
          <w:t>Normes et exigences de qualité</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_Toc230400756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131</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7" w:history="1">
        <w:r w:rsidR="0095459C" w:rsidRPr="0095459C">
          <w:rPr>
            <w:rStyle w:val="Lienhypertexte"/>
            <w:rFonts w:asciiTheme="majorBidi" w:hAnsiTheme="majorBidi" w:cstheme="majorBidi"/>
            <w:b/>
            <w:bCs/>
            <w:noProof/>
            <w:kern w:val="2"/>
            <w:sz w:val="24"/>
            <w:szCs w:val="24"/>
          </w:rPr>
          <w:t>Tableau 19 :</w:t>
        </w:r>
        <w:r w:rsidR="0095459C" w:rsidRPr="0095459C">
          <w:rPr>
            <w:rStyle w:val="Lienhypertexte"/>
            <w:rFonts w:asciiTheme="majorBidi" w:hAnsiTheme="majorBidi" w:cstheme="majorBidi"/>
            <w:noProof/>
            <w:kern w:val="2"/>
            <w:sz w:val="24"/>
            <w:szCs w:val="24"/>
          </w:rPr>
          <w:t xml:space="preserve"> Contrôle qualité</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_Toc230400757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132</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8" w:history="1">
        <w:r w:rsidR="0095459C" w:rsidRPr="0095459C">
          <w:rPr>
            <w:rStyle w:val="Lienhypertexte"/>
            <w:rFonts w:asciiTheme="majorBidi" w:hAnsiTheme="majorBidi" w:cstheme="majorBidi"/>
            <w:b/>
            <w:bCs/>
            <w:noProof/>
            <w:sz w:val="24"/>
            <w:szCs w:val="24"/>
          </w:rPr>
          <w:t xml:space="preserve">Tableau 20 : </w:t>
        </w:r>
        <w:r w:rsidR="0095459C" w:rsidRPr="0095459C">
          <w:rPr>
            <w:rStyle w:val="Lienhypertexte"/>
            <w:rFonts w:asciiTheme="majorBidi" w:hAnsiTheme="majorBidi" w:cstheme="majorBidi"/>
            <w:noProof/>
            <w:sz w:val="24"/>
            <w:szCs w:val="24"/>
          </w:rPr>
          <w:t>Impact des récompenses internationales sur la notoriété de la marque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_Toc230400758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133</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59" w:history="1">
        <w:r w:rsidR="0095459C" w:rsidRPr="0095459C">
          <w:rPr>
            <w:rStyle w:val="Lienhypertexte"/>
            <w:rFonts w:asciiTheme="majorBidi" w:hAnsiTheme="majorBidi" w:cstheme="majorBidi"/>
            <w:b/>
            <w:bCs/>
            <w:noProof/>
            <w:kern w:val="2"/>
            <w:sz w:val="24"/>
            <w:szCs w:val="24"/>
          </w:rPr>
          <w:t xml:space="preserve">Tableau 21 : </w:t>
        </w:r>
        <w:r w:rsidR="0095459C" w:rsidRPr="0095459C">
          <w:rPr>
            <w:rStyle w:val="Lienhypertexte"/>
            <w:rFonts w:asciiTheme="majorBidi" w:hAnsiTheme="majorBidi" w:cstheme="majorBidi"/>
            <w:noProof/>
            <w:kern w:val="2"/>
            <w:sz w:val="24"/>
            <w:szCs w:val="24"/>
          </w:rPr>
          <w:t>Produit et image de marque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_Toc230400759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134</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0" w:history="1">
        <w:r w:rsidR="0095459C" w:rsidRPr="0095459C">
          <w:rPr>
            <w:rStyle w:val="Lienhypertexte"/>
            <w:rFonts w:asciiTheme="majorBidi" w:hAnsiTheme="majorBidi" w:cstheme="majorBidi"/>
            <w:b/>
            <w:bCs/>
            <w:noProof/>
            <w:sz w:val="24"/>
            <w:szCs w:val="24"/>
          </w:rPr>
          <w:t xml:space="preserve">Tableau 22 : </w:t>
        </w:r>
        <w:r w:rsidR="0095459C" w:rsidRPr="0095459C">
          <w:rPr>
            <w:rStyle w:val="Lienhypertexte"/>
            <w:rFonts w:asciiTheme="majorBidi" w:hAnsiTheme="majorBidi" w:cstheme="majorBidi"/>
            <w:noProof/>
            <w:sz w:val="24"/>
            <w:szCs w:val="24"/>
          </w:rPr>
          <w:t>Prix, distribution et promotion</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_Toc230400760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136</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1" w:history="1">
        <w:r w:rsidR="0095459C" w:rsidRPr="0095459C">
          <w:rPr>
            <w:rStyle w:val="Lienhypertexte"/>
            <w:rFonts w:asciiTheme="majorBidi" w:hAnsiTheme="majorBidi" w:cstheme="majorBidi"/>
            <w:b/>
            <w:bCs/>
            <w:noProof/>
            <w:sz w:val="24"/>
            <w:szCs w:val="24"/>
          </w:rPr>
          <w:t xml:space="preserve">Tableau 23 : </w:t>
        </w:r>
        <w:r w:rsidR="0095459C" w:rsidRPr="0095459C">
          <w:rPr>
            <w:rStyle w:val="Lienhypertexte"/>
            <w:rFonts w:asciiTheme="majorBidi" w:hAnsiTheme="majorBidi" w:cstheme="majorBidi"/>
            <w:noProof/>
            <w:sz w:val="24"/>
            <w:szCs w:val="24"/>
          </w:rPr>
          <w:t>Contraintes et défis de l’entreprise Dahbia</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_Toc230400761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138</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2" w:history="1">
        <w:r w:rsidR="0095459C" w:rsidRPr="0095459C">
          <w:rPr>
            <w:rStyle w:val="Lienhypertexte"/>
            <w:rFonts w:asciiTheme="majorBidi" w:hAnsiTheme="majorBidi" w:cstheme="majorBidi"/>
            <w:b/>
            <w:bCs/>
            <w:noProof/>
            <w:kern w:val="2"/>
            <w:sz w:val="24"/>
            <w:szCs w:val="24"/>
          </w:rPr>
          <w:t xml:space="preserve">Tableau 24 : </w:t>
        </w:r>
        <w:r w:rsidR="0095459C" w:rsidRPr="0095459C">
          <w:rPr>
            <w:rStyle w:val="Lienhypertexte"/>
            <w:rFonts w:asciiTheme="majorBidi" w:hAnsiTheme="majorBidi" w:cstheme="majorBidi"/>
            <w:noProof/>
            <w:kern w:val="2"/>
            <w:sz w:val="24"/>
            <w:szCs w:val="24"/>
          </w:rPr>
          <w:t>Perspectives de développement et stratégies futures de l’entreprise Dahbia</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_Toc230400762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139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3" w:history="1">
        <w:r w:rsidR="0095459C" w:rsidRPr="0095459C">
          <w:rPr>
            <w:rStyle w:val="Lienhypertexte"/>
            <w:rFonts w:asciiTheme="majorBidi" w:hAnsiTheme="majorBidi" w:cstheme="majorBidi"/>
            <w:b/>
            <w:bCs/>
            <w:noProof/>
            <w:sz w:val="24"/>
            <w:szCs w:val="24"/>
            <w:lang w:eastAsia="fr-FR" w:bidi="ar-DZ"/>
          </w:rPr>
          <w:t>Tableau 25 :</w:t>
        </w:r>
        <w:r w:rsidR="0095459C" w:rsidRPr="0095459C">
          <w:rPr>
            <w:rStyle w:val="Lienhypertexte"/>
            <w:rFonts w:asciiTheme="majorBidi" w:hAnsiTheme="majorBidi" w:cstheme="majorBidi"/>
            <w:noProof/>
            <w:sz w:val="24"/>
            <w:szCs w:val="24"/>
            <w:lang w:eastAsia="fr-FR" w:bidi="ar-DZ"/>
          </w:rPr>
          <w:t xml:space="preserve"> l’échelle de mesure selon « LIKERT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_Toc230400763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143</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4" w:history="1">
        <w:r w:rsidR="0095459C" w:rsidRPr="0095459C">
          <w:rPr>
            <w:rStyle w:val="Lienhypertexte"/>
            <w:rFonts w:asciiTheme="majorBidi" w:hAnsiTheme="majorBidi" w:cstheme="majorBidi"/>
            <w:b/>
            <w:bCs/>
            <w:noProof/>
            <w:sz w:val="24"/>
            <w:szCs w:val="24"/>
            <w:lang w:eastAsia="fr-FR" w:bidi="ar-DZ"/>
          </w:rPr>
          <w:t>Tableau 26 :</w:t>
        </w:r>
        <w:r w:rsidR="0095459C" w:rsidRPr="0095459C">
          <w:rPr>
            <w:rStyle w:val="Lienhypertexte"/>
            <w:rFonts w:asciiTheme="majorBidi" w:hAnsiTheme="majorBidi" w:cstheme="majorBidi"/>
            <w:noProof/>
            <w:sz w:val="24"/>
            <w:szCs w:val="24"/>
            <w:lang w:eastAsia="fr-FR" w:bidi="ar-DZ"/>
          </w:rPr>
          <w:t xml:space="preserve"> Répartition de l’échantillon de recherche selon le genre des répondants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_Toc230400764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145</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5" w:history="1">
        <w:r w:rsidR="0095459C" w:rsidRPr="0095459C">
          <w:rPr>
            <w:rStyle w:val="Lienhypertexte"/>
            <w:rFonts w:asciiTheme="majorBidi" w:hAnsiTheme="majorBidi" w:cstheme="majorBidi"/>
            <w:b/>
            <w:bCs/>
            <w:noProof/>
            <w:sz w:val="24"/>
            <w:szCs w:val="24"/>
          </w:rPr>
          <w:t xml:space="preserve">Tableau 27 :  </w:t>
        </w:r>
        <w:r w:rsidR="0095459C" w:rsidRPr="0095459C">
          <w:rPr>
            <w:rStyle w:val="Lienhypertexte"/>
            <w:rFonts w:asciiTheme="majorBidi" w:hAnsiTheme="majorBidi" w:cstheme="majorBidi"/>
            <w:noProof/>
            <w:sz w:val="24"/>
            <w:szCs w:val="24"/>
          </w:rPr>
          <w:t>Répartition de l’échantillon de recherche selon l’Age des répondants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_Toc230400765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145</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6" w:history="1">
        <w:r w:rsidR="0095459C" w:rsidRPr="0095459C">
          <w:rPr>
            <w:rStyle w:val="Lienhypertexte"/>
            <w:rFonts w:asciiTheme="majorBidi" w:hAnsiTheme="majorBidi" w:cstheme="majorBidi"/>
            <w:b/>
            <w:bCs/>
            <w:noProof/>
            <w:sz w:val="24"/>
            <w:szCs w:val="24"/>
          </w:rPr>
          <w:t xml:space="preserve">Tableau 28 : </w:t>
        </w:r>
        <w:r w:rsidR="0095459C" w:rsidRPr="0095459C">
          <w:rPr>
            <w:rStyle w:val="Lienhypertexte"/>
            <w:rFonts w:asciiTheme="majorBidi" w:hAnsiTheme="majorBidi" w:cstheme="majorBidi"/>
            <w:noProof/>
            <w:sz w:val="24"/>
            <w:szCs w:val="24"/>
          </w:rPr>
          <w:t>Répartition de l’échantillon de recherche selon le niveau d’étude des répondants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_Toc230400766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146</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7" w:history="1">
        <w:r w:rsidR="0095459C" w:rsidRPr="0095459C">
          <w:rPr>
            <w:rStyle w:val="Lienhypertexte"/>
            <w:rFonts w:asciiTheme="majorBidi" w:hAnsiTheme="majorBidi" w:cstheme="majorBidi"/>
            <w:b/>
            <w:bCs/>
            <w:noProof/>
            <w:sz w:val="24"/>
            <w:szCs w:val="24"/>
          </w:rPr>
          <w:t>Tableau 29 :</w:t>
        </w:r>
        <w:r w:rsidR="0095459C" w:rsidRPr="0095459C">
          <w:rPr>
            <w:rStyle w:val="Lienhypertexte"/>
            <w:rFonts w:asciiTheme="majorBidi" w:hAnsiTheme="majorBidi" w:cstheme="majorBidi"/>
            <w:noProof/>
            <w:sz w:val="24"/>
            <w:szCs w:val="24"/>
          </w:rPr>
          <w:t xml:space="preserve"> Répartition de l’échantillon de recherche selon le niveau d’étude des répondants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_Toc230400767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147</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8" w:history="1">
        <w:r w:rsidR="0095459C" w:rsidRPr="0095459C">
          <w:rPr>
            <w:rStyle w:val="Lienhypertexte"/>
            <w:rFonts w:asciiTheme="majorBidi" w:hAnsiTheme="majorBidi" w:cstheme="majorBidi"/>
            <w:b/>
            <w:bCs/>
            <w:noProof/>
            <w:sz w:val="24"/>
            <w:szCs w:val="24"/>
          </w:rPr>
          <w:t>Tableau 30 :</w:t>
        </w:r>
        <w:r w:rsidR="0095459C" w:rsidRPr="0095459C">
          <w:rPr>
            <w:rStyle w:val="Lienhypertexte"/>
            <w:rFonts w:asciiTheme="majorBidi" w:hAnsiTheme="majorBidi" w:cstheme="majorBidi"/>
            <w:noProof/>
            <w:sz w:val="24"/>
            <w:szCs w:val="24"/>
          </w:rPr>
          <w:t xml:space="preserve"> Analyse de fiabilité de questionnaire (Le test total d’Alpha Cronbach)</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_Toc230400768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148</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69" w:history="1">
        <w:r w:rsidR="0095459C" w:rsidRPr="0095459C">
          <w:rPr>
            <w:rStyle w:val="Lienhypertexte"/>
            <w:rFonts w:asciiTheme="majorBidi" w:hAnsiTheme="majorBidi" w:cstheme="majorBidi"/>
            <w:b/>
            <w:bCs/>
            <w:noProof/>
            <w:sz w:val="24"/>
            <w:szCs w:val="24"/>
          </w:rPr>
          <w:t xml:space="preserve">Tableau 31 : </w:t>
        </w:r>
        <w:r w:rsidR="0095459C" w:rsidRPr="0095459C">
          <w:rPr>
            <w:rStyle w:val="Lienhypertexte"/>
            <w:rFonts w:asciiTheme="majorBidi" w:hAnsiTheme="majorBidi" w:cstheme="majorBidi"/>
            <w:noProof/>
            <w:sz w:val="24"/>
            <w:szCs w:val="24"/>
          </w:rPr>
          <w:t>Coefficient de fiabilité des axes de marketing des produits biologiques.</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_Toc230400769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0" w:history="1">
        <w:r w:rsidR="0095459C" w:rsidRPr="0095459C">
          <w:rPr>
            <w:rStyle w:val="Lienhypertexte"/>
            <w:rFonts w:asciiTheme="majorBidi" w:hAnsiTheme="majorBidi" w:cstheme="majorBidi"/>
            <w:b/>
            <w:bCs/>
            <w:noProof/>
            <w:sz w:val="24"/>
            <w:szCs w:val="24"/>
          </w:rPr>
          <w:t>Tableau 32 :</w:t>
        </w:r>
        <w:r w:rsidR="0095459C" w:rsidRPr="0095459C">
          <w:rPr>
            <w:rStyle w:val="Lienhypertexte"/>
            <w:rFonts w:asciiTheme="majorBidi" w:hAnsiTheme="majorBidi" w:cstheme="majorBidi"/>
            <w:noProof/>
            <w:sz w:val="24"/>
            <w:szCs w:val="24"/>
          </w:rPr>
          <w:t xml:space="preserve"> Le poids de l’échelle de LIKERT</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_Toc230400770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149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1" w:history="1">
        <w:r w:rsidR="0095459C" w:rsidRPr="0095459C">
          <w:rPr>
            <w:rStyle w:val="Lienhypertexte"/>
            <w:rFonts w:asciiTheme="majorBidi" w:hAnsiTheme="majorBidi" w:cstheme="majorBidi"/>
            <w:b/>
            <w:bCs/>
            <w:noProof/>
            <w:sz w:val="24"/>
            <w:szCs w:val="24"/>
          </w:rPr>
          <w:t>Tableau 33 :</w:t>
        </w:r>
        <w:r w:rsidR="0095459C" w:rsidRPr="0095459C">
          <w:rPr>
            <w:rStyle w:val="Lienhypertexte"/>
            <w:rFonts w:asciiTheme="majorBidi" w:hAnsiTheme="majorBidi" w:cstheme="majorBidi"/>
            <w:noProof/>
            <w:sz w:val="24"/>
            <w:szCs w:val="24"/>
          </w:rPr>
          <w:t xml:space="preserve"> Analyse statistique descriptive des données de premier l’axe « l’Abel biologique/produit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_Toc230400771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150</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2" w:history="1">
        <w:r w:rsidR="0095459C" w:rsidRPr="0095459C">
          <w:rPr>
            <w:rStyle w:val="Lienhypertexte"/>
            <w:rFonts w:asciiTheme="majorBidi" w:hAnsiTheme="majorBidi" w:cstheme="majorBidi"/>
            <w:b/>
            <w:bCs/>
            <w:noProof/>
            <w:sz w:val="24"/>
            <w:szCs w:val="24"/>
          </w:rPr>
          <w:t>Tableau 34 :</w:t>
        </w:r>
        <w:r w:rsidR="0095459C" w:rsidRPr="0095459C">
          <w:rPr>
            <w:rStyle w:val="Lienhypertexte"/>
            <w:rFonts w:asciiTheme="majorBidi" w:hAnsiTheme="majorBidi" w:cstheme="majorBidi"/>
            <w:noProof/>
            <w:sz w:val="24"/>
            <w:szCs w:val="24"/>
          </w:rPr>
          <w:t xml:space="preserve"> Analyse statistique descriptive des données de deuxième axe « le prix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_Toc230400772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151</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3" w:history="1">
        <w:r w:rsidR="0095459C" w:rsidRPr="0095459C">
          <w:rPr>
            <w:rStyle w:val="Lienhypertexte"/>
            <w:rFonts w:asciiTheme="majorBidi" w:hAnsiTheme="majorBidi" w:cstheme="majorBidi"/>
            <w:b/>
            <w:bCs/>
            <w:noProof/>
            <w:sz w:val="24"/>
            <w:szCs w:val="24"/>
          </w:rPr>
          <w:t>Tableau 35 :</w:t>
        </w:r>
        <w:r w:rsidR="0095459C" w:rsidRPr="0095459C">
          <w:rPr>
            <w:rStyle w:val="Lienhypertexte"/>
            <w:rFonts w:asciiTheme="majorBidi" w:hAnsiTheme="majorBidi" w:cstheme="majorBidi"/>
            <w:noProof/>
            <w:sz w:val="24"/>
            <w:szCs w:val="24"/>
          </w:rPr>
          <w:t xml:space="preserve"> Analyse statistique descriptive des données de troisième axe « la promotion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_Toc230400773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152</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4" w:history="1">
        <w:r w:rsidR="0095459C" w:rsidRPr="0095459C">
          <w:rPr>
            <w:rStyle w:val="Lienhypertexte"/>
            <w:rFonts w:asciiTheme="majorBidi" w:hAnsiTheme="majorBidi" w:cstheme="majorBidi"/>
            <w:b/>
            <w:bCs/>
            <w:noProof/>
            <w:sz w:val="24"/>
            <w:szCs w:val="24"/>
          </w:rPr>
          <w:t>Tableau 36 :</w:t>
        </w:r>
        <w:r w:rsidR="0095459C" w:rsidRPr="0095459C">
          <w:rPr>
            <w:rStyle w:val="Lienhypertexte"/>
            <w:rFonts w:asciiTheme="majorBidi" w:hAnsiTheme="majorBidi" w:cstheme="majorBidi"/>
            <w:noProof/>
            <w:sz w:val="24"/>
            <w:szCs w:val="24"/>
          </w:rPr>
          <w:t xml:space="preserve"> Analyse statistique descriptive des données de quatrième axe « distribution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_Toc230400774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153</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5" w:history="1">
        <w:r w:rsidR="0095459C" w:rsidRPr="0095459C">
          <w:rPr>
            <w:rStyle w:val="Lienhypertexte"/>
            <w:rFonts w:asciiTheme="majorBidi" w:hAnsiTheme="majorBidi" w:cstheme="majorBidi"/>
            <w:b/>
            <w:bCs/>
            <w:noProof/>
            <w:sz w:val="24"/>
            <w:szCs w:val="24"/>
          </w:rPr>
          <w:t>Tableau 37 :</w:t>
        </w:r>
        <w:r w:rsidR="0095459C" w:rsidRPr="0095459C">
          <w:rPr>
            <w:rStyle w:val="Lienhypertexte"/>
            <w:rFonts w:asciiTheme="majorBidi" w:hAnsiTheme="majorBidi" w:cstheme="majorBidi"/>
            <w:noProof/>
            <w:sz w:val="24"/>
            <w:szCs w:val="24"/>
          </w:rPr>
          <w:t xml:space="preserve"> Degré globale de la partie de la variable indépendante « le marketing des produits biologiques ».</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_Toc230400775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154</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6" w:history="1">
        <w:r w:rsidR="0095459C" w:rsidRPr="0095459C">
          <w:rPr>
            <w:rStyle w:val="Lienhypertexte"/>
            <w:rFonts w:asciiTheme="majorBidi" w:eastAsia="Times New Roman" w:hAnsiTheme="majorBidi" w:cstheme="majorBidi"/>
            <w:b/>
            <w:bCs/>
            <w:noProof/>
            <w:sz w:val="24"/>
            <w:szCs w:val="24"/>
            <w:lang w:eastAsia="fr-FR"/>
          </w:rPr>
          <w:t>Tableau 38 :</w:t>
        </w:r>
        <w:r w:rsidR="0095459C" w:rsidRPr="0095459C">
          <w:rPr>
            <w:rStyle w:val="Lienhypertexte"/>
            <w:rFonts w:asciiTheme="majorBidi" w:eastAsia="Times New Roman" w:hAnsiTheme="majorBidi" w:cstheme="majorBidi"/>
            <w:noProof/>
            <w:sz w:val="24"/>
            <w:szCs w:val="24"/>
            <w:lang w:eastAsia="fr-FR"/>
          </w:rPr>
          <w:t xml:space="preserve"> Coefficient de corrélation et l’ANOVA</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_Toc230400776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169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7" w:history="1">
        <w:r w:rsidR="0095459C" w:rsidRPr="0095459C">
          <w:rPr>
            <w:rStyle w:val="Lienhypertexte"/>
            <w:rFonts w:asciiTheme="majorBidi" w:hAnsiTheme="majorBidi" w:cstheme="majorBidi"/>
            <w:b/>
            <w:bCs/>
            <w:noProof/>
            <w:kern w:val="2"/>
            <w:sz w:val="24"/>
            <w:szCs w:val="24"/>
          </w:rPr>
          <w:t>Tableau 39 :</w:t>
        </w:r>
        <w:r w:rsidR="0095459C" w:rsidRPr="0095459C">
          <w:rPr>
            <w:rStyle w:val="Lienhypertexte"/>
            <w:rFonts w:asciiTheme="majorBidi" w:hAnsiTheme="majorBidi" w:cstheme="majorBidi"/>
            <w:noProof/>
            <w:kern w:val="2"/>
            <w:sz w:val="24"/>
            <w:szCs w:val="24"/>
          </w:rPr>
          <w:t xml:space="preserve"> Coefficients de régression linéaire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_Toc230400777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169</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8" w:history="1">
        <w:r w:rsidR="0095459C" w:rsidRPr="0095459C">
          <w:rPr>
            <w:rStyle w:val="Lienhypertexte"/>
            <w:rFonts w:asciiTheme="majorBidi" w:eastAsia="Times New Roman" w:hAnsiTheme="majorBidi" w:cstheme="majorBidi"/>
            <w:b/>
            <w:bCs/>
            <w:noProof/>
            <w:sz w:val="24"/>
            <w:szCs w:val="24"/>
            <w:lang w:eastAsia="fr-FR"/>
          </w:rPr>
          <w:t>Tableau 40 :</w:t>
        </w:r>
        <w:r w:rsidR="0095459C" w:rsidRPr="0095459C">
          <w:rPr>
            <w:rStyle w:val="Lienhypertexte"/>
            <w:rFonts w:asciiTheme="majorBidi" w:eastAsia="Times New Roman" w:hAnsiTheme="majorBidi" w:cstheme="majorBidi"/>
            <w:noProof/>
            <w:sz w:val="24"/>
            <w:szCs w:val="24"/>
            <w:lang w:eastAsia="fr-FR"/>
          </w:rPr>
          <w:t xml:space="preserve"> Coefficient de corrélation et l’ANOVA</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_Toc230400778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171</w:t>
        </w:r>
        <w:r w:rsidRPr="0095459C">
          <w:rPr>
            <w:rFonts w:asciiTheme="majorBidi" w:hAnsiTheme="majorBidi" w:cstheme="majorBidi"/>
            <w:noProof/>
            <w:webHidden/>
            <w:sz w:val="24"/>
            <w:szCs w:val="24"/>
          </w:rPr>
          <w:fldChar w:fldCharType="end"/>
        </w:r>
      </w:hyperlink>
    </w:p>
    <w:p w:rsidR="0095459C" w:rsidRPr="0095459C" w:rsidRDefault="007B5998" w:rsidP="0095459C">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400779" w:history="1">
        <w:r w:rsidR="0095459C" w:rsidRPr="0095459C">
          <w:rPr>
            <w:rStyle w:val="Lienhypertexte"/>
            <w:rFonts w:asciiTheme="majorBidi" w:eastAsia="Times New Roman" w:hAnsiTheme="majorBidi" w:cstheme="majorBidi"/>
            <w:b/>
            <w:bCs/>
            <w:noProof/>
            <w:sz w:val="24"/>
            <w:szCs w:val="24"/>
            <w:lang w:eastAsia="fr-FR"/>
          </w:rPr>
          <w:t xml:space="preserve">Tableau 41 : </w:t>
        </w:r>
        <w:r w:rsidR="0095459C" w:rsidRPr="0095459C">
          <w:rPr>
            <w:rStyle w:val="Lienhypertexte"/>
            <w:rFonts w:asciiTheme="majorBidi" w:eastAsia="Times New Roman" w:hAnsiTheme="majorBidi" w:cstheme="majorBidi"/>
            <w:noProof/>
            <w:sz w:val="24"/>
            <w:szCs w:val="24"/>
            <w:lang w:eastAsia="fr-FR"/>
          </w:rPr>
          <w:t>Coefficients de régression linéaire</w:t>
        </w:r>
        <w:r w:rsidR="0095459C" w:rsidRPr="0095459C">
          <w:rPr>
            <w:rFonts w:asciiTheme="majorBidi" w:hAnsiTheme="majorBidi" w:cstheme="majorBidi"/>
            <w:noProof/>
            <w:webHidden/>
            <w:sz w:val="24"/>
            <w:szCs w:val="24"/>
          </w:rPr>
          <w:tab/>
        </w:r>
        <w:r w:rsidRPr="0095459C">
          <w:rPr>
            <w:rFonts w:asciiTheme="majorBidi" w:hAnsiTheme="majorBidi" w:cstheme="majorBidi"/>
            <w:noProof/>
            <w:webHidden/>
            <w:sz w:val="24"/>
            <w:szCs w:val="24"/>
          </w:rPr>
          <w:fldChar w:fldCharType="begin"/>
        </w:r>
        <w:r w:rsidR="0095459C" w:rsidRPr="0095459C">
          <w:rPr>
            <w:rFonts w:asciiTheme="majorBidi" w:hAnsiTheme="majorBidi" w:cstheme="majorBidi"/>
            <w:noProof/>
            <w:webHidden/>
            <w:sz w:val="24"/>
            <w:szCs w:val="24"/>
          </w:rPr>
          <w:instrText xml:space="preserve"> PAGEREF _Toc230400779 \h </w:instrText>
        </w:r>
        <w:r w:rsidRPr="0095459C">
          <w:rPr>
            <w:rFonts w:asciiTheme="majorBidi" w:hAnsiTheme="majorBidi" w:cstheme="majorBidi"/>
            <w:noProof/>
            <w:webHidden/>
            <w:sz w:val="24"/>
            <w:szCs w:val="24"/>
          </w:rPr>
        </w:r>
        <w:r w:rsidRPr="0095459C">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172</w:t>
        </w:r>
        <w:r w:rsidRPr="0095459C">
          <w:rPr>
            <w:rFonts w:asciiTheme="majorBidi" w:hAnsiTheme="majorBidi" w:cstheme="majorBidi"/>
            <w:noProof/>
            <w:webHidden/>
            <w:sz w:val="24"/>
            <w:szCs w:val="24"/>
          </w:rPr>
          <w:fldChar w:fldCharType="end"/>
        </w:r>
      </w:hyperlink>
    </w:p>
    <w:p w:rsidR="00147113" w:rsidRDefault="007B5998" w:rsidP="0095459C">
      <w:pPr>
        <w:spacing w:line="360" w:lineRule="auto"/>
        <w:jc w:val="lowKashida"/>
        <w:rPr>
          <w:sz w:val="48"/>
          <w:szCs w:val="48"/>
        </w:rPr>
      </w:pPr>
      <w:r w:rsidRPr="0095459C">
        <w:rPr>
          <w:rFonts w:asciiTheme="majorBidi" w:hAnsiTheme="majorBidi" w:cstheme="majorBidi"/>
          <w:sz w:val="24"/>
          <w:szCs w:val="24"/>
        </w:rPr>
        <w:fldChar w:fldCharType="end"/>
      </w: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650768" w:rsidRDefault="00650768" w:rsidP="00650768">
      <w:pPr>
        <w:tabs>
          <w:tab w:val="left" w:pos="7656"/>
        </w:tabs>
        <w:rPr>
          <w:sz w:val="48"/>
          <w:szCs w:val="48"/>
        </w:rPr>
        <w:sectPr w:rsidR="00650768" w:rsidSect="00EA0836">
          <w:footerReference w:type="default" r:id="rId16"/>
          <w:footnotePr>
            <w:numRestart w:val="eachPage"/>
          </w:footnotePr>
          <w:pgSz w:w="11906" w:h="16838"/>
          <w:pgMar w:top="1417" w:right="1417" w:bottom="1417" w:left="1417" w:header="720" w:footer="720" w:gutter="0"/>
          <w:pgNumType w:fmt="upperRoman"/>
          <w:cols w:space="720"/>
        </w:sect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7B5998" w:rsidP="00147113">
      <w:pPr>
        <w:rPr>
          <w:sz w:val="48"/>
          <w:szCs w:val="48"/>
        </w:rPr>
      </w:pPr>
      <w:r>
        <w:rPr>
          <w:noProof/>
          <w:sz w:val="48"/>
          <w:szCs w:val="48"/>
          <w:lang w:eastAsia="fr-FR"/>
        </w:rPr>
        <w:pict>
          <v:shape id="Zone de texte 13" o:spid="_x0000_s1028" type="#_x0000_t202" style="position:absolute;margin-left:35.95pt;margin-top:166.2pt;width:429.15pt;height:68.4pt;z-index:25176064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" filled="f" stroked="f" strokeweight=".5pt">
            <v:textbox>
              <w:txbxContent>
                <w:p w:rsidR="00B54D3C" w:rsidRPr="009A582D" w:rsidRDefault="00B54D3C" w:rsidP="009A582D">
                  <w:pPr>
                    <w:jc w:val="center"/>
                    <w:rPr>
                      <w:rFonts w:asciiTheme="majorBidi" w:hAnsiTheme="majorBidi" w:cstheme="majorBidi"/>
                      <w:b/>
                      <w:bCs/>
                      <w:sz w:val="48"/>
                      <w:szCs w:val="48"/>
                    </w:rPr>
                  </w:pPr>
                  <w:bookmarkStart w:id="3" w:name="_Toc230426275"/>
                  <w:r w:rsidRPr="009A582D">
                    <w:rPr>
                      <w:rFonts w:asciiTheme="majorBidi" w:hAnsiTheme="majorBidi" w:cstheme="majorBidi"/>
                      <w:b/>
                      <w:bCs/>
                      <w:sz w:val="48"/>
                      <w:szCs w:val="48"/>
                    </w:rPr>
                    <w:t>LISTE DES FIGURES</w:t>
                  </w:r>
                  <w:bookmarkEnd w:id="3"/>
                </w:p>
              </w:txbxContent>
            </v:textbox>
            <w10:wrap anchorx="margin"/>
          </v:shape>
        </w:pict>
      </w:r>
      <w:r>
        <w:rPr>
          <w:noProof/>
          <w:sz w:val="48"/>
          <w:szCs w:val="48"/>
          <w:lang w:eastAsia="fr-FR"/>
        </w:rPr>
        <w:pict>
          <v:shape id="_x0000_s1090" type="#_x0000_t98" style="position:absolute;margin-left:0;margin-top:48.55pt;width:465.5pt;height:292.5pt;z-index:-251557888;visibility:visible;mso-position-horizontal-relative:margin;v-text-anchor:middle" wrapcoords="20452 -55 20209 111 19826 665 19791 1717 696 2548 452 2658 -70 3268 -70 20603 70 21212 139 21323 591 21655 765 21655 904 21655 1043 21655 1530 21323 1774 20382 1774 19440 9809 19440 21461 18942 21461 18554 21670 17723 21635 665 21183 0 21009 -55 20452 -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" filled="f" strokecolor="black [3213]" strokeweight="2.25pt">
            <v:stroke joinstyle="miter"/>
            <v:shadow on="t" color="black" opacity="26214f" origin="-.5,.5" offset=".74836mm,-.74836mm"/>
            <w10:wrap type="tight" anchorx="margin"/>
          </v:shape>
        </w:pict>
      </w: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650768" w:rsidRDefault="00650768" w:rsidP="00147113">
      <w:pPr>
        <w:rPr>
          <w:sz w:val="48"/>
          <w:szCs w:val="48"/>
        </w:rPr>
        <w:sectPr w:rsidR="00650768" w:rsidSect="00EA0836">
          <w:footerReference w:type="default" r:id="rId17"/>
          <w:footnotePr>
            <w:numRestart w:val="eachPage"/>
          </w:footnotePr>
          <w:pgSz w:w="11906" w:h="16838"/>
          <w:pgMar w:top="1417" w:right="1417" w:bottom="1417" w:left="1417" w:header="720" w:footer="720" w:gutter="0"/>
          <w:pgBorders w:display="firstPage" w:offsetFrom="page">
            <w:top w:val="tornPaperBlack" w:sz="31" w:space="24" w:color="auto"/>
            <w:left w:val="tornPaperBlack" w:sz="31" w:space="24" w:color="auto"/>
            <w:bottom w:val="tornPaperBlack" w:sz="31" w:space="24" w:color="auto"/>
            <w:right w:val="tornPaperBlack" w:sz="31" w:space="24" w:color="auto"/>
          </w:pgBorders>
          <w:pgNumType w:fmt="upperRoman"/>
          <w:cols w:space="720"/>
        </w:sectPr>
      </w:pPr>
    </w:p>
    <w:p w:rsidR="00226F23" w:rsidRPr="009A582D" w:rsidRDefault="00226F23" w:rsidP="009A582D">
      <w:pPr>
        <w:pStyle w:val="Titre1"/>
        <w:spacing w:before="0" w:after="0" w:line="360" w:lineRule="auto"/>
        <w:jc w:val="center"/>
        <w:rPr>
          <w:rFonts w:asciiTheme="majorBidi" w:hAnsiTheme="majorBidi" w:cstheme="majorBidi"/>
          <w:b/>
          <w:bCs/>
          <w:color w:val="auto"/>
          <w:sz w:val="24"/>
          <w:szCs w:val="24"/>
        </w:rPr>
      </w:pPr>
      <w:bookmarkStart w:id="4" w:name="_Toc230558604"/>
      <w:bookmarkStart w:id="5" w:name="_Toc230900239"/>
      <w:bookmarkStart w:id="6" w:name="_Toc230900913"/>
      <w:r w:rsidRPr="009A582D">
        <w:rPr>
          <w:rFonts w:asciiTheme="majorBidi" w:hAnsiTheme="majorBidi" w:cstheme="majorBidi"/>
          <w:b/>
          <w:bCs/>
          <w:color w:val="auto"/>
          <w:sz w:val="24"/>
          <w:szCs w:val="24"/>
        </w:rPr>
        <w:lastRenderedPageBreak/>
        <w:t>Liste des figures</w:t>
      </w:r>
      <w:bookmarkEnd w:id="4"/>
      <w:bookmarkEnd w:id="5"/>
      <w:bookmarkEnd w:id="6"/>
    </w:p>
    <w:p w:rsidR="00226F23" w:rsidRPr="00226F23" w:rsidRDefault="007B5998" w:rsidP="00226F23">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r w:rsidRPr="00226F23">
        <w:rPr>
          <w:rFonts w:asciiTheme="majorBidi" w:hAnsiTheme="majorBidi" w:cstheme="majorBidi"/>
          <w:sz w:val="24"/>
          <w:szCs w:val="24"/>
        </w:rPr>
        <w:fldChar w:fldCharType="begin"/>
      </w:r>
      <w:r w:rsidR="00226F23" w:rsidRPr="00226F23">
        <w:rPr>
          <w:rFonts w:asciiTheme="majorBidi" w:hAnsiTheme="majorBidi" w:cstheme="majorBidi"/>
          <w:sz w:val="24"/>
          <w:szCs w:val="24"/>
        </w:rPr>
        <w:instrText xml:space="preserve"> TOC \h \z \c "Figure" </w:instrText>
      </w:r>
      <w:r w:rsidRPr="00226F23">
        <w:rPr>
          <w:rFonts w:asciiTheme="majorBidi" w:hAnsiTheme="majorBidi" w:cstheme="majorBidi"/>
          <w:sz w:val="24"/>
          <w:szCs w:val="24"/>
        </w:rPr>
        <w:fldChar w:fldCharType="separate"/>
      </w:r>
      <w:hyperlink w:anchor="_Toc230399437" w:history="1">
        <w:r w:rsidR="00226F23" w:rsidRPr="00226F23">
          <w:rPr>
            <w:rStyle w:val="Lienhypertexte"/>
            <w:rFonts w:asciiTheme="majorBidi" w:hAnsiTheme="majorBidi" w:cstheme="majorBidi"/>
            <w:b/>
            <w:bCs/>
            <w:noProof/>
            <w:sz w:val="24"/>
            <w:szCs w:val="24"/>
          </w:rPr>
          <w:t xml:space="preserve">Figure 1 : </w:t>
        </w:r>
        <w:r w:rsidR="00226F23" w:rsidRPr="00226F23">
          <w:rPr>
            <w:rStyle w:val="Lienhypertexte"/>
            <w:rFonts w:asciiTheme="majorBidi" w:hAnsiTheme="majorBidi" w:cstheme="majorBidi"/>
            <w:noProof/>
            <w:sz w:val="24"/>
            <w:szCs w:val="24"/>
          </w:rPr>
          <w:t>Recréation du processus de certification biologique USDA</w:t>
        </w:r>
        <w:r w:rsidR="00226F23" w:rsidRPr="00226F23">
          <w:rPr>
            <w:rFonts w:asciiTheme="majorBidi" w:hAnsiTheme="majorBidi" w:cstheme="majorBidi"/>
            <w:noProof/>
            <w:webHidden/>
            <w:sz w:val="24"/>
            <w:szCs w:val="24"/>
          </w:rPr>
          <w:tab/>
        </w:r>
        <w:r w:rsidRPr="00226F23">
          <w:rPr>
            <w:rFonts w:asciiTheme="majorBidi" w:hAnsiTheme="majorBidi" w:cstheme="majorBidi"/>
            <w:noProof/>
            <w:webHidden/>
            <w:sz w:val="24"/>
            <w:szCs w:val="24"/>
          </w:rPr>
          <w:fldChar w:fldCharType="begin"/>
        </w:r>
        <w:r w:rsidR="00226F23" w:rsidRPr="00226F23">
          <w:rPr>
            <w:rFonts w:asciiTheme="majorBidi" w:hAnsiTheme="majorBidi" w:cstheme="majorBidi"/>
            <w:noProof/>
            <w:webHidden/>
            <w:sz w:val="24"/>
            <w:szCs w:val="24"/>
          </w:rPr>
          <w:instrText xml:space="preserve"> PAGEREF _Toc230399437 \h </w:instrText>
        </w:r>
        <w:r w:rsidRPr="00226F23">
          <w:rPr>
            <w:rFonts w:asciiTheme="majorBidi" w:hAnsiTheme="majorBidi" w:cstheme="majorBidi"/>
            <w:noProof/>
            <w:webHidden/>
            <w:sz w:val="24"/>
            <w:szCs w:val="24"/>
          </w:rPr>
        </w:r>
        <w:r w:rsidRPr="00226F23">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36</w:t>
        </w:r>
        <w:r w:rsidRPr="00226F23">
          <w:rPr>
            <w:rFonts w:asciiTheme="majorBidi" w:hAnsiTheme="majorBidi" w:cstheme="majorBidi"/>
            <w:noProof/>
            <w:webHidden/>
            <w:sz w:val="24"/>
            <w:szCs w:val="24"/>
          </w:rPr>
          <w:fldChar w:fldCharType="end"/>
        </w:r>
      </w:hyperlink>
    </w:p>
    <w:p w:rsidR="00226F23" w:rsidRPr="00226F23" w:rsidRDefault="007B5998" w:rsidP="00226F23">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399438" w:history="1">
        <w:r w:rsidR="00226F23" w:rsidRPr="00226F23">
          <w:rPr>
            <w:rStyle w:val="Lienhypertexte"/>
            <w:rFonts w:asciiTheme="majorBidi" w:hAnsiTheme="majorBidi" w:cstheme="majorBidi"/>
            <w:b/>
            <w:bCs/>
            <w:noProof/>
            <w:sz w:val="24"/>
            <w:szCs w:val="24"/>
            <w:lang w:val="en-US"/>
          </w:rPr>
          <w:t>Figure 2 :</w:t>
        </w:r>
        <w:r w:rsidR="00226F23" w:rsidRPr="00226F23">
          <w:rPr>
            <w:rStyle w:val="Lienhypertexte"/>
            <w:rFonts w:asciiTheme="majorBidi" w:hAnsiTheme="majorBidi" w:cstheme="majorBidi"/>
            <w:noProof/>
            <w:sz w:val="24"/>
            <w:szCs w:val="24"/>
            <w:lang w:val="en-US"/>
          </w:rPr>
          <w:t xml:space="preserve"> USDA Certified Organic Seal Image courtesy of the USDA-AMS</w:t>
        </w:r>
        <w:r w:rsidR="00226F23" w:rsidRPr="00226F23">
          <w:rPr>
            <w:rFonts w:asciiTheme="majorBidi" w:hAnsiTheme="majorBidi" w:cstheme="majorBidi"/>
            <w:noProof/>
            <w:webHidden/>
            <w:sz w:val="24"/>
            <w:szCs w:val="24"/>
          </w:rPr>
          <w:tab/>
        </w:r>
        <w:r w:rsidRPr="00226F23">
          <w:rPr>
            <w:rFonts w:asciiTheme="majorBidi" w:hAnsiTheme="majorBidi" w:cstheme="majorBidi"/>
            <w:noProof/>
            <w:webHidden/>
            <w:sz w:val="24"/>
            <w:szCs w:val="24"/>
          </w:rPr>
          <w:fldChar w:fldCharType="begin"/>
        </w:r>
        <w:r w:rsidR="00226F23" w:rsidRPr="00226F23">
          <w:rPr>
            <w:rFonts w:asciiTheme="majorBidi" w:hAnsiTheme="majorBidi" w:cstheme="majorBidi"/>
            <w:noProof/>
            <w:webHidden/>
            <w:sz w:val="24"/>
            <w:szCs w:val="24"/>
          </w:rPr>
          <w:instrText xml:space="preserve"> PAGEREF _Toc230399438 \h </w:instrText>
        </w:r>
        <w:r w:rsidRPr="00226F23">
          <w:rPr>
            <w:rFonts w:asciiTheme="majorBidi" w:hAnsiTheme="majorBidi" w:cstheme="majorBidi"/>
            <w:noProof/>
            <w:webHidden/>
            <w:sz w:val="24"/>
            <w:szCs w:val="24"/>
          </w:rPr>
        </w:r>
        <w:r w:rsidRPr="00226F23">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47</w:t>
        </w:r>
        <w:r w:rsidRPr="00226F23">
          <w:rPr>
            <w:rFonts w:asciiTheme="majorBidi" w:hAnsiTheme="majorBidi" w:cstheme="majorBidi"/>
            <w:noProof/>
            <w:webHidden/>
            <w:sz w:val="24"/>
            <w:szCs w:val="24"/>
          </w:rPr>
          <w:fldChar w:fldCharType="end"/>
        </w:r>
      </w:hyperlink>
    </w:p>
    <w:p w:rsidR="00226F23" w:rsidRPr="00226F23" w:rsidRDefault="007B5998" w:rsidP="00226F23">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399439" w:history="1">
        <w:r w:rsidR="00226F23" w:rsidRPr="00226F23">
          <w:rPr>
            <w:rStyle w:val="Lienhypertexte"/>
            <w:rFonts w:asciiTheme="majorBidi" w:hAnsiTheme="majorBidi" w:cstheme="majorBidi"/>
            <w:b/>
            <w:bCs/>
            <w:noProof/>
            <w:sz w:val="24"/>
            <w:szCs w:val="24"/>
          </w:rPr>
          <w:t xml:space="preserve">Figure 3 : </w:t>
        </w:r>
        <w:r w:rsidR="00226F23" w:rsidRPr="00226F23">
          <w:rPr>
            <w:rStyle w:val="Lienhypertexte"/>
            <w:rFonts w:asciiTheme="majorBidi" w:hAnsiTheme="majorBidi" w:cstheme="majorBidi"/>
            <w:noProof/>
            <w:sz w:val="24"/>
            <w:szCs w:val="24"/>
          </w:rPr>
          <w:t>EU organic logo</w:t>
        </w:r>
        <w:r w:rsidR="00226F23" w:rsidRPr="00226F23">
          <w:rPr>
            <w:rFonts w:asciiTheme="majorBidi" w:hAnsiTheme="majorBidi" w:cstheme="majorBidi"/>
            <w:noProof/>
            <w:webHidden/>
            <w:sz w:val="24"/>
            <w:szCs w:val="24"/>
          </w:rPr>
          <w:tab/>
        </w:r>
        <w:r w:rsidRPr="00226F23">
          <w:rPr>
            <w:rFonts w:asciiTheme="majorBidi" w:hAnsiTheme="majorBidi" w:cstheme="majorBidi"/>
            <w:noProof/>
            <w:webHidden/>
            <w:sz w:val="24"/>
            <w:szCs w:val="24"/>
          </w:rPr>
          <w:fldChar w:fldCharType="begin"/>
        </w:r>
        <w:r w:rsidR="00226F23" w:rsidRPr="00226F23">
          <w:rPr>
            <w:rFonts w:asciiTheme="majorBidi" w:hAnsiTheme="majorBidi" w:cstheme="majorBidi"/>
            <w:noProof/>
            <w:webHidden/>
            <w:sz w:val="24"/>
            <w:szCs w:val="24"/>
          </w:rPr>
          <w:instrText xml:space="preserve"> PAGEREF _Toc230399439 \h </w:instrText>
        </w:r>
        <w:r w:rsidRPr="00226F23">
          <w:rPr>
            <w:rFonts w:asciiTheme="majorBidi" w:hAnsiTheme="majorBidi" w:cstheme="majorBidi"/>
            <w:noProof/>
            <w:webHidden/>
            <w:sz w:val="24"/>
            <w:szCs w:val="24"/>
          </w:rPr>
        </w:r>
        <w:r w:rsidRPr="00226F23">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48</w:t>
        </w:r>
        <w:r w:rsidRPr="00226F23">
          <w:rPr>
            <w:rFonts w:asciiTheme="majorBidi" w:hAnsiTheme="majorBidi" w:cstheme="majorBidi"/>
            <w:noProof/>
            <w:webHidden/>
            <w:sz w:val="24"/>
            <w:szCs w:val="24"/>
          </w:rPr>
          <w:fldChar w:fldCharType="end"/>
        </w:r>
      </w:hyperlink>
    </w:p>
    <w:p w:rsidR="00226F23" w:rsidRPr="00226F23" w:rsidRDefault="007B5998" w:rsidP="00226F23">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399440" w:history="1">
        <w:r w:rsidR="00226F23" w:rsidRPr="00226F23">
          <w:rPr>
            <w:rStyle w:val="Lienhypertexte"/>
            <w:rFonts w:asciiTheme="majorBidi" w:hAnsiTheme="majorBidi" w:cstheme="majorBidi"/>
            <w:b/>
            <w:bCs/>
            <w:noProof/>
            <w:sz w:val="24"/>
            <w:szCs w:val="24"/>
          </w:rPr>
          <w:t>Figure 4 :</w:t>
        </w:r>
        <w:r w:rsidR="00226F23" w:rsidRPr="00226F23">
          <w:rPr>
            <w:rStyle w:val="Lienhypertexte"/>
            <w:rFonts w:asciiTheme="majorBidi" w:hAnsiTheme="majorBidi" w:cstheme="majorBidi"/>
            <w:noProof/>
            <w:sz w:val="24"/>
            <w:szCs w:val="24"/>
          </w:rPr>
          <w:t xml:space="preserve"> le logo AB bio</w:t>
        </w:r>
        <w:r w:rsidR="00226F23" w:rsidRPr="00226F23">
          <w:rPr>
            <w:rFonts w:asciiTheme="majorBidi" w:hAnsiTheme="majorBidi" w:cstheme="majorBidi"/>
            <w:noProof/>
            <w:webHidden/>
            <w:sz w:val="24"/>
            <w:szCs w:val="24"/>
          </w:rPr>
          <w:tab/>
        </w:r>
        <w:r w:rsidRPr="00226F23">
          <w:rPr>
            <w:rFonts w:asciiTheme="majorBidi" w:hAnsiTheme="majorBidi" w:cstheme="majorBidi"/>
            <w:noProof/>
            <w:webHidden/>
            <w:sz w:val="24"/>
            <w:szCs w:val="24"/>
          </w:rPr>
          <w:fldChar w:fldCharType="begin"/>
        </w:r>
        <w:r w:rsidR="00226F23" w:rsidRPr="00226F23">
          <w:rPr>
            <w:rFonts w:asciiTheme="majorBidi" w:hAnsiTheme="majorBidi" w:cstheme="majorBidi"/>
            <w:noProof/>
            <w:webHidden/>
            <w:sz w:val="24"/>
            <w:szCs w:val="24"/>
          </w:rPr>
          <w:instrText xml:space="preserve"> PAGEREF _Toc230399440 \h </w:instrText>
        </w:r>
        <w:r w:rsidRPr="00226F23">
          <w:rPr>
            <w:rFonts w:asciiTheme="majorBidi" w:hAnsiTheme="majorBidi" w:cstheme="majorBidi"/>
            <w:noProof/>
            <w:webHidden/>
            <w:sz w:val="24"/>
            <w:szCs w:val="24"/>
          </w:rPr>
        </w:r>
        <w:r w:rsidRPr="00226F23">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52</w:t>
        </w:r>
        <w:r w:rsidRPr="00226F23">
          <w:rPr>
            <w:rFonts w:asciiTheme="majorBidi" w:hAnsiTheme="majorBidi" w:cstheme="majorBidi"/>
            <w:noProof/>
            <w:webHidden/>
            <w:sz w:val="24"/>
            <w:szCs w:val="24"/>
          </w:rPr>
          <w:fldChar w:fldCharType="end"/>
        </w:r>
      </w:hyperlink>
    </w:p>
    <w:p w:rsidR="00226F23" w:rsidRPr="00226F23" w:rsidRDefault="007B5998" w:rsidP="00226F23">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399441" w:history="1">
        <w:r w:rsidR="00226F23" w:rsidRPr="00226F23">
          <w:rPr>
            <w:rStyle w:val="Lienhypertexte"/>
            <w:rFonts w:asciiTheme="majorBidi" w:hAnsiTheme="majorBidi" w:cstheme="majorBidi"/>
            <w:b/>
            <w:bCs/>
            <w:noProof/>
            <w:sz w:val="24"/>
            <w:szCs w:val="24"/>
          </w:rPr>
          <w:t>Figure 5 :</w:t>
        </w:r>
        <w:r w:rsidR="00226F23" w:rsidRPr="00226F23">
          <w:rPr>
            <w:rStyle w:val="Lienhypertexte"/>
            <w:rFonts w:asciiTheme="majorBidi" w:hAnsiTheme="majorBidi" w:cstheme="majorBidi"/>
            <w:noProof/>
            <w:sz w:val="24"/>
            <w:szCs w:val="24"/>
          </w:rPr>
          <w:t xml:space="preserve"> Marché des produits biologiques</w:t>
        </w:r>
        <w:r w:rsidR="00226F23" w:rsidRPr="00226F23">
          <w:rPr>
            <w:rFonts w:asciiTheme="majorBidi" w:hAnsiTheme="majorBidi" w:cstheme="majorBidi"/>
            <w:noProof/>
            <w:webHidden/>
            <w:sz w:val="24"/>
            <w:szCs w:val="24"/>
          </w:rPr>
          <w:tab/>
        </w:r>
        <w:r w:rsidRPr="00226F23">
          <w:rPr>
            <w:rFonts w:asciiTheme="majorBidi" w:hAnsiTheme="majorBidi" w:cstheme="majorBidi"/>
            <w:noProof/>
            <w:webHidden/>
            <w:sz w:val="24"/>
            <w:szCs w:val="24"/>
          </w:rPr>
          <w:fldChar w:fldCharType="begin"/>
        </w:r>
        <w:r w:rsidR="00226F23" w:rsidRPr="00226F23">
          <w:rPr>
            <w:rFonts w:asciiTheme="majorBidi" w:hAnsiTheme="majorBidi" w:cstheme="majorBidi"/>
            <w:noProof/>
            <w:webHidden/>
            <w:sz w:val="24"/>
            <w:szCs w:val="24"/>
          </w:rPr>
          <w:instrText xml:space="preserve"> PAGEREF _Toc230399441 \h </w:instrText>
        </w:r>
        <w:r w:rsidRPr="00226F23">
          <w:rPr>
            <w:rFonts w:asciiTheme="majorBidi" w:hAnsiTheme="majorBidi" w:cstheme="majorBidi"/>
            <w:noProof/>
            <w:webHidden/>
            <w:sz w:val="24"/>
            <w:szCs w:val="24"/>
          </w:rPr>
        </w:r>
        <w:r w:rsidRPr="00226F23">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53</w:t>
        </w:r>
        <w:r w:rsidRPr="00226F23">
          <w:rPr>
            <w:rFonts w:asciiTheme="majorBidi" w:hAnsiTheme="majorBidi" w:cstheme="majorBidi"/>
            <w:noProof/>
            <w:webHidden/>
            <w:sz w:val="24"/>
            <w:szCs w:val="24"/>
          </w:rPr>
          <w:fldChar w:fldCharType="end"/>
        </w:r>
      </w:hyperlink>
    </w:p>
    <w:p w:rsidR="00226F23" w:rsidRPr="00226F23" w:rsidRDefault="007B5998" w:rsidP="00226F23">
      <w:pPr>
        <w:pStyle w:val="Tabledesillustrations"/>
        <w:tabs>
          <w:tab w:val="right" w:leader="dot" w:pos="9062"/>
        </w:tabs>
        <w:spacing w:line="360" w:lineRule="auto"/>
        <w:jc w:val="lowKashida"/>
        <w:rPr>
          <w:rFonts w:asciiTheme="majorBidi" w:eastAsiaTheme="minorEastAsia" w:hAnsiTheme="majorBidi" w:cstheme="majorBidi"/>
          <w:noProof/>
          <w:kern w:val="0"/>
          <w:sz w:val="24"/>
          <w:szCs w:val="24"/>
          <w:lang w:eastAsia="fr-FR"/>
        </w:rPr>
      </w:pPr>
      <w:hyperlink w:anchor="_Toc230399442" w:history="1">
        <w:r w:rsidR="00226F23" w:rsidRPr="00226F23">
          <w:rPr>
            <w:rStyle w:val="Lienhypertexte"/>
            <w:rFonts w:asciiTheme="majorBidi" w:hAnsiTheme="majorBidi" w:cstheme="majorBidi"/>
            <w:b/>
            <w:bCs/>
            <w:noProof/>
            <w:sz w:val="24"/>
            <w:szCs w:val="24"/>
          </w:rPr>
          <w:t xml:space="preserve">Figure 6 : </w:t>
        </w:r>
        <w:r w:rsidR="00226F23" w:rsidRPr="00226F23">
          <w:rPr>
            <w:rStyle w:val="Lienhypertexte"/>
            <w:rFonts w:asciiTheme="majorBidi" w:hAnsiTheme="majorBidi" w:cstheme="majorBidi"/>
            <w:noProof/>
            <w:sz w:val="24"/>
            <w:szCs w:val="24"/>
          </w:rPr>
          <w:t>Organigramme de l’entreprise Dahbia</w:t>
        </w:r>
        <w:r w:rsidR="00226F23" w:rsidRPr="00226F23">
          <w:rPr>
            <w:rFonts w:asciiTheme="majorBidi" w:hAnsiTheme="majorBidi" w:cstheme="majorBidi"/>
            <w:noProof/>
            <w:webHidden/>
            <w:sz w:val="24"/>
            <w:szCs w:val="24"/>
          </w:rPr>
          <w:tab/>
        </w:r>
        <w:r w:rsidRPr="00226F23">
          <w:rPr>
            <w:rFonts w:asciiTheme="majorBidi" w:hAnsiTheme="majorBidi" w:cstheme="majorBidi"/>
            <w:noProof/>
            <w:webHidden/>
            <w:sz w:val="24"/>
            <w:szCs w:val="24"/>
          </w:rPr>
          <w:fldChar w:fldCharType="begin"/>
        </w:r>
        <w:r w:rsidR="00226F23" w:rsidRPr="00226F23">
          <w:rPr>
            <w:rFonts w:asciiTheme="majorBidi" w:hAnsiTheme="majorBidi" w:cstheme="majorBidi"/>
            <w:noProof/>
            <w:webHidden/>
            <w:sz w:val="24"/>
            <w:szCs w:val="24"/>
          </w:rPr>
          <w:instrText xml:space="preserve"> PAGEREF _Toc230399442 \h </w:instrText>
        </w:r>
        <w:r w:rsidRPr="00226F23">
          <w:rPr>
            <w:rFonts w:asciiTheme="majorBidi" w:hAnsiTheme="majorBidi" w:cstheme="majorBidi"/>
            <w:noProof/>
            <w:webHidden/>
            <w:sz w:val="24"/>
            <w:szCs w:val="24"/>
          </w:rPr>
        </w:r>
        <w:r w:rsidRPr="00226F23">
          <w:rPr>
            <w:rFonts w:asciiTheme="majorBidi" w:hAnsiTheme="majorBidi" w:cstheme="majorBidi"/>
            <w:noProof/>
            <w:webHidden/>
            <w:sz w:val="24"/>
            <w:szCs w:val="24"/>
          </w:rPr>
          <w:fldChar w:fldCharType="separate"/>
        </w:r>
        <w:r w:rsidR="00515B25">
          <w:rPr>
            <w:rFonts w:asciiTheme="majorBidi" w:hAnsiTheme="majorBidi" w:cstheme="majorBidi"/>
            <w:noProof/>
            <w:webHidden/>
            <w:sz w:val="24"/>
            <w:szCs w:val="24"/>
          </w:rPr>
          <w:t>121</w:t>
        </w:r>
        <w:r w:rsidRPr="00226F23">
          <w:rPr>
            <w:rFonts w:asciiTheme="majorBidi" w:hAnsiTheme="majorBidi" w:cstheme="majorBidi"/>
            <w:noProof/>
            <w:webHidden/>
            <w:sz w:val="24"/>
            <w:szCs w:val="24"/>
          </w:rPr>
          <w:fldChar w:fldCharType="end"/>
        </w:r>
      </w:hyperlink>
    </w:p>
    <w:p w:rsidR="00147113" w:rsidRDefault="007B5998" w:rsidP="00226F23">
      <w:pPr>
        <w:spacing w:line="360" w:lineRule="auto"/>
        <w:jc w:val="lowKashida"/>
        <w:rPr>
          <w:sz w:val="48"/>
          <w:szCs w:val="48"/>
        </w:rPr>
      </w:pPr>
      <w:r w:rsidRPr="00226F23">
        <w:rPr>
          <w:rFonts w:asciiTheme="majorBidi" w:hAnsiTheme="majorBidi" w:cstheme="majorBidi"/>
          <w:sz w:val="24"/>
          <w:szCs w:val="24"/>
        </w:rPr>
        <w:fldChar w:fldCharType="end"/>
      </w: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650768" w:rsidRDefault="00650768" w:rsidP="00147113">
      <w:pPr>
        <w:rPr>
          <w:sz w:val="48"/>
          <w:szCs w:val="48"/>
        </w:rPr>
        <w:sectPr w:rsidR="00650768" w:rsidSect="00EA0836">
          <w:footerReference w:type="default" r:id="rId18"/>
          <w:footnotePr>
            <w:numRestart w:val="eachPage"/>
          </w:footnotePr>
          <w:pgSz w:w="11906" w:h="16838"/>
          <w:pgMar w:top="1417" w:right="1417" w:bottom="1417" w:left="1417" w:header="720" w:footer="720" w:gutter="0"/>
          <w:pgNumType w:fmt="upperRoman"/>
          <w:cols w:space="720"/>
        </w:sect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7B5998" w:rsidP="00147113">
      <w:pPr>
        <w:rPr>
          <w:sz w:val="48"/>
          <w:szCs w:val="48"/>
        </w:rPr>
      </w:pPr>
      <w:r>
        <w:rPr>
          <w:noProof/>
          <w:sz w:val="48"/>
          <w:szCs w:val="48"/>
          <w:lang w:eastAsia="fr-FR"/>
        </w:rPr>
        <w:pict>
          <v:shape id="_x0000_s1089" type="#_x0000_t98" style="position:absolute;margin-left:0;margin-top:24.4pt;width:477.45pt;height:267.15pt;z-index:251762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" filled="f" strokecolor="black [3213]" strokeweight="1pt">
            <v:stroke joinstyle="miter"/>
            <v:shadow on="t" color="black" opacity="26214f" origin="-.5,.5" offset=".74836mm,-.74836mm"/>
          </v:shape>
        </w:pict>
      </w:r>
    </w:p>
    <w:p w:rsidR="00147113" w:rsidRDefault="00147113" w:rsidP="00147113">
      <w:pPr>
        <w:rPr>
          <w:sz w:val="48"/>
          <w:szCs w:val="48"/>
        </w:rPr>
      </w:pPr>
    </w:p>
    <w:p w:rsidR="00147113" w:rsidRDefault="00147113" w:rsidP="00147113">
      <w:pPr>
        <w:rPr>
          <w:sz w:val="48"/>
          <w:szCs w:val="48"/>
        </w:rPr>
      </w:pPr>
    </w:p>
    <w:p w:rsidR="00147113" w:rsidRDefault="007B5998" w:rsidP="00147113">
      <w:pPr>
        <w:rPr>
          <w:sz w:val="48"/>
          <w:szCs w:val="48"/>
        </w:rPr>
      </w:pPr>
      <w:r>
        <w:rPr>
          <w:noProof/>
          <w:sz w:val="48"/>
          <w:szCs w:val="48"/>
          <w:lang w:eastAsia="fr-FR"/>
        </w:rPr>
        <w:pict>
          <v:shape id="Zone de texte 20" o:spid="_x0000_s1029" type="#_x0000_t202" style="position:absolute;margin-left:62.3pt;margin-top:9.7pt;width:364.8pt;height:67.2pt;z-index:251763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" fillcolor="white [3201]" stroked="f" strokeweight=".5pt">
            <v:textbox>
              <w:txbxContent>
                <w:p w:rsidR="00B54D3C" w:rsidRPr="009A582D" w:rsidRDefault="00B54D3C" w:rsidP="009A582D">
                  <w:pPr>
                    <w:jc w:val="center"/>
                    <w:rPr>
                      <w:rFonts w:asciiTheme="majorBidi" w:hAnsiTheme="majorBidi" w:cstheme="majorBidi"/>
                      <w:b/>
                      <w:bCs/>
                      <w:sz w:val="52"/>
                      <w:szCs w:val="52"/>
                    </w:rPr>
                  </w:pPr>
                  <w:bookmarkStart w:id="7" w:name="_Toc229790956"/>
                  <w:bookmarkStart w:id="8" w:name="_Toc229791446"/>
                  <w:bookmarkStart w:id="9" w:name="_Toc229959986"/>
                  <w:bookmarkStart w:id="10" w:name="_Toc230426276"/>
                  <w:r w:rsidRPr="009A582D">
                    <w:rPr>
                      <w:rFonts w:asciiTheme="majorBidi" w:hAnsiTheme="majorBidi" w:cstheme="majorBidi"/>
                      <w:b/>
                      <w:bCs/>
                      <w:sz w:val="52"/>
                      <w:szCs w:val="52"/>
                    </w:rPr>
                    <w:t>Liste des abréviations</w:t>
                  </w:r>
                  <w:bookmarkEnd w:id="7"/>
                  <w:bookmarkEnd w:id="8"/>
                  <w:bookmarkEnd w:id="9"/>
                  <w:bookmarkEnd w:id="10"/>
                </w:p>
              </w:txbxContent>
            </v:textbox>
          </v:shape>
        </w:pict>
      </w: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147113" w:rsidRDefault="00650768" w:rsidP="00650768">
      <w:pPr>
        <w:tabs>
          <w:tab w:val="left" w:pos="5232"/>
        </w:tabs>
        <w:rPr>
          <w:sz w:val="48"/>
          <w:szCs w:val="48"/>
        </w:rPr>
      </w:pPr>
      <w:r>
        <w:rPr>
          <w:sz w:val="48"/>
          <w:szCs w:val="48"/>
        </w:rPr>
        <w:tab/>
      </w:r>
    </w:p>
    <w:p w:rsidR="00147113" w:rsidRDefault="00147113" w:rsidP="00147113">
      <w:pPr>
        <w:rPr>
          <w:sz w:val="48"/>
          <w:szCs w:val="48"/>
        </w:rPr>
      </w:pPr>
    </w:p>
    <w:p w:rsidR="00147113" w:rsidRDefault="00147113" w:rsidP="00147113">
      <w:pPr>
        <w:rPr>
          <w:sz w:val="48"/>
          <w:szCs w:val="48"/>
        </w:rPr>
      </w:pPr>
    </w:p>
    <w:p w:rsidR="00147113" w:rsidRDefault="00147113" w:rsidP="00147113">
      <w:pPr>
        <w:rPr>
          <w:sz w:val="48"/>
          <w:szCs w:val="48"/>
        </w:rPr>
      </w:pPr>
    </w:p>
    <w:p w:rsidR="00650768" w:rsidRDefault="00650768" w:rsidP="00147113">
      <w:pPr>
        <w:rPr>
          <w:sz w:val="48"/>
          <w:szCs w:val="48"/>
        </w:rPr>
        <w:sectPr w:rsidR="00650768" w:rsidSect="00EA0836">
          <w:footerReference w:type="default" r:id="rId19"/>
          <w:footnotePr>
            <w:numRestart w:val="eachPage"/>
          </w:footnotePr>
          <w:pgSz w:w="11906" w:h="16838"/>
          <w:pgMar w:top="1417" w:right="1417" w:bottom="1417" w:left="1417" w:header="720" w:footer="720" w:gutter="0"/>
          <w:pgBorders w:display="firstPage" w:offsetFrom="page">
            <w:top w:val="tornPaperBlack" w:sz="31" w:space="24" w:color="auto"/>
            <w:left w:val="tornPaperBlack" w:sz="31" w:space="24" w:color="auto"/>
            <w:bottom w:val="tornPaperBlack" w:sz="31" w:space="24" w:color="auto"/>
            <w:right w:val="tornPaperBlack" w:sz="31" w:space="24" w:color="auto"/>
          </w:pgBorders>
          <w:pgNumType w:fmt="upperRoman"/>
          <w:cols w:space="720"/>
        </w:sectPr>
      </w:pPr>
    </w:p>
    <w:p w:rsidR="001817BA" w:rsidRPr="00016D60" w:rsidRDefault="001817BA" w:rsidP="001817BA">
      <w:pPr>
        <w:pStyle w:val="Titre1"/>
        <w:spacing w:before="0" w:after="0" w:line="360" w:lineRule="auto"/>
        <w:jc w:val="center"/>
        <w:rPr>
          <w:rFonts w:asciiTheme="majorBidi" w:hAnsiTheme="majorBidi" w:cstheme="majorBidi"/>
          <w:b/>
          <w:bCs/>
          <w:color w:val="auto"/>
          <w:sz w:val="24"/>
          <w:szCs w:val="24"/>
        </w:rPr>
      </w:pPr>
      <w:bookmarkStart w:id="11" w:name="_Toc230558605"/>
      <w:bookmarkStart w:id="12" w:name="_Toc230900240"/>
      <w:bookmarkStart w:id="13" w:name="_Toc230900914"/>
      <w:r w:rsidRPr="00016D60">
        <w:rPr>
          <w:rFonts w:asciiTheme="majorBidi" w:hAnsiTheme="majorBidi" w:cstheme="majorBidi"/>
          <w:b/>
          <w:bCs/>
          <w:color w:val="auto"/>
          <w:sz w:val="24"/>
          <w:szCs w:val="24"/>
        </w:rPr>
        <w:lastRenderedPageBreak/>
        <w:t>Liste des abréviations</w:t>
      </w:r>
      <w:bookmarkEnd w:id="11"/>
      <w:bookmarkEnd w:id="12"/>
      <w:bookmarkEnd w:id="13"/>
    </w:p>
    <w:tbl>
      <w:tblPr>
        <w:tblStyle w:val="Grilledutableau"/>
        <w:tblpPr w:leftFromText="141" w:rightFromText="141" w:vertAnchor="page" w:horzAnchor="margin" w:tblpY="2401"/>
        <w:tblW w:w="0" w:type="auto"/>
        <w:tblLook w:val="04A0"/>
      </w:tblPr>
      <w:tblGrid>
        <w:gridCol w:w="4533"/>
        <w:gridCol w:w="4529"/>
      </w:tblGrid>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sz w:val="24"/>
                <w:szCs w:val="24"/>
                <w:lang w:val="en-GB"/>
              </w:rPr>
              <w:tab/>
            </w:r>
            <w:r w:rsidRPr="00B30DD5">
              <w:rPr>
                <w:rFonts w:asciiTheme="majorBidi" w:hAnsiTheme="majorBidi" w:cstheme="majorBidi"/>
                <w:b/>
                <w:bCs/>
                <w:sz w:val="24"/>
                <w:szCs w:val="24"/>
              </w:rPr>
              <w:t>Abréviation</w:t>
            </w:r>
          </w:p>
        </w:tc>
        <w:tc>
          <w:tcPr>
            <w:tcW w:w="4529"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Désignation</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AB</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Agriculture Biologique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AAFCO</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Association of American Feed Control Officials (Association américaine des responsables du contrôle des aliments pour animaux)</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AEFS</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Autorité Européenne de Sécurité des Aliments (Autorité européenne de sécurité des aliments)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AMS</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Agricultural Marketing Service (Service de commercialisation des produits agricoles)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Anses</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Agence nationale de sécurité sanitaire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APEDA</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Agricultural and Processed Food Products Export Development Authority ( Autorité de développement des exportations des produits agricoles et alimentaires transformés)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ASEA</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Autorité Européenne de Sécurité des Aliments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BLV</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Office fédéral de la sécurité sanitaire des aliments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CE</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Communauté Européenne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CERIST</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Centre de Recherche sur l’Information Scientifique et Technique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COVID-19</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Coronavirus Disease 2019 ( Maladie à coronavirus 2019)</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CREAD</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Centre de Recherche en Économie Appliquée pour le Développement</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DGCCRF</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Direction générale de la concurrence, de la consommation et de la répression des fraudes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DSHS</w:t>
            </w:r>
          </w:p>
        </w:tc>
        <w:tc>
          <w:tcPr>
            <w:tcW w:w="4529" w:type="dxa"/>
            <w:vAlign w:val="center"/>
          </w:tcPr>
          <w:p w:rsidR="00957A9A" w:rsidRPr="00B30DD5" w:rsidRDefault="00957A9A" w:rsidP="00957A9A">
            <w:pPr>
              <w:spacing w:line="360" w:lineRule="auto"/>
              <w:rPr>
                <w:rFonts w:asciiTheme="majorBidi" w:eastAsia="Times New Roman" w:hAnsiTheme="majorBidi" w:cstheme="majorBidi"/>
                <w:sz w:val="24"/>
                <w:szCs w:val="24"/>
                <w:lang w:eastAsia="fr-FR"/>
              </w:rPr>
            </w:pPr>
            <w:r w:rsidRPr="00B30DD5">
              <w:rPr>
                <w:rFonts w:asciiTheme="majorBidi" w:hAnsiTheme="majorBidi" w:cstheme="majorBidi"/>
                <w:sz w:val="24"/>
                <w:szCs w:val="24"/>
              </w:rPr>
              <w:t xml:space="preserve">Department of State Health Services </w:t>
            </w:r>
            <w:r w:rsidRPr="00B30DD5">
              <w:rPr>
                <w:rFonts w:asciiTheme="majorBidi" w:hAnsiTheme="majorBidi" w:cstheme="majorBidi"/>
                <w:sz w:val="24"/>
                <w:szCs w:val="24"/>
              </w:rPr>
              <w:lastRenderedPageBreak/>
              <w:t>(</w:t>
            </w:r>
            <w:r w:rsidRPr="00B30DD5">
              <w:rPr>
                <w:rFonts w:asciiTheme="majorBidi" w:eastAsia="Times New Roman" w:hAnsiTheme="majorBidi" w:cstheme="majorBidi"/>
                <w:sz w:val="24"/>
                <w:szCs w:val="24"/>
                <w:lang w:eastAsia="fr-FR"/>
              </w:rPr>
              <w:t xml:space="preserve">Département des services de santé de l’État </w:t>
            </w:r>
          </w:p>
          <w:p w:rsidR="00957A9A" w:rsidRPr="00B30DD5" w:rsidRDefault="00957A9A" w:rsidP="00957A9A">
            <w:pPr>
              <w:spacing w:line="360" w:lineRule="auto"/>
              <w:rPr>
                <w:rFonts w:asciiTheme="majorBidi" w:hAnsiTheme="majorBidi" w:cstheme="majorBidi"/>
                <w:sz w:val="24"/>
                <w:szCs w:val="24"/>
                <w:lang w:val="en-GB"/>
              </w:rPr>
            </w:pPr>
            <w:r w:rsidRPr="00B30DD5">
              <w:rPr>
                <w:rFonts w:asciiTheme="majorBidi" w:hAnsiTheme="majorBidi" w:cstheme="majorBidi"/>
                <w:sz w:val="24"/>
                <w:szCs w:val="24"/>
                <w:lang w:val="en-GB"/>
              </w:rPr>
              <w:t>)</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lastRenderedPageBreak/>
              <w:t>EFSA</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European Food Safety Authority (Autorité européenne de sécurité des aliments)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EN</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Norme Européenne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ESB</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Encéphalopathie Spongiforme Bovine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FAO</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Food and Agriculture Organization (Organisation des Nations Unies pour l’alimentation et l’agriculture)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FDA</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Food and Drug Administration (Administration des aliments et des médicaments)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FSSAI</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Food Safety and Standards Authority of India (Autorité indienne de la sécurité et des normes alimentaires)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HACCP</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Hazard Analysis Critical Control Point (Analyse des dangers et points critiques pour leur maîtrise)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HGIC</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Home &amp; Garden Information Center (Centre d’information sur la maison et le jardin)</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IANOR</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Institut Algérien de Normalisation</w:t>
            </w:r>
          </w:p>
        </w:tc>
      </w:tr>
      <w:tr w:rsidR="00957A9A" w:rsidRPr="000549E0"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IFOAM</w:t>
            </w:r>
          </w:p>
        </w:tc>
        <w:tc>
          <w:tcPr>
            <w:tcW w:w="4529" w:type="dxa"/>
            <w:vAlign w:val="center"/>
          </w:tcPr>
          <w:p w:rsidR="00957A9A" w:rsidRPr="00B30DD5" w:rsidRDefault="00957A9A" w:rsidP="00957A9A">
            <w:pPr>
              <w:spacing w:line="360" w:lineRule="auto"/>
              <w:rPr>
                <w:rFonts w:asciiTheme="majorBidi" w:hAnsiTheme="majorBidi" w:cstheme="majorBidi"/>
                <w:sz w:val="24"/>
                <w:szCs w:val="24"/>
                <w:lang w:val="en-GB"/>
              </w:rPr>
            </w:pPr>
            <w:r w:rsidRPr="00B30DD5">
              <w:rPr>
                <w:rFonts w:asciiTheme="majorBidi" w:hAnsiTheme="majorBidi" w:cstheme="majorBidi"/>
                <w:sz w:val="24"/>
                <w:szCs w:val="24"/>
                <w:lang w:val="en-GB"/>
              </w:rPr>
              <w:t>International Federation of Organic Agriculture Movements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INAO</w:t>
            </w:r>
          </w:p>
        </w:tc>
        <w:tc>
          <w:tcPr>
            <w:tcW w:w="4529" w:type="dxa"/>
            <w:vAlign w:val="center"/>
          </w:tcPr>
          <w:p w:rsidR="00957A9A" w:rsidRPr="00B30DD5" w:rsidRDefault="00957A9A" w:rsidP="00957A9A">
            <w:pPr>
              <w:pStyle w:val="NormalWeb"/>
              <w:spacing w:line="360" w:lineRule="auto"/>
              <w:rPr>
                <w:rFonts w:asciiTheme="majorBidi" w:hAnsiTheme="majorBidi" w:cstheme="majorBidi"/>
              </w:rPr>
            </w:pPr>
            <w:r w:rsidRPr="00B30DD5">
              <w:rPr>
                <w:rFonts w:asciiTheme="majorBidi" w:hAnsiTheme="majorBidi" w:cstheme="majorBidi"/>
              </w:rPr>
              <w:t>Institut national de l’origine et de la qualité (</w:t>
            </w:r>
            <w:r w:rsidRPr="00B30DD5">
              <w:rPr>
                <w:rStyle w:val="lev"/>
                <w:rFonts w:asciiTheme="majorBidi" w:hAnsiTheme="majorBidi" w:cstheme="majorBidi"/>
              </w:rPr>
              <w:t>Fédération internationale des mouv</w:t>
            </w:r>
            <w:r w:rsidRPr="00B30DD5">
              <w:rPr>
                <w:rStyle w:val="lev"/>
                <w:rFonts w:asciiTheme="majorBidi" w:hAnsiTheme="majorBidi" w:cstheme="majorBidi"/>
              </w:rPr>
              <w:t>e</w:t>
            </w:r>
            <w:r w:rsidRPr="00B30DD5">
              <w:rPr>
                <w:rStyle w:val="lev"/>
                <w:rFonts w:asciiTheme="majorBidi" w:hAnsiTheme="majorBidi" w:cstheme="majorBidi"/>
              </w:rPr>
              <w:t>ments d’agriculture biologique</w:t>
            </w:r>
            <w:r w:rsidRPr="00B30DD5">
              <w:rPr>
                <w:rFonts w:asciiTheme="majorBidi" w:hAnsiTheme="majorBidi" w:cstheme="majorBidi"/>
              </w:rPr>
              <w:t>)</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ISO</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International Organization for Standardization (Organisation internationale de normalisation)</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MMS</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Multimedia Messaging Service (Service de messagerie multimédia)</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NIH</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National Institutes of Health (Instituts nationaux de la santé)</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lastRenderedPageBreak/>
              <w:t>NOP</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National Organic Program (Programme national de l’agriculture biologique)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NSF</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National Sanitation Foundation (</w:t>
            </w:r>
            <w:r w:rsidRPr="00B30DD5">
              <w:rPr>
                <w:rFonts w:asciiTheme="majorBidi" w:hAnsiTheme="majorBidi" w:cstheme="majorBidi"/>
                <w:sz w:val="24"/>
                <w:szCs w:val="24"/>
                <w:lang w:eastAsia="fr-FR"/>
              </w:rPr>
              <w:t>Fondation nationale pour l’assainissement</w:t>
            </w:r>
            <w:r w:rsidRPr="00B30DD5">
              <w:rPr>
                <w:rFonts w:asciiTheme="majorBidi" w:hAnsiTheme="majorBidi" w:cstheme="majorBidi"/>
                <w:sz w:val="24"/>
                <w:szCs w:val="24"/>
              </w:rPr>
              <w:t>)</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OGM</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Organisme Génétiquement Modifié</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OMC</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Organisation Mondiale du Commerce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OMS</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Organisation Mondiale de la Santé</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ONU</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Organisation des Nations Unies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POP</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Polluants Organiques Persistants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RASFF</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Rapid Alert System for Food and Feed (Système d’alerte rapide pour les denrées alimentaires et les aliments pour animaux)</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SBB</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Service Biosécurité et Biotechnologie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SIST</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Slovenski inštitut za standardizacijo (Institut slovène de normalisation)</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SMS</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Short Message Service (Service de messages courts)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TTB</w:t>
            </w:r>
          </w:p>
        </w:tc>
        <w:tc>
          <w:tcPr>
            <w:tcW w:w="4529" w:type="dxa"/>
            <w:vAlign w:val="center"/>
          </w:tcPr>
          <w:p w:rsidR="00957A9A" w:rsidRPr="00B30DD5" w:rsidRDefault="00957A9A" w:rsidP="00957A9A">
            <w:pPr>
              <w:spacing w:line="360" w:lineRule="auto"/>
              <w:rPr>
                <w:rFonts w:asciiTheme="majorBidi" w:hAnsiTheme="majorBidi" w:cstheme="majorBidi"/>
                <w:sz w:val="24"/>
                <w:szCs w:val="24"/>
                <w:lang w:eastAsia="fr-FR"/>
              </w:rPr>
            </w:pPr>
            <w:r w:rsidRPr="00B30DD5">
              <w:rPr>
                <w:rFonts w:asciiTheme="majorBidi" w:hAnsiTheme="majorBidi" w:cstheme="majorBidi"/>
                <w:sz w:val="24"/>
                <w:szCs w:val="24"/>
              </w:rPr>
              <w:t>Alcohol and Tobacco Tax and Trade Bureau (</w:t>
            </w:r>
            <w:r w:rsidRPr="00B30DD5">
              <w:rPr>
                <w:rFonts w:asciiTheme="majorBidi" w:hAnsiTheme="majorBidi" w:cstheme="majorBidi"/>
                <w:sz w:val="24"/>
                <w:szCs w:val="24"/>
                <w:lang w:eastAsia="fr-FR"/>
              </w:rPr>
              <w:t xml:space="preserve">Bureau de la taxation et du commerce de l’alcool et du tabac </w:t>
            </w:r>
          </w:p>
          <w:p w:rsidR="00957A9A" w:rsidRPr="00B30DD5" w:rsidRDefault="00957A9A" w:rsidP="00957A9A">
            <w:pPr>
              <w:spacing w:line="360" w:lineRule="auto"/>
              <w:rPr>
                <w:rFonts w:asciiTheme="majorBidi" w:hAnsiTheme="majorBidi" w:cstheme="majorBidi"/>
                <w:sz w:val="24"/>
                <w:szCs w:val="24"/>
                <w:lang w:val="en-GB"/>
              </w:rPr>
            </w:pPr>
            <w:r w:rsidRPr="00B30DD5">
              <w:rPr>
                <w:rFonts w:asciiTheme="majorBidi" w:hAnsiTheme="majorBidi" w:cstheme="majorBidi"/>
                <w:sz w:val="24"/>
                <w:szCs w:val="24"/>
                <w:lang w:val="en-GB"/>
              </w:rPr>
              <w:t>)</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UE</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Union Européenne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UNESCO</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Organisation des Nations Unies pour l’éducation, la science et la culture</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USDA</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United States Department of Agriculture (Département de l’Agriculture des États-Unis)</w:t>
            </w:r>
          </w:p>
        </w:tc>
      </w:tr>
      <w:tr w:rsidR="00957A9A" w:rsidRPr="00B30DD5" w:rsidTr="00957A9A">
        <w:tc>
          <w:tcPr>
            <w:tcW w:w="4533" w:type="dxa"/>
            <w:vAlign w:val="center"/>
          </w:tcPr>
          <w:p w:rsidR="00957A9A" w:rsidRPr="00B30DD5" w:rsidRDefault="00957A9A" w:rsidP="00957A9A">
            <w:pPr>
              <w:spacing w:line="360" w:lineRule="auto"/>
              <w:rPr>
                <w:rFonts w:asciiTheme="majorBidi" w:hAnsiTheme="majorBidi" w:cstheme="majorBidi"/>
                <w:b/>
                <w:bCs/>
                <w:sz w:val="24"/>
                <w:szCs w:val="24"/>
              </w:rPr>
            </w:pPr>
            <w:r w:rsidRPr="00B30DD5">
              <w:rPr>
                <w:rFonts w:asciiTheme="majorBidi" w:hAnsiTheme="majorBidi" w:cstheme="majorBidi"/>
                <w:b/>
                <w:bCs/>
                <w:sz w:val="24"/>
                <w:szCs w:val="24"/>
              </w:rPr>
              <w:t>WSDA</w:t>
            </w:r>
          </w:p>
        </w:tc>
        <w:tc>
          <w:tcPr>
            <w:tcW w:w="4529" w:type="dxa"/>
            <w:vAlign w:val="center"/>
          </w:tcPr>
          <w:p w:rsidR="00957A9A" w:rsidRPr="00B30DD5" w:rsidRDefault="00957A9A" w:rsidP="00957A9A">
            <w:pPr>
              <w:spacing w:line="360" w:lineRule="auto"/>
              <w:rPr>
                <w:rFonts w:asciiTheme="majorBidi" w:hAnsiTheme="majorBidi" w:cstheme="majorBidi"/>
                <w:sz w:val="24"/>
                <w:szCs w:val="24"/>
              </w:rPr>
            </w:pPr>
            <w:r w:rsidRPr="00B30DD5">
              <w:rPr>
                <w:rFonts w:asciiTheme="majorBidi" w:hAnsiTheme="majorBidi" w:cstheme="majorBidi"/>
                <w:sz w:val="24"/>
                <w:szCs w:val="24"/>
              </w:rPr>
              <w:t>Washington State Department of Agriculture (Département de l’Agriculture de l’État de Washington)</w:t>
            </w:r>
          </w:p>
        </w:tc>
      </w:tr>
    </w:tbl>
    <w:p w:rsidR="001817BA" w:rsidRDefault="001817BA" w:rsidP="00957A9A"/>
    <w:p w:rsidR="00147113" w:rsidRPr="00147113" w:rsidRDefault="00147113" w:rsidP="00147113">
      <w:pPr>
        <w:rPr>
          <w:sz w:val="48"/>
          <w:szCs w:val="48"/>
        </w:rPr>
        <w:sectPr w:rsidR="00147113" w:rsidRPr="00147113" w:rsidSect="00EA0836">
          <w:footerReference w:type="default" r:id="rId20"/>
          <w:footnotePr>
            <w:numRestart w:val="eachPage"/>
          </w:footnotePr>
          <w:pgSz w:w="11906" w:h="16838"/>
          <w:pgMar w:top="1417" w:right="1417" w:bottom="1417" w:left="1417" w:header="720" w:footer="720" w:gutter="0"/>
          <w:pgNumType w:fmt="upperRoman"/>
          <w:cols w:space="720"/>
        </w:sectPr>
      </w:pPr>
    </w:p>
    <w:p w:rsidR="007600AC" w:rsidRDefault="007B5998">
      <w:pPr>
        <w:suppressAutoHyphens w:val="0"/>
        <w:rPr>
          <w:sz w:val="48"/>
          <w:szCs w:val="48"/>
        </w:rPr>
      </w:pPr>
      <w:r>
        <w:rPr>
          <w:noProof/>
          <w:sz w:val="48"/>
          <w:szCs w:val="48"/>
          <w:lang w:eastAsia="fr-FR"/>
        </w:rPr>
        <w:lastRenderedPageBreak/>
        <w:pict>
          <v:shape id="Parchemin : horizontal 14" o:spid="_x0000_s1088" type="#_x0000_t98" style="position:absolute;margin-left:-8.35pt;margin-top:189.6pt;width:477.45pt;height:267.15pt;z-index:251701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" filled="f" strokecolor="black [3213]" strokeweight="1pt">
            <v:stroke joinstyle="miter"/>
            <v:shadow on="t" color="black" opacity="26214f" origin="-.5,.5" offset=".74836mm,-.74836mm"/>
          </v:shape>
        </w:pict>
      </w:r>
    </w:p>
    <w:p w:rsidR="003D023C" w:rsidRPr="003D023C" w:rsidRDefault="003D023C" w:rsidP="003D023C">
      <w:pPr>
        <w:rPr>
          <w:sz w:val="48"/>
          <w:szCs w:val="48"/>
        </w:rPr>
      </w:pPr>
    </w:p>
    <w:p w:rsidR="003D023C" w:rsidRPr="003D023C" w:rsidRDefault="003D023C" w:rsidP="009A582D">
      <w:pPr>
        <w:jc w:val="center"/>
        <w:rPr>
          <w:sz w:val="48"/>
          <w:szCs w:val="48"/>
        </w:rPr>
      </w:pPr>
    </w:p>
    <w:p w:rsidR="003D023C" w:rsidRPr="003D023C" w:rsidRDefault="003D023C" w:rsidP="003D023C">
      <w:pPr>
        <w:rPr>
          <w:sz w:val="48"/>
          <w:szCs w:val="48"/>
        </w:rPr>
      </w:pPr>
    </w:p>
    <w:p w:rsidR="003D023C" w:rsidRPr="003D023C" w:rsidRDefault="003D023C" w:rsidP="003D023C">
      <w:pPr>
        <w:rPr>
          <w:sz w:val="48"/>
          <w:szCs w:val="48"/>
        </w:rPr>
      </w:pPr>
    </w:p>
    <w:p w:rsidR="003D023C" w:rsidRPr="003D023C" w:rsidRDefault="003D023C" w:rsidP="003D023C">
      <w:pPr>
        <w:rPr>
          <w:sz w:val="48"/>
          <w:szCs w:val="48"/>
        </w:rPr>
      </w:pPr>
    </w:p>
    <w:p w:rsidR="003D023C" w:rsidRDefault="003D023C" w:rsidP="003D023C">
      <w:pPr>
        <w:rPr>
          <w:sz w:val="48"/>
          <w:szCs w:val="48"/>
        </w:rPr>
      </w:pPr>
    </w:p>
    <w:p w:rsidR="003D023C" w:rsidRPr="009A582D" w:rsidRDefault="003D023C" w:rsidP="009A582D">
      <w:pPr>
        <w:pStyle w:val="Titre1"/>
        <w:spacing w:after="0" w:line="360" w:lineRule="auto"/>
        <w:jc w:val="center"/>
        <w:rPr>
          <w:rFonts w:asciiTheme="majorBidi" w:hAnsiTheme="majorBidi" w:cstheme="majorBidi"/>
          <w:b/>
          <w:bCs/>
          <w:color w:val="auto"/>
          <w:sz w:val="144"/>
          <w:szCs w:val="144"/>
        </w:rPr>
      </w:pPr>
      <w:bookmarkStart w:id="14" w:name="_Toc230558606"/>
      <w:bookmarkStart w:id="15" w:name="_Toc230900241"/>
      <w:bookmarkStart w:id="16" w:name="_Toc230900915"/>
      <w:r w:rsidRPr="009A582D">
        <w:rPr>
          <w:rFonts w:asciiTheme="majorBidi" w:hAnsiTheme="majorBidi" w:cstheme="majorBidi"/>
          <w:b/>
          <w:bCs/>
          <w:color w:val="auto"/>
          <w:sz w:val="144"/>
          <w:szCs w:val="144"/>
        </w:rPr>
        <w:t>Résum</w:t>
      </w:r>
      <w:r w:rsidR="007C5538" w:rsidRPr="009A582D">
        <w:rPr>
          <w:rFonts w:asciiTheme="majorBidi" w:hAnsiTheme="majorBidi" w:cstheme="majorBidi"/>
          <w:b/>
          <w:bCs/>
          <w:color w:val="auto"/>
          <w:sz w:val="144"/>
          <w:szCs w:val="144"/>
        </w:rPr>
        <w:t>é</w:t>
      </w:r>
      <w:bookmarkEnd w:id="14"/>
      <w:bookmarkEnd w:id="15"/>
      <w:bookmarkEnd w:id="16"/>
    </w:p>
    <w:p w:rsidR="003D023C" w:rsidRDefault="003D023C" w:rsidP="003D023C">
      <w:pPr>
        <w:tabs>
          <w:tab w:val="center" w:pos="4535"/>
        </w:tabs>
        <w:rPr>
          <w:sz w:val="48"/>
          <w:szCs w:val="48"/>
        </w:rPr>
      </w:pPr>
      <w:r>
        <w:rPr>
          <w:sz w:val="48"/>
          <w:szCs w:val="48"/>
        </w:rPr>
        <w:tab/>
      </w:r>
    </w:p>
    <w:p w:rsidR="00650768" w:rsidRPr="00650768" w:rsidRDefault="00650768" w:rsidP="00650768">
      <w:pPr>
        <w:rPr>
          <w:sz w:val="48"/>
          <w:szCs w:val="48"/>
        </w:rPr>
      </w:pPr>
    </w:p>
    <w:p w:rsidR="00650768" w:rsidRPr="00650768" w:rsidRDefault="00650768" w:rsidP="00650768">
      <w:pPr>
        <w:rPr>
          <w:sz w:val="48"/>
          <w:szCs w:val="48"/>
        </w:rPr>
      </w:pPr>
    </w:p>
    <w:p w:rsidR="00650768" w:rsidRPr="00650768" w:rsidRDefault="00650768" w:rsidP="00650768">
      <w:pPr>
        <w:rPr>
          <w:sz w:val="48"/>
          <w:szCs w:val="48"/>
        </w:rPr>
      </w:pPr>
    </w:p>
    <w:p w:rsidR="00650768" w:rsidRPr="00650768" w:rsidRDefault="00650768" w:rsidP="00650768">
      <w:pPr>
        <w:rPr>
          <w:sz w:val="48"/>
          <w:szCs w:val="48"/>
        </w:rPr>
      </w:pPr>
    </w:p>
    <w:p w:rsidR="00650768" w:rsidRPr="00650768" w:rsidRDefault="00650768" w:rsidP="00650768">
      <w:pPr>
        <w:rPr>
          <w:sz w:val="48"/>
          <w:szCs w:val="48"/>
        </w:rPr>
      </w:pPr>
    </w:p>
    <w:p w:rsidR="00650768" w:rsidRDefault="00650768" w:rsidP="00650768">
      <w:pPr>
        <w:rPr>
          <w:sz w:val="48"/>
          <w:szCs w:val="48"/>
        </w:rPr>
      </w:pPr>
    </w:p>
    <w:p w:rsidR="00650768" w:rsidRPr="00650768" w:rsidRDefault="00650768" w:rsidP="00650768">
      <w:pPr>
        <w:tabs>
          <w:tab w:val="center" w:pos="4535"/>
        </w:tabs>
        <w:rPr>
          <w:sz w:val="48"/>
          <w:szCs w:val="48"/>
        </w:rPr>
        <w:sectPr w:rsidR="00650768" w:rsidRPr="00650768" w:rsidSect="00016D60">
          <w:footerReference w:type="default" r:id="rId21"/>
          <w:footnotePr>
            <w:numRestart w:val="eachPage"/>
          </w:footnotePr>
          <w:pgSz w:w="11906" w:h="16838"/>
          <w:pgMar w:top="1417" w:right="1417" w:bottom="1417" w:left="1417" w:header="720" w:footer="720" w:gutter="0"/>
          <w:pgBorders w:display="firstPage" w:offsetFrom="page">
            <w:top w:val="tornPaperBlack" w:sz="31" w:space="24" w:color="000000" w:themeColor="text1"/>
            <w:left w:val="tornPaperBlack" w:sz="31" w:space="24" w:color="000000" w:themeColor="text1"/>
            <w:bottom w:val="tornPaperBlack" w:sz="31" w:space="24" w:color="000000" w:themeColor="text1"/>
            <w:right w:val="tornPaperBlack" w:sz="31" w:space="24" w:color="000000" w:themeColor="text1"/>
          </w:pgBorders>
          <w:pgNumType w:fmt="upperRoman"/>
          <w:cols w:space="720"/>
        </w:sectPr>
      </w:pPr>
    </w:p>
    <w:p w:rsidR="00893377" w:rsidRDefault="007B5998" w:rsidP="00650768">
      <w:pPr>
        <w:suppressAutoHyphens w:val="0"/>
        <w:rPr>
          <w:sz w:val="28"/>
          <w:szCs w:val="28"/>
        </w:rPr>
      </w:pPr>
      <w:r w:rsidRPr="007B5998">
        <w:rPr>
          <w:noProof/>
          <w:sz w:val="48"/>
          <w:szCs w:val="48"/>
          <w:lang w:eastAsia="fr-FR"/>
        </w:rPr>
        <w:lastRenderedPageBreak/>
        <w:pict>
          <v:rect id="Rectangle 15" o:spid="_x0000_s1030" style="position:absolute;margin-left:145.7pt;margin-top:57.4pt;width:162.95pt;height:37.9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" fillcolor="#c5e0b3 [1305]" strokecolor="#09101d [484]" strokeweight="1pt">
            <v:textbox>
              <w:txbxContent>
                <w:p w:rsidR="00B54D3C" w:rsidRPr="007600AC" w:rsidRDefault="00B54D3C" w:rsidP="007600AC">
                  <w:pPr>
                    <w:jc w:val="center"/>
                    <w:rPr>
                      <w:rFonts w:asciiTheme="majorBidi" w:hAnsiTheme="majorBidi" w:cstheme="majorBidi"/>
                      <w:b/>
                      <w:bCs/>
                      <w:sz w:val="40"/>
                      <w:szCs w:val="40"/>
                    </w:rPr>
                  </w:pPr>
                  <w:r w:rsidRPr="007600AC">
                    <w:rPr>
                      <w:rFonts w:asciiTheme="majorBidi" w:hAnsiTheme="majorBidi" w:cstheme="majorBidi"/>
                      <w:b/>
                      <w:bCs/>
                      <w:sz w:val="40"/>
                      <w:szCs w:val="40"/>
                    </w:rPr>
                    <w:t>Le Résumé</w:t>
                  </w:r>
                </w:p>
              </w:txbxContent>
            </v:textbox>
          </v:rect>
        </w:pict>
      </w:r>
      <w:r w:rsidRPr="007B5998">
        <w:rPr>
          <w:noProof/>
          <w:sz w:val="48"/>
          <w:szCs w:val="48"/>
          <w:lang w:eastAsia="fr-FR"/>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4" o:spid="_x0000_s1031" type="#_x0000_t176" style="position:absolute;margin-left:.15pt;margin-top:109.5pt;width:454.75pt;height:553.25pt;z-index:25169510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" fillcolor="#c5e0b3 [1305]" stroked="f" strokeweight="1pt">
            <v:shadow on="t" type="perspective" color="black" opacity="26214f" offset="0,0" matrix="66847f,,,66847f"/>
            <v:textbox>
              <w:txbxContent>
                <w:p w:rsidR="00B54D3C" w:rsidRDefault="00B54D3C" w:rsidP="000549E0">
                  <w:pPr>
                    <w:spacing w:line="360" w:lineRule="auto"/>
                    <w:jc w:val="both"/>
                    <w:rPr>
                      <w:rFonts w:asciiTheme="majorBidi" w:hAnsiTheme="majorBidi" w:cstheme="majorBidi"/>
                      <w:color w:val="000000" w:themeColor="text1"/>
                      <w:sz w:val="24"/>
                      <w:szCs w:val="24"/>
                    </w:rPr>
                  </w:pPr>
                  <w:r w:rsidRPr="000549E0">
                    <w:rPr>
                      <w:rFonts w:asciiTheme="majorBidi" w:hAnsiTheme="majorBidi" w:cstheme="majorBidi"/>
                      <w:color w:val="000000" w:themeColor="text1"/>
                      <w:sz w:val="24"/>
                      <w:szCs w:val="24"/>
                    </w:rPr>
                    <w:t>Cette étude examine l’impact du marketing des produits biologiques sur la perception de la sécurité sanitaire des aliments et le comportement des consommateurs. Face aux crises alimentaires et à la méfiance envers les résidus chimiques, les produits bio sont perçus comme une alternative plus saine, bien que leur crédibilité repose sur des signaux extrinsèques (labels, certifications). L’approche mixte combine une revue de littérature et une étude de terrain menée auprès de l’entreprise Dahbia (huile d’olive biologique, Djelfa). Des entretiens semi-directifs ont été croisés avec une enquête quantitative auprès de 205 consommateurs, analysée via SPSS. Les résultats montrent que le marketing des produits bio influence positivement la perception de la sécurité sanitaire (R = 0,620, p &lt; 0,01). Le label et la communication promotionnelle sont les principaux vecteurs de confiance, tandis que le prix joue un rôle secondaire (R² = 0,055) et la distribution constitue un point faible. La perception de la sécurité sanitaire exerce également un effet direct sur l’intention d’achat (R = 0,601, p &lt; 0,01), validant l’hypothèse alternative H1. En conclusion, un marketing fondé sur la transparence, la certification et la traçabilité dépasse la fonction commerciale pour devenir un levier de santé publique et de confiance.</w:t>
                  </w:r>
                </w:p>
                <w:p w:rsidR="00B54D3C" w:rsidRDefault="00B54D3C" w:rsidP="000549E0">
                  <w:pPr>
                    <w:spacing w:line="360" w:lineRule="auto"/>
                    <w:jc w:val="both"/>
                    <w:rPr>
                      <w:rFonts w:asciiTheme="majorBidi" w:hAnsiTheme="majorBidi" w:cstheme="majorBidi"/>
                      <w:color w:val="000000" w:themeColor="text1"/>
                      <w:sz w:val="24"/>
                      <w:szCs w:val="24"/>
                    </w:rPr>
                  </w:pPr>
                </w:p>
                <w:p w:rsidR="00B54D3C" w:rsidRPr="00E62153" w:rsidRDefault="00B54D3C" w:rsidP="000549E0">
                  <w:pPr>
                    <w:spacing w:line="360" w:lineRule="auto"/>
                    <w:jc w:val="both"/>
                    <w:rPr>
                      <w:rFonts w:asciiTheme="majorBidi" w:hAnsiTheme="majorBidi" w:cstheme="majorBidi"/>
                      <w:color w:val="000000" w:themeColor="text1"/>
                      <w:sz w:val="24"/>
                      <w:szCs w:val="24"/>
                    </w:rPr>
                  </w:pPr>
                  <w:r w:rsidRPr="00E62153">
                    <w:rPr>
                      <w:rFonts w:asciiTheme="majorBidi" w:hAnsiTheme="majorBidi" w:cstheme="majorBidi"/>
                      <w:b/>
                      <w:bCs/>
                      <w:color w:val="000000" w:themeColor="text1"/>
                      <w:sz w:val="24"/>
                      <w:szCs w:val="24"/>
                    </w:rPr>
                    <w:t>Mots-clés :</w:t>
                  </w:r>
                  <w:r w:rsidRPr="00E62153">
                    <w:rPr>
                      <w:rFonts w:asciiTheme="majorBidi" w:hAnsiTheme="majorBidi" w:cstheme="majorBidi"/>
                      <w:color w:val="000000" w:themeColor="text1"/>
                      <w:sz w:val="24"/>
                      <w:szCs w:val="24"/>
                    </w:rPr>
                    <w:t xml:space="preserve"> Marketing des produits biologiques, sécurité sanitaire, comportement du consommateur, certification biologique, intention d’achat, Algérie.</w:t>
                  </w:r>
                </w:p>
              </w:txbxContent>
            </v:textbox>
            <w10:wrap anchorx="margin"/>
          </v:shape>
        </w:pict>
      </w: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rPr>
          <w:sz w:val="28"/>
          <w:szCs w:val="28"/>
        </w:rPr>
      </w:pPr>
    </w:p>
    <w:p w:rsidR="00650768" w:rsidRDefault="00650768" w:rsidP="00650768">
      <w:pPr>
        <w:suppressAutoHyphens w:val="0"/>
        <w:jc w:val="center"/>
        <w:rPr>
          <w:sz w:val="28"/>
          <w:szCs w:val="28"/>
        </w:rPr>
      </w:pPr>
    </w:p>
    <w:p w:rsidR="00650768" w:rsidRDefault="00650768" w:rsidP="00650768">
      <w:pPr>
        <w:suppressAutoHyphens w:val="0"/>
        <w:rPr>
          <w:sz w:val="28"/>
          <w:szCs w:val="28"/>
        </w:rPr>
      </w:pPr>
    </w:p>
    <w:p w:rsidR="00015778" w:rsidRPr="00015778" w:rsidRDefault="00015778" w:rsidP="00015778">
      <w:pPr>
        <w:rPr>
          <w:sz w:val="28"/>
          <w:szCs w:val="28"/>
        </w:rPr>
      </w:pPr>
    </w:p>
    <w:p w:rsidR="00015778" w:rsidRPr="00015778" w:rsidRDefault="007B5998" w:rsidP="00015778">
      <w:pPr>
        <w:rPr>
          <w:sz w:val="28"/>
          <w:szCs w:val="28"/>
        </w:rPr>
      </w:pPr>
      <w:r w:rsidRPr="007B5998">
        <w:rPr>
          <w:noProof/>
          <w:sz w:val="48"/>
          <w:szCs w:val="48"/>
          <w:lang w:eastAsia="fr-FR"/>
        </w:rPr>
        <w:pict>
          <v:rect id="_x0000_s1032" style="position:absolute;margin-left:0;margin-top:10.25pt;width:162.95pt;height:37.9pt;z-index:251698176;visibility:visible;mso-position-horizontal:center;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" fillcolor="#c5e0b3 [1305]" strokecolor="#09101d [484]" strokeweight="1pt">
            <v:textbox>
              <w:txbxContent>
                <w:p w:rsidR="00B54D3C" w:rsidRPr="007600AC" w:rsidRDefault="00B54D3C" w:rsidP="00015778">
                  <w:pPr>
                    <w:jc w:val="center"/>
                    <w:rPr>
                      <w:rFonts w:asciiTheme="majorBidi" w:hAnsiTheme="majorBidi" w:cstheme="majorBidi"/>
                      <w:b/>
                      <w:bCs/>
                      <w:sz w:val="40"/>
                      <w:szCs w:val="40"/>
                    </w:rPr>
                  </w:pPr>
                  <w:r>
                    <w:rPr>
                      <w:rFonts w:asciiTheme="majorBidi" w:hAnsiTheme="majorBidi" w:cstheme="majorBidi"/>
                      <w:b/>
                      <w:bCs/>
                      <w:sz w:val="40"/>
                      <w:szCs w:val="40"/>
                    </w:rPr>
                    <w:t>Abstract</w:t>
                  </w:r>
                </w:p>
              </w:txbxContent>
            </v:textbox>
            <w10:wrap anchorx="margin"/>
          </v:rect>
        </w:pict>
      </w:r>
    </w:p>
    <w:p w:rsidR="00015778" w:rsidRDefault="00015778" w:rsidP="00015778">
      <w:pPr>
        <w:rPr>
          <w:sz w:val="28"/>
          <w:szCs w:val="28"/>
        </w:rPr>
      </w:pPr>
    </w:p>
    <w:p w:rsidR="00015778" w:rsidRDefault="007B5998" w:rsidP="00015778">
      <w:pPr>
        <w:tabs>
          <w:tab w:val="left" w:pos="3948"/>
        </w:tabs>
        <w:rPr>
          <w:sz w:val="28"/>
          <w:szCs w:val="28"/>
        </w:rPr>
      </w:pPr>
      <w:r w:rsidRPr="007B5998">
        <w:rPr>
          <w:noProof/>
          <w:sz w:val="48"/>
          <w:szCs w:val="48"/>
          <w:lang w:eastAsia="fr-FR"/>
        </w:rPr>
        <w:pict>
          <v:shape id="_x0000_s1033" type="#_x0000_t176" style="position:absolute;margin-left:.35pt;margin-top:11.65pt;width:454.7pt;height:549pt;z-index:25170022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" fillcolor="#c5e0b3 [1305]" stroked="f" strokeweight="1pt">
            <v:shadow on="t" type="perspective" color="black" opacity="26214f" offset="0,0" matrix="66847f,,,66847f"/>
            <v:textbox>
              <w:txbxContent>
                <w:p w:rsidR="00B54D3C" w:rsidRDefault="00B54D3C" w:rsidP="000549E0">
                  <w:pPr>
                    <w:spacing w:line="360" w:lineRule="auto"/>
                    <w:jc w:val="both"/>
                    <w:rPr>
                      <w:rFonts w:asciiTheme="majorBidi" w:hAnsiTheme="majorBidi" w:cstheme="majorBidi"/>
                      <w:color w:val="000000" w:themeColor="text1"/>
                      <w:sz w:val="24"/>
                      <w:szCs w:val="24"/>
                      <w:lang w:val="en-US"/>
                    </w:rPr>
                  </w:pPr>
                  <w:r w:rsidRPr="000549E0">
                    <w:rPr>
                      <w:rFonts w:asciiTheme="majorBidi" w:hAnsiTheme="majorBidi" w:cstheme="majorBidi"/>
                      <w:color w:val="000000" w:themeColor="text1"/>
                      <w:sz w:val="24"/>
                      <w:szCs w:val="24"/>
                      <w:lang w:val="en-US"/>
                    </w:rPr>
                    <w:t>This study examines the role of organic product marketing in enhancing food safety perceptions and influencing consumer behavior. Amid growing distrust fueled by food crises and chemical residue exposure, organic products are seen as a healthier alternative, although their credibility relies on extrinsic signals (labels, certifications) that are not directly verifiable. The research adopts a mixed-method approach, combining an extensive literature review with a field study conducted at Dahbia company (organic olive oil, Djelfa, Algeria). Qualitative data from semi-structured interviews were cross-analyzed with a quantitative survey of 205 consumers, processed using SPSS. Results show that organic product marketing positively and significantly influences food safety perception (R = 0.620, p &lt; 0.01). The organic label and promotional communication emerge as the main trust drivers, while price plays a secondary role (R² = 0.055) and distribution remains the weakest element of the marketing mix. The study also confirms that food safety perception exerts a strong direct effect on purchase intention (R = 0.601, p &lt; 0.01). These findings validate the alternative hypothesis H1 and reject the null hypothesis H0. In conclusion, organic product marketing—when supported by transparent certification, labeling, and traceability systems—goes beyond its commercial function to become a genuine lever for public health and consumer trust.</w:t>
                  </w:r>
                </w:p>
                <w:p w:rsidR="00B54D3C" w:rsidRPr="001C08B7" w:rsidRDefault="00B54D3C" w:rsidP="000549E0">
                  <w:pPr>
                    <w:spacing w:line="360" w:lineRule="auto"/>
                    <w:jc w:val="both"/>
                    <w:rPr>
                      <w:rFonts w:asciiTheme="majorBidi" w:hAnsiTheme="majorBidi" w:cstheme="majorBidi"/>
                      <w:color w:val="000000" w:themeColor="text1"/>
                      <w:sz w:val="24"/>
                      <w:szCs w:val="24"/>
                      <w:lang w:val="en-US"/>
                    </w:rPr>
                  </w:pPr>
                </w:p>
                <w:p w:rsidR="00B54D3C" w:rsidRPr="001C08B7" w:rsidRDefault="00B54D3C" w:rsidP="00B20DAD">
                  <w:pPr>
                    <w:spacing w:line="360" w:lineRule="auto"/>
                    <w:jc w:val="both"/>
                    <w:rPr>
                      <w:rFonts w:asciiTheme="majorBidi" w:hAnsiTheme="majorBidi" w:cstheme="majorBidi"/>
                      <w:color w:val="000000" w:themeColor="text1"/>
                      <w:sz w:val="24"/>
                      <w:szCs w:val="24"/>
                      <w:lang w:val="en-US"/>
                    </w:rPr>
                  </w:pPr>
                  <w:r w:rsidRPr="001C08B7">
                    <w:rPr>
                      <w:rFonts w:asciiTheme="majorBidi" w:hAnsiTheme="majorBidi" w:cstheme="majorBidi"/>
                      <w:b/>
                      <w:bCs/>
                      <w:color w:val="000000" w:themeColor="text1"/>
                      <w:sz w:val="24"/>
                      <w:szCs w:val="24"/>
                      <w:lang w:val="en-US"/>
                    </w:rPr>
                    <w:t>Keywords:</w:t>
                  </w:r>
                  <w:r w:rsidRPr="001C08B7">
                    <w:rPr>
                      <w:rFonts w:asciiTheme="majorBidi" w:hAnsiTheme="majorBidi" w:cstheme="majorBidi"/>
                      <w:color w:val="000000" w:themeColor="text1"/>
                      <w:sz w:val="24"/>
                      <w:szCs w:val="24"/>
                      <w:lang w:val="en-US"/>
                    </w:rPr>
                    <w:t xml:space="preserve"> Organic product marketing, food safety, consumer behavior, organic certification, purchase intention, Algeria.</w:t>
                  </w:r>
                </w:p>
              </w:txbxContent>
            </v:textbox>
            <w10:wrap anchorx="margin"/>
          </v:shape>
        </w:pict>
      </w:r>
      <w:r w:rsidR="00015778">
        <w:rPr>
          <w:sz w:val="28"/>
          <w:szCs w:val="28"/>
        </w:rPr>
        <w:tab/>
      </w: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Pr="000A20AE" w:rsidRDefault="000A20AE" w:rsidP="000A20AE">
      <w:pPr>
        <w:rPr>
          <w:sz w:val="28"/>
          <w:szCs w:val="28"/>
        </w:rPr>
      </w:pPr>
    </w:p>
    <w:p w:rsidR="000A20AE" w:rsidRDefault="000A20AE" w:rsidP="000A20AE">
      <w:pPr>
        <w:rPr>
          <w:sz w:val="28"/>
          <w:szCs w:val="28"/>
        </w:rPr>
      </w:pPr>
    </w:p>
    <w:p w:rsidR="00DF10D6" w:rsidRDefault="00DF10D6" w:rsidP="002562F1">
      <w:pPr>
        <w:rPr>
          <w:sz w:val="28"/>
          <w:szCs w:val="28"/>
        </w:rPr>
      </w:pPr>
    </w:p>
    <w:p w:rsidR="002562F1" w:rsidRPr="002562F1" w:rsidRDefault="002562F1" w:rsidP="002562F1">
      <w:pPr>
        <w:tabs>
          <w:tab w:val="left" w:pos="810"/>
        </w:tabs>
        <w:rPr>
          <w:sz w:val="28"/>
          <w:szCs w:val="28"/>
        </w:rPr>
        <w:sectPr w:rsidR="002562F1" w:rsidRPr="002562F1" w:rsidSect="00EA0836">
          <w:footerReference w:type="default" r:id="rId22"/>
          <w:footnotePr>
            <w:numRestart w:val="eachPage"/>
          </w:footnotePr>
          <w:pgSz w:w="11906" w:h="16838"/>
          <w:pgMar w:top="1417" w:right="1417" w:bottom="1417" w:left="1417" w:header="720" w:footer="720" w:gutter="0"/>
          <w:pgBorders w:offsetFrom="page">
            <w:top w:val="tornPaperBlack" w:sz="31" w:space="24" w:color="538135" w:themeColor="accent6" w:themeShade="BF"/>
            <w:left w:val="tornPaperBlack" w:sz="31" w:space="24" w:color="538135" w:themeColor="accent6" w:themeShade="BF"/>
            <w:bottom w:val="tornPaperBlack" w:sz="31" w:space="24" w:color="538135" w:themeColor="accent6" w:themeShade="BF"/>
            <w:right w:val="tornPaperBlack" w:sz="31" w:space="24" w:color="538135" w:themeColor="accent6" w:themeShade="BF"/>
          </w:pgBorders>
          <w:pgNumType w:fmt="upperRoman"/>
          <w:cols w:space="720"/>
        </w:sectPr>
      </w:pPr>
    </w:p>
    <w:p w:rsidR="000A20AE" w:rsidRDefault="000A20AE" w:rsidP="00DF10D6">
      <w:pPr>
        <w:rPr>
          <w:sz w:val="28"/>
          <w:szCs w:val="28"/>
        </w:rPr>
      </w:pPr>
    </w:p>
    <w:p w:rsidR="000A20AE" w:rsidRDefault="000A20AE" w:rsidP="003D023C">
      <w:pP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7B5998" w:rsidP="000A20AE">
      <w:pPr>
        <w:jc w:val="center"/>
        <w:rPr>
          <w:sz w:val="28"/>
          <w:szCs w:val="28"/>
        </w:rPr>
      </w:pPr>
      <w:r w:rsidRPr="007B5998">
        <w:rPr>
          <w:noProof/>
          <w:sz w:val="48"/>
          <w:szCs w:val="48"/>
          <w:lang w:eastAsia="fr-FR"/>
        </w:rPr>
        <w:pict>
          <v:shape id="Zone de texte 17" o:spid="_x0000_s1034" type="#_x0000_t202" style="position:absolute;left:0;text-align:left;margin-left:52.85pt;margin-top:102.45pt;width:396pt;height:151.5pt;z-index:25170432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" filled="f" stroked="f" strokeweight=".5pt">
            <v:textbox>
              <w:txbxContent>
                <w:p w:rsidR="00B54D3C" w:rsidRPr="0089129D" w:rsidRDefault="00B54D3C">
                  <w:pPr>
                    <w:rPr>
                      <w:rFonts w:asciiTheme="majorBidi" w:hAnsiTheme="majorBidi" w:cstheme="majorBidi"/>
                      <w:b/>
                      <w:bCs/>
                      <w:sz w:val="72"/>
                      <w:szCs w:val="72"/>
                    </w:rPr>
                  </w:pPr>
                  <w:r>
                    <w:rPr>
                      <w:rFonts w:asciiTheme="majorBidi" w:hAnsiTheme="majorBidi" w:cstheme="majorBidi"/>
                      <w:b/>
                      <w:bCs/>
                      <w:sz w:val="72"/>
                      <w:szCs w:val="72"/>
                    </w:rPr>
                    <w:t xml:space="preserve">Introduction générale </w:t>
                  </w:r>
                </w:p>
              </w:txbxContent>
            </v:textbox>
          </v:shape>
        </w:pict>
      </w:r>
      <w:r w:rsidRPr="007B5998">
        <w:rPr>
          <w:noProof/>
          <w:sz w:val="48"/>
          <w:szCs w:val="48"/>
          <w:lang w:eastAsia="fr-FR"/>
        </w:rPr>
        <w:pict>
          <v:shape id="_x0000_s1087" type="#_x0000_t98" style="position:absolute;left:0;text-align:left;margin-left:-7.9pt;margin-top:10.2pt;width:483pt;height:292.5pt;z-index:-251613184;visibility:visible;mso-position-horizontal-relative:margin;mso-width-relative:margin;v-text-anchor:middle" wrapcoords="20493 -55 20258 111 19889 665 19856 1717 671 2548 436 2658 -67 3268 -67 20603 67 21212 134 21323 570 21655 738 21655 872 21655 1006 21655 1476 21323 1711 20382 1711 19440 10029 19440 21466 18942 21466 18554 21667 17723 21634 665 21198 0 21030 -55 20493 -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" filled="f" strokecolor="black [3213]" strokeweight="2.25pt">
            <v:stroke joinstyle="miter"/>
            <v:shadow on="t" color="black" opacity="26214f" origin="-.5,.5" offset=".74836mm,-.74836mm"/>
            <w10:wrap type="tight" anchorx="margin"/>
          </v:shape>
        </w:pict>
      </w: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A20AE" w:rsidRDefault="000A20AE" w:rsidP="000A20AE">
      <w:pPr>
        <w:jc w:val="center"/>
        <w:rPr>
          <w:sz w:val="28"/>
          <w:szCs w:val="28"/>
        </w:rPr>
      </w:pPr>
    </w:p>
    <w:p w:rsidR="000B478A" w:rsidRDefault="000B478A" w:rsidP="000B478A">
      <w:pPr>
        <w:rPr>
          <w:sz w:val="28"/>
          <w:szCs w:val="28"/>
        </w:rPr>
        <w:sectPr w:rsidR="000B478A" w:rsidSect="00EA0836">
          <w:headerReference w:type="default" r:id="rId23"/>
          <w:footerReference w:type="default" r:id="rId24"/>
          <w:footnotePr>
            <w:numRestart w:val="eachPage"/>
          </w:footnotePr>
          <w:pgSz w:w="11906" w:h="16838"/>
          <w:pgMar w:top="1417" w:right="1417" w:bottom="1417" w:left="1417" w:header="737" w:footer="720" w:gutter="0"/>
          <w:pgBorders w:display="firstPage" w:offsetFrom="page">
            <w:top w:val="tornPaperBlack" w:sz="31" w:space="24" w:color="000000" w:themeColor="text1"/>
            <w:left w:val="tornPaperBlack" w:sz="31" w:space="24" w:color="000000" w:themeColor="text1"/>
            <w:bottom w:val="tornPaperBlack" w:sz="31" w:space="24" w:color="000000" w:themeColor="text1"/>
            <w:right w:val="tornPaperBlack" w:sz="31" w:space="24" w:color="000000" w:themeColor="text1"/>
          </w:pgBorders>
          <w:pgNumType w:start="1"/>
          <w:cols w:space="720"/>
          <w:titlePg/>
          <w:docGrid w:linePitch="299"/>
        </w:sectPr>
      </w:pPr>
    </w:p>
    <w:p w:rsidR="000A20AE" w:rsidRDefault="00C04D2F" w:rsidP="0056423F">
      <w:pPr>
        <w:pStyle w:val="Titre1"/>
        <w:spacing w:before="0" w:after="0" w:line="360" w:lineRule="auto"/>
        <w:jc w:val="lowKashida"/>
        <w:rPr>
          <w:rtl/>
        </w:rPr>
      </w:pPr>
      <w:bookmarkStart w:id="17" w:name="_Toc230558607"/>
      <w:bookmarkStart w:id="18" w:name="_Toc230900242"/>
      <w:bookmarkStart w:id="19" w:name="_Toc230900916"/>
      <w:r w:rsidRPr="0056423F">
        <w:rPr>
          <w:rFonts w:asciiTheme="majorBidi" w:hAnsiTheme="majorBidi" w:cstheme="majorBidi"/>
          <w:b/>
          <w:bCs/>
          <w:color w:val="auto"/>
          <w:sz w:val="24"/>
          <w:szCs w:val="24"/>
        </w:rPr>
        <w:lastRenderedPageBreak/>
        <w:t>Introduction Générale</w:t>
      </w:r>
      <w:r w:rsidRPr="0056423F">
        <w:rPr>
          <w:color w:val="auto"/>
          <w:sz w:val="24"/>
          <w:szCs w:val="24"/>
        </w:rPr>
        <w:t> </w:t>
      </w:r>
      <w:r>
        <w:t>:</w:t>
      </w:r>
      <w:bookmarkEnd w:id="17"/>
      <w:bookmarkEnd w:id="18"/>
      <w:bookmarkEnd w:id="19"/>
    </w:p>
    <w:p w:rsidR="00CF2BE9" w:rsidRPr="004871BE" w:rsidRDefault="00597EB4" w:rsidP="008C5F4D">
      <w:pPr>
        <w:pStyle w:val="NormalWeb"/>
        <w:spacing w:line="360" w:lineRule="auto"/>
        <w:rPr>
          <w:rFonts w:eastAsia="Times New Roman"/>
          <w:kern w:val="0"/>
          <w:lang w:eastAsia="fr-FR"/>
        </w:rPr>
      </w:pPr>
      <w:r w:rsidRPr="008C5F4D">
        <w:rPr>
          <w:rFonts w:asciiTheme="majorBidi" w:hAnsiTheme="majorBidi" w:cstheme="majorBidi"/>
        </w:rPr>
        <w:t xml:space="preserve">    </w:t>
      </w:r>
      <w:r w:rsidR="004871BE" w:rsidRPr="008C5F4D">
        <w:rPr>
          <w:rFonts w:asciiTheme="majorBidi" w:eastAsia="Times New Roman" w:hAnsiTheme="majorBidi" w:cstheme="majorBidi"/>
          <w:kern w:val="0"/>
          <w:lang w:eastAsia="fr-FR"/>
        </w:rPr>
        <w:t>« Face à l’évolution des attentes des consommateurs en matière de santé et de qualité al</w:t>
      </w:r>
      <w:r w:rsidR="004871BE" w:rsidRPr="008C5F4D">
        <w:rPr>
          <w:rFonts w:asciiTheme="majorBidi" w:eastAsia="Times New Roman" w:hAnsiTheme="majorBidi" w:cstheme="majorBidi"/>
          <w:kern w:val="0"/>
          <w:lang w:eastAsia="fr-FR"/>
        </w:rPr>
        <w:t>i</w:t>
      </w:r>
      <w:r w:rsidR="004871BE" w:rsidRPr="008C5F4D">
        <w:rPr>
          <w:rFonts w:asciiTheme="majorBidi" w:eastAsia="Times New Roman" w:hAnsiTheme="majorBidi" w:cstheme="majorBidi"/>
          <w:kern w:val="0"/>
          <w:lang w:eastAsia="fr-FR"/>
        </w:rPr>
        <w:t>mentaire, les produits biologiques occupent une place de plus en plus importante, obligeant les entreprises à développer des stratégies marketing capables de valoriser leurs caractéri</w:t>
      </w:r>
      <w:r w:rsidR="004871BE" w:rsidRPr="008C5F4D">
        <w:rPr>
          <w:rFonts w:asciiTheme="majorBidi" w:eastAsia="Times New Roman" w:hAnsiTheme="majorBidi" w:cstheme="majorBidi"/>
          <w:kern w:val="0"/>
          <w:lang w:eastAsia="fr-FR"/>
        </w:rPr>
        <w:t>s</w:t>
      </w:r>
      <w:r w:rsidR="004871BE" w:rsidRPr="008C5F4D">
        <w:rPr>
          <w:rFonts w:asciiTheme="majorBidi" w:eastAsia="Times New Roman" w:hAnsiTheme="majorBidi" w:cstheme="majorBidi"/>
          <w:kern w:val="0"/>
          <w:lang w:eastAsia="fr-FR"/>
        </w:rPr>
        <w:t>tiques et de renforcer la confiance des consommateurs. »</w:t>
      </w:r>
      <w:r w:rsidR="006C730D" w:rsidRPr="008C5F4D">
        <w:rPr>
          <w:rStyle w:val="Appelnotedebasdep"/>
          <w:rFonts w:asciiTheme="majorBidi" w:hAnsiTheme="majorBidi" w:cstheme="majorBidi"/>
        </w:rPr>
        <w:footnoteReference w:id="2"/>
      </w:r>
      <w:r w:rsidR="00CF2BE9" w:rsidRPr="008C5F4D">
        <w:rPr>
          <w:rFonts w:asciiTheme="majorBidi" w:hAnsiTheme="majorBidi" w:cstheme="majorBidi"/>
        </w:rPr>
        <w:t>. Actuellement, le marketing occupe une position centrale dans la commercialisation des denrées issues de l'agriculture biologique . Au-delà de la simple vente d'un produit, les approches marketing actuelles cherchent à co</w:t>
      </w:r>
      <w:r w:rsidR="00CF2BE9" w:rsidRPr="008C5F4D">
        <w:rPr>
          <w:rFonts w:asciiTheme="majorBidi" w:hAnsiTheme="majorBidi" w:cstheme="majorBidi"/>
        </w:rPr>
        <w:t>m</w:t>
      </w:r>
      <w:r w:rsidR="00CF2BE9" w:rsidRPr="008C5F4D">
        <w:rPr>
          <w:rFonts w:asciiTheme="majorBidi" w:hAnsiTheme="majorBidi" w:cstheme="majorBidi"/>
        </w:rPr>
        <w:t xml:space="preserve">muniquer des assurances implicites liées à la pureté, à l'excellence et à l'absence de dangers sanitaires </w:t>
      </w:r>
      <w:r w:rsidR="00D4625E" w:rsidRPr="008C5F4D">
        <w:rPr>
          <w:rStyle w:val="Appelnotedebasdep"/>
          <w:rFonts w:asciiTheme="majorBidi" w:hAnsiTheme="majorBidi" w:cstheme="majorBidi"/>
        </w:rPr>
        <w:footnoteReference w:id="3"/>
      </w:r>
      <w:r w:rsidR="00CF2BE9" w:rsidRPr="008C5F4D">
        <w:rPr>
          <w:rFonts w:asciiTheme="majorBidi" w:hAnsiTheme="majorBidi" w:cstheme="majorBidi"/>
        </w:rPr>
        <w:t>. La salubrité des produits alimentaires est aujourd'hui considérée comme « une condition impérative du marché », tandis que les citoyens des pays industrialisés manifestent une attente forte pour des aliments « entièrement dépourvus de tout risque »</w:t>
      </w:r>
      <w:r w:rsidR="00CF2BE9" w:rsidRPr="00CF2BE9">
        <w:rPr>
          <w:rFonts w:asciiTheme="majorBidi" w:hAnsiTheme="majorBidi" w:cstheme="majorBidi"/>
        </w:rPr>
        <w:t xml:space="preserve"> </w:t>
      </w:r>
      <w:r w:rsidR="006C730D">
        <w:rPr>
          <w:rStyle w:val="Appelnotedebasdep"/>
          <w:rFonts w:asciiTheme="majorBidi" w:hAnsiTheme="majorBidi" w:cstheme="majorBidi"/>
        </w:rPr>
        <w:footnoteReference w:id="4"/>
      </w:r>
      <w:r w:rsidR="00CF2BE9" w:rsidRPr="00CF2BE9">
        <w:rPr>
          <w:rFonts w:asciiTheme="majorBidi" w:hAnsiTheme="majorBidi" w:cstheme="majorBidi"/>
        </w:rPr>
        <w:t>.</w:t>
      </w:r>
    </w:p>
    <w:p w:rsidR="00CF2BE9" w:rsidRPr="00CF2BE9" w:rsidRDefault="00597EB4" w:rsidP="00B20DAD">
      <w:pPr>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00CF2BE9" w:rsidRPr="00CF2BE9">
        <w:rPr>
          <w:rFonts w:asciiTheme="majorBidi" w:hAnsiTheme="majorBidi" w:cstheme="majorBidi"/>
          <w:sz w:val="24"/>
          <w:szCs w:val="24"/>
        </w:rPr>
        <w:t xml:space="preserve">La fréquence élevée et l'importante couverture médiatique des catastrophes sanitaires touchant le secteur alimentaire citons par exemple la contamination de la viande bovine, la pollution des eaux en bouteille ou encore l'usage de substances chimiques dangereusesont sensiblement modifié les habitudes d'acquisition des consommateurs . Ces épisodes ont « porté atteinte à l'image des marchandises » et ont poussé les firmes agroalimentaires à déployer des moyens financiers considérables dans leurs actions de communication afin de « reconstruire la crédibilité auprès de leur clientèle » </w:t>
      </w:r>
      <w:r w:rsidR="006C730D">
        <w:rPr>
          <w:rStyle w:val="Appelnotedebasdep"/>
          <w:rFonts w:asciiTheme="majorBidi" w:hAnsiTheme="majorBidi" w:cstheme="majorBidi"/>
          <w:sz w:val="24"/>
          <w:szCs w:val="24"/>
        </w:rPr>
        <w:footnoteReference w:id="5"/>
      </w:r>
      <w:r w:rsidR="00CF2BE9" w:rsidRPr="00CF2BE9">
        <w:rPr>
          <w:rFonts w:asciiTheme="majorBidi" w:hAnsiTheme="majorBidi" w:cstheme="majorBidi"/>
          <w:sz w:val="24"/>
          <w:szCs w:val="24"/>
        </w:rPr>
        <w:t>.</w:t>
      </w:r>
    </w:p>
    <w:p w:rsidR="00CF2BE9" w:rsidRPr="00CF2BE9" w:rsidRDefault="00CF2BE9" w:rsidP="00B20DAD">
      <w:pPr>
        <w:spacing w:after="0" w:line="360" w:lineRule="auto"/>
        <w:jc w:val="lowKashida"/>
        <w:rPr>
          <w:rFonts w:asciiTheme="majorBidi" w:hAnsiTheme="majorBidi" w:cstheme="majorBidi"/>
          <w:sz w:val="24"/>
          <w:szCs w:val="24"/>
        </w:rPr>
      </w:pPr>
      <w:r w:rsidRPr="00CF2BE9">
        <w:rPr>
          <w:rFonts w:asciiTheme="majorBidi" w:hAnsiTheme="majorBidi" w:cstheme="majorBidi"/>
          <w:sz w:val="24"/>
          <w:szCs w:val="24"/>
        </w:rPr>
        <w:t xml:space="preserve">D'après la littérature spécialisée, un produit peut être qualifié de biologique lorsqu'il renferme une proportion minimale de 95% d'éléments provenant de l'agriculture biologique, sans tenir compte de l'eau ni du sel . Ces denrées doivent obligatoirement arborer le logo spécifique à l'agriculture biologique (mention « bio » ou « eco ») ainsi que le numéro d'enregistrement délivré par l'organisme certificateur compétent </w:t>
      </w:r>
      <w:r w:rsidR="00D4625E">
        <w:rPr>
          <w:rStyle w:val="Appelnotedebasdep"/>
          <w:rFonts w:asciiTheme="majorBidi" w:hAnsiTheme="majorBidi" w:cstheme="majorBidi"/>
          <w:sz w:val="24"/>
          <w:szCs w:val="24"/>
        </w:rPr>
        <w:footnoteReference w:id="6"/>
      </w:r>
      <w:r w:rsidRPr="00CF2BE9">
        <w:rPr>
          <w:rFonts w:asciiTheme="majorBidi" w:hAnsiTheme="majorBidi" w:cstheme="majorBidi"/>
          <w:sz w:val="24"/>
          <w:szCs w:val="24"/>
        </w:rPr>
        <w:t>.</w:t>
      </w:r>
    </w:p>
    <w:p w:rsidR="00CF2BE9" w:rsidRPr="00CF2BE9" w:rsidRDefault="00597EB4" w:rsidP="007D3A7F">
      <w:pPr>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00CF2BE9" w:rsidRPr="00CF2BE9">
        <w:rPr>
          <w:rFonts w:asciiTheme="majorBidi" w:hAnsiTheme="majorBidi" w:cstheme="majorBidi"/>
          <w:sz w:val="24"/>
          <w:szCs w:val="24"/>
        </w:rPr>
        <w:t xml:space="preserve">Les profils des acheteurs de produits biologiques sont assez singuliers : il s'agit généralement de personnes attentives aux problématiques environnementales et sanitaires, disposant d'un bon niveau d'information, pour qui le critère du prix passe après la recherche </w:t>
      </w:r>
      <w:r w:rsidR="00CF2BE9" w:rsidRPr="00CF2BE9">
        <w:rPr>
          <w:rFonts w:asciiTheme="majorBidi" w:hAnsiTheme="majorBidi" w:cstheme="majorBidi"/>
          <w:sz w:val="24"/>
          <w:szCs w:val="24"/>
        </w:rPr>
        <w:lastRenderedPageBreak/>
        <w:t xml:space="preserve">de la qualité. La typologie des consommateurs de ces produits permet d'identifier trois catégories principales : le « bio fighter » (client engagé et régulier), le « traditionalist » (attaché aux produits authentiques) et le « dietary » (individu en quête de bienfaits médicinaux) [4]. Toutefois, le coût élevé des aliments issus du mode de production biologique représente un obstacle considérable à leur expansion ; les études menées en Grèce révèlent que 83% des personnes interrogées seraient prêtes à acheter des produits bios si leur tarif était aligné sur celui des produits conventionnels </w:t>
      </w:r>
      <w:r w:rsidR="00D4625E">
        <w:rPr>
          <w:rStyle w:val="Appelnotedebasdep"/>
          <w:rFonts w:asciiTheme="majorBidi" w:hAnsiTheme="majorBidi" w:cstheme="majorBidi"/>
          <w:sz w:val="24"/>
          <w:szCs w:val="24"/>
        </w:rPr>
        <w:footnoteReference w:id="7"/>
      </w:r>
      <w:r w:rsidR="00CF2BE9" w:rsidRPr="00CF2BE9">
        <w:rPr>
          <w:rFonts w:asciiTheme="majorBidi" w:hAnsiTheme="majorBidi" w:cstheme="majorBidi"/>
          <w:sz w:val="24"/>
          <w:szCs w:val="24"/>
        </w:rPr>
        <w:t>.</w:t>
      </w:r>
    </w:p>
    <w:p w:rsidR="00CF2BE9" w:rsidRPr="00CF2BE9" w:rsidRDefault="00597EB4" w:rsidP="00B20DAD">
      <w:pPr>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00CF2BE9" w:rsidRPr="00CF2BE9">
        <w:rPr>
          <w:rFonts w:asciiTheme="majorBidi" w:hAnsiTheme="majorBidi" w:cstheme="majorBidi"/>
          <w:sz w:val="24"/>
          <w:szCs w:val="24"/>
        </w:rPr>
        <w:t xml:space="preserve">Il a été démontré que le regard porté par les consommateurs sur la fiabilité sanitaire des aliments n'est pas systématiquement en adéquation avec les dangers réels, cette perception étant modelée par toute une série de paramètres personnels (saveur, consistance) et contextuels (standards socioculturels, actions des personnalités publiques) . L'existence de signes officiels de qualité et de processus de labellisation, au premier rang desquels se trouve l'indication « agriculture biologique », génère chez la clientèle un sentiment marqué de confiance </w:t>
      </w:r>
      <w:r w:rsidR="006C730D">
        <w:rPr>
          <w:rStyle w:val="Appelnotedebasdep"/>
          <w:rFonts w:asciiTheme="majorBidi" w:hAnsiTheme="majorBidi" w:cstheme="majorBidi"/>
          <w:sz w:val="24"/>
          <w:szCs w:val="24"/>
        </w:rPr>
        <w:footnoteReference w:id="8"/>
      </w:r>
      <w:r w:rsidR="00CF2BE9" w:rsidRPr="00CF2BE9">
        <w:rPr>
          <w:rFonts w:asciiTheme="majorBidi" w:hAnsiTheme="majorBidi" w:cstheme="majorBidi"/>
          <w:sz w:val="24"/>
          <w:szCs w:val="24"/>
        </w:rPr>
        <w:t>.</w:t>
      </w:r>
    </w:p>
    <w:p w:rsidR="00CF2BE9" w:rsidRPr="00CF2BE9" w:rsidRDefault="006B07A9" w:rsidP="00B20DAD">
      <w:pPr>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00CF2BE9" w:rsidRPr="00CF2BE9">
        <w:rPr>
          <w:rFonts w:asciiTheme="majorBidi" w:hAnsiTheme="majorBidi" w:cstheme="majorBidi"/>
          <w:sz w:val="24"/>
          <w:szCs w:val="24"/>
        </w:rPr>
        <w:t xml:space="preserve">Le thème étudié comporte plusieurs facettes : une facette marketing (études des politiques de positionnement, des systèmes de labellisation et des actions de communication), une facette sanitaire (questions relatives à la traçabilité, aux systèmes d'inspection et à la maîtrise des dangers), ainsi qu'une facette économique (questions du surcoût et du consentement des clients à payer ce supplément) . Au cours de ce travail de recherche, notre investigation privilégiera essentiellement les deux premières dimensions (volet marketing et volet sécurité sanitaire) </w:t>
      </w:r>
      <w:r w:rsidR="00D4625E">
        <w:rPr>
          <w:rStyle w:val="Appelnotedebasdep"/>
          <w:rFonts w:asciiTheme="majorBidi" w:hAnsiTheme="majorBidi" w:cstheme="majorBidi"/>
          <w:sz w:val="24"/>
          <w:szCs w:val="24"/>
        </w:rPr>
        <w:footnoteReference w:id="9"/>
      </w:r>
      <w:r w:rsidR="00CF2BE9" w:rsidRPr="00CF2BE9">
        <w:rPr>
          <w:rFonts w:asciiTheme="majorBidi" w:hAnsiTheme="majorBidi" w:cstheme="majorBidi"/>
          <w:sz w:val="24"/>
          <w:szCs w:val="24"/>
        </w:rPr>
        <w:t>.</w:t>
      </w:r>
    </w:p>
    <w:p w:rsidR="00CF2BE9" w:rsidRDefault="006B07A9" w:rsidP="008E60F7">
      <w:pPr>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00CF2BE9" w:rsidRPr="00CF2BE9">
        <w:rPr>
          <w:rFonts w:asciiTheme="majorBidi" w:hAnsiTheme="majorBidi" w:cstheme="majorBidi"/>
          <w:sz w:val="24"/>
          <w:szCs w:val="24"/>
        </w:rPr>
        <w:t xml:space="preserve">La finalité poursuivie par cette étude consiste à déterminer si les actions marketing déployées autour des aliments biologiques apportent une contribution authentique à la sécurité sanitaire, ou si elles ne constituent fondamentalement qu'une rhétorique savamment élaborée dans le simple but de calmer les appréhensions des acheteurs </w:t>
      </w:r>
      <w:r w:rsidR="00D4625E">
        <w:rPr>
          <w:rStyle w:val="Appelnotedebasdep"/>
          <w:rFonts w:asciiTheme="majorBidi" w:hAnsiTheme="majorBidi" w:cstheme="majorBidi"/>
          <w:sz w:val="24"/>
          <w:szCs w:val="24"/>
        </w:rPr>
        <w:footnoteReference w:id="10"/>
      </w:r>
      <w:r w:rsidR="00CF2BE9" w:rsidRPr="00CF2BE9">
        <w:rPr>
          <w:rFonts w:asciiTheme="majorBidi" w:hAnsiTheme="majorBidi" w:cstheme="majorBidi"/>
          <w:sz w:val="24"/>
          <w:szCs w:val="24"/>
        </w:rPr>
        <w:t xml:space="preserve">. Nous procéderons à l'examen des instruments marketing mobilisés par les différents acteurs de la filière biologique (dispositifs de certification, actions de sensibilisation, signes distinctifs de qualité) ainsi qu'à l'appréciation de leur impact sur la représentation que les consommateurs se forgent </w:t>
      </w:r>
      <w:r w:rsidR="00CF2BE9" w:rsidRPr="00CF2BE9">
        <w:rPr>
          <w:rFonts w:asciiTheme="majorBidi" w:hAnsiTheme="majorBidi" w:cstheme="majorBidi"/>
          <w:sz w:val="24"/>
          <w:szCs w:val="24"/>
        </w:rPr>
        <w:lastRenderedPageBreak/>
        <w:t xml:space="preserve">relativement à la sûreté alimentaire </w:t>
      </w:r>
      <w:r w:rsidR="00D4625E">
        <w:rPr>
          <w:rStyle w:val="Appelnotedebasdep"/>
          <w:rFonts w:asciiTheme="majorBidi" w:hAnsiTheme="majorBidi" w:cstheme="majorBidi"/>
          <w:sz w:val="24"/>
          <w:szCs w:val="24"/>
        </w:rPr>
        <w:footnoteReference w:id="11"/>
      </w:r>
      <w:r w:rsidR="00CF2BE9" w:rsidRPr="00CF2BE9">
        <w:rPr>
          <w:rFonts w:asciiTheme="majorBidi" w:hAnsiTheme="majorBidi" w:cstheme="majorBidi"/>
          <w:sz w:val="24"/>
          <w:szCs w:val="24"/>
        </w:rPr>
        <w:t>. En dernier lieu, ce mémoire aspire à formuler un ensemble de suggestions visant à rendre le marketing des produits biologiques plus transparent et plus performant, dans l'intérêt d'une meilleure protection sanitaire des consommateurs</w:t>
      </w:r>
      <w:r w:rsidR="00D4625E">
        <w:rPr>
          <w:rStyle w:val="Appelnotedebasdep"/>
          <w:rFonts w:asciiTheme="majorBidi" w:hAnsiTheme="majorBidi" w:cstheme="majorBidi"/>
          <w:sz w:val="24"/>
          <w:szCs w:val="24"/>
        </w:rPr>
        <w:footnoteReference w:id="12"/>
      </w:r>
      <w:r w:rsidR="00CF2BE9" w:rsidRPr="00CF2BE9">
        <w:rPr>
          <w:rFonts w:asciiTheme="majorBidi" w:hAnsiTheme="majorBidi" w:cstheme="majorBidi"/>
          <w:sz w:val="24"/>
          <w:szCs w:val="24"/>
        </w:rPr>
        <w:t>.</w:t>
      </w:r>
    </w:p>
    <w:p w:rsidR="008715C8" w:rsidRPr="00FC1F06" w:rsidRDefault="008715C8" w:rsidP="00B20DAD">
      <w:pPr>
        <w:spacing w:after="0" w:line="360" w:lineRule="auto"/>
        <w:jc w:val="both"/>
        <w:rPr>
          <w:rFonts w:asciiTheme="majorBidi" w:hAnsiTheme="majorBidi" w:cstheme="majorBidi"/>
          <w:b/>
          <w:bCs/>
          <w:sz w:val="24"/>
          <w:szCs w:val="24"/>
        </w:rPr>
      </w:pPr>
      <w:r w:rsidRPr="00FC1F06">
        <w:rPr>
          <w:rFonts w:asciiTheme="majorBidi" w:hAnsiTheme="majorBidi" w:cstheme="majorBidi"/>
          <w:b/>
          <w:bCs/>
          <w:sz w:val="24"/>
          <w:szCs w:val="24"/>
        </w:rPr>
        <w:t xml:space="preserve">La </w:t>
      </w:r>
      <w:r w:rsidR="00FC1F06" w:rsidRPr="00FC1F06">
        <w:rPr>
          <w:rFonts w:asciiTheme="majorBidi" w:hAnsiTheme="majorBidi" w:cstheme="majorBidi"/>
          <w:b/>
          <w:bCs/>
          <w:sz w:val="24"/>
          <w:szCs w:val="24"/>
        </w:rPr>
        <w:t>probl</w:t>
      </w:r>
      <w:r w:rsidR="00FC1F06" w:rsidRPr="001C08B7">
        <w:rPr>
          <w:rFonts w:asciiTheme="majorBidi" w:hAnsiTheme="majorBidi" w:cstheme="majorBidi" w:hint="cs"/>
          <w:b/>
          <w:bCs/>
          <w:sz w:val="24"/>
          <w:szCs w:val="24"/>
        </w:rPr>
        <w:t>é</w:t>
      </w:r>
      <w:r w:rsidR="00FC1F06" w:rsidRPr="00FC1F06">
        <w:rPr>
          <w:rFonts w:asciiTheme="majorBidi" w:hAnsiTheme="majorBidi" w:cstheme="majorBidi"/>
          <w:b/>
          <w:bCs/>
          <w:sz w:val="24"/>
          <w:szCs w:val="24"/>
        </w:rPr>
        <w:t>matique :</w:t>
      </w:r>
    </w:p>
    <w:p w:rsidR="008715C8" w:rsidRPr="006044D4" w:rsidRDefault="005C0810" w:rsidP="006044D4">
      <w:pPr>
        <w:suppressAutoHyphens w:val="0"/>
        <w:autoSpaceDN/>
        <w:spacing w:after="0" w:line="360" w:lineRule="auto"/>
        <w:textAlignment w:val="auto"/>
        <w:rPr>
          <w:rFonts w:ascii="Times New Roman" w:eastAsia="Times New Roman" w:hAnsi="Times New Roman" w:cs="Times New Roman"/>
          <w:kern w:val="0"/>
          <w:sz w:val="24"/>
          <w:szCs w:val="24"/>
          <w:lang w:eastAsia="fr-FR"/>
        </w:rPr>
      </w:pPr>
      <w:r w:rsidRPr="005C0810">
        <w:rPr>
          <w:rFonts w:ascii="Times New Roman" w:eastAsia="Times New Roman" w:hAnsi="Times New Roman" w:cs="Times New Roman"/>
          <w:kern w:val="0"/>
          <w:sz w:val="24"/>
          <w:szCs w:val="24"/>
          <w:lang w:eastAsia="fr-FR"/>
        </w:rPr>
        <w:t>Quel est le rôle du marketing des produits biologiques dans le renforcement de la sécurité sanitaire des aliments au sein de l'entreprise Dahbia</w:t>
      </w:r>
      <w:r w:rsidR="006044D4">
        <w:rPr>
          <w:rFonts w:ascii="Times New Roman" w:eastAsia="Times New Roman" w:hAnsi="Times New Roman" w:cs="Times New Roman"/>
          <w:kern w:val="0"/>
          <w:sz w:val="24"/>
          <w:szCs w:val="24"/>
          <w:lang w:eastAsia="fr-FR"/>
        </w:rPr>
        <w:t xml:space="preserve"> </w:t>
      </w:r>
      <w:r w:rsidR="008715C8">
        <w:rPr>
          <w:rFonts w:ascii="Times New Roman" w:eastAsia="Times New Roman" w:hAnsi="Times New Roman" w:cs="Times New Roman"/>
          <w:sz w:val="24"/>
          <w:szCs w:val="24"/>
          <w:lang w:eastAsia="fr-FR"/>
        </w:rPr>
        <w:t> ?</w:t>
      </w:r>
    </w:p>
    <w:p w:rsidR="008715C8" w:rsidRPr="00FC1F06" w:rsidRDefault="008715C8" w:rsidP="006044D4">
      <w:pPr>
        <w:spacing w:after="0" w:line="360" w:lineRule="auto"/>
        <w:jc w:val="both"/>
        <w:rPr>
          <w:rFonts w:ascii="Times New Roman" w:eastAsia="Times New Roman" w:hAnsi="Times New Roman" w:cs="Times New Roman"/>
          <w:b/>
          <w:bCs/>
          <w:sz w:val="24"/>
          <w:szCs w:val="24"/>
          <w:lang w:eastAsia="fr-FR"/>
        </w:rPr>
      </w:pPr>
      <w:r w:rsidRPr="00FC1F06">
        <w:rPr>
          <w:rFonts w:ascii="Times New Roman" w:eastAsia="Times New Roman" w:hAnsi="Times New Roman" w:cs="Times New Roman"/>
          <w:b/>
          <w:bCs/>
          <w:sz w:val="24"/>
          <w:szCs w:val="24"/>
          <w:lang w:eastAsia="fr-FR"/>
        </w:rPr>
        <w:t>Questions secondaires :</w:t>
      </w:r>
    </w:p>
    <w:p w:rsidR="008715C8" w:rsidRPr="009510FC" w:rsidRDefault="008715C8" w:rsidP="00B20DAD">
      <w:pPr>
        <w:spacing w:after="0" w:line="360" w:lineRule="auto"/>
        <w:jc w:val="both"/>
        <w:rPr>
          <w:rFonts w:ascii="Times New Roman" w:eastAsia="Times New Roman" w:hAnsi="Times New Roman" w:cs="Times New Roman"/>
          <w:b/>
          <w:bCs/>
          <w:sz w:val="24"/>
          <w:szCs w:val="24"/>
          <w:u w:val="single"/>
          <w:lang w:eastAsia="fr-FR"/>
        </w:rPr>
      </w:pPr>
    </w:p>
    <w:p w:rsidR="008715C8" w:rsidRDefault="008715C8" w:rsidP="00B20DAD">
      <w:pPr>
        <w:pStyle w:val="Paragraphedeliste"/>
        <w:numPr>
          <w:ilvl w:val="0"/>
          <w:numId w:val="2"/>
        </w:numPr>
        <w:suppressAutoHyphens w:val="0"/>
        <w:autoSpaceDN/>
        <w:spacing w:after="0" w:line="360" w:lineRule="auto"/>
        <w:contextualSpacing/>
        <w:jc w:val="both"/>
        <w:textAlignment w:val="auto"/>
        <w:rPr>
          <w:rFonts w:ascii="Times New Roman" w:eastAsia="Times New Roman" w:hAnsi="Times New Roman" w:cs="Times New Roman"/>
          <w:sz w:val="24"/>
          <w:szCs w:val="24"/>
          <w:lang w:eastAsia="fr-FR"/>
        </w:rPr>
      </w:pPr>
      <w:r w:rsidRPr="0028063C">
        <w:rPr>
          <w:rFonts w:ascii="Times New Roman" w:eastAsia="Times New Roman" w:hAnsi="Times New Roman" w:cs="Times New Roman"/>
          <w:sz w:val="24"/>
          <w:szCs w:val="24"/>
          <w:lang w:eastAsia="fr-FR"/>
        </w:rPr>
        <w:t xml:space="preserve">Quel est le concept de marketing biologique et en quoi diffère-t-il du marketing vert ? </w:t>
      </w:r>
    </w:p>
    <w:p w:rsidR="008715C8" w:rsidRPr="0028063C" w:rsidRDefault="008715C8" w:rsidP="00B20DAD">
      <w:pPr>
        <w:pStyle w:val="Paragraphedeliste"/>
        <w:numPr>
          <w:ilvl w:val="0"/>
          <w:numId w:val="2"/>
        </w:numPr>
        <w:suppressAutoHyphens w:val="0"/>
        <w:autoSpaceDN/>
        <w:spacing w:after="0" w:line="360" w:lineRule="auto"/>
        <w:contextualSpacing/>
        <w:jc w:val="both"/>
        <w:textAlignment w:val="auto"/>
        <w:rPr>
          <w:rFonts w:ascii="Times New Roman" w:eastAsia="Times New Roman" w:hAnsi="Times New Roman" w:cs="Times New Roman"/>
          <w:sz w:val="24"/>
          <w:szCs w:val="24"/>
          <w:lang w:eastAsia="fr-FR"/>
        </w:rPr>
      </w:pPr>
      <w:r w:rsidRPr="0028063C">
        <w:rPr>
          <w:rFonts w:ascii="Times New Roman" w:eastAsia="Times New Roman" w:hAnsi="Times New Roman" w:cs="Times New Roman"/>
          <w:sz w:val="24"/>
          <w:szCs w:val="24"/>
          <w:lang w:eastAsia="fr-FR"/>
        </w:rPr>
        <w:t>Quelles sont les normes scientifiques et réglementaires qui distinguent les produits biologiques en termes de sécurité sanitaire ?</w:t>
      </w:r>
    </w:p>
    <w:p w:rsidR="008715C8" w:rsidRDefault="008715C8" w:rsidP="00B20DAD">
      <w:pPr>
        <w:pStyle w:val="Paragraphedeliste"/>
        <w:numPr>
          <w:ilvl w:val="0"/>
          <w:numId w:val="2"/>
        </w:numPr>
        <w:suppressAutoHyphens w:val="0"/>
        <w:autoSpaceDN/>
        <w:spacing w:after="0" w:line="360" w:lineRule="auto"/>
        <w:contextualSpacing/>
        <w:jc w:val="both"/>
        <w:textAlignment w:val="auto"/>
        <w:rPr>
          <w:rFonts w:ascii="Times New Roman" w:eastAsia="Times New Roman" w:hAnsi="Times New Roman" w:cs="Times New Roman"/>
          <w:sz w:val="24"/>
          <w:szCs w:val="24"/>
          <w:lang w:eastAsia="fr-FR"/>
        </w:rPr>
      </w:pPr>
      <w:r w:rsidRPr="0028063C">
        <w:rPr>
          <w:rFonts w:ascii="Times New Roman" w:eastAsia="Times New Roman" w:hAnsi="Times New Roman" w:cs="Times New Roman"/>
          <w:sz w:val="24"/>
          <w:szCs w:val="24"/>
          <w:lang w:eastAsia="fr-FR"/>
        </w:rPr>
        <w:t>Comment les mécanismes du marketing biologique (étiquetage, traçabilité, commun</w:t>
      </w:r>
      <w:r w:rsidRPr="0028063C">
        <w:rPr>
          <w:rFonts w:ascii="Times New Roman" w:eastAsia="Times New Roman" w:hAnsi="Times New Roman" w:cs="Times New Roman"/>
          <w:sz w:val="24"/>
          <w:szCs w:val="24"/>
          <w:lang w:eastAsia="fr-FR"/>
        </w:rPr>
        <w:t>i</w:t>
      </w:r>
      <w:r w:rsidRPr="0028063C">
        <w:rPr>
          <w:rFonts w:ascii="Times New Roman" w:eastAsia="Times New Roman" w:hAnsi="Times New Roman" w:cs="Times New Roman"/>
          <w:sz w:val="24"/>
          <w:szCs w:val="24"/>
          <w:lang w:eastAsia="fr-FR"/>
        </w:rPr>
        <w:t xml:space="preserve">cation) contribuent-ils à renforcer la sécurité sanitaire des aliments ? </w:t>
      </w:r>
    </w:p>
    <w:p w:rsidR="008715C8" w:rsidRDefault="008715C8" w:rsidP="00B20DAD">
      <w:pPr>
        <w:pStyle w:val="Paragraphedeliste"/>
        <w:numPr>
          <w:ilvl w:val="0"/>
          <w:numId w:val="2"/>
        </w:numPr>
        <w:suppressAutoHyphens w:val="0"/>
        <w:autoSpaceDN/>
        <w:spacing w:after="0" w:line="360" w:lineRule="auto"/>
        <w:contextualSpacing/>
        <w:jc w:val="both"/>
        <w:textAlignment w:val="auto"/>
        <w:rPr>
          <w:rFonts w:ascii="Times New Roman" w:eastAsia="Times New Roman" w:hAnsi="Times New Roman" w:cs="Times New Roman"/>
          <w:sz w:val="24"/>
          <w:szCs w:val="24"/>
          <w:lang w:eastAsia="fr-FR"/>
        </w:rPr>
      </w:pPr>
      <w:r w:rsidRPr="0028063C">
        <w:rPr>
          <w:rFonts w:ascii="Times New Roman" w:eastAsia="Times New Roman" w:hAnsi="Times New Roman" w:cs="Times New Roman"/>
          <w:sz w:val="24"/>
          <w:szCs w:val="24"/>
          <w:lang w:eastAsia="fr-FR"/>
        </w:rPr>
        <w:t>Dans quelle mesure le marketing biologique influence-t-il la perception du conso</w:t>
      </w:r>
      <w:r w:rsidRPr="0028063C">
        <w:rPr>
          <w:rFonts w:ascii="Times New Roman" w:eastAsia="Times New Roman" w:hAnsi="Times New Roman" w:cs="Times New Roman"/>
          <w:sz w:val="24"/>
          <w:szCs w:val="24"/>
          <w:lang w:eastAsia="fr-FR"/>
        </w:rPr>
        <w:t>m</w:t>
      </w:r>
      <w:r w:rsidRPr="0028063C">
        <w:rPr>
          <w:rFonts w:ascii="Times New Roman" w:eastAsia="Times New Roman" w:hAnsi="Times New Roman" w:cs="Times New Roman"/>
          <w:sz w:val="24"/>
          <w:szCs w:val="24"/>
          <w:lang w:eastAsia="fr-FR"/>
        </w:rPr>
        <w:t>mateur sur la sécurité alimentaire ?</w:t>
      </w:r>
    </w:p>
    <w:p w:rsidR="008715C8" w:rsidRPr="0028063C" w:rsidRDefault="008715C8" w:rsidP="00B20DAD">
      <w:pPr>
        <w:pStyle w:val="Paragraphedeliste"/>
        <w:numPr>
          <w:ilvl w:val="0"/>
          <w:numId w:val="2"/>
        </w:numPr>
        <w:suppressAutoHyphens w:val="0"/>
        <w:autoSpaceDN/>
        <w:spacing w:after="0" w:line="360" w:lineRule="auto"/>
        <w:contextualSpacing/>
        <w:jc w:val="both"/>
        <w:textAlignment w:val="auto"/>
        <w:rPr>
          <w:rFonts w:ascii="Times New Roman" w:eastAsia="Times New Roman" w:hAnsi="Times New Roman" w:cs="Times New Roman"/>
          <w:sz w:val="24"/>
          <w:szCs w:val="24"/>
          <w:lang w:eastAsia="fr-FR"/>
        </w:rPr>
      </w:pPr>
      <w:r w:rsidRPr="0028063C">
        <w:rPr>
          <w:rFonts w:ascii="Times New Roman" w:eastAsia="Times New Roman" w:hAnsi="Times New Roman" w:cs="Times New Roman"/>
          <w:sz w:val="24"/>
          <w:szCs w:val="24"/>
          <w:lang w:eastAsia="fr-FR"/>
        </w:rPr>
        <w:t xml:space="preserve"> La confiance du consommateur envers les produits biologiques reflète-t-elle la réalité sanitaire ou seulement une image marketing ?</w:t>
      </w:r>
    </w:p>
    <w:p w:rsidR="008715C8" w:rsidRDefault="008715C8" w:rsidP="00B20DAD">
      <w:pPr>
        <w:spacing w:after="0" w:line="360" w:lineRule="auto"/>
        <w:jc w:val="both"/>
        <w:rPr>
          <w:rFonts w:asciiTheme="majorBidi" w:hAnsiTheme="majorBidi" w:cstheme="majorBidi"/>
          <w:b/>
          <w:bCs/>
          <w:sz w:val="24"/>
          <w:szCs w:val="24"/>
          <w:u w:val="single"/>
          <w:lang w:bidi="ar-DZ"/>
        </w:rPr>
      </w:pPr>
    </w:p>
    <w:p w:rsidR="008715C8" w:rsidRDefault="008715C8"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b/>
          <w:bCs/>
          <w:sz w:val="24"/>
          <w:szCs w:val="24"/>
          <w:lang w:eastAsia="fr-FR"/>
        </w:rPr>
        <w:t>Hypothèses de recherche :</w:t>
      </w:r>
    </w:p>
    <w:p w:rsidR="004543E3" w:rsidRPr="004543E3" w:rsidRDefault="004543E3"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b/>
          <w:bCs/>
          <w:sz w:val="24"/>
          <w:szCs w:val="24"/>
          <w:lang w:eastAsia="fr-FR"/>
        </w:rPr>
        <w:t>Hypothèse principale H0 (Hypothèse nulle principale)</w:t>
      </w:r>
      <w:r>
        <w:rPr>
          <w:rFonts w:asciiTheme="majorBidi" w:eastAsia="Times New Roman" w:hAnsiTheme="majorBidi" w:cstheme="majorBidi"/>
          <w:b/>
          <w:bCs/>
          <w:sz w:val="24"/>
          <w:szCs w:val="24"/>
          <w:lang w:eastAsia="fr-FR"/>
        </w:rPr>
        <w:t> :</w:t>
      </w:r>
    </w:p>
    <w:p w:rsidR="00957A9A" w:rsidRDefault="004543E3" w:rsidP="00B20DAD">
      <w:pPr>
        <w:spacing w:after="0" w:line="360" w:lineRule="auto"/>
        <w:jc w:val="both"/>
        <w:rPr>
          <w:rFonts w:asciiTheme="majorBidi" w:eastAsia="Times New Roman" w:hAnsiTheme="majorBidi" w:cstheme="majorBidi"/>
          <w:sz w:val="24"/>
          <w:szCs w:val="24"/>
          <w:rtl/>
          <w:lang w:eastAsia="fr-FR"/>
        </w:rPr>
      </w:pPr>
      <w:r w:rsidRPr="004543E3">
        <w:rPr>
          <w:rFonts w:asciiTheme="majorBidi" w:eastAsia="Times New Roman" w:hAnsiTheme="majorBidi" w:cstheme="majorBidi"/>
          <w:sz w:val="24"/>
          <w:szCs w:val="24"/>
          <w:lang w:eastAsia="fr-FR"/>
        </w:rPr>
        <w:t>Il n’existe pas d’effet statistiquement significatif du marketing des produits biologiques sur la perception de la sécurité sanitaire des aliments ni sur l’intention d’achat du consommateur.</w:t>
      </w:r>
    </w:p>
    <w:p w:rsidR="004543E3" w:rsidRDefault="004543E3"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b/>
          <w:bCs/>
          <w:sz w:val="24"/>
          <w:szCs w:val="24"/>
          <w:lang w:eastAsia="fr-FR"/>
        </w:rPr>
        <w:t xml:space="preserve"> H1 (Hypothèse alternative principale)</w:t>
      </w:r>
      <w:r>
        <w:rPr>
          <w:rFonts w:asciiTheme="majorBidi" w:eastAsia="Times New Roman" w:hAnsiTheme="majorBidi" w:cstheme="majorBidi"/>
          <w:b/>
          <w:bCs/>
          <w:sz w:val="24"/>
          <w:szCs w:val="24"/>
          <w:lang w:eastAsia="fr-FR"/>
        </w:rPr>
        <w:t> :</w:t>
      </w:r>
    </w:p>
    <w:p w:rsidR="004543E3" w:rsidRDefault="004543E3"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sz w:val="24"/>
          <w:szCs w:val="24"/>
          <w:lang w:eastAsia="fr-FR"/>
        </w:rPr>
        <w:t xml:space="preserve"> Le marketing des produits biologiques exerce un effet direct et indirect statistiquement significatif sur la perception de la sécurité sanitaire des aliments et sur l’intention d’achat du consommateur</w:t>
      </w:r>
      <w:r w:rsidRPr="004543E3">
        <w:rPr>
          <w:rFonts w:asciiTheme="majorBidi" w:eastAsia="Times New Roman" w:hAnsiTheme="majorBidi" w:cstheme="majorBidi"/>
          <w:b/>
          <w:bCs/>
          <w:sz w:val="24"/>
          <w:szCs w:val="24"/>
          <w:lang w:eastAsia="fr-FR"/>
        </w:rPr>
        <w:t>.</w:t>
      </w:r>
    </w:p>
    <w:p w:rsidR="004543E3" w:rsidRDefault="004543E3"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b/>
          <w:bCs/>
          <w:sz w:val="24"/>
          <w:szCs w:val="24"/>
          <w:lang w:eastAsia="fr-FR"/>
        </w:rPr>
        <w:t xml:space="preserve">  Hypothèses secondaires :</w:t>
      </w:r>
    </w:p>
    <w:p w:rsidR="004543E3" w:rsidRDefault="004543E3"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b/>
          <w:bCs/>
          <w:sz w:val="24"/>
          <w:szCs w:val="24"/>
          <w:lang w:eastAsia="fr-FR"/>
        </w:rPr>
        <w:t>1</w:t>
      </w:r>
      <w:r>
        <w:rPr>
          <w:rFonts w:asciiTheme="majorBidi" w:eastAsia="Times New Roman" w:hAnsiTheme="majorBidi" w:cstheme="majorBidi"/>
          <w:b/>
          <w:bCs/>
          <w:sz w:val="24"/>
          <w:szCs w:val="24"/>
          <w:lang w:eastAsia="fr-FR"/>
        </w:rPr>
        <w:t xml:space="preserve"> -</w:t>
      </w:r>
      <w:r w:rsidRPr="004543E3">
        <w:rPr>
          <w:rFonts w:asciiTheme="majorBidi" w:eastAsia="Times New Roman" w:hAnsiTheme="majorBidi" w:cstheme="majorBidi"/>
          <w:b/>
          <w:bCs/>
          <w:sz w:val="24"/>
          <w:szCs w:val="24"/>
          <w:lang w:eastAsia="fr-FR"/>
        </w:rPr>
        <w:t>Effet du label biologique sur la confiance</w:t>
      </w:r>
    </w:p>
    <w:p w:rsidR="004543E3" w:rsidRDefault="004543E3"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b/>
          <w:bCs/>
          <w:sz w:val="24"/>
          <w:szCs w:val="24"/>
          <w:lang w:eastAsia="fr-FR"/>
        </w:rPr>
        <w:t>H0₁</w:t>
      </w:r>
      <w:r>
        <w:rPr>
          <w:rFonts w:asciiTheme="majorBidi" w:eastAsia="Times New Roman" w:hAnsiTheme="majorBidi" w:cstheme="majorBidi"/>
          <w:b/>
          <w:bCs/>
          <w:sz w:val="24"/>
          <w:szCs w:val="24"/>
          <w:lang w:eastAsia="fr-FR"/>
        </w:rPr>
        <w:t xml:space="preserve"> : </w:t>
      </w:r>
      <w:r w:rsidRPr="004543E3">
        <w:rPr>
          <w:rFonts w:asciiTheme="majorBidi" w:eastAsia="Times New Roman" w:hAnsiTheme="majorBidi" w:cstheme="majorBidi"/>
          <w:sz w:val="24"/>
          <w:szCs w:val="24"/>
          <w:lang w:eastAsia="fr-FR"/>
        </w:rPr>
        <w:t>La présence d’un label biologique certifié n’a pas d’effet statistiquement significatif sur la confiance du consommateur.</w:t>
      </w:r>
    </w:p>
    <w:p w:rsidR="004543E3" w:rsidRDefault="004543E3" w:rsidP="00B20DAD">
      <w:pPr>
        <w:spacing w:after="0" w:line="360" w:lineRule="auto"/>
        <w:jc w:val="both"/>
        <w:rPr>
          <w:rFonts w:asciiTheme="majorBidi" w:eastAsia="Times New Roman" w:hAnsiTheme="majorBidi" w:cstheme="majorBidi"/>
          <w:sz w:val="24"/>
          <w:szCs w:val="24"/>
          <w:rtl/>
          <w:lang w:eastAsia="fr-FR"/>
        </w:rPr>
      </w:pPr>
      <w:r w:rsidRPr="004543E3">
        <w:rPr>
          <w:rFonts w:asciiTheme="majorBidi" w:eastAsia="Times New Roman" w:hAnsiTheme="majorBidi" w:cstheme="majorBidi"/>
          <w:b/>
          <w:bCs/>
          <w:sz w:val="24"/>
          <w:szCs w:val="24"/>
          <w:lang w:eastAsia="fr-FR"/>
        </w:rPr>
        <w:lastRenderedPageBreak/>
        <w:t>H1₁</w:t>
      </w:r>
      <w:r>
        <w:rPr>
          <w:rFonts w:asciiTheme="majorBidi" w:eastAsia="Times New Roman" w:hAnsiTheme="majorBidi" w:cstheme="majorBidi"/>
          <w:b/>
          <w:bCs/>
          <w:sz w:val="24"/>
          <w:szCs w:val="24"/>
          <w:lang w:eastAsia="fr-FR"/>
        </w:rPr>
        <w:t xml:space="preserve"> : </w:t>
      </w:r>
      <w:r w:rsidRPr="004543E3">
        <w:rPr>
          <w:rFonts w:asciiTheme="majorBidi" w:eastAsia="Times New Roman" w:hAnsiTheme="majorBidi" w:cstheme="majorBidi"/>
          <w:sz w:val="24"/>
          <w:szCs w:val="24"/>
          <w:lang w:eastAsia="fr-FR"/>
        </w:rPr>
        <w:t>La présence d’un label biologique certifié exerce un effet positif et statistiquement significatif sur la confiance du consommateur.</w:t>
      </w:r>
    </w:p>
    <w:p w:rsidR="0066256C" w:rsidRDefault="0066256C" w:rsidP="00B20DAD">
      <w:pPr>
        <w:spacing w:after="0" w:line="360" w:lineRule="auto"/>
        <w:jc w:val="both"/>
        <w:rPr>
          <w:rFonts w:asciiTheme="majorBidi" w:eastAsia="Times New Roman" w:hAnsiTheme="majorBidi" w:cstheme="majorBidi"/>
          <w:sz w:val="24"/>
          <w:szCs w:val="24"/>
          <w:rtl/>
          <w:lang w:eastAsia="fr-FR"/>
        </w:rPr>
      </w:pPr>
    </w:p>
    <w:p w:rsidR="0066256C" w:rsidRDefault="0066256C" w:rsidP="00B20DAD">
      <w:pPr>
        <w:spacing w:after="0" w:line="360" w:lineRule="auto"/>
        <w:jc w:val="both"/>
        <w:rPr>
          <w:rFonts w:asciiTheme="majorBidi" w:eastAsia="Times New Roman" w:hAnsiTheme="majorBidi" w:cstheme="majorBidi"/>
          <w:sz w:val="24"/>
          <w:szCs w:val="24"/>
          <w:lang w:eastAsia="fr-FR"/>
        </w:rPr>
      </w:pPr>
    </w:p>
    <w:p w:rsidR="004543E3" w:rsidRDefault="004543E3" w:rsidP="00B20DAD">
      <w:pPr>
        <w:spacing w:after="0" w:line="360" w:lineRule="auto"/>
        <w:jc w:val="both"/>
        <w:rPr>
          <w:rFonts w:asciiTheme="majorBidi" w:eastAsia="Times New Roman" w:hAnsiTheme="majorBidi" w:cstheme="majorBidi"/>
          <w:b/>
          <w:bCs/>
          <w:sz w:val="24"/>
          <w:szCs w:val="24"/>
          <w:lang w:eastAsia="fr-FR"/>
        </w:rPr>
      </w:pPr>
      <w:r w:rsidRPr="004543E3">
        <w:rPr>
          <w:rFonts w:asciiTheme="majorBidi" w:eastAsia="Times New Roman" w:hAnsiTheme="majorBidi" w:cstheme="majorBidi"/>
          <w:b/>
          <w:bCs/>
          <w:sz w:val="24"/>
          <w:szCs w:val="24"/>
          <w:lang w:eastAsia="fr-FR"/>
        </w:rPr>
        <w:t>2</w:t>
      </w:r>
      <w:r>
        <w:rPr>
          <w:rFonts w:asciiTheme="majorBidi" w:eastAsia="Times New Roman" w:hAnsiTheme="majorBidi" w:cstheme="majorBidi"/>
          <w:b/>
          <w:bCs/>
          <w:sz w:val="24"/>
          <w:szCs w:val="24"/>
          <w:lang w:eastAsia="fr-FR"/>
        </w:rPr>
        <w:t xml:space="preserve">- </w:t>
      </w:r>
      <w:r w:rsidRPr="004543E3">
        <w:rPr>
          <w:rFonts w:asciiTheme="majorBidi" w:eastAsia="Times New Roman" w:hAnsiTheme="majorBidi" w:cstheme="majorBidi"/>
          <w:b/>
          <w:bCs/>
          <w:sz w:val="24"/>
          <w:szCs w:val="24"/>
          <w:lang w:eastAsia="fr-FR"/>
        </w:rPr>
        <w:t>Relation entre perception sanitaire et intention d’achat</w:t>
      </w:r>
    </w:p>
    <w:p w:rsidR="004543E3" w:rsidRDefault="00F5414D" w:rsidP="00B20DAD">
      <w:pPr>
        <w:spacing w:after="0" w:line="360" w:lineRule="auto"/>
        <w:jc w:val="both"/>
        <w:rPr>
          <w:rFonts w:asciiTheme="majorBidi" w:eastAsia="Times New Roman" w:hAnsiTheme="majorBidi" w:cstheme="majorBidi"/>
          <w:sz w:val="24"/>
          <w:szCs w:val="24"/>
          <w:lang w:eastAsia="fr-FR"/>
        </w:rPr>
      </w:pPr>
      <w:r w:rsidRPr="00F5414D">
        <w:rPr>
          <w:rFonts w:asciiTheme="majorBidi" w:eastAsia="Times New Roman" w:hAnsiTheme="majorBidi" w:cstheme="majorBidi"/>
          <w:b/>
          <w:bCs/>
          <w:sz w:val="24"/>
          <w:szCs w:val="24"/>
          <w:lang w:eastAsia="fr-FR"/>
        </w:rPr>
        <w:t>H0₂</w:t>
      </w:r>
      <w:r>
        <w:rPr>
          <w:rFonts w:asciiTheme="majorBidi" w:eastAsia="Times New Roman" w:hAnsiTheme="majorBidi" w:cstheme="majorBidi"/>
          <w:b/>
          <w:bCs/>
          <w:sz w:val="24"/>
          <w:szCs w:val="24"/>
          <w:lang w:eastAsia="fr-FR"/>
        </w:rPr>
        <w:t> :</w:t>
      </w:r>
      <w:r w:rsidRPr="00F5414D">
        <w:rPr>
          <w:rFonts w:asciiTheme="majorBidi" w:eastAsia="Times New Roman" w:hAnsiTheme="majorBidi" w:cstheme="majorBidi"/>
          <w:sz w:val="24"/>
          <w:szCs w:val="24"/>
          <w:lang w:eastAsia="fr-FR"/>
        </w:rPr>
        <w:t>Il n’existe pas de relation statistiquement significative entre la perception de la sécurité sanitaire et l’intention d’achat des produits biologiques.</w:t>
      </w:r>
    </w:p>
    <w:p w:rsidR="00F5414D" w:rsidRDefault="00F5414D" w:rsidP="00B20DAD">
      <w:pPr>
        <w:spacing w:after="0" w:line="360" w:lineRule="auto"/>
        <w:jc w:val="both"/>
        <w:rPr>
          <w:rFonts w:asciiTheme="majorBidi" w:eastAsia="Times New Roman" w:hAnsiTheme="majorBidi" w:cstheme="majorBidi"/>
          <w:sz w:val="24"/>
          <w:szCs w:val="24"/>
          <w:lang w:eastAsia="fr-FR"/>
        </w:rPr>
      </w:pPr>
      <w:r w:rsidRPr="00F5414D">
        <w:rPr>
          <w:rFonts w:asciiTheme="majorBidi" w:eastAsia="Times New Roman" w:hAnsiTheme="majorBidi" w:cstheme="majorBidi"/>
          <w:b/>
          <w:bCs/>
          <w:sz w:val="24"/>
          <w:szCs w:val="24"/>
          <w:lang w:eastAsia="fr-FR"/>
        </w:rPr>
        <w:t>H1₂</w:t>
      </w:r>
      <w:r>
        <w:rPr>
          <w:rFonts w:asciiTheme="majorBidi" w:eastAsia="Times New Roman" w:hAnsiTheme="majorBidi" w:cstheme="majorBidi"/>
          <w:b/>
          <w:bCs/>
          <w:sz w:val="24"/>
          <w:szCs w:val="24"/>
          <w:lang w:eastAsia="fr-FR"/>
        </w:rPr>
        <w:t> :</w:t>
      </w:r>
      <w:r w:rsidRPr="00F5414D">
        <w:rPr>
          <w:rFonts w:asciiTheme="majorBidi" w:eastAsia="Times New Roman" w:hAnsiTheme="majorBidi" w:cstheme="majorBidi"/>
          <w:sz w:val="24"/>
          <w:szCs w:val="24"/>
          <w:lang w:eastAsia="fr-FR"/>
        </w:rPr>
        <w:t>Il existe une relation positive et statistiquement significative entre la perception de la sécurité sanitaire et l’intention d’achat des produits biologiques.</w:t>
      </w:r>
    </w:p>
    <w:p w:rsidR="00F5414D" w:rsidRDefault="00F5414D" w:rsidP="00B20DAD">
      <w:pPr>
        <w:spacing w:after="0" w:line="360" w:lineRule="auto"/>
        <w:jc w:val="both"/>
        <w:rPr>
          <w:rFonts w:asciiTheme="majorBidi" w:eastAsia="Times New Roman" w:hAnsiTheme="majorBidi" w:cstheme="majorBidi"/>
          <w:b/>
          <w:bCs/>
          <w:sz w:val="24"/>
          <w:szCs w:val="24"/>
          <w:lang w:eastAsia="fr-FR"/>
        </w:rPr>
      </w:pPr>
      <w:r w:rsidRPr="00F5414D">
        <w:rPr>
          <w:rFonts w:asciiTheme="majorBidi" w:eastAsia="Times New Roman" w:hAnsiTheme="majorBidi" w:cstheme="majorBidi"/>
          <w:b/>
          <w:bCs/>
          <w:sz w:val="24"/>
          <w:szCs w:val="24"/>
          <w:lang w:eastAsia="fr-FR"/>
        </w:rPr>
        <w:t>3- Effet du niveau de conscience sanitaire</w:t>
      </w:r>
    </w:p>
    <w:p w:rsidR="00F5414D" w:rsidRDefault="00F5414D" w:rsidP="00B20DAD">
      <w:pPr>
        <w:spacing w:after="0" w:line="360" w:lineRule="auto"/>
        <w:jc w:val="both"/>
        <w:rPr>
          <w:rFonts w:asciiTheme="majorBidi" w:eastAsia="Times New Roman" w:hAnsiTheme="majorBidi" w:cstheme="majorBidi"/>
          <w:b/>
          <w:bCs/>
          <w:sz w:val="24"/>
          <w:szCs w:val="24"/>
          <w:lang w:eastAsia="fr-FR"/>
        </w:rPr>
      </w:pPr>
      <w:r w:rsidRPr="00F5414D">
        <w:rPr>
          <w:rFonts w:asciiTheme="majorBidi" w:eastAsia="Times New Roman" w:hAnsiTheme="majorBidi" w:cstheme="majorBidi"/>
          <w:b/>
          <w:bCs/>
          <w:sz w:val="24"/>
          <w:szCs w:val="24"/>
          <w:lang w:eastAsia="fr-FR"/>
        </w:rPr>
        <w:t>H0₃</w:t>
      </w:r>
      <w:r>
        <w:rPr>
          <w:rFonts w:asciiTheme="majorBidi" w:eastAsia="Times New Roman" w:hAnsiTheme="majorBidi" w:cstheme="majorBidi"/>
          <w:b/>
          <w:bCs/>
          <w:sz w:val="24"/>
          <w:szCs w:val="24"/>
          <w:lang w:eastAsia="fr-FR"/>
        </w:rPr>
        <w:t> :</w:t>
      </w:r>
      <w:r w:rsidRPr="00F5414D">
        <w:rPr>
          <w:rFonts w:asciiTheme="majorBidi" w:eastAsia="Times New Roman" w:hAnsiTheme="majorBidi" w:cstheme="majorBidi"/>
          <w:sz w:val="24"/>
          <w:szCs w:val="24"/>
          <w:lang w:eastAsia="fr-FR"/>
        </w:rPr>
        <w:t>Le niveau de conscience sanitaire du consommateur n’influence pas significativement son comportement d’achat.</w:t>
      </w:r>
    </w:p>
    <w:p w:rsidR="00F5414D" w:rsidRDefault="00F5414D" w:rsidP="00B20DAD">
      <w:pPr>
        <w:spacing w:after="0" w:line="360" w:lineRule="auto"/>
        <w:jc w:val="both"/>
        <w:rPr>
          <w:rFonts w:asciiTheme="majorBidi" w:eastAsia="Times New Roman" w:hAnsiTheme="majorBidi" w:cstheme="majorBidi"/>
          <w:sz w:val="24"/>
          <w:szCs w:val="24"/>
          <w:lang w:eastAsia="fr-FR"/>
        </w:rPr>
      </w:pPr>
      <w:r w:rsidRPr="00F5414D">
        <w:rPr>
          <w:rFonts w:asciiTheme="majorBidi" w:eastAsia="Times New Roman" w:hAnsiTheme="majorBidi" w:cstheme="majorBidi"/>
          <w:b/>
          <w:bCs/>
          <w:sz w:val="24"/>
          <w:szCs w:val="24"/>
          <w:lang w:eastAsia="fr-FR"/>
        </w:rPr>
        <w:t>H1₃</w:t>
      </w:r>
      <w:r>
        <w:rPr>
          <w:rFonts w:asciiTheme="majorBidi" w:eastAsia="Times New Roman" w:hAnsiTheme="majorBidi" w:cstheme="majorBidi"/>
          <w:b/>
          <w:bCs/>
          <w:sz w:val="24"/>
          <w:szCs w:val="24"/>
          <w:lang w:eastAsia="fr-FR"/>
        </w:rPr>
        <w:t> :</w:t>
      </w:r>
      <w:r w:rsidRPr="00F5414D">
        <w:rPr>
          <w:rFonts w:asciiTheme="majorBidi" w:eastAsia="Times New Roman" w:hAnsiTheme="majorBidi" w:cstheme="majorBidi"/>
          <w:sz w:val="24"/>
          <w:szCs w:val="24"/>
          <w:lang w:eastAsia="fr-FR"/>
        </w:rPr>
        <w:t>Le niveau de conscience sanitaire du consommateur influence significativement son comportement d’achat.</w:t>
      </w:r>
    </w:p>
    <w:p w:rsidR="00F5414D" w:rsidRDefault="00F5414D" w:rsidP="00B20DAD">
      <w:pPr>
        <w:spacing w:after="0" w:line="360" w:lineRule="auto"/>
        <w:jc w:val="both"/>
        <w:rPr>
          <w:rFonts w:asciiTheme="majorBidi" w:eastAsia="Times New Roman" w:hAnsiTheme="majorBidi" w:cstheme="majorBidi"/>
          <w:b/>
          <w:bCs/>
          <w:sz w:val="24"/>
          <w:szCs w:val="24"/>
          <w:lang w:eastAsia="fr-FR"/>
        </w:rPr>
      </w:pPr>
      <w:r w:rsidRPr="00F5414D">
        <w:rPr>
          <w:rFonts w:asciiTheme="majorBidi" w:eastAsia="Times New Roman" w:hAnsiTheme="majorBidi" w:cstheme="majorBidi"/>
          <w:b/>
          <w:bCs/>
          <w:sz w:val="24"/>
          <w:szCs w:val="24"/>
          <w:lang w:eastAsia="fr-FR"/>
        </w:rPr>
        <w:t>4 -Rôle modérateur du prix</w:t>
      </w:r>
    </w:p>
    <w:p w:rsidR="00F5414D" w:rsidRPr="00F5414D" w:rsidRDefault="00F5414D" w:rsidP="00B20DAD">
      <w:pPr>
        <w:spacing w:after="0" w:line="360" w:lineRule="auto"/>
        <w:jc w:val="both"/>
        <w:rPr>
          <w:rFonts w:asciiTheme="majorBidi" w:eastAsia="Times New Roman" w:hAnsiTheme="majorBidi" w:cstheme="majorBidi"/>
          <w:sz w:val="24"/>
          <w:szCs w:val="24"/>
          <w:lang w:eastAsia="fr-FR"/>
        </w:rPr>
      </w:pPr>
      <w:r w:rsidRPr="00F5414D">
        <w:rPr>
          <w:rFonts w:asciiTheme="majorBidi" w:eastAsia="Times New Roman" w:hAnsiTheme="majorBidi" w:cstheme="majorBidi"/>
          <w:b/>
          <w:bCs/>
          <w:sz w:val="24"/>
          <w:szCs w:val="24"/>
          <w:lang w:eastAsia="fr-FR"/>
        </w:rPr>
        <w:t>H0₄</w:t>
      </w:r>
      <w:r>
        <w:rPr>
          <w:rFonts w:asciiTheme="majorBidi" w:eastAsia="Times New Roman" w:hAnsiTheme="majorBidi" w:cstheme="majorBidi"/>
          <w:b/>
          <w:bCs/>
          <w:sz w:val="24"/>
          <w:szCs w:val="24"/>
          <w:lang w:eastAsia="fr-FR"/>
        </w:rPr>
        <w:t> :</w:t>
      </w:r>
      <w:r w:rsidRPr="00F5414D">
        <w:rPr>
          <w:rFonts w:asciiTheme="majorBidi" w:eastAsia="Times New Roman" w:hAnsiTheme="majorBidi" w:cstheme="majorBidi"/>
          <w:sz w:val="24"/>
          <w:szCs w:val="24"/>
          <w:lang w:eastAsia="fr-FR"/>
        </w:rPr>
        <w:t xml:space="preserve">Le prix ne joue pas un rôle modérateur statistiquement significatif dans la relation entre la perception de la sécurité sanitaire et l’intention d’achat. </w:t>
      </w:r>
    </w:p>
    <w:p w:rsidR="00F5414D" w:rsidRPr="00F5414D" w:rsidRDefault="00F5414D" w:rsidP="00B20DAD">
      <w:pPr>
        <w:spacing w:after="0" w:line="360" w:lineRule="auto"/>
        <w:jc w:val="both"/>
        <w:rPr>
          <w:rFonts w:asciiTheme="majorBidi" w:eastAsia="Times New Roman" w:hAnsiTheme="majorBidi" w:cstheme="majorBidi"/>
          <w:b/>
          <w:bCs/>
          <w:sz w:val="24"/>
          <w:szCs w:val="24"/>
          <w:lang w:eastAsia="fr-FR"/>
        </w:rPr>
      </w:pPr>
      <w:r w:rsidRPr="00F5414D">
        <w:rPr>
          <w:rFonts w:asciiTheme="majorBidi" w:eastAsia="Times New Roman" w:hAnsiTheme="majorBidi" w:cstheme="majorBidi"/>
          <w:b/>
          <w:bCs/>
          <w:sz w:val="24"/>
          <w:szCs w:val="24"/>
          <w:lang w:eastAsia="fr-FR"/>
        </w:rPr>
        <w:t>H1₄</w:t>
      </w:r>
      <w:r>
        <w:rPr>
          <w:rFonts w:asciiTheme="majorBidi" w:eastAsia="Times New Roman" w:hAnsiTheme="majorBidi" w:cstheme="majorBidi"/>
          <w:b/>
          <w:bCs/>
          <w:sz w:val="24"/>
          <w:szCs w:val="24"/>
          <w:lang w:eastAsia="fr-FR"/>
        </w:rPr>
        <w:t> :</w:t>
      </w:r>
      <w:r w:rsidRPr="00F5414D">
        <w:rPr>
          <w:rFonts w:asciiTheme="majorBidi" w:eastAsia="Times New Roman" w:hAnsiTheme="majorBidi" w:cstheme="majorBidi"/>
          <w:sz w:val="24"/>
          <w:szCs w:val="24"/>
          <w:lang w:eastAsia="fr-FR"/>
        </w:rPr>
        <w:t>Le prix joue un rôle modérateur statistiquement significatif dans la relation entre la perception de la sécurité sanitaire et l’intention d’achat.</w:t>
      </w:r>
    </w:p>
    <w:p w:rsidR="004543E3" w:rsidRPr="004543E3" w:rsidRDefault="004543E3" w:rsidP="00B20DAD">
      <w:pPr>
        <w:spacing w:after="0" w:line="360" w:lineRule="auto"/>
        <w:jc w:val="both"/>
        <w:rPr>
          <w:rFonts w:asciiTheme="majorBidi" w:eastAsia="Times New Roman" w:hAnsiTheme="majorBidi" w:cstheme="majorBidi"/>
          <w:b/>
          <w:bCs/>
          <w:sz w:val="24"/>
          <w:szCs w:val="24"/>
          <w:lang w:eastAsia="fr-FR"/>
        </w:rPr>
      </w:pPr>
    </w:p>
    <w:p w:rsidR="008715C8" w:rsidRPr="00FC1F06" w:rsidRDefault="008715C8" w:rsidP="00B20DAD">
      <w:pPr>
        <w:spacing w:after="0" w:line="360" w:lineRule="auto"/>
        <w:jc w:val="both"/>
        <w:rPr>
          <w:rFonts w:asciiTheme="majorBidi" w:hAnsiTheme="majorBidi" w:cstheme="majorBidi"/>
          <w:b/>
          <w:bCs/>
          <w:sz w:val="24"/>
          <w:szCs w:val="24"/>
          <w:lang w:bidi="ar-DZ"/>
        </w:rPr>
      </w:pPr>
      <w:r w:rsidRPr="00FC1F06">
        <w:rPr>
          <w:rFonts w:asciiTheme="majorBidi" w:hAnsiTheme="majorBidi" w:cstheme="majorBidi"/>
          <w:b/>
          <w:bCs/>
          <w:sz w:val="24"/>
          <w:szCs w:val="24"/>
          <w:lang w:bidi="ar-DZ"/>
        </w:rPr>
        <w:t>L’importance de cette recherche :</w:t>
      </w:r>
    </w:p>
    <w:p w:rsidR="00FC1F06" w:rsidRDefault="009C69BB" w:rsidP="00B20DAD">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8715C8" w:rsidRPr="00D845BE">
        <w:rPr>
          <w:rFonts w:ascii="Times New Roman" w:eastAsia="Times New Roman" w:hAnsi="Times New Roman" w:cs="Times New Roman"/>
          <w:sz w:val="24"/>
          <w:szCs w:val="24"/>
          <w:lang w:eastAsia="fr-FR"/>
        </w:rPr>
        <w:t xml:space="preserve">Importance de l’étude Cette étude revêt une importance particulière car elle contribue à comprendre la relation entre le marketing biologique des aliments et la sécurité sanitaire, en </w:t>
      </w:r>
    </w:p>
    <w:p w:rsidR="00FC1F06" w:rsidRDefault="00FC1F06" w:rsidP="00B20DAD">
      <w:pPr>
        <w:spacing w:after="0" w:line="360" w:lineRule="auto"/>
        <w:jc w:val="both"/>
        <w:rPr>
          <w:rFonts w:ascii="Times New Roman" w:eastAsia="Times New Roman" w:hAnsi="Times New Roman" w:cs="Times New Roman"/>
          <w:sz w:val="24"/>
          <w:szCs w:val="24"/>
          <w:lang w:eastAsia="fr-FR"/>
        </w:rPr>
      </w:pPr>
      <w:r w:rsidRPr="00D845BE">
        <w:rPr>
          <w:rFonts w:ascii="Times New Roman" w:eastAsia="Times New Roman" w:hAnsi="Times New Roman" w:cs="Times New Roman"/>
          <w:sz w:val="24"/>
          <w:szCs w:val="24"/>
          <w:lang w:eastAsia="fr-FR"/>
        </w:rPr>
        <w:t>Mettant</w:t>
      </w:r>
      <w:r w:rsidR="008715C8" w:rsidRPr="00D845BE">
        <w:rPr>
          <w:rFonts w:ascii="Times New Roman" w:eastAsia="Times New Roman" w:hAnsi="Times New Roman" w:cs="Times New Roman"/>
          <w:sz w:val="24"/>
          <w:szCs w:val="24"/>
          <w:lang w:eastAsia="fr-FR"/>
        </w:rPr>
        <w:t xml:space="preserve"> en évidence le rôle des stratégies marketing telles que l’étiquetage, la traçabilité et la communication marketing dans le renforcement de la confiance du consommateur et </w:t>
      </w:r>
      <w:r w:rsidRPr="00D845BE">
        <w:rPr>
          <w:rFonts w:ascii="Times New Roman" w:eastAsia="Times New Roman" w:hAnsi="Times New Roman" w:cs="Times New Roman"/>
          <w:sz w:val="24"/>
          <w:szCs w:val="24"/>
          <w:lang w:eastAsia="fr-FR"/>
        </w:rPr>
        <w:t>là</w:t>
      </w:r>
    </w:p>
    <w:p w:rsidR="0056423F" w:rsidRDefault="00FC1F06" w:rsidP="006B07A9">
      <w:pPr>
        <w:spacing w:after="0" w:line="360" w:lineRule="auto"/>
        <w:jc w:val="both"/>
        <w:rPr>
          <w:rFonts w:ascii="Times New Roman" w:eastAsia="Times New Roman" w:hAnsi="Times New Roman" w:cs="Times New Roman"/>
          <w:sz w:val="24"/>
          <w:szCs w:val="24"/>
          <w:lang w:eastAsia="fr-FR"/>
        </w:rPr>
      </w:pPr>
      <w:r w:rsidRPr="00D845BE">
        <w:rPr>
          <w:rFonts w:ascii="Times New Roman" w:eastAsia="Times New Roman" w:hAnsi="Times New Roman" w:cs="Times New Roman"/>
          <w:sz w:val="24"/>
          <w:szCs w:val="24"/>
          <w:lang w:eastAsia="fr-FR"/>
        </w:rPr>
        <w:t>Garantie</w:t>
      </w:r>
      <w:r w:rsidR="008715C8" w:rsidRPr="00D845BE">
        <w:rPr>
          <w:rFonts w:ascii="Times New Roman" w:eastAsia="Times New Roman" w:hAnsi="Times New Roman" w:cs="Times New Roman"/>
          <w:sz w:val="24"/>
          <w:szCs w:val="24"/>
          <w:lang w:eastAsia="fr-FR"/>
        </w:rPr>
        <w:t xml:space="preserve"> de la sécurité des produits. Elle permet également de sensibiliser le consommateur à l’importance du choix des produits biologiques et fournit des résultats pratiques que les entreprises agroalimentaires peuvent utiliser pour améliorer leurs stratégies marketing et augmenter le respect des normes de sécurité sanitaire. En outre, cette étude constitue une base scientifique pour des recherches futures visant à approfondir la compréhension du comportement du consommateur vis-à-vis des produits biologiques et à établir un lien entre marketing et sécurité sanitaire, contribuant ainsi au développement du marché local et à des bénéfices à la fois sanitaires, sociaux et économiques.</w:t>
      </w:r>
    </w:p>
    <w:p w:rsidR="00576950" w:rsidRPr="002562F1" w:rsidRDefault="008715C8" w:rsidP="00B20DAD">
      <w:pPr>
        <w:spacing w:after="0" w:line="360" w:lineRule="auto"/>
        <w:jc w:val="both"/>
        <w:rPr>
          <w:rFonts w:ascii="Times New Roman" w:eastAsia="Times New Roman" w:hAnsi="Times New Roman" w:cs="Times New Roman"/>
          <w:b/>
          <w:bCs/>
          <w:sz w:val="24"/>
          <w:szCs w:val="24"/>
          <w:lang w:eastAsia="fr-FR"/>
        </w:rPr>
      </w:pPr>
      <w:r w:rsidRPr="002562F1">
        <w:rPr>
          <w:rFonts w:ascii="markup-bold" w:eastAsia="Times New Roman" w:hAnsi="markup-bold" w:cs="Times New Roman"/>
          <w:b/>
          <w:bCs/>
          <w:sz w:val="24"/>
          <w:szCs w:val="24"/>
          <w:lang w:eastAsia="fr-FR"/>
        </w:rPr>
        <w:t>Objectifs de la recherche</w:t>
      </w:r>
    </w:p>
    <w:p w:rsidR="008715C8"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lastRenderedPageBreak/>
        <w:t xml:space="preserve">• Analyser le rôle du marketing des produits biologiques dans la valorisation de la sécurité sanitaire des aliments. </w:t>
      </w:r>
    </w:p>
    <w:p w:rsidR="008715C8"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t xml:space="preserve">• Définir le concept des produits biologiques et identifier leurs caractéristiques spécifiques. </w:t>
      </w:r>
    </w:p>
    <w:p w:rsidR="008715C8"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t xml:space="preserve">• Examiner les normes et critères de production biologique (production propre). </w:t>
      </w:r>
    </w:p>
    <w:p w:rsidR="008715C8"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t>• Étudier le système de certification biologique et ses mécanismes de contrôle.</w:t>
      </w:r>
    </w:p>
    <w:p w:rsidR="008715C8"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t xml:space="preserve">• Évaluer le rôle des certifications dans le renforcement de la confiance des consommateurs. </w:t>
      </w:r>
    </w:p>
    <w:p w:rsidR="008715C8"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t>• Examiner l’évolution et les transformations du marché des produits biologiques.</w:t>
      </w:r>
    </w:p>
    <w:p w:rsidR="008715C8"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t xml:space="preserve"> • Identifier les principaux facteurs influençant le comportement du consommateur sain. </w:t>
      </w:r>
    </w:p>
    <w:p w:rsidR="008715C8" w:rsidRPr="00EC4DDE" w:rsidRDefault="008715C8" w:rsidP="00B20DAD">
      <w:pPr>
        <w:spacing w:after="0" w:line="360" w:lineRule="auto"/>
        <w:jc w:val="both"/>
        <w:rPr>
          <w:rFonts w:ascii="Times New Roman" w:eastAsia="Times New Roman" w:hAnsi="Times New Roman" w:cs="Times New Roman"/>
          <w:sz w:val="24"/>
          <w:szCs w:val="24"/>
          <w:lang w:eastAsia="fr-FR"/>
        </w:rPr>
      </w:pPr>
      <w:r w:rsidRPr="00EC4DDE">
        <w:rPr>
          <w:rFonts w:ascii="Times New Roman" w:eastAsia="Times New Roman" w:hAnsi="Times New Roman" w:cs="Times New Roman"/>
          <w:sz w:val="24"/>
          <w:szCs w:val="24"/>
          <w:lang w:eastAsia="fr-FR"/>
        </w:rPr>
        <w:t xml:space="preserve"> • Mesurer l’impact du niveau de conscience sanitaire sur l’intention d’achat des produits biologiques.</w:t>
      </w:r>
    </w:p>
    <w:p w:rsidR="008715C8" w:rsidRPr="002562F1" w:rsidRDefault="008715C8" w:rsidP="00B20DAD">
      <w:pPr>
        <w:spacing w:after="0" w:line="360" w:lineRule="auto"/>
        <w:jc w:val="both"/>
        <w:rPr>
          <w:rFonts w:asciiTheme="majorBidi" w:eastAsia="Times New Roman" w:hAnsiTheme="majorBidi" w:cstheme="majorBidi"/>
          <w:b/>
          <w:bCs/>
          <w:noProof/>
          <w:sz w:val="24"/>
          <w:szCs w:val="24"/>
          <w:lang w:eastAsia="fr-FR"/>
        </w:rPr>
      </w:pPr>
      <w:r w:rsidRPr="002562F1">
        <w:rPr>
          <w:rFonts w:asciiTheme="majorBidi" w:eastAsia="Times New Roman" w:hAnsiTheme="majorBidi" w:cstheme="majorBidi"/>
          <w:b/>
          <w:bCs/>
          <w:sz w:val="24"/>
          <w:szCs w:val="24"/>
          <w:lang w:eastAsia="fr-FR"/>
        </w:rPr>
        <w:t xml:space="preserve">Les raisons du choix du sujet </w:t>
      </w:r>
    </w:p>
    <w:p w:rsidR="008715C8" w:rsidRPr="00B81526" w:rsidRDefault="008715C8" w:rsidP="00B20DAD">
      <w:pPr>
        <w:pStyle w:val="Paragraphedeliste"/>
        <w:numPr>
          <w:ilvl w:val="0"/>
          <w:numId w:val="3"/>
        </w:numPr>
        <w:suppressAutoHyphens w:val="0"/>
        <w:autoSpaceDN/>
        <w:spacing w:after="0" w:line="360" w:lineRule="auto"/>
        <w:contextualSpacing/>
        <w:jc w:val="both"/>
        <w:textAlignment w:val="auto"/>
        <w:rPr>
          <w:rFonts w:ascii="Times New Roman" w:eastAsia="Times New Roman" w:hAnsi="Times New Roman" w:cs="Times New Roman"/>
          <w:b/>
          <w:bCs/>
          <w:sz w:val="24"/>
          <w:szCs w:val="24"/>
          <w:lang w:eastAsia="fr-FR"/>
        </w:rPr>
      </w:pPr>
      <w:r w:rsidRPr="00B81526">
        <w:rPr>
          <w:rFonts w:ascii="markup-bold" w:eastAsia="Times New Roman" w:hAnsi="markup-bold" w:cs="Times New Roman"/>
          <w:b/>
          <w:bCs/>
          <w:sz w:val="24"/>
          <w:szCs w:val="24"/>
          <w:lang w:eastAsia="fr-FR"/>
        </w:rPr>
        <w:t>Les raisons personnelles</w:t>
      </w:r>
    </w:p>
    <w:p w:rsidR="008715C8" w:rsidRPr="00BE5B03" w:rsidRDefault="008715C8" w:rsidP="00B20DAD">
      <w:pPr>
        <w:spacing w:after="0" w:line="360" w:lineRule="auto"/>
        <w:jc w:val="both"/>
        <w:rPr>
          <w:rFonts w:asciiTheme="majorBidi" w:hAnsiTheme="majorBidi" w:cstheme="majorBidi"/>
          <w:sz w:val="24"/>
          <w:szCs w:val="24"/>
          <w:lang w:eastAsia="fr-FR"/>
        </w:rPr>
      </w:pPr>
      <w:r w:rsidRPr="00BE5B03">
        <w:rPr>
          <w:rFonts w:asciiTheme="majorBidi" w:hAnsiTheme="majorBidi" w:cstheme="majorBidi"/>
          <w:sz w:val="24"/>
          <w:szCs w:val="24"/>
          <w:lang w:eastAsia="fr-FR"/>
        </w:rPr>
        <w:t xml:space="preserve">• L’intérêt personnel pour les thématiques liées à la santé, à la nutrition et au bien-être. </w:t>
      </w:r>
    </w:p>
    <w:p w:rsidR="008715C8" w:rsidRPr="00BE5B03" w:rsidRDefault="008715C8" w:rsidP="00B20DAD">
      <w:pPr>
        <w:spacing w:after="0" w:line="360" w:lineRule="auto"/>
        <w:jc w:val="both"/>
        <w:rPr>
          <w:rFonts w:asciiTheme="majorBidi" w:hAnsiTheme="majorBidi" w:cstheme="majorBidi"/>
          <w:sz w:val="24"/>
          <w:szCs w:val="24"/>
          <w:lang w:eastAsia="fr-FR"/>
        </w:rPr>
      </w:pPr>
      <w:r w:rsidRPr="00BE5B03">
        <w:rPr>
          <w:rFonts w:asciiTheme="majorBidi" w:hAnsiTheme="majorBidi" w:cstheme="majorBidi"/>
          <w:sz w:val="24"/>
          <w:szCs w:val="24"/>
          <w:lang w:eastAsia="fr-FR"/>
        </w:rPr>
        <w:t>• La sensibilité aux problématiques de sécurité sanitaire des aliments.</w:t>
      </w:r>
    </w:p>
    <w:p w:rsidR="008715C8" w:rsidRPr="00BE5B03" w:rsidRDefault="008715C8" w:rsidP="00B20DAD">
      <w:pPr>
        <w:spacing w:after="0" w:line="360" w:lineRule="auto"/>
        <w:jc w:val="both"/>
        <w:rPr>
          <w:rFonts w:asciiTheme="majorBidi" w:hAnsiTheme="majorBidi" w:cstheme="majorBidi"/>
          <w:sz w:val="24"/>
          <w:szCs w:val="24"/>
          <w:lang w:eastAsia="fr-FR"/>
        </w:rPr>
      </w:pPr>
      <w:r w:rsidRPr="00BE5B03">
        <w:rPr>
          <w:rFonts w:asciiTheme="majorBidi" w:hAnsiTheme="majorBidi" w:cstheme="majorBidi"/>
          <w:sz w:val="24"/>
          <w:szCs w:val="24"/>
          <w:lang w:eastAsia="fr-FR"/>
        </w:rPr>
        <w:t>•L’ambition de développer un profil polyvalent combinant gestion de la santé et                           marketing, afin d’élargir mes perspectives professionnelles et mes opportunités de carrière.</w:t>
      </w:r>
    </w:p>
    <w:p w:rsidR="008715C8" w:rsidRPr="00BE5B03" w:rsidRDefault="008715C8" w:rsidP="00B20DAD">
      <w:pPr>
        <w:spacing w:after="0" w:line="360" w:lineRule="auto"/>
        <w:jc w:val="both"/>
        <w:rPr>
          <w:rFonts w:asciiTheme="majorBidi" w:hAnsiTheme="majorBidi" w:cstheme="majorBidi"/>
          <w:sz w:val="24"/>
          <w:szCs w:val="24"/>
          <w:lang w:eastAsia="fr-FR"/>
        </w:rPr>
      </w:pPr>
      <w:r w:rsidRPr="00BE5B03">
        <w:rPr>
          <w:rFonts w:asciiTheme="majorBidi" w:hAnsiTheme="majorBidi" w:cstheme="majorBidi"/>
          <w:sz w:val="24"/>
          <w:szCs w:val="24"/>
          <w:lang w:eastAsia="fr-FR"/>
        </w:rPr>
        <w:t>• La volonté d’approfondir les connaissances dans le domaine du marketing des produits biologiques.</w:t>
      </w:r>
    </w:p>
    <w:p w:rsidR="008715C8" w:rsidRPr="00BE5B03" w:rsidRDefault="008715C8" w:rsidP="00B20DAD">
      <w:pPr>
        <w:spacing w:after="0" w:line="360" w:lineRule="auto"/>
        <w:jc w:val="both"/>
        <w:rPr>
          <w:rFonts w:asciiTheme="majorBidi" w:hAnsiTheme="majorBidi" w:cstheme="majorBidi"/>
          <w:sz w:val="24"/>
          <w:szCs w:val="24"/>
          <w:lang w:eastAsia="fr-FR"/>
        </w:rPr>
      </w:pPr>
      <w:r w:rsidRPr="00BE5B03">
        <w:rPr>
          <w:rFonts w:asciiTheme="majorBidi" w:hAnsiTheme="majorBidi" w:cstheme="majorBidi"/>
          <w:sz w:val="24"/>
          <w:szCs w:val="24"/>
          <w:lang w:eastAsia="fr-FR"/>
        </w:rPr>
        <w:t>• Le désir de comprendre le comportement du consommateur face aux produits perçus comme plus sains et plus sûrs.</w:t>
      </w:r>
    </w:p>
    <w:p w:rsidR="008715C8" w:rsidRPr="00BE5B03" w:rsidRDefault="008715C8" w:rsidP="00B20DAD">
      <w:pPr>
        <w:spacing w:after="0" w:line="360" w:lineRule="auto"/>
        <w:jc w:val="both"/>
        <w:rPr>
          <w:rFonts w:asciiTheme="majorBidi" w:hAnsiTheme="majorBidi" w:cstheme="majorBidi"/>
          <w:sz w:val="24"/>
          <w:szCs w:val="24"/>
          <w:lang w:eastAsia="fr-FR"/>
        </w:rPr>
      </w:pPr>
      <w:r w:rsidRPr="00BE5B03">
        <w:rPr>
          <w:rFonts w:asciiTheme="majorBidi" w:hAnsiTheme="majorBidi" w:cstheme="majorBidi"/>
          <w:sz w:val="24"/>
          <w:szCs w:val="24"/>
          <w:lang w:eastAsia="fr-FR"/>
        </w:rPr>
        <w:t>• L’ambition de développer des compétences en recherche appliquée dans un domaine actuel et pertinent.</w:t>
      </w:r>
    </w:p>
    <w:p w:rsidR="008715C8" w:rsidRPr="00A26A31" w:rsidRDefault="008715C8" w:rsidP="00B20DAD">
      <w:pPr>
        <w:pStyle w:val="Paragraphedeliste"/>
        <w:numPr>
          <w:ilvl w:val="0"/>
          <w:numId w:val="3"/>
        </w:numPr>
        <w:suppressAutoHyphens w:val="0"/>
        <w:autoSpaceDN/>
        <w:spacing w:after="0" w:line="360" w:lineRule="auto"/>
        <w:contextualSpacing/>
        <w:jc w:val="both"/>
        <w:textAlignment w:val="auto"/>
        <w:rPr>
          <w:rFonts w:ascii="Times New Roman" w:eastAsia="Times New Roman" w:hAnsi="Times New Roman" w:cs="Times New Roman"/>
          <w:b/>
          <w:bCs/>
          <w:sz w:val="24"/>
          <w:szCs w:val="24"/>
          <w:lang w:eastAsia="fr-FR"/>
        </w:rPr>
      </w:pPr>
      <w:r w:rsidRPr="00A26A31">
        <w:rPr>
          <w:rFonts w:ascii="markup-bold" w:eastAsia="Times New Roman" w:hAnsi="markup-bold" w:cs="Times New Roman"/>
          <w:b/>
          <w:bCs/>
          <w:sz w:val="24"/>
          <w:szCs w:val="24"/>
          <w:lang w:eastAsia="fr-FR"/>
        </w:rPr>
        <w:t>Les raisons objectives</w:t>
      </w:r>
    </w:p>
    <w:p w:rsidR="008715C8" w:rsidRDefault="008715C8" w:rsidP="00B20DAD">
      <w:pPr>
        <w:spacing w:after="0" w:line="360" w:lineRule="auto"/>
        <w:ind w:left="360"/>
        <w:jc w:val="both"/>
        <w:rPr>
          <w:rFonts w:ascii="Times New Roman" w:eastAsia="Times New Roman" w:hAnsi="Times New Roman" w:cs="Times New Roman"/>
          <w:sz w:val="24"/>
          <w:szCs w:val="24"/>
          <w:lang w:eastAsia="fr-FR"/>
        </w:rPr>
      </w:pPr>
      <w:r w:rsidRPr="00B81526">
        <w:rPr>
          <w:rFonts w:ascii="Times New Roman" w:eastAsia="Times New Roman" w:hAnsi="Times New Roman" w:cs="Times New Roman"/>
          <w:sz w:val="24"/>
          <w:szCs w:val="24"/>
          <w:lang w:eastAsia="fr-FR"/>
        </w:rPr>
        <w:t>• L’actualité du sujet dans un contexte marqué par une prise de conscience croissante des enjeux sanitaires et environnementaux.</w:t>
      </w:r>
    </w:p>
    <w:p w:rsidR="008715C8" w:rsidRDefault="008715C8" w:rsidP="00B20DAD">
      <w:pPr>
        <w:spacing w:after="0" w:line="360" w:lineRule="auto"/>
        <w:ind w:left="360"/>
        <w:jc w:val="both"/>
        <w:rPr>
          <w:rFonts w:ascii="Times New Roman" w:eastAsia="Times New Roman" w:hAnsi="Times New Roman" w:cs="Times New Roman"/>
          <w:sz w:val="24"/>
          <w:szCs w:val="24"/>
          <w:lang w:eastAsia="fr-FR"/>
        </w:rPr>
      </w:pPr>
      <w:r w:rsidRPr="00B81526">
        <w:rPr>
          <w:rFonts w:ascii="Times New Roman" w:eastAsia="Times New Roman" w:hAnsi="Times New Roman" w:cs="Times New Roman"/>
          <w:sz w:val="24"/>
          <w:szCs w:val="24"/>
          <w:lang w:eastAsia="fr-FR"/>
        </w:rPr>
        <w:t>• Le développement rapide et continu du marché des produits biologiques au niveau national et international.</w:t>
      </w:r>
    </w:p>
    <w:p w:rsidR="008715C8" w:rsidRDefault="008715C8" w:rsidP="00B20DAD">
      <w:pPr>
        <w:spacing w:after="0" w:line="360" w:lineRule="auto"/>
        <w:ind w:left="360"/>
        <w:jc w:val="both"/>
        <w:rPr>
          <w:rFonts w:ascii="Times New Roman" w:eastAsia="Times New Roman" w:hAnsi="Times New Roman" w:cs="Times New Roman"/>
          <w:sz w:val="24"/>
          <w:szCs w:val="24"/>
          <w:lang w:eastAsia="fr-FR"/>
        </w:rPr>
      </w:pPr>
      <w:r w:rsidRPr="00B81526">
        <w:rPr>
          <w:rFonts w:ascii="Times New Roman" w:eastAsia="Times New Roman" w:hAnsi="Times New Roman" w:cs="Times New Roman"/>
          <w:sz w:val="24"/>
          <w:szCs w:val="24"/>
          <w:lang w:eastAsia="fr-FR"/>
        </w:rPr>
        <w:t>• L’importance stratégique du système de certification et de labellisation dans la construction de la confiance du consommateur.</w:t>
      </w:r>
    </w:p>
    <w:p w:rsidR="00576950" w:rsidRDefault="008715C8" w:rsidP="00B20DAD">
      <w:pPr>
        <w:spacing w:after="0" w:line="360" w:lineRule="auto"/>
        <w:ind w:left="360"/>
        <w:jc w:val="both"/>
        <w:rPr>
          <w:rFonts w:ascii="Times New Roman" w:eastAsia="Times New Roman" w:hAnsi="Times New Roman" w:cs="Times New Roman"/>
          <w:sz w:val="24"/>
          <w:szCs w:val="24"/>
          <w:lang w:eastAsia="fr-FR"/>
        </w:rPr>
      </w:pPr>
      <w:r w:rsidRPr="00B81526">
        <w:rPr>
          <w:rFonts w:ascii="Times New Roman" w:eastAsia="Times New Roman" w:hAnsi="Times New Roman" w:cs="Times New Roman"/>
          <w:sz w:val="24"/>
          <w:szCs w:val="24"/>
          <w:lang w:eastAsia="fr-FR"/>
        </w:rPr>
        <w:t>• La nécessité d’analyser la relation entre marketing, perception de la sécurité sanitaire et comportement d’achat.</w:t>
      </w:r>
    </w:p>
    <w:p w:rsidR="008715C8" w:rsidRDefault="008715C8" w:rsidP="00B20DAD">
      <w:pPr>
        <w:spacing w:after="0" w:line="360" w:lineRule="auto"/>
        <w:ind w:left="360"/>
        <w:jc w:val="both"/>
        <w:rPr>
          <w:rFonts w:ascii="Times New Roman" w:eastAsia="Times New Roman" w:hAnsi="Times New Roman" w:cs="Times New Roman"/>
          <w:sz w:val="24"/>
          <w:szCs w:val="24"/>
          <w:lang w:eastAsia="fr-FR"/>
        </w:rPr>
      </w:pPr>
      <w:r w:rsidRPr="00B81526">
        <w:rPr>
          <w:rFonts w:ascii="Times New Roman" w:eastAsia="Times New Roman" w:hAnsi="Times New Roman" w:cs="Times New Roman"/>
          <w:sz w:val="24"/>
          <w:szCs w:val="24"/>
          <w:lang w:eastAsia="fr-FR"/>
        </w:rPr>
        <w:t>• Le manque relatif d’études approfondies sur ce thème dans le contexte local.</w:t>
      </w:r>
    </w:p>
    <w:p w:rsidR="008715C8" w:rsidRDefault="008715C8" w:rsidP="00B20DAD">
      <w:pPr>
        <w:spacing w:after="0" w:line="360" w:lineRule="auto"/>
        <w:ind w:left="360"/>
        <w:jc w:val="both"/>
        <w:rPr>
          <w:rFonts w:ascii="Times New Roman" w:eastAsia="Times New Roman" w:hAnsi="Times New Roman" w:cs="Times New Roman"/>
          <w:sz w:val="24"/>
          <w:szCs w:val="24"/>
          <w:rtl/>
          <w:lang w:eastAsia="fr-FR"/>
        </w:rPr>
      </w:pPr>
      <w:r w:rsidRPr="00B81526">
        <w:rPr>
          <w:rFonts w:ascii="Times New Roman" w:eastAsia="Times New Roman" w:hAnsi="Times New Roman" w:cs="Times New Roman"/>
          <w:sz w:val="24"/>
          <w:szCs w:val="24"/>
          <w:lang w:eastAsia="fr-FR"/>
        </w:rPr>
        <w:t>• La contribution scientifique que cette recherche peut apporter dans le domaine du marketing et du comportement du consommateur.</w:t>
      </w:r>
    </w:p>
    <w:p w:rsidR="00EC7780" w:rsidRPr="00EC7780" w:rsidRDefault="00EC7780" w:rsidP="00EC7780">
      <w:pPr>
        <w:spacing w:after="0" w:line="360" w:lineRule="auto"/>
        <w:ind w:left="360"/>
        <w:jc w:val="both"/>
        <w:rPr>
          <w:rFonts w:ascii="Times New Roman" w:eastAsia="Times New Roman" w:hAnsi="Times New Roman" w:cs="Times New Roman"/>
          <w:b/>
          <w:bCs/>
          <w:sz w:val="24"/>
          <w:szCs w:val="24"/>
          <w:lang w:eastAsia="fr-FR"/>
        </w:rPr>
      </w:pPr>
      <w:bookmarkStart w:id="20" w:name="_Toc230861623"/>
      <w:bookmarkStart w:id="21" w:name="_Toc230900392"/>
      <w:bookmarkStart w:id="22" w:name="_Toc230900930"/>
      <w:r w:rsidRPr="00EC7780">
        <w:rPr>
          <w:rFonts w:ascii="Times New Roman" w:eastAsia="Times New Roman" w:hAnsi="Times New Roman" w:cs="Times New Roman"/>
          <w:b/>
          <w:bCs/>
          <w:sz w:val="24"/>
          <w:szCs w:val="24"/>
          <w:lang w:eastAsia="fr-FR"/>
        </w:rPr>
        <w:lastRenderedPageBreak/>
        <w:t>Limites de l’étude</w:t>
      </w:r>
      <w:bookmarkEnd w:id="20"/>
      <w:bookmarkEnd w:id="21"/>
      <w:bookmarkEnd w:id="22"/>
    </w:p>
    <w:p w:rsidR="00EC7780" w:rsidRPr="00EC7780" w:rsidRDefault="00CE607F" w:rsidP="00EC7780">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C7780" w:rsidRPr="00EC7780">
        <w:rPr>
          <w:rFonts w:ascii="Times New Roman" w:eastAsia="Times New Roman" w:hAnsi="Times New Roman" w:cs="Times New Roman"/>
          <w:sz w:val="24"/>
          <w:szCs w:val="24"/>
          <w:lang w:eastAsia="fr-FR"/>
        </w:rPr>
        <w:t>La présente recherche comporte plusieurs limites qu’il convient de prendre en considération lors de l’interprétation des résultats.</w:t>
      </w:r>
    </w:p>
    <w:p w:rsidR="00EC7780" w:rsidRPr="00EC7780" w:rsidRDefault="00CE607F" w:rsidP="00EC7780">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C7780" w:rsidRPr="00EC7780">
        <w:rPr>
          <w:rFonts w:ascii="Times New Roman" w:eastAsia="Times New Roman" w:hAnsi="Times New Roman" w:cs="Times New Roman"/>
          <w:sz w:val="24"/>
          <w:szCs w:val="24"/>
          <w:lang w:eastAsia="fr-FR"/>
        </w:rPr>
        <w:t>La première limite concerne la taille et la nature de l’échantillon. L’étude repose sur 205 répondants sélectionnés selon une méthode non probabiliste (par convenance). Ce choix méthodologique limite la représentativité statistique et réduit la possibilité de généralisation des résultats à l’ensemble de la population algérienne.</w:t>
      </w:r>
    </w:p>
    <w:p w:rsidR="00EC7780" w:rsidRPr="00EC7780" w:rsidRDefault="00CE607F" w:rsidP="00EC7780">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C7780" w:rsidRPr="00EC7780">
        <w:rPr>
          <w:rFonts w:ascii="Times New Roman" w:eastAsia="Times New Roman" w:hAnsi="Times New Roman" w:cs="Times New Roman"/>
          <w:sz w:val="24"/>
          <w:szCs w:val="24"/>
          <w:lang w:eastAsia="fr-FR"/>
        </w:rPr>
        <w:t>La deuxième limite est d’ordre géographique. La collecte des données a été réalisée principalement dans des zones urbaines et relativement développées sur le plan éducatif et sanitaire, ce qui peut influencer les perceptions des répondants.</w:t>
      </w:r>
    </w:p>
    <w:p w:rsidR="00EC7780" w:rsidRPr="00EC7780" w:rsidRDefault="00CE607F" w:rsidP="00EC7780">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C7780" w:rsidRPr="00EC7780">
        <w:rPr>
          <w:rFonts w:ascii="Times New Roman" w:eastAsia="Times New Roman" w:hAnsi="Times New Roman" w:cs="Times New Roman"/>
          <w:sz w:val="24"/>
          <w:szCs w:val="24"/>
          <w:lang w:eastAsia="fr-FR"/>
        </w:rPr>
        <w:t>La troisième limite concerne le niveau d’instruction des participants. L’échantillon est marqué par une proportion importante de diplômés universitaires, notamment de niveau master, ce qui ne reflète pas fidèlement la structure réelle de la population et peut influencer les résultats.</w:t>
      </w:r>
    </w:p>
    <w:p w:rsidR="00EC7780" w:rsidRPr="00EC7780" w:rsidRDefault="00CE607F" w:rsidP="00EC7780">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C7780" w:rsidRPr="00EC7780">
        <w:rPr>
          <w:rFonts w:ascii="Times New Roman" w:eastAsia="Times New Roman" w:hAnsi="Times New Roman" w:cs="Times New Roman"/>
          <w:sz w:val="24"/>
          <w:szCs w:val="24"/>
          <w:lang w:eastAsia="fr-FR"/>
        </w:rPr>
        <w:t>La quatrième limite réside dans la nature des variables mesurées. L’étude repose sur des intentions déclarées, notamment l’intention d’achat, et non sur des comportements réels, ce qui peut entraîner un écart entre déclaration et pratique.</w:t>
      </w:r>
    </w:p>
    <w:p w:rsidR="00EC7780" w:rsidRPr="00EC7780" w:rsidRDefault="00EC7780" w:rsidP="00EC7780">
      <w:pPr>
        <w:spacing w:after="0" w:line="360" w:lineRule="auto"/>
        <w:ind w:left="360"/>
        <w:jc w:val="both"/>
        <w:rPr>
          <w:rFonts w:ascii="Times New Roman" w:eastAsia="Times New Roman" w:hAnsi="Times New Roman" w:cs="Times New Roman"/>
          <w:sz w:val="24"/>
          <w:szCs w:val="24"/>
          <w:lang w:eastAsia="fr-FR"/>
        </w:rPr>
      </w:pPr>
      <w:r w:rsidRPr="00EC7780">
        <w:rPr>
          <w:rFonts w:ascii="Times New Roman" w:eastAsia="Times New Roman" w:hAnsi="Times New Roman" w:cs="Times New Roman"/>
          <w:sz w:val="24"/>
          <w:szCs w:val="24"/>
          <w:lang w:eastAsia="fr-FR"/>
        </w:rPr>
        <w:t>La cinquième limite est liée à l’utilisation d’une seule étude de cas. L’analyse repose uniquement sur l’entreprise Dahbia, ce qui limite la comparaison avec d’autres acteurs du secteur biologique.</w:t>
      </w:r>
    </w:p>
    <w:p w:rsidR="00EC7780" w:rsidRPr="00EC7780" w:rsidRDefault="006E2C45" w:rsidP="00EC7780">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C7780" w:rsidRPr="00EC7780">
        <w:rPr>
          <w:rFonts w:ascii="Times New Roman" w:eastAsia="Times New Roman" w:hAnsi="Times New Roman" w:cs="Times New Roman"/>
          <w:sz w:val="24"/>
          <w:szCs w:val="24"/>
          <w:lang w:eastAsia="fr-FR"/>
        </w:rPr>
        <w:t>La sixième limite concerne le faible développement du secteur biologique en Algérie. Le nombre limité d’entreprises actives réduit les possibilités d’analyse comparative et la diversité des situations étudiées.</w:t>
      </w:r>
    </w:p>
    <w:p w:rsidR="00EC7780" w:rsidRPr="00EC7780" w:rsidRDefault="006E2C45" w:rsidP="00EC7780">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C7780" w:rsidRPr="00EC7780">
        <w:rPr>
          <w:rFonts w:ascii="Times New Roman" w:eastAsia="Times New Roman" w:hAnsi="Times New Roman" w:cs="Times New Roman"/>
          <w:sz w:val="24"/>
          <w:szCs w:val="24"/>
          <w:lang w:eastAsia="fr-FR"/>
        </w:rPr>
        <w:t>La septième limite est d’ordre temporel. La collecte des données s’est déroulée sur une période courte, ne permettant pas de prendre en compte les variations saisonnières ou l’évolution des comportements dans le temps.</w:t>
      </w:r>
    </w:p>
    <w:p w:rsidR="0003518D" w:rsidRDefault="00FC1F06" w:rsidP="00B20DAD">
      <w:pPr>
        <w:spacing w:after="0" w:line="360" w:lineRule="auto"/>
        <w:jc w:val="both"/>
        <w:rPr>
          <w:rFonts w:asciiTheme="majorBidi" w:hAnsiTheme="majorBidi" w:cstheme="majorBidi"/>
          <w:b/>
          <w:bCs/>
          <w:sz w:val="24"/>
          <w:szCs w:val="24"/>
          <w:rtl/>
        </w:rPr>
      </w:pPr>
      <w:r w:rsidRPr="0003518D">
        <w:rPr>
          <w:rFonts w:asciiTheme="majorBidi" w:hAnsiTheme="majorBidi" w:cstheme="majorBidi"/>
          <w:b/>
          <w:bCs/>
          <w:sz w:val="24"/>
          <w:szCs w:val="24"/>
        </w:rPr>
        <w:t>Méthodologie</w:t>
      </w:r>
      <w:r w:rsidR="0003518D" w:rsidRPr="0003518D">
        <w:rPr>
          <w:rFonts w:asciiTheme="majorBidi" w:hAnsiTheme="majorBidi" w:cstheme="majorBidi"/>
          <w:b/>
          <w:bCs/>
          <w:sz w:val="24"/>
          <w:szCs w:val="24"/>
        </w:rPr>
        <w:t xml:space="preserve"> de recherche :</w:t>
      </w:r>
    </w:p>
    <w:p w:rsidR="0003518D" w:rsidRDefault="006E2C45" w:rsidP="00B20DAD">
      <w:pPr>
        <w:spacing w:after="0"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03518D" w:rsidRPr="0003518D">
        <w:rPr>
          <w:rFonts w:asciiTheme="majorBidi" w:hAnsiTheme="majorBidi" w:cstheme="majorBidi"/>
          <w:sz w:val="24"/>
          <w:szCs w:val="24"/>
        </w:rPr>
        <w:t>La méthodologie de cette recherche repose sur une approche mixte, combinant une démarche descriptive et analytique, afin d’étudier l’influence du marketing des produits biologiques sur le comportement des consommateurs et leur intention d’achat.</w:t>
      </w:r>
    </w:p>
    <w:p w:rsidR="0003518D" w:rsidRDefault="006E2C45" w:rsidP="00B20DAD">
      <w:pPr>
        <w:spacing w:after="0"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03518D" w:rsidRPr="0003518D">
        <w:rPr>
          <w:rFonts w:asciiTheme="majorBidi" w:hAnsiTheme="majorBidi" w:cstheme="majorBidi"/>
          <w:sz w:val="24"/>
          <w:szCs w:val="24"/>
        </w:rPr>
        <w:t>Dans un premier temps, une revue de littérature a été réalisée afin de construire le cadre théorique de l’étude. Cette étape a permis de définir les concepts essentiels liés au marketing biologique, au comportement du consommateur et à la perception de la qualité et de la sécurité sanitaire des aliments, à partir de sources scientifiques reconnues.</w:t>
      </w:r>
    </w:p>
    <w:p w:rsidR="00F5414D" w:rsidRDefault="006E2C45" w:rsidP="00B20DAD">
      <w:pPr>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03518D" w:rsidRPr="0003518D">
        <w:rPr>
          <w:rFonts w:asciiTheme="majorBidi" w:hAnsiTheme="majorBidi" w:cstheme="majorBidi"/>
          <w:sz w:val="24"/>
          <w:szCs w:val="24"/>
        </w:rPr>
        <w:t xml:space="preserve">Dans un second temps, une approche empirique mixte a été adoptée. Elle repose, d’une part, sur une étude qualitative basée sur un entretien réalisé au sein d’une entreprise spécialisée dans les produits biologiques, permettant de comprendre les stratégies marketing, les </w:t>
      </w:r>
    </w:p>
    <w:p w:rsidR="0003518D" w:rsidRDefault="0076672F" w:rsidP="00B20DAD">
      <w:pPr>
        <w:spacing w:after="0" w:line="360" w:lineRule="auto"/>
        <w:jc w:val="both"/>
        <w:rPr>
          <w:rFonts w:asciiTheme="majorBidi" w:hAnsiTheme="majorBidi" w:cstheme="majorBidi"/>
          <w:sz w:val="24"/>
          <w:szCs w:val="24"/>
          <w:rtl/>
        </w:rPr>
      </w:pPr>
      <w:r w:rsidRPr="0003518D">
        <w:rPr>
          <w:rFonts w:asciiTheme="majorBidi" w:hAnsiTheme="majorBidi" w:cstheme="majorBidi"/>
          <w:sz w:val="24"/>
          <w:szCs w:val="24"/>
        </w:rPr>
        <w:t>Pratiques</w:t>
      </w:r>
      <w:r w:rsidR="0003518D" w:rsidRPr="0003518D">
        <w:rPr>
          <w:rFonts w:asciiTheme="majorBidi" w:hAnsiTheme="majorBidi" w:cstheme="majorBidi"/>
          <w:sz w:val="24"/>
          <w:szCs w:val="24"/>
        </w:rPr>
        <w:t xml:space="preserve"> commerciales et les contraintes du secteur. D’autre part, une étude quantitative a été menée à travers un questionnaire destiné aux consommateurs, afin de mesurer leurs perceptions, leurs attitudes et leur intention d’achat.</w:t>
      </w:r>
    </w:p>
    <w:p w:rsidR="00FC1F06" w:rsidRDefault="0003518D" w:rsidP="00B20DAD">
      <w:pPr>
        <w:spacing w:after="0" w:line="360" w:lineRule="auto"/>
        <w:jc w:val="both"/>
        <w:rPr>
          <w:rFonts w:asciiTheme="majorBidi" w:hAnsiTheme="majorBidi" w:cstheme="majorBidi"/>
          <w:sz w:val="24"/>
          <w:szCs w:val="24"/>
        </w:rPr>
      </w:pPr>
      <w:r w:rsidRPr="0003518D">
        <w:rPr>
          <w:rFonts w:asciiTheme="majorBidi" w:hAnsiTheme="majorBidi" w:cstheme="majorBidi"/>
          <w:sz w:val="24"/>
          <w:szCs w:val="24"/>
        </w:rPr>
        <w:t xml:space="preserve">Enfin, les données qualitatives issues de l’entretien ont été analysées de manière interprétative, tandis que les données quantitatives du questionnaire ont été traitées à l’aide du </w:t>
      </w:r>
    </w:p>
    <w:p w:rsidR="0003518D" w:rsidRPr="0003518D" w:rsidRDefault="00FC1F06" w:rsidP="00B20DAD">
      <w:pPr>
        <w:spacing w:after="0" w:line="360" w:lineRule="auto"/>
        <w:jc w:val="both"/>
        <w:rPr>
          <w:rFonts w:asciiTheme="majorBidi" w:hAnsiTheme="majorBidi" w:cstheme="majorBidi"/>
          <w:sz w:val="24"/>
          <w:szCs w:val="24"/>
          <w:rtl/>
        </w:rPr>
      </w:pPr>
      <w:r w:rsidRPr="0003518D">
        <w:rPr>
          <w:rFonts w:asciiTheme="majorBidi" w:hAnsiTheme="majorBidi" w:cstheme="majorBidi"/>
          <w:sz w:val="24"/>
          <w:szCs w:val="24"/>
        </w:rPr>
        <w:t>Logiciel</w:t>
      </w:r>
      <w:r w:rsidR="0003518D" w:rsidRPr="0003518D">
        <w:rPr>
          <w:rFonts w:asciiTheme="majorBidi" w:hAnsiTheme="majorBidi" w:cstheme="majorBidi"/>
          <w:sz w:val="24"/>
          <w:szCs w:val="24"/>
        </w:rPr>
        <w:t xml:space="preserve"> SPSS. Cette double analyse a permis de croiser les résultats, de vérifier les hypothèses de recherche et de fournir une compréhension plus complète du phénomène étudié.</w:t>
      </w:r>
    </w:p>
    <w:p w:rsidR="008715C8" w:rsidRDefault="003876C3" w:rsidP="00B20DAD">
      <w:pPr>
        <w:spacing w:after="0" w:line="360" w:lineRule="auto"/>
        <w:jc w:val="both"/>
        <w:rPr>
          <w:rFonts w:asciiTheme="majorBidi" w:hAnsiTheme="majorBidi" w:cstheme="majorBidi"/>
          <w:b/>
          <w:bCs/>
          <w:sz w:val="24"/>
          <w:szCs w:val="24"/>
          <w:rtl/>
        </w:rPr>
      </w:pPr>
      <w:r w:rsidRPr="003876C3">
        <w:rPr>
          <w:rFonts w:asciiTheme="majorBidi" w:hAnsiTheme="majorBidi" w:cstheme="majorBidi"/>
          <w:b/>
          <w:bCs/>
          <w:sz w:val="24"/>
          <w:szCs w:val="24"/>
        </w:rPr>
        <w:t>Les variables étudiées</w:t>
      </w:r>
    </w:p>
    <w:p w:rsidR="00C14287" w:rsidRPr="00C14287" w:rsidRDefault="00C14287" w:rsidP="00C14287">
      <w:pPr>
        <w:spacing w:after="0" w:line="360" w:lineRule="auto"/>
        <w:rPr>
          <w:rFonts w:asciiTheme="majorBidi" w:hAnsiTheme="majorBidi" w:cstheme="majorBidi"/>
          <w:sz w:val="24"/>
          <w:szCs w:val="24"/>
        </w:rPr>
      </w:pPr>
      <w:r w:rsidRPr="00C14287">
        <w:rPr>
          <w:rFonts w:asciiTheme="majorBidi" w:hAnsiTheme="majorBidi" w:cstheme="majorBidi"/>
          <w:b/>
          <w:bCs/>
          <w:sz w:val="24"/>
          <w:szCs w:val="24"/>
        </w:rPr>
        <w:t>Variable indépendante :</w:t>
      </w:r>
      <w:r w:rsidRPr="00C14287">
        <w:rPr>
          <w:rFonts w:asciiTheme="majorBidi" w:hAnsiTheme="majorBidi" w:cstheme="majorBidi"/>
          <w:sz w:val="24"/>
          <w:szCs w:val="24"/>
        </w:rPr>
        <w:t xml:space="preserve"> Le marketing des produits biologiques</w:t>
      </w:r>
    </w:p>
    <w:p w:rsidR="00C14287" w:rsidRPr="00C14287" w:rsidRDefault="00C14287" w:rsidP="00C14287">
      <w:pPr>
        <w:spacing w:after="0" w:line="360" w:lineRule="auto"/>
        <w:ind w:left="60"/>
        <w:rPr>
          <w:rFonts w:asciiTheme="majorBidi" w:hAnsiTheme="majorBidi" w:cstheme="majorBidi"/>
          <w:sz w:val="24"/>
          <w:szCs w:val="24"/>
        </w:rPr>
      </w:pPr>
      <w:r w:rsidRPr="00C14287">
        <w:rPr>
          <w:rFonts w:asciiTheme="majorBidi" w:hAnsiTheme="majorBidi" w:cstheme="majorBidi"/>
          <w:b/>
          <w:bCs/>
          <w:sz w:val="24"/>
          <w:szCs w:val="24"/>
        </w:rPr>
        <w:t>Sous-variables du marketing des produits biologiques :</w:t>
      </w:r>
      <w:r w:rsidRPr="00C14287">
        <w:rPr>
          <w:rFonts w:asciiTheme="majorBidi" w:hAnsiTheme="majorBidi" w:cstheme="majorBidi"/>
          <w:b/>
          <w:bCs/>
          <w:sz w:val="24"/>
          <w:szCs w:val="24"/>
        </w:rPr>
        <w:br/>
      </w:r>
      <w:r w:rsidRPr="00C14287">
        <w:rPr>
          <w:rFonts w:asciiTheme="majorBidi" w:hAnsiTheme="majorBidi" w:cstheme="majorBidi"/>
          <w:sz w:val="24"/>
          <w:szCs w:val="24"/>
        </w:rPr>
        <w:t xml:space="preserve"> Les stratégies du marketing bio</w:t>
      </w:r>
      <w:r w:rsidRPr="00C14287">
        <w:rPr>
          <w:rFonts w:asciiTheme="majorBidi" w:hAnsiTheme="majorBidi" w:cstheme="majorBidi"/>
          <w:sz w:val="24"/>
          <w:szCs w:val="24"/>
        </w:rPr>
        <w:br/>
        <w:t xml:space="preserve"> Le marketing mix des produits biologiques</w:t>
      </w:r>
      <w:r w:rsidRPr="00C14287">
        <w:rPr>
          <w:rFonts w:asciiTheme="majorBidi" w:hAnsiTheme="majorBidi" w:cstheme="majorBidi"/>
          <w:sz w:val="24"/>
          <w:szCs w:val="24"/>
        </w:rPr>
        <w:br/>
        <w:t xml:space="preserve"> L’étiquetage et la transparence informationnelle</w:t>
      </w:r>
      <w:r w:rsidRPr="00C14287">
        <w:rPr>
          <w:rFonts w:asciiTheme="majorBidi" w:hAnsiTheme="majorBidi" w:cstheme="majorBidi"/>
          <w:sz w:val="24"/>
          <w:szCs w:val="24"/>
        </w:rPr>
        <w:br/>
        <w:t xml:space="preserve"> La communication marketing et la sensibilisation sanitaire</w:t>
      </w:r>
      <w:r w:rsidRPr="00C14287">
        <w:rPr>
          <w:rFonts w:asciiTheme="majorBidi" w:hAnsiTheme="majorBidi" w:cstheme="majorBidi"/>
          <w:sz w:val="24"/>
          <w:szCs w:val="24"/>
        </w:rPr>
        <w:br/>
        <w:t xml:space="preserve"> Le système de traçabilité</w:t>
      </w:r>
      <w:r w:rsidRPr="00C14287">
        <w:rPr>
          <w:rFonts w:asciiTheme="majorBidi" w:hAnsiTheme="majorBidi" w:cstheme="majorBidi"/>
          <w:sz w:val="24"/>
          <w:szCs w:val="24"/>
        </w:rPr>
        <w:br/>
        <w:t xml:space="preserve"> La certification et les labels biologiques</w:t>
      </w:r>
    </w:p>
    <w:p w:rsidR="00C14287" w:rsidRPr="00C14287" w:rsidRDefault="00C14287" w:rsidP="00C14287">
      <w:pPr>
        <w:spacing w:after="0" w:line="360" w:lineRule="auto"/>
        <w:rPr>
          <w:rFonts w:asciiTheme="majorBidi" w:hAnsiTheme="majorBidi" w:cstheme="majorBidi"/>
          <w:sz w:val="24"/>
          <w:szCs w:val="24"/>
        </w:rPr>
      </w:pPr>
      <w:r w:rsidRPr="00C14287">
        <w:rPr>
          <w:rFonts w:asciiTheme="majorBidi" w:hAnsiTheme="majorBidi" w:cstheme="majorBidi"/>
          <w:b/>
          <w:bCs/>
          <w:sz w:val="24"/>
          <w:szCs w:val="24"/>
        </w:rPr>
        <w:t xml:space="preserve"> Variable dépendante :</w:t>
      </w:r>
      <w:r w:rsidRPr="00C14287">
        <w:rPr>
          <w:rFonts w:asciiTheme="majorBidi" w:hAnsiTheme="majorBidi" w:cstheme="majorBidi"/>
          <w:sz w:val="24"/>
          <w:szCs w:val="24"/>
        </w:rPr>
        <w:t xml:space="preserve"> La sécurité sanitaire des aliments</w:t>
      </w:r>
    </w:p>
    <w:p w:rsidR="00C14287" w:rsidRPr="00C14287" w:rsidRDefault="00C14287" w:rsidP="00C14287">
      <w:pPr>
        <w:spacing w:after="0" w:line="360" w:lineRule="auto"/>
        <w:rPr>
          <w:rFonts w:asciiTheme="majorBidi" w:hAnsiTheme="majorBidi" w:cstheme="majorBidi"/>
          <w:sz w:val="24"/>
          <w:szCs w:val="24"/>
        </w:rPr>
      </w:pPr>
      <w:r w:rsidRPr="00C14287">
        <w:rPr>
          <w:rFonts w:asciiTheme="majorBidi" w:hAnsiTheme="majorBidi" w:cstheme="majorBidi"/>
          <w:b/>
          <w:bCs/>
          <w:sz w:val="24"/>
          <w:szCs w:val="24"/>
        </w:rPr>
        <w:t>Sous-variables de la sécurité sanitaire des aliments :</w:t>
      </w:r>
      <w:r w:rsidRPr="00C14287">
        <w:rPr>
          <w:rFonts w:asciiTheme="majorBidi" w:hAnsiTheme="majorBidi" w:cstheme="majorBidi"/>
          <w:sz w:val="24"/>
          <w:szCs w:val="24"/>
        </w:rPr>
        <w:br/>
        <w:t xml:space="preserve"> La qualité sanitaire des aliments</w:t>
      </w:r>
      <w:r w:rsidRPr="00C14287">
        <w:rPr>
          <w:rFonts w:asciiTheme="majorBidi" w:hAnsiTheme="majorBidi" w:cstheme="majorBidi"/>
          <w:sz w:val="24"/>
          <w:szCs w:val="24"/>
        </w:rPr>
        <w:br/>
        <w:t xml:space="preserve"> La réduction des risques alimentaires</w:t>
      </w:r>
      <w:r w:rsidRPr="00C14287">
        <w:rPr>
          <w:rFonts w:asciiTheme="majorBidi" w:hAnsiTheme="majorBidi" w:cstheme="majorBidi"/>
          <w:sz w:val="24"/>
          <w:szCs w:val="24"/>
        </w:rPr>
        <w:br/>
        <w:t xml:space="preserve"> La confiance du consommateur</w:t>
      </w:r>
      <w:r w:rsidRPr="00C14287">
        <w:rPr>
          <w:rFonts w:asciiTheme="majorBidi" w:hAnsiTheme="majorBidi" w:cstheme="majorBidi"/>
          <w:sz w:val="24"/>
          <w:szCs w:val="24"/>
        </w:rPr>
        <w:br/>
        <w:t xml:space="preserve"> Le respect des normes sanitaires</w:t>
      </w:r>
      <w:r w:rsidRPr="00C14287">
        <w:rPr>
          <w:rFonts w:asciiTheme="majorBidi" w:hAnsiTheme="majorBidi" w:cstheme="majorBidi"/>
          <w:sz w:val="24"/>
          <w:szCs w:val="24"/>
        </w:rPr>
        <w:br/>
        <w:t xml:space="preserve"> La protection de la santé du consommateur</w:t>
      </w:r>
      <w:r w:rsidRPr="00C14287">
        <w:rPr>
          <w:rFonts w:asciiTheme="majorBidi" w:hAnsiTheme="majorBidi" w:cstheme="majorBidi"/>
          <w:sz w:val="24"/>
          <w:szCs w:val="24"/>
        </w:rPr>
        <w:br/>
        <w:t xml:space="preserve"> L’amélioration de la transparence et de la sécurité des produits alimentaires</w:t>
      </w:r>
    </w:p>
    <w:p w:rsidR="00A216AA" w:rsidRDefault="00A216AA" w:rsidP="00B20DAD">
      <w:pPr>
        <w:spacing w:after="0" w:line="360" w:lineRule="auto"/>
        <w:jc w:val="both"/>
        <w:rPr>
          <w:rFonts w:asciiTheme="majorBidi" w:hAnsiTheme="majorBidi" w:cstheme="majorBidi"/>
          <w:b/>
          <w:bCs/>
          <w:sz w:val="24"/>
          <w:szCs w:val="24"/>
        </w:rPr>
      </w:pPr>
    </w:p>
    <w:p w:rsidR="00EC7780" w:rsidRDefault="00EC7780" w:rsidP="00B20DAD">
      <w:pPr>
        <w:spacing w:after="0" w:line="360" w:lineRule="auto"/>
        <w:jc w:val="both"/>
        <w:rPr>
          <w:rFonts w:asciiTheme="majorBidi" w:hAnsiTheme="majorBidi" w:cstheme="majorBidi"/>
          <w:b/>
          <w:bCs/>
          <w:sz w:val="24"/>
          <w:szCs w:val="24"/>
        </w:rPr>
      </w:pPr>
    </w:p>
    <w:p w:rsidR="00EC7780" w:rsidRDefault="00EC7780" w:rsidP="00B20DAD">
      <w:pPr>
        <w:spacing w:after="0" w:line="360" w:lineRule="auto"/>
        <w:jc w:val="both"/>
        <w:rPr>
          <w:rFonts w:asciiTheme="majorBidi" w:hAnsiTheme="majorBidi" w:cstheme="majorBidi"/>
          <w:b/>
          <w:bCs/>
          <w:sz w:val="24"/>
          <w:szCs w:val="24"/>
        </w:rPr>
      </w:pPr>
    </w:p>
    <w:p w:rsidR="00EC7780" w:rsidRDefault="00EC7780" w:rsidP="00B20DAD">
      <w:pPr>
        <w:spacing w:after="0" w:line="360" w:lineRule="auto"/>
        <w:jc w:val="both"/>
        <w:rPr>
          <w:rFonts w:asciiTheme="majorBidi" w:hAnsiTheme="majorBidi" w:cstheme="majorBidi"/>
          <w:b/>
          <w:bCs/>
          <w:sz w:val="24"/>
          <w:szCs w:val="24"/>
        </w:rPr>
      </w:pPr>
    </w:p>
    <w:p w:rsidR="00EC7780" w:rsidRDefault="00EC7780" w:rsidP="00B20DAD">
      <w:pPr>
        <w:spacing w:after="0" w:line="360" w:lineRule="auto"/>
        <w:jc w:val="both"/>
        <w:rPr>
          <w:rFonts w:asciiTheme="majorBidi" w:hAnsiTheme="majorBidi" w:cstheme="majorBidi"/>
          <w:b/>
          <w:bCs/>
          <w:sz w:val="24"/>
          <w:szCs w:val="24"/>
        </w:rPr>
      </w:pPr>
    </w:p>
    <w:p w:rsidR="007A7E20" w:rsidRDefault="007A7E20" w:rsidP="00B20DAD">
      <w:pPr>
        <w:spacing w:after="0" w:line="360" w:lineRule="auto"/>
        <w:jc w:val="both"/>
        <w:rPr>
          <w:rFonts w:asciiTheme="majorBidi" w:hAnsiTheme="majorBidi" w:cstheme="majorBidi"/>
          <w:b/>
          <w:bCs/>
          <w:sz w:val="24"/>
          <w:szCs w:val="24"/>
        </w:rPr>
      </w:pPr>
    </w:p>
    <w:p w:rsidR="007A7E20" w:rsidRDefault="007A7E20" w:rsidP="00B20DAD">
      <w:pPr>
        <w:spacing w:after="0" w:line="360" w:lineRule="auto"/>
        <w:jc w:val="both"/>
        <w:rPr>
          <w:rFonts w:asciiTheme="majorBidi" w:hAnsiTheme="majorBidi" w:cstheme="majorBidi"/>
          <w:b/>
          <w:bCs/>
          <w:sz w:val="24"/>
          <w:szCs w:val="24"/>
        </w:rPr>
      </w:pPr>
    </w:p>
    <w:p w:rsidR="007A7E20" w:rsidRDefault="007A7E20" w:rsidP="00B20DAD">
      <w:pPr>
        <w:spacing w:after="0" w:line="360" w:lineRule="auto"/>
        <w:jc w:val="both"/>
        <w:rPr>
          <w:rFonts w:asciiTheme="majorBidi" w:hAnsiTheme="majorBidi" w:cstheme="majorBidi"/>
          <w:b/>
          <w:bCs/>
          <w:sz w:val="24"/>
          <w:szCs w:val="24"/>
        </w:rPr>
      </w:pPr>
    </w:p>
    <w:p w:rsidR="00EC7780" w:rsidRDefault="00EC7780" w:rsidP="00B20DAD">
      <w:pPr>
        <w:spacing w:after="0" w:line="360" w:lineRule="auto"/>
        <w:jc w:val="both"/>
        <w:rPr>
          <w:rFonts w:asciiTheme="majorBidi" w:hAnsiTheme="majorBidi" w:cstheme="majorBidi"/>
          <w:b/>
          <w:bCs/>
          <w:sz w:val="24"/>
          <w:szCs w:val="24"/>
        </w:rPr>
      </w:pPr>
    </w:p>
    <w:p w:rsidR="00A216AA" w:rsidRDefault="007B5998" w:rsidP="00A216AA">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rect id="Rectangle 34" o:spid="_x0000_s1035" style="position:absolute;left:0;text-align:left;margin-left:653.8pt;margin-top:7.9pt;width:206.25pt;height:48pt;z-index:251767808;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" fillcolor="#8eaadb [1940]" strokecolor="#09101d [484]" strokeweight="1pt">
            <v:textbox>
              <w:txbxContent>
                <w:p w:rsidR="00B54D3C" w:rsidRPr="00CD74BC" w:rsidRDefault="00B54D3C" w:rsidP="006D4FF5">
                  <w:pPr>
                    <w:jc w:val="center"/>
                    <w:rPr>
                      <w:rFonts w:asciiTheme="majorBidi" w:hAnsiTheme="majorBidi" w:cstheme="majorBidi"/>
                      <w:b/>
                      <w:bCs/>
                      <w:color w:val="000000" w:themeColor="text1"/>
                      <w:sz w:val="24"/>
                      <w:szCs w:val="24"/>
                    </w:rPr>
                  </w:pPr>
                  <w:r w:rsidRPr="00CD74BC">
                    <w:rPr>
                      <w:rFonts w:asciiTheme="majorBidi" w:hAnsiTheme="majorBidi" w:cstheme="majorBidi"/>
                      <w:b/>
                      <w:bCs/>
                      <w:color w:val="000000" w:themeColor="text1"/>
                      <w:sz w:val="24"/>
                      <w:szCs w:val="24"/>
                    </w:rPr>
                    <w:t>Variable dépendante</w:t>
                  </w:r>
                </w:p>
              </w:txbxContent>
            </v:textbox>
            <w10:wrap anchorx="margin"/>
          </v:rect>
        </w:pict>
      </w:r>
      <w:r>
        <w:rPr>
          <w:rFonts w:asciiTheme="majorBidi" w:hAnsiTheme="majorBidi" w:cstheme="majorBidi"/>
          <w:b/>
          <w:bCs/>
          <w:noProof/>
          <w:sz w:val="24"/>
          <w:szCs w:val="24"/>
          <w:lang w:eastAsia="fr-FR"/>
        </w:rPr>
        <w:pict>
          <v:rect id="Rectangle 33" o:spid="_x0000_s1036" style="position:absolute;left:0;text-align:left;margin-left:-6.35pt;margin-top:15.4pt;width:205.5pt;height:27pt;z-index:2517667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" fillcolor="#8eaadb [1940]" strokecolor="#09101d [484]" strokeweight="1pt">
            <v:textbox>
              <w:txbxContent>
                <w:p w:rsidR="00B54D3C" w:rsidRPr="00CD74BC" w:rsidRDefault="00B54D3C" w:rsidP="006D4FF5">
                  <w:pPr>
                    <w:jc w:val="center"/>
                    <w:rPr>
                      <w:rFonts w:asciiTheme="majorBidi" w:hAnsiTheme="majorBidi" w:cstheme="majorBidi"/>
                      <w:b/>
                      <w:bCs/>
                      <w:color w:val="000000" w:themeColor="text1"/>
                      <w:sz w:val="24"/>
                      <w:szCs w:val="24"/>
                    </w:rPr>
                  </w:pPr>
                  <w:r w:rsidRPr="00CD74BC">
                    <w:rPr>
                      <w:rFonts w:asciiTheme="majorBidi" w:hAnsiTheme="majorBidi" w:cstheme="majorBidi"/>
                      <w:b/>
                      <w:bCs/>
                      <w:color w:val="000000" w:themeColor="text1"/>
                      <w:sz w:val="24"/>
                      <w:szCs w:val="24"/>
                    </w:rPr>
                    <w:t>Variable indépendante</w:t>
                  </w:r>
                </w:p>
              </w:txbxContent>
            </v:textbox>
          </v:rect>
        </w:pict>
      </w:r>
      <w:r w:rsidR="00EC7780">
        <w:rPr>
          <w:rFonts w:asciiTheme="majorBidi" w:hAnsiTheme="majorBidi" w:cstheme="majorBidi"/>
          <w:b/>
          <w:bCs/>
          <w:noProof/>
          <w:sz w:val="24"/>
          <w:szCs w:val="24"/>
          <w:lang w:eastAsia="fr-FR"/>
        </w:rPr>
        <w:t>M</w:t>
      </w:r>
      <w:r w:rsidR="00A216AA">
        <w:rPr>
          <w:rFonts w:asciiTheme="majorBidi" w:hAnsiTheme="majorBidi" w:cstheme="majorBidi"/>
          <w:b/>
          <w:bCs/>
          <w:sz w:val="24"/>
          <w:szCs w:val="24"/>
        </w:rPr>
        <w:t>odèle conceptuel :</w:t>
      </w: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shapetype id="_x0000_t32" coordsize="21600,21600" o:spt="32" o:oned="t" path="m,l21600,21600e" filled="f">
            <v:path arrowok="t" fillok="f" o:connecttype="none"/>
            <o:lock v:ext="edit" shapetype="t"/>
          </v:shapetype>
          <v:shape id="Connecteur droit avec flèche 42" o:spid="_x0000_s1086" type="#_x0000_t32" style="position:absolute;left:0;text-align:left;margin-left:199.9pt;margin-top:11.2pt;width:45.75pt;height:0;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" strokecolor="black [3200]" strokeweight=".5pt">
            <v:stroke endarrow="block" joinstyle="miter"/>
          </v:shape>
        </w:pict>
      </w:r>
    </w:p>
    <w:p w:rsidR="00C14287" w:rsidRDefault="00C14287" w:rsidP="00B20DAD">
      <w:pPr>
        <w:spacing w:after="0" w:line="360" w:lineRule="auto"/>
        <w:jc w:val="both"/>
        <w:rPr>
          <w:rFonts w:asciiTheme="majorBidi" w:hAnsiTheme="majorBidi" w:cstheme="majorBidi"/>
          <w:b/>
          <w:bCs/>
          <w:sz w:val="24"/>
          <w:szCs w:val="24"/>
        </w:rPr>
      </w:pP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shape id="Connecteur droit avec flèche 43" o:spid="_x0000_s1085" type="#_x0000_t32" style="position:absolute;left:0;text-align:left;margin-left:202.15pt;margin-top:13.3pt;width:42pt;height:97.5pt;flip:y;z-index:25178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" strokecolor="#4472c4 [3204]" strokeweight=".5pt">
            <v:stroke endarrow="block" joinstyle="miter"/>
          </v:shape>
        </w:pict>
      </w:r>
      <w:r>
        <w:rPr>
          <w:rFonts w:asciiTheme="majorBidi" w:hAnsiTheme="majorBidi" w:cstheme="majorBidi"/>
          <w:b/>
          <w:bCs/>
          <w:noProof/>
          <w:sz w:val="24"/>
          <w:szCs w:val="24"/>
          <w:lang w:eastAsia="fr-FR"/>
        </w:rPr>
        <w:pict>
          <v:rect id="Rectangle 35" o:spid="_x0000_s1037" style="position:absolute;left:0;text-align:left;margin-left:0;margin-top:17.05pt;width:201.75pt;height:220.5pt;z-index:251768832;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" fillcolor="#8eaadb [1940]" strokecolor="#09101d [484]" strokeweight="1pt">
            <v:textbox>
              <w:txbxContent>
                <w:p w:rsidR="00B54D3C" w:rsidRPr="00CD74BC" w:rsidRDefault="00B54D3C" w:rsidP="006D4FF5">
                  <w:pPr>
                    <w:jc w:val="center"/>
                    <w:rPr>
                      <w:color w:val="000000" w:themeColor="text1"/>
                    </w:rPr>
                  </w:pPr>
                  <w:r w:rsidRPr="00CD74BC">
                    <w:rPr>
                      <w:rFonts w:asciiTheme="majorBidi" w:hAnsiTheme="majorBidi" w:cstheme="majorBidi"/>
                      <w:color w:val="000000" w:themeColor="text1"/>
                      <w:sz w:val="24"/>
                      <w:szCs w:val="24"/>
                    </w:rPr>
                    <w:t>Le marketing des produits biologiques</w:t>
                  </w:r>
                </w:p>
              </w:txbxContent>
            </v:textbox>
            <w10:wrap anchorx="margin"/>
          </v:rect>
        </w:pict>
      </w:r>
      <w:r>
        <w:rPr>
          <w:rFonts w:asciiTheme="majorBidi" w:hAnsiTheme="majorBidi" w:cstheme="majorBidi"/>
          <w:b/>
          <w:bCs/>
          <w:noProof/>
          <w:sz w:val="24"/>
          <w:szCs w:val="24"/>
          <w:lang w:eastAsia="fr-FR"/>
        </w:rPr>
        <w:pict>
          <v:rect id="Rectangle 36" o:spid="_x0000_s1038" style="position:absolute;left:0;text-align:left;margin-left:243.4pt;margin-top:.55pt;width:210.75pt;height:32.25pt;z-index:251769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" fillcolor="#4472c4 [3204]" strokecolor="#09101d [484]" strokeweight="1pt">
            <v:textbox>
              <w:txbxContent>
                <w:p w:rsidR="00B54D3C" w:rsidRPr="006617B9" w:rsidRDefault="00B54D3C" w:rsidP="006617B9">
                  <w:pPr>
                    <w:jc w:val="center"/>
                    <w:rPr>
                      <w:color w:val="000000" w:themeColor="text1"/>
                    </w:rPr>
                  </w:pPr>
                  <w:r w:rsidRPr="00C14287">
                    <w:rPr>
                      <w:rFonts w:asciiTheme="majorBidi" w:hAnsiTheme="majorBidi" w:cstheme="majorBidi"/>
                      <w:sz w:val="24"/>
                      <w:szCs w:val="24"/>
                    </w:rPr>
                    <w:t>La qualité sanitaire des aliments</w:t>
                  </w:r>
                  <w:r w:rsidRPr="00C14287">
                    <w:rPr>
                      <w:rFonts w:asciiTheme="majorBidi" w:hAnsiTheme="majorBidi" w:cstheme="majorBidi"/>
                      <w:sz w:val="24"/>
                      <w:szCs w:val="24"/>
                    </w:rPr>
                    <w:br/>
                  </w:r>
                </w:p>
              </w:txbxContent>
            </v:textbox>
          </v:rect>
        </w:pict>
      </w:r>
    </w:p>
    <w:p w:rsidR="00C14287" w:rsidRDefault="00C14287" w:rsidP="00B20DAD">
      <w:pPr>
        <w:spacing w:after="0" w:line="360" w:lineRule="auto"/>
        <w:jc w:val="both"/>
        <w:rPr>
          <w:rFonts w:asciiTheme="majorBidi" w:hAnsiTheme="majorBidi" w:cstheme="majorBidi"/>
          <w:b/>
          <w:bCs/>
          <w:sz w:val="24"/>
          <w:szCs w:val="24"/>
        </w:rPr>
      </w:pP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shape id="Connecteur droit avec flèche 44" o:spid="_x0000_s1084" type="#_x0000_t32" style="position:absolute;left:0;text-align:left;margin-left:202.9pt;margin-top:13.15pt;width:42.75pt;height:57pt;flip:y;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" strokecolor="#4472c4 [3204]" strokeweight=".5pt">
            <v:stroke endarrow="block" joinstyle="miter"/>
          </v:shape>
        </w:pict>
      </w:r>
      <w:r>
        <w:rPr>
          <w:rFonts w:asciiTheme="majorBidi" w:hAnsiTheme="majorBidi" w:cstheme="majorBidi"/>
          <w:b/>
          <w:bCs/>
          <w:noProof/>
          <w:sz w:val="24"/>
          <w:szCs w:val="24"/>
          <w:lang w:eastAsia="fr-FR"/>
        </w:rPr>
        <w:pict>
          <v:rect id="_x0000_s1039" style="position:absolute;left:0;text-align:left;margin-left:244.9pt;margin-top:.4pt;width:210.75pt;height:32.25pt;z-index:2517719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" fillcolor="#4472c4 [3204]" strokecolor="#09101d [484]" strokeweight="1pt">
            <v:textbox>
              <w:txbxContent>
                <w:p w:rsidR="00B54D3C" w:rsidRPr="006617B9" w:rsidRDefault="00B54D3C" w:rsidP="006617B9">
                  <w:pPr>
                    <w:jc w:val="center"/>
                    <w:rPr>
                      <w:color w:val="000000" w:themeColor="text1"/>
                    </w:rPr>
                  </w:pPr>
                  <w:r>
                    <w:rPr>
                      <w:rFonts w:asciiTheme="majorBidi" w:hAnsiTheme="majorBidi" w:cstheme="majorBidi"/>
                      <w:sz w:val="24"/>
                      <w:szCs w:val="24"/>
                    </w:rPr>
                    <w:t>l</w:t>
                  </w:r>
                  <w:r w:rsidRPr="00C14287">
                    <w:rPr>
                      <w:rFonts w:asciiTheme="majorBidi" w:hAnsiTheme="majorBidi" w:cstheme="majorBidi"/>
                      <w:sz w:val="24"/>
                      <w:szCs w:val="24"/>
                    </w:rPr>
                    <w:t>es risques alimentaires</w:t>
                  </w:r>
                </w:p>
              </w:txbxContent>
            </v:textbox>
          </v:rect>
        </w:pict>
      </w:r>
    </w:p>
    <w:p w:rsidR="00C14287" w:rsidRDefault="00C14287" w:rsidP="00B20DAD">
      <w:pPr>
        <w:spacing w:after="0" w:line="360" w:lineRule="auto"/>
        <w:jc w:val="both"/>
        <w:rPr>
          <w:rFonts w:asciiTheme="majorBidi" w:hAnsiTheme="majorBidi" w:cstheme="majorBidi"/>
          <w:b/>
          <w:bCs/>
          <w:sz w:val="24"/>
          <w:szCs w:val="24"/>
        </w:rPr>
      </w:pP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shape id="Connecteur droit avec flèche 45" o:spid="_x0000_s1083" type="#_x0000_t32" style="position:absolute;left:0;text-align:left;margin-left:203.65pt;margin-top:16pt;width:43.5pt;height:12.75pt;flip:y;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" strokecolor="#4472c4 [3204]" strokeweight=".5pt">
            <v:stroke endarrow="block" joinstyle="miter"/>
          </v:shape>
        </w:pict>
      </w:r>
      <w:r>
        <w:rPr>
          <w:rFonts w:asciiTheme="majorBidi" w:hAnsiTheme="majorBidi" w:cstheme="majorBidi"/>
          <w:b/>
          <w:bCs/>
          <w:noProof/>
          <w:sz w:val="24"/>
          <w:szCs w:val="24"/>
          <w:lang w:eastAsia="fr-FR"/>
        </w:rPr>
        <w:pict>
          <v:rect id="_x0000_s1040" style="position:absolute;left:0;text-align:left;margin-left:244.9pt;margin-top:1pt;width:210.75pt;height:32.25pt;z-index:251773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" fillcolor="#4472c4 [3204]" strokecolor="#09101d [484]" strokeweight="1pt">
            <v:textbox>
              <w:txbxContent>
                <w:p w:rsidR="00B54D3C" w:rsidRPr="006617B9" w:rsidRDefault="00B54D3C" w:rsidP="006617B9">
                  <w:pPr>
                    <w:jc w:val="center"/>
                    <w:rPr>
                      <w:color w:val="000000" w:themeColor="text1"/>
                    </w:rPr>
                  </w:pPr>
                  <w:r w:rsidRPr="00C14287">
                    <w:rPr>
                      <w:rFonts w:asciiTheme="majorBidi" w:hAnsiTheme="majorBidi" w:cstheme="majorBidi"/>
                      <w:sz w:val="24"/>
                      <w:szCs w:val="24"/>
                    </w:rPr>
                    <w:t>La confiance du consommateur</w:t>
                  </w:r>
                  <w:r w:rsidRPr="00C14287">
                    <w:rPr>
                      <w:rFonts w:asciiTheme="majorBidi" w:hAnsiTheme="majorBidi" w:cstheme="majorBidi"/>
                      <w:sz w:val="24"/>
                      <w:szCs w:val="24"/>
                    </w:rPr>
                    <w:br/>
                  </w:r>
                </w:p>
              </w:txbxContent>
            </v:textbox>
          </v:rect>
        </w:pict>
      </w: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shape id="Connecteur droit avec flèche 48" o:spid="_x0000_s1082" type="#_x0000_t32" style="position:absolute;left:0;text-align:left;margin-left:205.15pt;margin-top:13.3pt;width:41.25pt;height:107.25pt;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" strokecolor="#4472c4 [3204]" strokeweight=".5pt">
            <v:stroke endarrow="block" joinstyle="miter"/>
          </v:shape>
        </w:pict>
      </w:r>
      <w:r>
        <w:rPr>
          <w:rFonts w:asciiTheme="majorBidi" w:hAnsiTheme="majorBidi" w:cstheme="majorBidi"/>
          <w:b/>
          <w:bCs/>
          <w:noProof/>
          <w:sz w:val="24"/>
          <w:szCs w:val="24"/>
          <w:lang w:eastAsia="fr-FR"/>
        </w:rPr>
        <w:pict>
          <v:shape id="Connecteur droit avec flèche 47" o:spid="_x0000_s1081" type="#_x0000_t32" style="position:absolute;left:0;text-align:left;margin-left:204.4pt;margin-top:11.05pt;width:43.5pt;height:71.25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" strokecolor="#4472c4 [3204]" strokeweight=".5pt">
            <v:stroke endarrow="block" joinstyle="miter"/>
          </v:shape>
        </w:pict>
      </w:r>
      <w:r>
        <w:rPr>
          <w:rFonts w:asciiTheme="majorBidi" w:hAnsiTheme="majorBidi" w:cstheme="majorBidi"/>
          <w:b/>
          <w:bCs/>
          <w:noProof/>
          <w:sz w:val="24"/>
          <w:szCs w:val="24"/>
          <w:lang w:eastAsia="fr-FR"/>
        </w:rPr>
        <w:pict>
          <v:shape id="Connecteur droit avec flèche 46" o:spid="_x0000_s1080" type="#_x0000_t32" style="position:absolute;left:0;text-align:left;margin-left:204.4pt;margin-top:10.3pt;width:44.25pt;height:27pt;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" strokecolor="#4472c4 [3204]" strokeweight=".5pt">
            <v:stroke endarrow="block" joinstyle="miter"/>
          </v:shape>
        </w:pict>
      </w: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041" style="position:absolute;left:0;text-align:left;margin-left:245.65pt;margin-top:1.6pt;width:210.75pt;height:32.25pt;z-index:251776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" fillcolor="#4472c4 [3204]" strokecolor="#09101d [484]" strokeweight="1pt">
            <v:textbox>
              <w:txbxContent>
                <w:p w:rsidR="00B54D3C" w:rsidRPr="006617B9" w:rsidRDefault="00B54D3C" w:rsidP="006617B9">
                  <w:pPr>
                    <w:jc w:val="center"/>
                    <w:rPr>
                      <w:color w:val="000000" w:themeColor="text1"/>
                    </w:rPr>
                  </w:pPr>
                  <w:r w:rsidRPr="00C14287">
                    <w:rPr>
                      <w:rFonts w:asciiTheme="majorBidi" w:hAnsiTheme="majorBidi" w:cstheme="majorBidi"/>
                      <w:sz w:val="24"/>
                      <w:szCs w:val="24"/>
                    </w:rPr>
                    <w:t>Le respect des normes sanitaires</w:t>
                  </w:r>
                  <w:r w:rsidRPr="00C14287">
                    <w:rPr>
                      <w:rFonts w:asciiTheme="majorBidi" w:hAnsiTheme="majorBidi" w:cstheme="majorBidi"/>
                      <w:sz w:val="24"/>
                      <w:szCs w:val="24"/>
                    </w:rPr>
                    <w:br/>
                  </w:r>
                </w:p>
              </w:txbxContent>
            </v:textbox>
          </v:rect>
        </w:pict>
      </w:r>
    </w:p>
    <w:p w:rsidR="00C14287" w:rsidRDefault="00C14287" w:rsidP="00B20DAD">
      <w:pPr>
        <w:spacing w:after="0" w:line="360" w:lineRule="auto"/>
        <w:jc w:val="both"/>
        <w:rPr>
          <w:rFonts w:asciiTheme="majorBidi" w:hAnsiTheme="majorBidi" w:cstheme="majorBidi"/>
          <w:b/>
          <w:bCs/>
          <w:sz w:val="24"/>
          <w:szCs w:val="24"/>
        </w:rPr>
      </w:pP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042" style="position:absolute;left:0;text-align:left;margin-left:247.9pt;margin-top:.7pt;width:210.75pt;height:32.25pt;z-index:251778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" fillcolor="#4472c4 [3204]" strokecolor="#09101d [484]" strokeweight="1pt">
            <v:textbox>
              <w:txbxContent>
                <w:p w:rsidR="00B54D3C" w:rsidRPr="00CD74BC" w:rsidRDefault="00B54D3C" w:rsidP="006617B9">
                  <w:pPr>
                    <w:jc w:val="center"/>
                    <w:rPr>
                      <w:color w:val="000000" w:themeColor="text1"/>
                      <w:sz w:val="18"/>
                      <w:szCs w:val="18"/>
                    </w:rPr>
                  </w:pPr>
                  <w:r w:rsidRPr="00CD74BC">
                    <w:rPr>
                      <w:rFonts w:asciiTheme="majorBidi" w:hAnsiTheme="majorBidi" w:cstheme="majorBidi"/>
                    </w:rPr>
                    <w:t>La protection de la santé du consommateur</w:t>
                  </w:r>
                </w:p>
              </w:txbxContent>
            </v:textbox>
          </v:rect>
        </w:pict>
      </w:r>
    </w:p>
    <w:p w:rsidR="00C14287" w:rsidRDefault="00C14287" w:rsidP="00B20DAD">
      <w:pPr>
        <w:spacing w:after="0" w:line="360" w:lineRule="auto"/>
        <w:jc w:val="both"/>
        <w:rPr>
          <w:rFonts w:asciiTheme="majorBidi" w:hAnsiTheme="majorBidi" w:cstheme="majorBidi"/>
          <w:b/>
          <w:bCs/>
          <w:sz w:val="24"/>
          <w:szCs w:val="24"/>
        </w:rPr>
      </w:pPr>
    </w:p>
    <w:p w:rsidR="00C14287" w:rsidRDefault="007B5998" w:rsidP="00B20DAD">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043" style="position:absolute;left:0;text-align:left;margin-left:247.15pt;margin-top:.55pt;width:210.75pt;height:32.25pt;z-index:251780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" fillcolor="#4472c4 [3204]" strokecolor="#09101d [484]" strokeweight="1pt">
            <v:textbox>
              <w:txbxContent>
                <w:p w:rsidR="00B54D3C" w:rsidRPr="00CD74BC" w:rsidRDefault="00B54D3C" w:rsidP="006617B9">
                  <w:pPr>
                    <w:jc w:val="center"/>
                    <w:rPr>
                      <w:color w:val="000000" w:themeColor="text1"/>
                      <w:sz w:val="18"/>
                      <w:szCs w:val="18"/>
                    </w:rPr>
                  </w:pPr>
                  <w:r w:rsidRPr="00CD74BC">
                    <w:rPr>
                      <w:rFonts w:asciiTheme="majorBidi" w:hAnsiTheme="majorBidi" w:cstheme="majorBidi"/>
                    </w:rPr>
                    <w:t>la transparence et de la sécurité des produits alimentaires</w:t>
                  </w:r>
                </w:p>
              </w:txbxContent>
            </v:textbox>
          </v:rect>
        </w:pict>
      </w:r>
    </w:p>
    <w:p w:rsidR="00DC1548" w:rsidRDefault="00DC1548" w:rsidP="00B20DAD">
      <w:pPr>
        <w:spacing w:after="0" w:line="360" w:lineRule="auto"/>
        <w:jc w:val="both"/>
        <w:rPr>
          <w:rFonts w:asciiTheme="majorBidi" w:hAnsiTheme="majorBidi" w:cstheme="majorBidi"/>
          <w:b/>
          <w:bCs/>
          <w:sz w:val="24"/>
          <w:szCs w:val="24"/>
        </w:rPr>
      </w:pPr>
    </w:p>
    <w:p w:rsidR="00DC1548" w:rsidRPr="00DC1548" w:rsidRDefault="00DC1548" w:rsidP="007A7E20">
      <w:pPr>
        <w:spacing w:after="0" w:line="360" w:lineRule="auto"/>
        <w:jc w:val="center"/>
        <w:rPr>
          <w:rFonts w:asciiTheme="majorBidi" w:hAnsiTheme="majorBidi" w:cstheme="majorBidi"/>
          <w:b/>
          <w:bCs/>
          <w:sz w:val="20"/>
          <w:szCs w:val="20"/>
          <w:rtl/>
        </w:rPr>
      </w:pPr>
      <w:r w:rsidRPr="00DC1548">
        <w:rPr>
          <w:rFonts w:asciiTheme="majorBidi" w:hAnsiTheme="majorBidi" w:cstheme="majorBidi"/>
          <w:b/>
          <w:bCs/>
          <w:sz w:val="20"/>
          <w:szCs w:val="20"/>
        </w:rPr>
        <w:t>Source : élaborer par nous même</w:t>
      </w:r>
    </w:p>
    <w:p w:rsidR="000113F1" w:rsidRPr="00E00726" w:rsidRDefault="000113F1" w:rsidP="00EC7780">
      <w:pPr>
        <w:spacing w:after="0" w:line="360" w:lineRule="auto"/>
        <w:jc w:val="both"/>
        <w:rPr>
          <w:rFonts w:asciiTheme="majorBidi" w:hAnsiTheme="majorBidi" w:cstheme="majorBidi"/>
          <w:b/>
          <w:bCs/>
          <w:sz w:val="24"/>
          <w:szCs w:val="24"/>
        </w:rPr>
      </w:pPr>
      <w:r w:rsidRPr="00E00726">
        <w:rPr>
          <w:rFonts w:asciiTheme="majorBidi" w:hAnsiTheme="majorBidi" w:cstheme="majorBidi"/>
          <w:b/>
          <w:bCs/>
          <w:sz w:val="24"/>
          <w:szCs w:val="24"/>
        </w:rPr>
        <w:t>Les études antérieures :</w:t>
      </w:r>
    </w:p>
    <w:p w:rsidR="00FC3E0A" w:rsidRPr="00FC3E0A" w:rsidRDefault="00AD69FD" w:rsidP="00FC3E0A">
      <w:pPr>
        <w:spacing w:after="0" w:line="360" w:lineRule="auto"/>
        <w:jc w:val="both"/>
        <w:rPr>
          <w:rFonts w:asciiTheme="majorBidi" w:hAnsiTheme="majorBidi" w:cstheme="majorBidi"/>
          <w:b/>
          <w:bCs/>
          <w:sz w:val="24"/>
          <w:szCs w:val="24"/>
          <w:lang w:val="en-US"/>
        </w:rPr>
      </w:pPr>
      <w:r w:rsidRPr="00AD69FD">
        <w:rPr>
          <w:rFonts w:asciiTheme="majorBidi" w:hAnsiTheme="majorBidi" w:cstheme="majorBidi"/>
          <w:b/>
          <w:bCs/>
          <w:sz w:val="24"/>
          <w:szCs w:val="24"/>
        </w:rPr>
        <w:t xml:space="preserve">1. Al Raish et al. </w:t>
      </w:r>
      <w:r w:rsidRPr="00FC3E0A">
        <w:rPr>
          <w:rFonts w:asciiTheme="majorBidi" w:hAnsiTheme="majorBidi" w:cstheme="majorBidi"/>
          <w:b/>
          <w:bCs/>
          <w:sz w:val="24"/>
          <w:szCs w:val="24"/>
          <w:lang w:val="en-US"/>
        </w:rPr>
        <w:t xml:space="preserve">(2026) – </w:t>
      </w:r>
      <w:r w:rsidR="00FC3E0A" w:rsidRPr="00FC3E0A">
        <w:rPr>
          <w:rFonts w:asciiTheme="majorBidi" w:hAnsiTheme="majorBidi" w:cstheme="majorBidi"/>
          <w:b/>
          <w:bCs/>
          <w:sz w:val="24"/>
          <w:szCs w:val="24"/>
          <w:lang w:val="en-US"/>
        </w:rPr>
        <w:t>Understanding drivers and barriers of organic vegetable consumption among adult residents in the United Arab Emirates: insights from knowledge, attitudes, and practices analysis</w:t>
      </w:r>
      <w:r w:rsidR="00834775">
        <w:rPr>
          <w:rStyle w:val="Appelnotedebasdep"/>
          <w:rFonts w:asciiTheme="majorBidi" w:hAnsiTheme="majorBidi" w:cstheme="majorBidi"/>
          <w:b/>
          <w:bCs/>
          <w:sz w:val="24"/>
          <w:szCs w:val="24"/>
          <w:lang w:val="en-US"/>
        </w:rPr>
        <w:footnoteReference w:id="13"/>
      </w:r>
    </w:p>
    <w:p w:rsidR="00AD69FD" w:rsidRPr="00AD69FD" w:rsidRDefault="00AD69FD" w:rsidP="00FC3E0A">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Apport principal :</w:t>
      </w:r>
      <w:r w:rsidRPr="00AD69FD">
        <w:rPr>
          <w:rFonts w:asciiTheme="majorBidi" w:hAnsiTheme="majorBidi" w:cstheme="majorBidi"/>
          <w:sz w:val="24"/>
          <w:szCs w:val="24"/>
        </w:rPr>
        <w:t xml:space="preserve"> Cette étude quantitative menée auprès de 408 résidents aux Émirats Arabes Unis explore les connaissances, attitudes et pratiques (CAP) en matière de consommation de légumes biologiques. Les résultats confirment que la santé, la sécurité sanitaire des aliments et les préoccupations environnementales sont les principaux moteurs d'achat. L'étude souligne également que l'éducation joue un rôle clé et que les prix élevés ainsi que la faible disponibilité des produits constituent les principaux freins.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lastRenderedPageBreak/>
        <w:t>Points d’accord avec notre étude :</w:t>
      </w:r>
      <w:r w:rsidRPr="00AD69FD">
        <w:rPr>
          <w:rFonts w:asciiTheme="majorBidi" w:hAnsiTheme="majorBidi" w:cstheme="majorBidi"/>
          <w:sz w:val="24"/>
          <w:szCs w:val="24"/>
        </w:rPr>
        <w:t xml:space="preserve"> Nous partageons le constat que la motivation santé est le principal moteur d'achat dans les marchés émergents. Nos résultats confirment également que la cherté perçue et la disponibilité sont des obstacles majeurs.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de divergence :</w:t>
      </w:r>
      <w:r w:rsidRPr="00AD69FD">
        <w:rPr>
          <w:rFonts w:asciiTheme="majorBidi" w:hAnsiTheme="majorBidi" w:cstheme="majorBidi"/>
          <w:sz w:val="24"/>
          <w:szCs w:val="24"/>
        </w:rPr>
        <w:t xml:space="preserve"> Leur étude cible un marché très spécifique (Émirats Arabes Unis) avec un pouvoir d'achat élevé, tandis que notre recherche s'inscrit dans le contexte algérien, un marché où l'offre locale en produits biologiques est encore très limitée et le cadre réglementaire moins développé.</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Contrairement à l'approche descriptive de l'étude sur les Émirats, notre recherche valide statistiquement un modèle explicatif (via SPSS) démontrant l'impact direct du marketing des produits biologiques (label, promotion, prix, distribution) sur la perception de la sécurité sanitaire (R = 0,620), un aspect non mesuré par Al Raish et al.</w:t>
      </w:r>
    </w:p>
    <w:p w:rsidR="00EC7780" w:rsidRPr="00EC7780" w:rsidRDefault="00AD69FD" w:rsidP="00EC7780">
      <w:pPr>
        <w:spacing w:after="0" w:line="360" w:lineRule="auto"/>
        <w:jc w:val="both"/>
        <w:rPr>
          <w:rFonts w:asciiTheme="majorBidi" w:hAnsiTheme="majorBidi" w:cstheme="majorBidi"/>
          <w:b/>
          <w:bCs/>
          <w:sz w:val="24"/>
          <w:szCs w:val="24"/>
        </w:rPr>
      </w:pPr>
      <w:r w:rsidRPr="00AD69FD">
        <w:rPr>
          <w:rFonts w:asciiTheme="majorBidi" w:hAnsiTheme="majorBidi" w:cstheme="majorBidi"/>
          <w:b/>
          <w:bCs/>
          <w:sz w:val="24"/>
          <w:szCs w:val="24"/>
        </w:rPr>
        <w:t xml:space="preserve">2. Saad &amp; Malainine (2025) </w:t>
      </w:r>
      <w:r w:rsidR="00EC7780" w:rsidRPr="00EC7780">
        <w:rPr>
          <w:rFonts w:asciiTheme="majorBidi" w:hAnsiTheme="majorBidi" w:cstheme="majorBidi"/>
          <w:b/>
          <w:bCs/>
          <w:sz w:val="24"/>
          <w:szCs w:val="24"/>
        </w:rPr>
        <w:t>La filière biologique au Maroc : état des lieux, enjeux et perspectives de développement</w:t>
      </w:r>
      <w:r w:rsidR="00834775">
        <w:rPr>
          <w:rStyle w:val="Appelnotedebasdep"/>
          <w:rFonts w:asciiTheme="majorBidi" w:hAnsiTheme="majorBidi" w:cstheme="majorBidi"/>
          <w:b/>
          <w:bCs/>
          <w:sz w:val="24"/>
          <w:szCs w:val="24"/>
        </w:rPr>
        <w:footnoteReference w:id="14"/>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Apport principal :</w:t>
      </w:r>
      <w:r w:rsidRPr="00AD69FD">
        <w:rPr>
          <w:rFonts w:asciiTheme="majorBidi" w:hAnsiTheme="majorBidi" w:cstheme="majorBidi"/>
          <w:sz w:val="24"/>
          <w:szCs w:val="24"/>
        </w:rPr>
        <w:t xml:space="preserve"> Cette étude contextuelle dresse un état des lieux complet de l'agriculture biologique au Maroc. Elle met en lumière le paradoxe d'un secteur bénéficiant d'un cadre réglementaire consolidé (loi 39-12, stratégie Génération Green) mais dont la consommation intérieure reste limitée en raison de prix élevés, d'une faible disponibilité et d'un manque d'information des consommateurs.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d’accord avec notre étude :</w:t>
      </w:r>
      <w:r w:rsidRPr="00AD69FD">
        <w:rPr>
          <w:rFonts w:asciiTheme="majorBidi" w:hAnsiTheme="majorBidi" w:cstheme="majorBidi"/>
          <w:sz w:val="24"/>
          <w:szCs w:val="24"/>
        </w:rPr>
        <w:t xml:space="preserve"> Comme au Maroc, notre recherche en Algérie montre que le prix élevé (moyenne de 3,37 sur 5) et la distribution limitée (moyenne de 3,26) sont des freins structurels majeurs. Nous confirmons également que l'étiquetage et la certification sont des leviers essentiels pour renforcer la confiance.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de divergence :</w:t>
      </w:r>
      <w:r w:rsidRPr="00AD69FD">
        <w:rPr>
          <w:rFonts w:asciiTheme="majorBidi" w:hAnsiTheme="majorBidi" w:cstheme="majorBidi"/>
          <w:sz w:val="24"/>
          <w:szCs w:val="24"/>
        </w:rPr>
        <w:t xml:space="preserve"> L'étude marocaine est une analyse macro-économique et institutionnelle, tandis que notre recherche se concentre sur une analyse micro-comportementale, mesurant la perception du consommateur algérien. Le Maroc possède un label national "Bio Maroc", tandis que l'Algérie en est encore à un stade précoce, où les certifications étrangères (comme Ecocert pour l'entreprise Dahbia) sont la norme.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Notre étude comble le vide laissé par l'analyse contextuelle marocaine en proposant une mesure quantitative de l'influence du marketing bio sur l'intention </w:t>
      </w:r>
      <w:r w:rsidRPr="00AD69FD">
        <w:rPr>
          <w:rFonts w:asciiTheme="majorBidi" w:hAnsiTheme="majorBidi" w:cstheme="majorBidi"/>
          <w:sz w:val="24"/>
          <w:szCs w:val="24"/>
        </w:rPr>
        <w:lastRenderedPageBreak/>
        <w:t>d'achat dans un marché (l'Algérie) où le secteur bio est encore plus embryonnaire et peu étudié.</w:t>
      </w:r>
    </w:p>
    <w:p w:rsidR="00AD69FD" w:rsidRPr="00EC7780" w:rsidRDefault="00AD69FD" w:rsidP="00EC7780">
      <w:pPr>
        <w:spacing w:after="0" w:line="360" w:lineRule="auto"/>
        <w:jc w:val="both"/>
        <w:rPr>
          <w:rFonts w:asciiTheme="majorBidi" w:hAnsiTheme="majorBidi" w:cstheme="majorBidi"/>
          <w:b/>
          <w:bCs/>
          <w:sz w:val="24"/>
          <w:szCs w:val="24"/>
          <w:lang w:val="en-US"/>
        </w:rPr>
      </w:pPr>
      <w:r w:rsidRPr="00EC7780">
        <w:rPr>
          <w:rFonts w:asciiTheme="majorBidi" w:hAnsiTheme="majorBidi" w:cstheme="majorBidi"/>
          <w:b/>
          <w:bCs/>
          <w:sz w:val="24"/>
          <w:szCs w:val="24"/>
          <w:lang w:val="en-US"/>
        </w:rPr>
        <w:t xml:space="preserve">3. Willis (2022) </w:t>
      </w:r>
      <w:r w:rsidR="00EC7780" w:rsidRPr="00EC7780">
        <w:rPr>
          <w:rFonts w:asciiTheme="majorBidi" w:hAnsiTheme="majorBidi" w:cstheme="majorBidi"/>
          <w:b/>
          <w:bCs/>
          <w:sz w:val="24"/>
          <w:szCs w:val="24"/>
          <w:lang w:val="en-US"/>
        </w:rPr>
        <w:t>Food Marketing and Its Influence on Peoples' Perception of Health</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Apport principal</w:t>
      </w:r>
      <w:r w:rsidR="0095532C">
        <w:rPr>
          <w:rStyle w:val="Appelnotedebasdep"/>
          <w:rFonts w:asciiTheme="majorBidi" w:hAnsiTheme="majorBidi" w:cstheme="majorBidi"/>
          <w:b/>
          <w:bCs/>
          <w:sz w:val="24"/>
          <w:szCs w:val="24"/>
        </w:rPr>
        <w:footnoteReference w:id="15"/>
      </w:r>
      <w:r w:rsidRPr="00AD69FD">
        <w:rPr>
          <w:rFonts w:asciiTheme="majorBidi" w:hAnsiTheme="majorBidi" w:cstheme="majorBidi"/>
          <w:b/>
          <w:bCs/>
          <w:sz w:val="24"/>
          <w:szCs w:val="24"/>
        </w:rPr>
        <w:t xml:space="preserve"> :</w:t>
      </w:r>
      <w:r w:rsidRPr="00AD69FD">
        <w:rPr>
          <w:rFonts w:asciiTheme="majorBidi" w:hAnsiTheme="majorBidi" w:cstheme="majorBidi"/>
          <w:sz w:val="24"/>
          <w:szCs w:val="24"/>
        </w:rPr>
        <w:t xml:space="preserve"> Cette expérimentation causale (n=140) démontre que le marketing et l'emballage des produits alimentaires influencent significativement la perception de leur qualité sanitaire. Les participants ont systématiquement jugé un produit comme étant "plus sain" lorsqu'il comportait des éléments marketing stratégiques (chiffres, allégations), même si les informations nutritionnelles réelles indiquaient le contraire.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d’accord :</w:t>
      </w:r>
      <w:r w:rsidRPr="00AD69FD">
        <w:rPr>
          <w:rFonts w:asciiTheme="majorBidi" w:hAnsiTheme="majorBidi" w:cstheme="majorBidi"/>
          <w:sz w:val="24"/>
          <w:szCs w:val="24"/>
        </w:rPr>
        <w:t xml:space="preserve"> Notre étude confirme ce résultat fondamental : le marketing, en particulier le label biologique (moyenne d'accord de 4,01) et la promotion, sont les principaux vecteurs de confiance. Le consommateur perçoit le produit marqué comme "bio" comme étant intrinsèquement plus sûr.</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de divergence :</w:t>
      </w:r>
      <w:r w:rsidRPr="00AD69FD">
        <w:rPr>
          <w:rFonts w:asciiTheme="majorBidi" w:hAnsiTheme="majorBidi" w:cstheme="majorBidi"/>
          <w:sz w:val="24"/>
          <w:szCs w:val="24"/>
        </w:rPr>
        <w:t xml:space="preserve"> L'étude de Willis se concentre sur l'emballage et les allégations marketing en général. Notre recherche va plus loin en intégrant des variables spécifiques au contexte algérien, comme le rôle modérateur du prix et l'impact de la conscience sanitaire du consommateur.</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Notre travail ne se limite pas à montrer que le marketing influence la perception ; il démontre que cette influence a un effet direct et mesurable sur l'intention d'achat (R = 0,601) et que la perception de la sécurité sanitaire agit comme un véritable levier de confiance, un mécanisme que l'étude de Willis n'explore pas.</w:t>
      </w:r>
    </w:p>
    <w:p w:rsidR="00AD69FD" w:rsidRPr="00EC7780" w:rsidRDefault="00AD69FD" w:rsidP="00EC7780">
      <w:pPr>
        <w:spacing w:after="0" w:line="360" w:lineRule="auto"/>
        <w:jc w:val="both"/>
        <w:rPr>
          <w:rFonts w:asciiTheme="majorBidi" w:hAnsiTheme="majorBidi" w:cstheme="majorBidi"/>
          <w:b/>
          <w:bCs/>
          <w:sz w:val="24"/>
          <w:szCs w:val="24"/>
        </w:rPr>
      </w:pPr>
      <w:r w:rsidRPr="00AD69FD">
        <w:rPr>
          <w:rFonts w:asciiTheme="majorBidi" w:hAnsiTheme="majorBidi" w:cstheme="majorBidi"/>
          <w:b/>
          <w:bCs/>
          <w:sz w:val="24"/>
          <w:szCs w:val="24"/>
        </w:rPr>
        <w:t xml:space="preserve">4. AMIRECHE &amp; TEBBOUL (2022) – </w:t>
      </w:r>
      <w:r w:rsidR="00EC7780" w:rsidRPr="00EC7780">
        <w:rPr>
          <w:rFonts w:asciiTheme="majorBidi" w:hAnsiTheme="majorBidi" w:cstheme="majorBidi"/>
          <w:b/>
          <w:bCs/>
          <w:sz w:val="24"/>
          <w:szCs w:val="24"/>
        </w:rPr>
        <w:t>La sécurité sanitaire des aliments et l'étiquetage alimentaire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Apport principal :</w:t>
      </w:r>
      <w:r w:rsidRPr="00AD69FD">
        <w:rPr>
          <w:rFonts w:asciiTheme="majorBidi" w:hAnsiTheme="majorBidi" w:cstheme="majorBidi"/>
          <w:sz w:val="24"/>
          <w:szCs w:val="24"/>
        </w:rPr>
        <w:t xml:space="preserve"> Cette étude de terrain (observation dans la wilaya de Tizi-Ouzou) révèle que si la majorité des produits respectent les normes d'étiquetage, certaines insuffisances persistent, posant un risque pour le consommateur. Elle souligne le rôle essentiel de l'étiquetage dans la prévention des intoxications alimentaires.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d’accord :</w:t>
      </w:r>
      <w:r w:rsidRPr="00AD69FD">
        <w:rPr>
          <w:rFonts w:asciiTheme="majorBidi" w:hAnsiTheme="majorBidi" w:cstheme="majorBidi"/>
          <w:sz w:val="24"/>
          <w:szCs w:val="24"/>
        </w:rPr>
        <w:t xml:space="preserve"> Comme le concluent AMIRECHE et TEBBOUL, notre étude confirme l'importance cruciale de l'étiquetage. Nos résultats quantitatifs montrent que le label biologique/produit est la dimension la mieux notée par les consommateurs (moyenne 4,01), prouvant qu'il est perçu comme une garantie de sécurité.</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lastRenderedPageBreak/>
        <w:t>Points de divergence :</w:t>
      </w:r>
      <w:r w:rsidRPr="00AD69FD">
        <w:rPr>
          <w:rFonts w:asciiTheme="majorBidi" w:hAnsiTheme="majorBidi" w:cstheme="majorBidi"/>
          <w:sz w:val="24"/>
          <w:szCs w:val="24"/>
        </w:rPr>
        <w:t xml:space="preserve"> Leur étude se concentre sur la conformité réglementaire des étiquettes, sans analyser l'impact marketing. Notre recherche, quant à elle, s'intéresse à la perception du consommateur et à la façon dont l'étiquetage (le "label") agit comme un signal de qualité pour influencer la confiance sanitaire.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Nous ne vérifions pas seulement la présence des étiquettes, nous mesurons l'effet du label biologique sur la confiance du consommateur. Nous ajoutons une dimension statistique (R = 0,531) à leurs observations descriptives.</w:t>
      </w:r>
    </w:p>
    <w:p w:rsidR="00AD69FD" w:rsidRPr="00AD69FD" w:rsidRDefault="00AD69FD" w:rsidP="00EC7780">
      <w:pPr>
        <w:spacing w:after="0" w:line="360" w:lineRule="auto"/>
        <w:jc w:val="both"/>
        <w:rPr>
          <w:rFonts w:asciiTheme="majorBidi" w:hAnsiTheme="majorBidi" w:cstheme="majorBidi"/>
          <w:b/>
          <w:bCs/>
          <w:sz w:val="24"/>
          <w:szCs w:val="24"/>
        </w:rPr>
      </w:pPr>
      <w:r w:rsidRPr="00AD69FD">
        <w:rPr>
          <w:rFonts w:asciiTheme="majorBidi" w:hAnsiTheme="majorBidi" w:cstheme="majorBidi"/>
          <w:b/>
          <w:bCs/>
          <w:sz w:val="24"/>
          <w:szCs w:val="24"/>
        </w:rPr>
        <w:t>5. Benkrina &amp; Aichoune (2020) – Marketing des dattes biologiques en Algérie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Titre :</w:t>
      </w:r>
      <w:r w:rsidRPr="00AD69FD">
        <w:rPr>
          <w:rFonts w:asciiTheme="majorBidi" w:hAnsiTheme="majorBidi" w:cstheme="majorBidi"/>
          <w:sz w:val="24"/>
          <w:szCs w:val="24"/>
        </w:rPr>
        <w:t xml:space="preserve"> Marketing des produits biologiques et son rôle dans la protection du consommateur : Cas du secteur des dattes en Algérie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Apport principal :</w:t>
      </w:r>
      <w:r w:rsidRPr="00AD69FD">
        <w:rPr>
          <w:rFonts w:asciiTheme="majorBidi" w:hAnsiTheme="majorBidi" w:cstheme="majorBidi"/>
          <w:sz w:val="24"/>
          <w:szCs w:val="24"/>
        </w:rPr>
        <w:t xml:space="preserve"> Cette étude quantitative (619 questionnaires) démontre que la qualité perçue des dattes biologiques influence positivement l'intention d'achat. Elle confirme que le mix-marketing (produit, distribution) joue un rôle dans la protection du consommateur.</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d’accord :</w:t>
      </w:r>
      <w:r w:rsidRPr="00AD69FD">
        <w:rPr>
          <w:rFonts w:asciiTheme="majorBidi" w:hAnsiTheme="majorBidi" w:cstheme="majorBidi"/>
          <w:sz w:val="24"/>
          <w:szCs w:val="24"/>
        </w:rPr>
        <w:t xml:space="preserve"> Nos résultats convergent sur plusieurs points : la qualité perçue est primordiale, le prix est un obstacle majeur, et le marketing est un outil de protection. Nous confirmons également leur conclusion sur la faible disponibilité des produits bio en Algérie.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de divergence :</w:t>
      </w:r>
      <w:r w:rsidRPr="00AD69FD">
        <w:rPr>
          <w:rFonts w:asciiTheme="majorBidi" w:hAnsiTheme="majorBidi" w:cstheme="majorBidi"/>
          <w:sz w:val="24"/>
          <w:szCs w:val="24"/>
        </w:rPr>
        <w:t xml:space="preserve"> Leur étude est centrée sur un produit unique (les dattes) et n'intègre pas la variable "sécurité sanitaire" comme un construit central. De plus, ils mesurent la "qualité perçue" de manière générale, sans la lier spécifiquement aux normes sanitaires.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Notre recherche généralise leurs conclusions à un autre produit (l'huile d'olive) et, surtout, établit un lien direct entre le marketing des produits biologiques et la sécurité sanitaire perçue (R = 0,620), là où Benkrina &amp; Aichoune se sont concentrés sur la qualité perçue et la protection du consommateur sans expliciter ce lien.</w:t>
      </w:r>
    </w:p>
    <w:p w:rsidR="00EC7780" w:rsidRDefault="00AD69FD" w:rsidP="00EC7780">
      <w:pPr>
        <w:spacing w:after="0" w:line="360" w:lineRule="auto"/>
        <w:jc w:val="both"/>
        <w:rPr>
          <w:rFonts w:asciiTheme="majorBidi" w:hAnsiTheme="majorBidi" w:cstheme="majorBidi"/>
          <w:b/>
          <w:bCs/>
          <w:sz w:val="24"/>
          <w:szCs w:val="24"/>
        </w:rPr>
      </w:pPr>
      <w:r w:rsidRPr="00AD69FD">
        <w:rPr>
          <w:rFonts w:asciiTheme="majorBidi" w:hAnsiTheme="majorBidi" w:cstheme="majorBidi"/>
          <w:b/>
          <w:bCs/>
          <w:sz w:val="24"/>
          <w:szCs w:val="24"/>
        </w:rPr>
        <w:t xml:space="preserve">6. Wolley (2015) – </w:t>
      </w:r>
      <w:r w:rsidR="00EC7780" w:rsidRPr="00EC7780">
        <w:rPr>
          <w:rFonts w:asciiTheme="majorBidi" w:hAnsiTheme="majorBidi" w:cstheme="majorBidi"/>
          <w:b/>
          <w:bCs/>
          <w:sz w:val="24"/>
          <w:szCs w:val="24"/>
        </w:rPr>
        <w:t xml:space="preserve">L’intention d’achat des produits biologiques dans un marché en voie de développement : le cas du Liban </w:t>
      </w:r>
      <w:r w:rsidR="0095532C">
        <w:rPr>
          <w:rStyle w:val="Appelnotedebasdep"/>
          <w:rFonts w:asciiTheme="majorBidi" w:hAnsiTheme="majorBidi" w:cstheme="majorBidi"/>
          <w:b/>
          <w:bCs/>
          <w:sz w:val="24"/>
          <w:szCs w:val="24"/>
        </w:rPr>
        <w:footnoteReference w:id="16"/>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Apport principal :</w:t>
      </w:r>
      <w:r w:rsidRPr="00AD69FD">
        <w:rPr>
          <w:rFonts w:asciiTheme="majorBidi" w:hAnsiTheme="majorBidi" w:cstheme="majorBidi"/>
          <w:sz w:val="24"/>
          <w:szCs w:val="24"/>
        </w:rPr>
        <w:t xml:space="preserve"> Cette thèse (modèle d'équations structurelles) valide le "Modèle d'Implémentation des Buts" (MGB) dans un marché en développement. Elle démontre le rôle central du </w:t>
      </w:r>
      <w:r w:rsidRPr="00AD69FD">
        <w:rPr>
          <w:rFonts w:asciiTheme="majorBidi" w:hAnsiTheme="majorBidi" w:cstheme="majorBidi"/>
          <w:b/>
          <w:bCs/>
          <w:sz w:val="24"/>
          <w:szCs w:val="24"/>
        </w:rPr>
        <w:t>désir</w:t>
      </w:r>
      <w:r w:rsidRPr="00AD69FD">
        <w:rPr>
          <w:rFonts w:asciiTheme="majorBidi" w:hAnsiTheme="majorBidi" w:cstheme="majorBidi"/>
          <w:sz w:val="24"/>
          <w:szCs w:val="24"/>
        </w:rPr>
        <w:t xml:space="preserve"> comme médiateur entre les attitudes, les émotions anticipées (la peur de tomber malade) et l'intention d'achat.</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lastRenderedPageBreak/>
        <w:t>Points d’accord :</w:t>
      </w:r>
      <w:r w:rsidRPr="00AD69FD">
        <w:rPr>
          <w:rFonts w:asciiTheme="majorBidi" w:hAnsiTheme="majorBidi" w:cstheme="majorBidi"/>
          <w:sz w:val="24"/>
          <w:szCs w:val="24"/>
        </w:rPr>
        <w:t xml:space="preserve"> Nous partageons le constat fondamental que, dans les marchés en développement, la motivation "santé" est prépondérante. Sa conclusion sur l'importance des normes sociales rejoint nos résultats. De plus, son modèle théorique (MGB) est très pertinent.</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sz w:val="24"/>
          <w:szCs w:val="24"/>
        </w:rPr>
        <w:t>Points de divergence : Notre étude utilise un cadre théorique plus simple (régressions linéaires issues de la TPB) et se concentre spécifiquement sur le rôle du marketing mix (produit, prix, promotion, distribution) comme variable indépendante, ce que son modèle n'intègre pas directement.</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Nous confirmons ses résultats dans un contexte maghrébin différent (Algérie) et nous les enrichissons en montrant que la perception de la sécurité sanitaire agit comme un antécédent puissant de l'intention d'achat (R² = 0,361). Nous intégrons également une analyse plus fine des dimensions du marketing.</w:t>
      </w:r>
    </w:p>
    <w:p w:rsidR="00EC7780" w:rsidRPr="00EC7780" w:rsidRDefault="00AD69FD" w:rsidP="00EC7780">
      <w:pPr>
        <w:spacing w:after="0" w:line="360" w:lineRule="auto"/>
        <w:jc w:val="both"/>
        <w:rPr>
          <w:rFonts w:asciiTheme="majorBidi" w:hAnsiTheme="majorBidi" w:cstheme="majorBidi"/>
          <w:b/>
          <w:bCs/>
          <w:sz w:val="24"/>
          <w:szCs w:val="24"/>
        </w:rPr>
      </w:pPr>
      <w:r w:rsidRPr="00AD69FD">
        <w:rPr>
          <w:rFonts w:asciiTheme="majorBidi" w:hAnsiTheme="majorBidi" w:cstheme="majorBidi"/>
          <w:b/>
          <w:bCs/>
          <w:sz w:val="24"/>
          <w:szCs w:val="24"/>
        </w:rPr>
        <w:t xml:space="preserve">7. ONU (FAO/OMS, 2003) </w:t>
      </w:r>
      <w:r w:rsidR="00EC7780" w:rsidRPr="00EC7780">
        <w:rPr>
          <w:rFonts w:asciiTheme="majorBidi" w:hAnsiTheme="majorBidi" w:cstheme="majorBidi"/>
          <w:b/>
          <w:bCs/>
          <w:sz w:val="24"/>
          <w:szCs w:val="24"/>
        </w:rPr>
        <w:t>Garantir la sécurité sanitaire et la qualité des aliments : Directives pour le renforcement des systèmes nationaux de contrôle alimentaire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 xml:space="preserve">Apport principal </w:t>
      </w:r>
      <w:r w:rsidR="005D1B1C">
        <w:rPr>
          <w:rStyle w:val="Appelnotedebasdep"/>
          <w:rFonts w:asciiTheme="majorBidi" w:hAnsiTheme="majorBidi" w:cstheme="majorBidi"/>
          <w:b/>
          <w:bCs/>
          <w:sz w:val="24"/>
          <w:szCs w:val="24"/>
        </w:rPr>
        <w:footnoteReference w:id="17"/>
      </w:r>
      <w:r w:rsidRPr="00AD69FD">
        <w:rPr>
          <w:rFonts w:asciiTheme="majorBidi" w:hAnsiTheme="majorBidi" w:cstheme="majorBidi"/>
          <w:b/>
          <w:bCs/>
          <w:sz w:val="24"/>
          <w:szCs w:val="24"/>
        </w:rPr>
        <w:t>:</w:t>
      </w:r>
      <w:r w:rsidRPr="00AD69FD">
        <w:rPr>
          <w:rFonts w:asciiTheme="majorBidi" w:hAnsiTheme="majorBidi" w:cstheme="majorBidi"/>
          <w:sz w:val="24"/>
          <w:szCs w:val="24"/>
        </w:rPr>
        <w:t xml:space="preserve"> Ce document fondateur de la FAO et de l'OMS pose les principes d'un système national de contrôle alimentaire efficace : approche "de la ferme à la table", analyse des risques, traçabilité, et responsabilisation des acteurs. Il reste une référence mondiale pour l'élaboration des politiques de sécurité sanitaire.</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d’accord :</w:t>
      </w:r>
      <w:r w:rsidRPr="00AD69FD">
        <w:rPr>
          <w:rFonts w:asciiTheme="majorBidi" w:hAnsiTheme="majorBidi" w:cstheme="majorBidi"/>
          <w:sz w:val="24"/>
          <w:szCs w:val="24"/>
        </w:rPr>
        <w:t xml:space="preserve"> Notre étude adhère pleinement à ces principes. Elle confirme que l'étiquetage et la traçabilité (sous-jacente aux certifications) sont des outils marketing essentiels pour renforcer la confiance, ce qui rejoint les recommandations des directives.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sz w:val="24"/>
          <w:szCs w:val="24"/>
        </w:rPr>
        <w:t xml:space="preserve">Points de divergence : Les directives de la FAO/OMS sont un manuel technique et réglementaire destiné aux décideurs publics. Notre recherche est une étude de marketing comportemental qui observe comment ces systèmes de contrôle sont </w:t>
      </w:r>
      <w:r w:rsidRPr="00AD69FD">
        <w:rPr>
          <w:rFonts w:asciiTheme="majorBidi" w:hAnsiTheme="majorBidi" w:cstheme="majorBidi"/>
          <w:i/>
          <w:iCs/>
          <w:sz w:val="24"/>
          <w:szCs w:val="24"/>
        </w:rPr>
        <w:t>perçus</w:t>
      </w:r>
      <w:r w:rsidRPr="00AD69FD">
        <w:rPr>
          <w:rFonts w:asciiTheme="majorBidi" w:hAnsiTheme="majorBidi" w:cstheme="majorBidi"/>
          <w:sz w:val="24"/>
          <w:szCs w:val="24"/>
        </w:rPr>
        <w:t xml:space="preserve"> et </w:t>
      </w:r>
      <w:r w:rsidRPr="00AD69FD">
        <w:rPr>
          <w:rFonts w:asciiTheme="majorBidi" w:hAnsiTheme="majorBidi" w:cstheme="majorBidi"/>
          <w:i/>
          <w:iCs/>
          <w:sz w:val="24"/>
          <w:szCs w:val="24"/>
        </w:rPr>
        <w:t>utilisés</w:t>
      </w:r>
      <w:r w:rsidRPr="00AD69FD">
        <w:rPr>
          <w:rFonts w:asciiTheme="majorBidi" w:hAnsiTheme="majorBidi" w:cstheme="majorBidi"/>
          <w:sz w:val="24"/>
          <w:szCs w:val="24"/>
        </w:rPr>
        <w:t xml:space="preserve"> par les consommateurs.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Nous testons empiriquement l'efficacité de ces principes sur le terrain. Là où la FAO recommande de "renforcer les systèmes de contrôle", notre étude apporte la preuve qu'un label biologique certifié (matérialisation de ce contrôle) explique 28,2 % de la variance de la conscience sanitaire des consommateurs.</w:t>
      </w:r>
    </w:p>
    <w:p w:rsidR="00AD69FD" w:rsidRPr="00AD69FD" w:rsidRDefault="00AD69FD" w:rsidP="00EC7780">
      <w:pPr>
        <w:spacing w:after="0" w:line="360" w:lineRule="auto"/>
        <w:jc w:val="both"/>
        <w:rPr>
          <w:rFonts w:asciiTheme="majorBidi" w:hAnsiTheme="majorBidi" w:cstheme="majorBidi"/>
          <w:b/>
          <w:bCs/>
          <w:sz w:val="24"/>
          <w:szCs w:val="24"/>
        </w:rPr>
      </w:pPr>
      <w:r w:rsidRPr="00AD69FD">
        <w:rPr>
          <w:rFonts w:asciiTheme="majorBidi" w:hAnsiTheme="majorBidi" w:cstheme="majorBidi"/>
          <w:b/>
          <w:bCs/>
          <w:sz w:val="24"/>
          <w:szCs w:val="24"/>
        </w:rPr>
        <w:lastRenderedPageBreak/>
        <w:t>8. ONUDI (2020) – Sécurité sanitaire et entreprises durables</w:t>
      </w:r>
      <w:r w:rsidR="005D1B1C">
        <w:rPr>
          <w:rStyle w:val="Appelnotedebasdep"/>
          <w:rFonts w:asciiTheme="majorBidi" w:hAnsiTheme="majorBidi" w:cstheme="majorBidi"/>
          <w:b/>
          <w:bCs/>
          <w:sz w:val="24"/>
          <w:szCs w:val="24"/>
        </w:rPr>
        <w:footnoteReference w:id="18"/>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Apport principal :</w:t>
      </w:r>
      <w:r w:rsidRPr="00AD69FD">
        <w:rPr>
          <w:rFonts w:asciiTheme="majorBidi" w:hAnsiTheme="majorBidi" w:cstheme="majorBidi"/>
          <w:sz w:val="24"/>
          <w:szCs w:val="24"/>
        </w:rPr>
        <w:t xml:space="preserve"> L'ONUDI démontre que le respect des normes sanitaires améliore la compétitivité des entreprises et réduit les intoxications alimentaires. Elle recommande l'adoption de normes internationales.</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d’accord :</w:t>
      </w:r>
      <w:r w:rsidRPr="00AD69FD">
        <w:rPr>
          <w:rFonts w:asciiTheme="majorBidi" w:hAnsiTheme="majorBidi" w:cstheme="majorBidi"/>
          <w:sz w:val="24"/>
          <w:szCs w:val="24"/>
        </w:rPr>
        <w:t xml:space="preserve"> Nous confirmons que la certification (norme internationale) est un atout concurrentiel majeur. L'entreprise Dahbia, qui exporte grâce à ses certifications Ecocert et USDA Organic, en est une parfaite illustration.</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Points de divergence :</w:t>
      </w:r>
      <w:r w:rsidRPr="00AD69FD">
        <w:rPr>
          <w:rFonts w:asciiTheme="majorBidi" w:hAnsiTheme="majorBidi" w:cstheme="majorBidi"/>
          <w:sz w:val="24"/>
          <w:szCs w:val="24"/>
        </w:rPr>
        <w:t xml:space="preserve"> L'étude de l'ONUDI est macro-économique et orientée vers la compétitivité de l'entreprise, alors que notre recherche est micro-comportementale et centrée sur la perception du consommateur.</w:t>
      </w:r>
    </w:p>
    <w:p w:rsidR="00AD69FD" w:rsidRPr="00AD69FD"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b/>
          <w:bCs/>
          <w:sz w:val="24"/>
          <w:szCs w:val="24"/>
        </w:rPr>
        <w:t>Valeur ajoutée de notre étude :</w:t>
      </w:r>
      <w:r w:rsidRPr="00AD69FD">
        <w:rPr>
          <w:rFonts w:asciiTheme="majorBidi" w:hAnsiTheme="majorBidi" w:cstheme="majorBidi"/>
          <w:sz w:val="24"/>
          <w:szCs w:val="24"/>
        </w:rPr>
        <w:t xml:space="preserve"> Nous montrons que l'adoption de ces normes ne se limite pas à un avantage commercial ; elle crée de la valeur pour le consommateur en renforçant sa confiance et sa perception de la sécurité sanitaire, un effet non mesuré par l'étude de l'ONUDI.</w:t>
      </w:r>
    </w:p>
    <w:p w:rsidR="00AD69FD" w:rsidRPr="000B74BA" w:rsidRDefault="00AD69FD" w:rsidP="00EC7780">
      <w:pPr>
        <w:spacing w:after="0" w:line="360" w:lineRule="auto"/>
        <w:jc w:val="both"/>
        <w:rPr>
          <w:rFonts w:asciiTheme="majorBidi" w:hAnsiTheme="majorBidi" w:cstheme="majorBidi"/>
          <w:sz w:val="24"/>
          <w:szCs w:val="24"/>
        </w:rPr>
      </w:pPr>
      <w:r w:rsidRPr="00AD69FD">
        <w:rPr>
          <w:rFonts w:asciiTheme="majorBidi" w:hAnsiTheme="majorBidi" w:cstheme="majorBidi"/>
          <w:sz w:val="24"/>
          <w:szCs w:val="24"/>
        </w:rPr>
        <w:t>Cette revue critique de la littérature met en évidence un gap scientifique important : la rareté des études ayant mesuré systématiquement l'influence des dimensions spécifiques du marketing des produits biologiques (label, prix, promotion, distribution) sur la perception de la sécurité sanitaire des aliments dans le contexte algérien, tout en reliant cette perception à l'intention d'achat. Notre recherche se propose de combler cette lacune.</w:t>
      </w:r>
    </w:p>
    <w:p w:rsidR="00411B2B" w:rsidRDefault="00411B2B" w:rsidP="00EC7780">
      <w:pPr>
        <w:spacing w:after="0" w:line="360" w:lineRule="auto"/>
        <w:jc w:val="both"/>
        <w:rPr>
          <w:rFonts w:asciiTheme="majorBidi" w:hAnsiTheme="majorBidi" w:cstheme="majorBidi"/>
          <w:b/>
          <w:bCs/>
          <w:sz w:val="24"/>
          <w:szCs w:val="24"/>
          <w:rtl/>
        </w:rPr>
      </w:pPr>
      <w:r w:rsidRPr="00411B2B">
        <w:rPr>
          <w:rFonts w:asciiTheme="majorBidi" w:hAnsiTheme="majorBidi" w:cstheme="majorBidi"/>
          <w:b/>
          <w:bCs/>
          <w:sz w:val="24"/>
          <w:szCs w:val="24"/>
        </w:rPr>
        <w:t>Structure de l’étude :</w:t>
      </w:r>
    </w:p>
    <w:p w:rsidR="005236B6" w:rsidRPr="0056423F" w:rsidRDefault="00411B2B" w:rsidP="00EC7780">
      <w:pPr>
        <w:spacing w:after="0" w:line="360" w:lineRule="auto"/>
        <w:jc w:val="both"/>
        <w:rPr>
          <w:rFonts w:asciiTheme="majorBidi" w:hAnsiTheme="majorBidi" w:cstheme="majorBidi"/>
          <w:sz w:val="24"/>
          <w:szCs w:val="24"/>
        </w:rPr>
      </w:pPr>
      <w:r w:rsidRPr="00411B2B">
        <w:rPr>
          <w:rFonts w:asciiTheme="majorBidi" w:hAnsiTheme="majorBidi" w:cstheme="majorBidi"/>
          <w:sz w:val="24"/>
          <w:szCs w:val="24"/>
        </w:rPr>
        <w:t>Afin d’apporter une compréhension claire et cohérente du sujet, la présente étude est structurée en trois chapitres complémentaires.</w:t>
      </w:r>
    </w:p>
    <w:p w:rsidR="00411B2B" w:rsidRDefault="00411B2B" w:rsidP="00EC7780">
      <w:pPr>
        <w:spacing w:after="0" w:line="360" w:lineRule="auto"/>
        <w:jc w:val="both"/>
        <w:rPr>
          <w:rFonts w:asciiTheme="majorBidi" w:hAnsiTheme="majorBidi" w:cstheme="majorBidi"/>
          <w:sz w:val="24"/>
          <w:szCs w:val="24"/>
          <w:rtl/>
        </w:rPr>
      </w:pPr>
      <w:r w:rsidRPr="00411B2B">
        <w:rPr>
          <w:rFonts w:asciiTheme="majorBidi" w:hAnsiTheme="majorBidi" w:cstheme="majorBidi"/>
          <w:b/>
          <w:bCs/>
          <w:sz w:val="24"/>
          <w:szCs w:val="24"/>
        </w:rPr>
        <w:t>Chapitre 01 :</w:t>
      </w:r>
      <w:r w:rsidRPr="00411B2B">
        <w:rPr>
          <w:rFonts w:asciiTheme="majorBidi" w:hAnsiTheme="majorBidi" w:cstheme="majorBidi"/>
          <w:sz w:val="24"/>
          <w:szCs w:val="24"/>
        </w:rPr>
        <w:t xml:space="preserve"> Cadre conceptuel du marketing biologique et spécificité des produits biologiques Ce premier chapitre est consacré aux fondements théoriques du marketing biologique. Il vise d’abord à retracer l’évolution des concepts marketing, en passant des approches traditionnelles vers les approches plus responsables et biologiques. Il permet ensuite de distinguer le marketing vert du marketing biologique, en mettant en évidence leurs spécificités et leurs objectifs respectifs. Enfin, ce chapitre présente les éléments du marketing mix appliqués aux produits biologiques, ainsi que les caractéristiques des produits biologiques, leurs normes de certification et de labellisation. Une attention particulière est </w:t>
      </w:r>
      <w:r w:rsidRPr="00411B2B">
        <w:rPr>
          <w:rFonts w:asciiTheme="majorBidi" w:hAnsiTheme="majorBidi" w:cstheme="majorBidi"/>
          <w:sz w:val="24"/>
          <w:szCs w:val="24"/>
        </w:rPr>
        <w:lastRenderedPageBreak/>
        <w:t>accordée à l’évolution du marché des produits biologiques et aux transformations du comportement du consommateur orienté vers la santé et la qualité.</w:t>
      </w:r>
    </w:p>
    <w:p w:rsidR="00411B2B" w:rsidRDefault="00411B2B" w:rsidP="00EC7780">
      <w:pPr>
        <w:spacing w:after="0" w:line="360" w:lineRule="auto"/>
        <w:jc w:val="both"/>
        <w:rPr>
          <w:rFonts w:asciiTheme="majorBidi" w:hAnsiTheme="majorBidi" w:cstheme="majorBidi"/>
          <w:sz w:val="24"/>
          <w:szCs w:val="24"/>
          <w:rtl/>
        </w:rPr>
      </w:pPr>
      <w:r w:rsidRPr="0056423F">
        <w:rPr>
          <w:rFonts w:asciiTheme="majorBidi" w:hAnsiTheme="majorBidi" w:cstheme="majorBidi"/>
          <w:b/>
          <w:bCs/>
          <w:sz w:val="24"/>
          <w:szCs w:val="24"/>
        </w:rPr>
        <w:t>Chapitre 02 :</w:t>
      </w:r>
      <w:r w:rsidRPr="00411B2B">
        <w:rPr>
          <w:rFonts w:asciiTheme="majorBidi" w:hAnsiTheme="majorBidi" w:cstheme="majorBidi"/>
          <w:sz w:val="24"/>
          <w:szCs w:val="24"/>
        </w:rPr>
        <w:t xml:space="preserve"> Le rôle stratégique du marketing dans la promotion de la sécurité sanitaire des aliments Ce chapitre aborde la relation entre le marketing et la sécurité sanitaire des aliments. Il commence par définir le concept de sécurité sanitaire et le différencie de la sécurité alimentaire, avant d’examiner les mécanismes d’analyse des risques dans les produits alimentaires traditionnels et biologiques. Il met également en évidence les cadres réglementaires et les dispositifs de contrôle garantissant la qualité et la sécurité des produits. Dans un second temps, ce chapitre analyse les outils marketing contribuant au renforcement de la confiance du consommateur, notamment l’étiquetage, la traçabilité et la communication marketing. Ces éléments jouent un rôle essentiel dans la transparence et la gestion des crises alimentaires.</w:t>
      </w:r>
    </w:p>
    <w:p w:rsidR="00411B2B" w:rsidRDefault="00411B2B" w:rsidP="00EC7780">
      <w:pPr>
        <w:spacing w:after="0" w:line="360" w:lineRule="auto"/>
        <w:jc w:val="both"/>
        <w:rPr>
          <w:rFonts w:asciiTheme="majorBidi" w:hAnsiTheme="majorBidi" w:cstheme="majorBidi"/>
          <w:sz w:val="24"/>
          <w:szCs w:val="24"/>
          <w:rtl/>
        </w:rPr>
      </w:pPr>
      <w:r w:rsidRPr="0056423F">
        <w:rPr>
          <w:rFonts w:asciiTheme="majorBidi" w:hAnsiTheme="majorBidi" w:cstheme="majorBidi"/>
          <w:b/>
          <w:bCs/>
          <w:sz w:val="24"/>
          <w:szCs w:val="24"/>
        </w:rPr>
        <w:t>Chapitre 03 :</w:t>
      </w:r>
      <w:r w:rsidRPr="00411B2B">
        <w:rPr>
          <w:rFonts w:asciiTheme="majorBidi" w:hAnsiTheme="majorBidi" w:cstheme="majorBidi"/>
          <w:sz w:val="24"/>
          <w:szCs w:val="24"/>
        </w:rPr>
        <w:t xml:space="preserve"> Étude empirique sur le marketing des produits biologiques et son impact sur le consommateur Ce chapitre est consacré à l’étude de terrain réalisée dans le cadre de la recherche. Il porte sur l’analyse du rôle du marketing biologique dans la perception de la sécurité sanitaire des aliments et dans l’intention d’achat des consommateurs. L’étude s’appuie sur une approche mixte combinant une enquête qualitative et quantitative. D’une part, un entretien a été réalisé au sein d’une entreprise spécialisée dans les produits </w:t>
      </w:r>
    </w:p>
    <w:p w:rsidR="00982267" w:rsidRDefault="000113F1" w:rsidP="00EC7780">
      <w:pPr>
        <w:spacing w:after="0" w:line="360" w:lineRule="auto"/>
        <w:jc w:val="both"/>
        <w:rPr>
          <w:rFonts w:asciiTheme="majorBidi" w:hAnsiTheme="majorBidi" w:cstheme="majorBidi"/>
          <w:sz w:val="24"/>
          <w:szCs w:val="24"/>
        </w:rPr>
      </w:pPr>
      <w:r w:rsidRPr="00411B2B">
        <w:rPr>
          <w:rFonts w:asciiTheme="majorBidi" w:hAnsiTheme="majorBidi" w:cstheme="majorBidi"/>
          <w:sz w:val="24"/>
          <w:szCs w:val="24"/>
        </w:rPr>
        <w:t>Biologiques</w:t>
      </w:r>
      <w:r w:rsidR="00411B2B" w:rsidRPr="00411B2B">
        <w:rPr>
          <w:rFonts w:asciiTheme="majorBidi" w:hAnsiTheme="majorBidi" w:cstheme="majorBidi"/>
          <w:sz w:val="24"/>
          <w:szCs w:val="24"/>
        </w:rPr>
        <w:t xml:space="preserve"> afin de comprendre les pratiques marketing</w:t>
      </w:r>
      <w:r w:rsidR="00572D22">
        <w:rPr>
          <w:rFonts w:asciiTheme="majorBidi" w:hAnsiTheme="majorBidi" w:cstheme="majorBidi"/>
          <w:sz w:val="24"/>
          <w:szCs w:val="24"/>
        </w:rPr>
        <w:t xml:space="preserve"> </w:t>
      </w:r>
      <w:r w:rsidR="00411B2B" w:rsidRPr="00411B2B">
        <w:rPr>
          <w:rFonts w:asciiTheme="majorBidi" w:hAnsiTheme="majorBidi" w:cstheme="majorBidi"/>
          <w:sz w:val="24"/>
          <w:szCs w:val="24"/>
        </w:rPr>
        <w:t xml:space="preserve">, les stratégies de commercialisation et les contraintes du marché. D’autre part, un questionnaire a été administré aux consommateurs </w:t>
      </w:r>
    </w:p>
    <w:p w:rsidR="005236B6" w:rsidRDefault="00572D22" w:rsidP="00EC7780">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982267" w:rsidRPr="00411B2B">
        <w:rPr>
          <w:rFonts w:asciiTheme="majorBidi" w:hAnsiTheme="majorBidi" w:cstheme="majorBidi"/>
          <w:sz w:val="24"/>
          <w:szCs w:val="24"/>
        </w:rPr>
        <w:t>Pour</w:t>
      </w:r>
      <w:r w:rsidR="00411B2B" w:rsidRPr="00411B2B">
        <w:rPr>
          <w:rFonts w:asciiTheme="majorBidi" w:hAnsiTheme="majorBidi" w:cstheme="majorBidi"/>
          <w:sz w:val="24"/>
          <w:szCs w:val="24"/>
        </w:rPr>
        <w:t xml:space="preserve"> recueillir des données relatives à leurs perceptions, leurs attitudes et leur comportement d’achat.</w:t>
      </w:r>
    </w:p>
    <w:p w:rsidR="00982267" w:rsidRPr="00F5414D" w:rsidRDefault="00572D22" w:rsidP="00EC7780">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411B2B" w:rsidRPr="00411B2B">
        <w:rPr>
          <w:rFonts w:asciiTheme="majorBidi" w:hAnsiTheme="majorBidi" w:cstheme="majorBidi"/>
          <w:sz w:val="24"/>
          <w:szCs w:val="24"/>
        </w:rPr>
        <w:t>Les données qualitatives issues de l’entretien ont été analysées de manière interprétative, tandis que les données quantitatives ont été traitées à l’aide du logiciel SPSS afin de vérifier les hypothèses de recherche. Cette double analyse permet de croiser les résultats et d’apporter une vision globale et approfondie du phénomène étudié.</w:t>
      </w:r>
    </w:p>
    <w:p w:rsidR="00576950" w:rsidRDefault="00576950" w:rsidP="00DC1548">
      <w:pPr>
        <w:tabs>
          <w:tab w:val="left" w:pos="2026"/>
        </w:tabs>
        <w:jc w:val="center"/>
        <w:rPr>
          <w:sz w:val="28"/>
          <w:szCs w:val="28"/>
        </w:rPr>
        <w:sectPr w:rsidR="00576950" w:rsidSect="00EA0836">
          <w:headerReference w:type="first" r:id="rId25"/>
          <w:footerReference w:type="first" r:id="rId26"/>
          <w:footnotePr>
            <w:numRestart w:val="eachPage"/>
          </w:footnotePr>
          <w:pgSz w:w="11906" w:h="16838"/>
          <w:pgMar w:top="1417" w:right="1417" w:bottom="1417" w:left="1417" w:header="737" w:footer="720" w:gutter="0"/>
          <w:pgNumType w:start="1"/>
          <w:cols w:space="720"/>
          <w:titlePg/>
          <w:docGrid w:linePitch="299"/>
        </w:sectPr>
      </w:pPr>
    </w:p>
    <w:p w:rsidR="00FB19FB" w:rsidRDefault="00FB19FB" w:rsidP="00FB19FB">
      <w:pPr>
        <w:tabs>
          <w:tab w:val="left" w:pos="2026"/>
        </w:tabs>
        <w:rPr>
          <w:sz w:val="28"/>
          <w:szCs w:val="28"/>
        </w:rPr>
      </w:pPr>
    </w:p>
    <w:p w:rsidR="00416D87" w:rsidRPr="00416D87" w:rsidRDefault="00416D87" w:rsidP="00416D87">
      <w:pPr>
        <w:rPr>
          <w:sz w:val="28"/>
          <w:szCs w:val="28"/>
        </w:rPr>
      </w:pPr>
    </w:p>
    <w:p w:rsidR="00416D87" w:rsidRPr="00416D87" w:rsidRDefault="00416D87" w:rsidP="00416D87">
      <w:pPr>
        <w:rPr>
          <w:sz w:val="28"/>
          <w:szCs w:val="28"/>
        </w:rPr>
      </w:pPr>
    </w:p>
    <w:p w:rsidR="00416D87" w:rsidRPr="00416D87" w:rsidRDefault="00416D87" w:rsidP="00416D87">
      <w:pPr>
        <w:rPr>
          <w:sz w:val="28"/>
          <w:szCs w:val="28"/>
        </w:rPr>
      </w:pPr>
    </w:p>
    <w:p w:rsidR="00416D87" w:rsidRPr="00416D87" w:rsidRDefault="00416D87" w:rsidP="00416D87">
      <w:pPr>
        <w:rPr>
          <w:sz w:val="28"/>
          <w:szCs w:val="28"/>
        </w:rPr>
      </w:pPr>
    </w:p>
    <w:p w:rsidR="00416D87" w:rsidRPr="00416D87" w:rsidRDefault="00416D87" w:rsidP="00416D87">
      <w:pPr>
        <w:rPr>
          <w:sz w:val="28"/>
          <w:szCs w:val="28"/>
        </w:rPr>
      </w:pPr>
    </w:p>
    <w:p w:rsidR="00416D87" w:rsidRPr="00416D87" w:rsidRDefault="007B5998" w:rsidP="00416D87">
      <w:pPr>
        <w:rPr>
          <w:sz w:val="28"/>
          <w:szCs w:val="28"/>
        </w:rPr>
      </w:pPr>
      <w:r>
        <w:rPr>
          <w:noProof/>
          <w:sz w:val="28"/>
          <w:szCs w:val="28"/>
          <w:lang w:eastAsia="fr-FR"/>
        </w:rPr>
        <w:pict>
          <v:shape id="Parchemin : horizontal 19" o:spid="_x0000_s1079" type="#_x0000_t98" style="position:absolute;margin-left:0;margin-top:225.65pt;width:422.45pt;height:273.75pt;z-index:251705344;visibility:visible;mso-position-horizontal:center;mso-position-horizontal-relative:margin;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" filled="f" strokecolor="#09101d [484]" strokeweight="2.25pt">
            <v:stroke joinstyle="miter"/>
            <v:shadow on="t" type="perspective" color="black" opacity="26214f" offset="0,0" matrix="66847f,,,66847f"/>
            <w10:wrap anchorx="margin" anchory="page"/>
          </v:shape>
        </w:pict>
      </w:r>
    </w:p>
    <w:p w:rsidR="00416D87" w:rsidRPr="00416D87" w:rsidRDefault="00416D87" w:rsidP="00416D87">
      <w:pPr>
        <w:rPr>
          <w:sz w:val="28"/>
          <w:szCs w:val="28"/>
        </w:rPr>
      </w:pPr>
    </w:p>
    <w:p w:rsidR="00416D87" w:rsidRPr="00416D87" w:rsidRDefault="007B5998" w:rsidP="00416D87">
      <w:pPr>
        <w:rPr>
          <w:sz w:val="28"/>
          <w:szCs w:val="28"/>
        </w:rPr>
      </w:pPr>
      <w:r>
        <w:rPr>
          <w:noProof/>
          <w:sz w:val="28"/>
          <w:szCs w:val="28"/>
          <w:lang w:eastAsia="fr-FR"/>
        </w:rPr>
        <w:pict>
          <v:shape id="Zone de texte 25" o:spid="_x0000_s1044" type="#_x0000_t202" style="position:absolute;margin-left:54.75pt;margin-top:21.55pt;width:359pt;height:111pt;z-index:251764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" filled="f" stroked="f" strokeweight=".5pt">
            <v:textbox>
              <w:txbxContent>
                <w:p w:rsidR="00B54D3C" w:rsidRPr="00E52A17" w:rsidRDefault="00B54D3C" w:rsidP="00E52A17">
                  <w:pPr>
                    <w:pStyle w:val="Titre1"/>
                    <w:rPr>
                      <w:rFonts w:asciiTheme="majorBidi" w:hAnsiTheme="majorBidi" w:cstheme="majorBidi"/>
                      <w:b/>
                      <w:bCs/>
                      <w:color w:val="auto"/>
                    </w:rPr>
                  </w:pPr>
                  <w:bookmarkStart w:id="23" w:name="_Toc230900243"/>
                  <w:bookmarkStart w:id="24" w:name="_Toc230900917"/>
                  <w:r w:rsidRPr="00E52A17">
                    <w:rPr>
                      <w:rFonts w:asciiTheme="majorBidi" w:hAnsiTheme="majorBidi" w:cstheme="majorBidi"/>
                      <w:b/>
                      <w:bCs/>
                      <w:color w:val="auto"/>
                    </w:rPr>
                    <w:t>Chapitre I</w:t>
                  </w:r>
                  <w:r w:rsidRPr="00E52A17">
                    <w:rPr>
                      <w:rFonts w:asciiTheme="majorBidi" w:hAnsiTheme="majorBidi" w:cstheme="majorBidi"/>
                      <w:b/>
                      <w:bCs/>
                      <w:color w:val="auto"/>
                      <w:rtl/>
                    </w:rPr>
                    <w:t> </w:t>
                  </w:r>
                  <w:r w:rsidRPr="00E52A17">
                    <w:rPr>
                      <w:rFonts w:asciiTheme="majorBidi" w:hAnsiTheme="majorBidi" w:cstheme="majorBidi"/>
                      <w:b/>
                      <w:bCs/>
                      <w:color w:val="auto"/>
                    </w:rPr>
                    <w:t>:</w:t>
                  </w:r>
                  <w:r>
                    <w:rPr>
                      <w:rFonts w:asciiTheme="majorBidi" w:hAnsiTheme="majorBidi" w:cstheme="majorBidi"/>
                      <w:b/>
                      <w:bCs/>
                      <w:color w:val="auto"/>
                    </w:rPr>
                    <w:t xml:space="preserve"> </w:t>
                  </w:r>
                  <w:r w:rsidRPr="00E52A17">
                    <w:rPr>
                      <w:rFonts w:asciiTheme="majorBidi" w:hAnsiTheme="majorBidi" w:cstheme="majorBidi"/>
                      <w:b/>
                      <w:bCs/>
                      <w:color w:val="auto"/>
                    </w:rPr>
                    <w:t>Cadre conceptuel du marketing biologique et spécificité des produits biologiques.</w:t>
                  </w:r>
                  <w:bookmarkEnd w:id="23"/>
                  <w:bookmarkEnd w:id="24"/>
                </w:p>
                <w:p w:rsidR="00B54D3C" w:rsidRPr="0056423F" w:rsidRDefault="00B54D3C" w:rsidP="00CD74BC">
                  <w:pPr>
                    <w:pStyle w:val="Titre1"/>
                    <w:spacing w:before="0" w:after="0" w:line="360" w:lineRule="auto"/>
                    <w:jc w:val="center"/>
                    <w:rPr>
                      <w:rFonts w:asciiTheme="majorBidi" w:hAnsiTheme="majorBidi" w:cstheme="majorBidi"/>
                      <w:b/>
                      <w:bCs/>
                      <w:color w:val="auto"/>
                      <w:sz w:val="36"/>
                      <w:szCs w:val="36"/>
                      <w:lang w:bidi="ar-DZ"/>
                    </w:rPr>
                  </w:pPr>
                </w:p>
              </w:txbxContent>
            </v:textbox>
          </v:shape>
        </w:pict>
      </w:r>
      <w:r>
        <w:rPr>
          <w:noProof/>
          <w:sz w:val="28"/>
          <w:szCs w:val="28"/>
          <w:lang w:eastAsia="fr-FR"/>
        </w:rPr>
        <w:pict>
          <v:rect id="Rectangle 22" o:spid="_x0000_s1078" style="position:absolute;margin-left:67.2pt;margin-top:5.55pt;width:346.6pt;height:127.25pt;z-index:-2516101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" filled="f" stroked="f" strokeweight="1pt"/>
        </w:pict>
      </w:r>
    </w:p>
    <w:p w:rsidR="00416D87" w:rsidRDefault="00416D87" w:rsidP="00416D87">
      <w:pPr>
        <w:rPr>
          <w:sz w:val="28"/>
          <w:szCs w:val="28"/>
        </w:rPr>
      </w:pPr>
    </w:p>
    <w:p w:rsidR="00416D87" w:rsidRPr="00416D87" w:rsidRDefault="00416D87" w:rsidP="00416D87">
      <w:pPr>
        <w:rPr>
          <w:rFonts w:asciiTheme="majorBidi" w:hAnsiTheme="majorBidi" w:cstheme="majorBidi"/>
          <w:sz w:val="96"/>
          <w:szCs w:val="96"/>
        </w:rPr>
      </w:pPr>
    </w:p>
    <w:p w:rsidR="00416D87" w:rsidRPr="00416D87" w:rsidRDefault="00416D87" w:rsidP="00416D87">
      <w:pPr>
        <w:rPr>
          <w:rFonts w:asciiTheme="majorBidi" w:hAnsiTheme="majorBidi" w:cstheme="majorBidi"/>
          <w:sz w:val="96"/>
          <w:szCs w:val="96"/>
        </w:rPr>
      </w:pPr>
    </w:p>
    <w:p w:rsidR="00416D87" w:rsidRDefault="00416D87" w:rsidP="00416D87">
      <w:pPr>
        <w:rPr>
          <w:rFonts w:asciiTheme="majorBidi" w:hAnsiTheme="majorBidi" w:cstheme="majorBidi"/>
          <w:b/>
          <w:bCs/>
          <w:sz w:val="96"/>
          <w:szCs w:val="96"/>
        </w:rPr>
      </w:pPr>
    </w:p>
    <w:p w:rsidR="00416D87" w:rsidRDefault="00416D87" w:rsidP="00416D87">
      <w:pPr>
        <w:rPr>
          <w:rFonts w:asciiTheme="majorBidi" w:hAnsiTheme="majorBidi" w:cstheme="majorBidi"/>
          <w:sz w:val="96"/>
          <w:szCs w:val="96"/>
        </w:rPr>
      </w:pPr>
      <w:r>
        <w:rPr>
          <w:rFonts w:asciiTheme="majorBidi" w:hAnsiTheme="majorBidi" w:cstheme="majorBidi"/>
          <w:sz w:val="96"/>
          <w:szCs w:val="96"/>
        </w:rPr>
        <w:br w:type="page"/>
      </w:r>
    </w:p>
    <w:p w:rsidR="00A10685" w:rsidRDefault="00A10685" w:rsidP="00416D87">
      <w:pPr>
        <w:rPr>
          <w:rFonts w:asciiTheme="majorBidi" w:hAnsiTheme="majorBidi" w:cstheme="majorBidi"/>
          <w:sz w:val="28"/>
          <w:szCs w:val="28"/>
        </w:rPr>
      </w:pPr>
    </w:p>
    <w:p w:rsidR="005A638F" w:rsidRDefault="005A638F" w:rsidP="001A140D">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w:t>
      </w:r>
      <w:r w:rsidR="0056423F" w:rsidRPr="003F2F0E">
        <w:rPr>
          <w:rFonts w:asciiTheme="majorBidi" w:hAnsiTheme="majorBidi" w:cstheme="majorBidi"/>
          <w:b/>
          <w:bCs/>
          <w:sz w:val="24"/>
          <w:szCs w:val="24"/>
        </w:rPr>
        <w:t>Introduction :</w:t>
      </w:r>
    </w:p>
    <w:p w:rsidR="005A638F" w:rsidRDefault="005A638F" w:rsidP="00B20DAD">
      <w:pPr>
        <w:spacing w:after="0" w:line="360" w:lineRule="auto"/>
        <w:ind w:firstLine="567"/>
        <w:jc w:val="both"/>
        <w:rPr>
          <w:rFonts w:asciiTheme="majorBidi" w:hAnsiTheme="majorBidi" w:cstheme="majorBidi"/>
          <w:sz w:val="24"/>
          <w:szCs w:val="24"/>
        </w:rPr>
      </w:pPr>
      <w:r w:rsidRPr="00975BD2">
        <w:rPr>
          <w:rFonts w:asciiTheme="majorBidi" w:hAnsiTheme="majorBidi" w:cstheme="majorBidi"/>
          <w:sz w:val="24"/>
          <w:szCs w:val="24"/>
        </w:rPr>
        <w:t>La vocation de ce chapitre consiste à étayer les fondements théoriques et scientifiques pertinents du marketing des produits biologiques dans un contexte mouvant sous l’influence croissante des enjeux environnementaux, sanitaires et sociaux, comme des changements dans les styles de consommation au service d’un souci croissant de l’alimentation saine, durable, etc., les entreprises passent lentement mais sûrement d’un marketing traditionnel foncièrement attentif à la seule performance commerciale à un marketing désormais capable d’intégrer les enjeux écologiques, sociaux et sociétaux.</w:t>
      </w:r>
    </w:p>
    <w:p w:rsidR="005A638F" w:rsidRDefault="005A638F" w:rsidP="00B20DAD">
      <w:pPr>
        <w:spacing w:after="0" w:line="360" w:lineRule="auto"/>
        <w:ind w:firstLine="567"/>
        <w:jc w:val="both"/>
        <w:rPr>
          <w:rFonts w:asciiTheme="majorBidi" w:hAnsiTheme="majorBidi" w:cstheme="majorBidi"/>
          <w:sz w:val="24"/>
          <w:szCs w:val="24"/>
        </w:rPr>
      </w:pPr>
      <w:r w:rsidRPr="00975BD2">
        <w:rPr>
          <w:rFonts w:asciiTheme="majorBidi" w:hAnsiTheme="majorBidi" w:cstheme="majorBidi"/>
          <w:sz w:val="24"/>
          <w:szCs w:val="24"/>
        </w:rPr>
        <w:t>C’est dans cette perspective qu’apparaissent tant le marketing vert que le marketing durable, nées d’une préoccupation croissante pour les formes de commercialisation tournées vers la sauvegarde de l’environnement, la protection de la santé du consommateur et la mise en avant des produits respectueux de normes écologiques. On y trouve le marketing biologique, secteur désormais majeur qui influe à la fois sur les stratégies des entreprises agro-alimentaires et sur les comportements des consommateurs.</w:t>
      </w:r>
    </w:p>
    <w:p w:rsidR="005A638F" w:rsidRPr="00975BD2" w:rsidRDefault="005A638F" w:rsidP="00B20DAD">
      <w:pPr>
        <w:spacing w:after="0" w:line="360" w:lineRule="auto"/>
        <w:ind w:firstLine="567"/>
        <w:jc w:val="both"/>
        <w:rPr>
          <w:rFonts w:asciiTheme="majorBidi" w:hAnsiTheme="majorBidi" w:cstheme="majorBidi"/>
          <w:sz w:val="24"/>
          <w:szCs w:val="24"/>
        </w:rPr>
      </w:pPr>
      <w:r w:rsidRPr="00975BD2">
        <w:rPr>
          <w:rFonts w:asciiTheme="majorBidi" w:hAnsiTheme="majorBidi" w:cstheme="majorBidi"/>
          <w:sz w:val="24"/>
          <w:szCs w:val="24"/>
        </w:rPr>
        <w:t>Le présent chapitre se propose ainsi d’analyser l’évolution des concepts marketing dans le cadre du marketing biologique, de mettre en exergue les différences entre marketing vert et marketing biologique et de préciser les éléments constitutifs du mix-marketing des produits biologiques. Il interrogera également les notions scientifiques et réglementaires liées aux produits biologiques comme les critères de production, les systèmes de certification, les normes de qualité et les exigences d’étiquetage soutenant l’authenticité et la crédibilité de ces produits au sein du circuit commercial.</w:t>
      </w:r>
    </w:p>
    <w:p w:rsidR="005A638F" w:rsidRDefault="005A638F" w:rsidP="00B20DAD">
      <w:pPr>
        <w:spacing w:line="360" w:lineRule="auto"/>
        <w:rPr>
          <w:rFonts w:asciiTheme="majorBidi" w:hAnsiTheme="majorBidi" w:cstheme="majorBidi"/>
          <w:b/>
          <w:bCs/>
          <w:sz w:val="24"/>
          <w:szCs w:val="24"/>
          <w:u w:val="single"/>
          <w:rtl/>
        </w:rPr>
      </w:pPr>
    </w:p>
    <w:p w:rsidR="005A638F" w:rsidRDefault="005A638F" w:rsidP="00B20DAD">
      <w:pPr>
        <w:spacing w:line="360" w:lineRule="auto"/>
        <w:rPr>
          <w:rFonts w:asciiTheme="majorBidi" w:hAnsiTheme="majorBidi" w:cstheme="majorBidi"/>
          <w:b/>
          <w:bCs/>
          <w:sz w:val="24"/>
          <w:szCs w:val="24"/>
          <w:u w:val="single"/>
        </w:rPr>
      </w:pPr>
    </w:p>
    <w:p w:rsidR="00851C6A" w:rsidRDefault="00851C6A" w:rsidP="00B20DAD">
      <w:pPr>
        <w:spacing w:line="360" w:lineRule="auto"/>
        <w:rPr>
          <w:rFonts w:asciiTheme="majorBidi" w:hAnsiTheme="majorBidi" w:cstheme="majorBidi"/>
          <w:b/>
          <w:bCs/>
          <w:sz w:val="24"/>
          <w:szCs w:val="24"/>
          <w:u w:val="single"/>
          <w:rtl/>
        </w:rPr>
      </w:pPr>
    </w:p>
    <w:p w:rsidR="005A638F" w:rsidRDefault="005A638F" w:rsidP="00B20DAD">
      <w:pPr>
        <w:spacing w:line="360" w:lineRule="auto"/>
        <w:rPr>
          <w:rFonts w:asciiTheme="majorBidi" w:hAnsiTheme="majorBidi" w:cstheme="majorBidi"/>
          <w:b/>
          <w:bCs/>
          <w:sz w:val="24"/>
          <w:szCs w:val="24"/>
          <w:u w:val="single"/>
          <w:rtl/>
        </w:rPr>
      </w:pPr>
    </w:p>
    <w:p w:rsidR="005A638F" w:rsidRDefault="005A638F" w:rsidP="00B20DAD">
      <w:pPr>
        <w:spacing w:line="360" w:lineRule="auto"/>
        <w:rPr>
          <w:rFonts w:asciiTheme="majorBidi" w:hAnsiTheme="majorBidi" w:cstheme="majorBidi"/>
          <w:b/>
          <w:bCs/>
          <w:sz w:val="24"/>
          <w:szCs w:val="24"/>
          <w:u w:val="single"/>
          <w:rtl/>
        </w:rPr>
      </w:pPr>
    </w:p>
    <w:p w:rsidR="005A638F" w:rsidRDefault="005A638F" w:rsidP="00B20DAD">
      <w:pPr>
        <w:spacing w:line="360" w:lineRule="auto"/>
        <w:rPr>
          <w:rFonts w:asciiTheme="majorBidi" w:hAnsiTheme="majorBidi" w:cstheme="majorBidi"/>
          <w:b/>
          <w:bCs/>
          <w:sz w:val="24"/>
          <w:szCs w:val="24"/>
          <w:u w:val="single"/>
          <w:rtl/>
        </w:rPr>
      </w:pPr>
    </w:p>
    <w:p w:rsidR="005A638F" w:rsidRDefault="005A638F" w:rsidP="00B20DAD">
      <w:pPr>
        <w:spacing w:line="360" w:lineRule="auto"/>
        <w:rPr>
          <w:rFonts w:asciiTheme="majorBidi" w:hAnsiTheme="majorBidi" w:cstheme="majorBidi"/>
          <w:b/>
          <w:bCs/>
          <w:sz w:val="24"/>
          <w:szCs w:val="24"/>
          <w:u w:val="single"/>
          <w:rtl/>
        </w:rPr>
      </w:pPr>
    </w:p>
    <w:p w:rsidR="005A638F" w:rsidRDefault="00851C6A" w:rsidP="00B20DAD">
      <w:pPr>
        <w:pStyle w:val="Titre2"/>
        <w:spacing w:before="0" w:after="0" w:line="360" w:lineRule="auto"/>
        <w:jc w:val="both"/>
        <w:rPr>
          <w:rFonts w:asciiTheme="majorBidi" w:hAnsiTheme="majorBidi" w:cstheme="majorBidi"/>
          <w:color w:val="auto"/>
          <w:sz w:val="28"/>
          <w:szCs w:val="28"/>
        </w:rPr>
      </w:pPr>
      <w:bookmarkStart w:id="25" w:name="_Toc230558610"/>
      <w:bookmarkStart w:id="26" w:name="_Toc230900244"/>
      <w:bookmarkStart w:id="27" w:name="_Toc230900918"/>
      <w:r w:rsidRPr="007A7E20">
        <w:rPr>
          <w:rFonts w:asciiTheme="majorBidi" w:hAnsiTheme="majorBidi" w:cstheme="majorBidi"/>
          <w:b/>
          <w:bCs/>
          <w:color w:val="auto"/>
          <w:sz w:val="28"/>
          <w:szCs w:val="28"/>
        </w:rPr>
        <w:lastRenderedPageBreak/>
        <w:t xml:space="preserve">Section </w:t>
      </w:r>
      <w:r w:rsidR="003C56C1" w:rsidRPr="007A7E20">
        <w:rPr>
          <w:rFonts w:asciiTheme="majorBidi" w:hAnsiTheme="majorBidi" w:cstheme="majorBidi" w:hint="cs"/>
          <w:b/>
          <w:bCs/>
          <w:color w:val="auto"/>
          <w:sz w:val="28"/>
          <w:szCs w:val="28"/>
          <w:rtl/>
        </w:rPr>
        <w:t>0</w:t>
      </w:r>
      <w:r w:rsidRPr="007A7E20">
        <w:rPr>
          <w:rFonts w:asciiTheme="majorBidi" w:hAnsiTheme="majorBidi" w:cstheme="majorBidi"/>
          <w:b/>
          <w:bCs/>
          <w:color w:val="auto"/>
          <w:sz w:val="28"/>
          <w:szCs w:val="28"/>
        </w:rPr>
        <w:t xml:space="preserve">1 : </w:t>
      </w:r>
      <w:r w:rsidRPr="007A7E20">
        <w:rPr>
          <w:rFonts w:asciiTheme="majorBidi" w:hAnsiTheme="majorBidi" w:cstheme="majorBidi"/>
          <w:color w:val="auto"/>
          <w:sz w:val="28"/>
          <w:szCs w:val="28"/>
        </w:rPr>
        <w:t>Notion du marketing biologique</w:t>
      </w:r>
      <w:bookmarkEnd w:id="25"/>
      <w:bookmarkEnd w:id="26"/>
      <w:bookmarkEnd w:id="27"/>
    </w:p>
    <w:p w:rsidR="00BA2E16" w:rsidRPr="00BA2E16" w:rsidRDefault="00BA2E16" w:rsidP="00BA2E16">
      <w:pPr>
        <w:suppressAutoHyphens w:val="0"/>
        <w:autoSpaceDN/>
        <w:spacing w:after="0" w:line="360" w:lineRule="auto"/>
        <w:textAlignment w:val="auto"/>
        <w:rPr>
          <w:rFonts w:ascii="Times New Roman" w:eastAsia="Times New Roman" w:hAnsi="Times New Roman" w:cs="Times New Roman"/>
          <w:kern w:val="0"/>
          <w:sz w:val="24"/>
          <w:szCs w:val="24"/>
          <w:lang w:eastAsia="fr-FR"/>
        </w:rPr>
      </w:pPr>
      <w:r w:rsidRPr="00BA2E16">
        <w:rPr>
          <w:rFonts w:ascii="Times New Roman" w:eastAsia="Times New Roman" w:hAnsi="Times New Roman" w:cs="Times New Roman"/>
          <w:kern w:val="0"/>
          <w:sz w:val="24"/>
          <w:szCs w:val="24"/>
          <w:lang w:eastAsia="fr-FR"/>
        </w:rPr>
        <w:t>Face à l’évolution des attentes des consommateurs et à l’importance croissante des préoccup</w:t>
      </w:r>
      <w:r w:rsidRPr="00BA2E16">
        <w:rPr>
          <w:rFonts w:ascii="Times New Roman" w:eastAsia="Times New Roman" w:hAnsi="Times New Roman" w:cs="Times New Roman"/>
          <w:kern w:val="0"/>
          <w:sz w:val="24"/>
          <w:szCs w:val="24"/>
          <w:lang w:eastAsia="fr-FR"/>
        </w:rPr>
        <w:t>a</w:t>
      </w:r>
      <w:r w:rsidRPr="00BA2E16">
        <w:rPr>
          <w:rFonts w:ascii="Times New Roman" w:eastAsia="Times New Roman" w:hAnsi="Times New Roman" w:cs="Times New Roman"/>
          <w:kern w:val="0"/>
          <w:sz w:val="24"/>
          <w:szCs w:val="24"/>
          <w:lang w:eastAsia="fr-FR"/>
        </w:rPr>
        <w:t>tions environnementales et sanitaires, le marketing a connu plusieurs transformations, passant d’une logique purement commerciale à une approche davantage orientée vers la durabilité et le bien-être des consommateurs. Cette évolution a conduit à l’émergence du marketing biol</w:t>
      </w:r>
      <w:r w:rsidRPr="00BA2E16">
        <w:rPr>
          <w:rFonts w:ascii="Times New Roman" w:eastAsia="Times New Roman" w:hAnsi="Times New Roman" w:cs="Times New Roman"/>
          <w:kern w:val="0"/>
          <w:sz w:val="24"/>
          <w:szCs w:val="24"/>
          <w:lang w:eastAsia="fr-FR"/>
        </w:rPr>
        <w:t>o</w:t>
      </w:r>
      <w:r w:rsidRPr="00BA2E16">
        <w:rPr>
          <w:rFonts w:ascii="Times New Roman" w:eastAsia="Times New Roman" w:hAnsi="Times New Roman" w:cs="Times New Roman"/>
          <w:kern w:val="0"/>
          <w:sz w:val="24"/>
          <w:szCs w:val="24"/>
          <w:lang w:eastAsia="fr-FR"/>
        </w:rPr>
        <w:t>gique, qui vise à promouvoir des produits respectueux de l’environnement et de la santé. Cette section présente l’évolution des concepts marketing, les spécificités du marketing biologique ainsi que ses principaux éléments et caractéristiques.</w:t>
      </w:r>
    </w:p>
    <w:p w:rsidR="005A638F" w:rsidRPr="00851C6A" w:rsidRDefault="005A638F" w:rsidP="00D078CC">
      <w:pPr>
        <w:pStyle w:val="Titre3"/>
        <w:numPr>
          <w:ilvl w:val="3"/>
          <w:numId w:val="35"/>
        </w:numPr>
        <w:spacing w:before="0" w:after="0" w:line="360" w:lineRule="auto"/>
        <w:ind w:left="284" w:hanging="284"/>
        <w:jc w:val="both"/>
        <w:rPr>
          <w:rFonts w:asciiTheme="majorBidi" w:hAnsiTheme="majorBidi" w:cstheme="majorBidi"/>
          <w:b/>
          <w:bCs/>
          <w:color w:val="auto"/>
          <w:sz w:val="24"/>
          <w:szCs w:val="24"/>
        </w:rPr>
      </w:pPr>
      <w:bookmarkStart w:id="28" w:name="_Toc230558611"/>
      <w:bookmarkStart w:id="29" w:name="_Toc230900245"/>
      <w:r w:rsidRPr="00851C6A">
        <w:rPr>
          <w:rFonts w:asciiTheme="majorBidi" w:hAnsiTheme="majorBidi" w:cstheme="majorBidi"/>
          <w:b/>
          <w:bCs/>
          <w:color w:val="auto"/>
          <w:sz w:val="24"/>
          <w:szCs w:val="24"/>
        </w:rPr>
        <w:t>L’évolution des concepts marketing (du traditionnel au biologique)</w:t>
      </w:r>
      <w:bookmarkEnd w:id="28"/>
      <w:bookmarkEnd w:id="29"/>
    </w:p>
    <w:p w:rsidR="005A638F" w:rsidRPr="00851C6A" w:rsidRDefault="005A638F" w:rsidP="00D078CC">
      <w:pPr>
        <w:pStyle w:val="Titre4"/>
        <w:numPr>
          <w:ilvl w:val="1"/>
          <w:numId w:val="36"/>
        </w:numPr>
        <w:spacing w:before="0" w:after="0" w:line="360" w:lineRule="auto"/>
        <w:jc w:val="both"/>
        <w:rPr>
          <w:rFonts w:asciiTheme="majorBidi" w:hAnsiTheme="majorBidi" w:cstheme="majorBidi"/>
          <w:b/>
          <w:bCs/>
          <w:i w:val="0"/>
          <w:iCs w:val="0"/>
          <w:color w:val="auto"/>
          <w:sz w:val="24"/>
          <w:szCs w:val="24"/>
          <w:lang w:bidi="ar-DZ"/>
        </w:rPr>
      </w:pPr>
      <w:bookmarkStart w:id="30" w:name="_Toc230558612"/>
      <w:bookmarkStart w:id="31" w:name="_Toc230900246"/>
      <w:r w:rsidRPr="00851C6A">
        <w:rPr>
          <w:rFonts w:asciiTheme="majorBidi" w:hAnsiTheme="majorBidi" w:cstheme="majorBidi"/>
          <w:b/>
          <w:bCs/>
          <w:i w:val="0"/>
          <w:iCs w:val="0"/>
          <w:color w:val="auto"/>
          <w:sz w:val="24"/>
          <w:szCs w:val="24"/>
        </w:rPr>
        <w:t>Le marketing traditionnel :</w:t>
      </w:r>
      <w:bookmarkEnd w:id="30"/>
      <w:bookmarkEnd w:id="31"/>
    </w:p>
    <w:p w:rsidR="005A638F" w:rsidRDefault="005A638F" w:rsidP="00F7493D">
      <w:pPr>
        <w:spacing w:after="0" w:line="360" w:lineRule="auto"/>
        <w:ind w:firstLine="567"/>
        <w:jc w:val="both"/>
        <w:rPr>
          <w:rFonts w:ascii="Times New Roman" w:eastAsia="Times New Roman" w:hAnsi="Times New Roman" w:cs="Times New Roman"/>
          <w:kern w:val="0"/>
          <w:sz w:val="24"/>
          <w:szCs w:val="24"/>
          <w:lang w:eastAsia="fr-FR"/>
        </w:rPr>
      </w:pPr>
      <w:r w:rsidRPr="006857E6">
        <w:rPr>
          <w:rFonts w:ascii="Times New Roman" w:eastAsia="Times New Roman" w:hAnsi="Times New Roman" w:cs="Times New Roman"/>
          <w:kern w:val="0"/>
          <w:sz w:val="24"/>
          <w:szCs w:val="24"/>
          <w:lang w:eastAsia="fr-FR"/>
        </w:rPr>
        <w:t xml:space="preserve">D’après Kotler et Levy marketing est un terme traditionnellement connoté par </w:t>
      </w:r>
      <w:r w:rsidRPr="00E50A8A">
        <w:rPr>
          <w:rFonts w:ascii="Times New Roman" w:eastAsia="Times New Roman" w:hAnsi="Times New Roman" w:cs="Times New Roman"/>
          <w:kern w:val="0"/>
          <w:sz w:val="24"/>
          <w:szCs w:val="24"/>
          <w:lang w:eastAsia="fr-FR"/>
        </w:rPr>
        <w:t>«</w:t>
      </w:r>
      <w:r w:rsidRPr="006857E6">
        <w:rPr>
          <w:rFonts w:ascii="Times New Roman" w:eastAsia="Times New Roman" w:hAnsi="Times New Roman" w:cs="Times New Roman"/>
          <w:kern w:val="0"/>
          <w:sz w:val="24"/>
          <w:szCs w:val="24"/>
          <w:lang w:eastAsia="fr-FR"/>
        </w:rPr>
        <w:t xml:space="preserve"> the task of finding and stimulating buyers for the firm’s outpu</w:t>
      </w:r>
      <w:r>
        <w:rPr>
          <w:rFonts w:ascii="Times New Roman" w:eastAsia="Times New Roman" w:hAnsi="Times New Roman" w:cs="Times New Roman"/>
          <w:kern w:val="0"/>
          <w:sz w:val="24"/>
          <w:szCs w:val="24"/>
          <w:lang w:eastAsia="fr-FR"/>
        </w:rPr>
        <w:t>t</w:t>
      </w:r>
      <w:r w:rsidRPr="00E50A8A">
        <w:rPr>
          <w:rFonts w:ascii="Times New Roman" w:eastAsia="Times New Roman" w:hAnsi="Times New Roman" w:cs="Times New Roman"/>
          <w:kern w:val="0"/>
          <w:sz w:val="24"/>
          <w:szCs w:val="24"/>
          <w:lang w:eastAsia="fr-FR"/>
        </w:rPr>
        <w:t>»</w:t>
      </w:r>
      <w:r>
        <w:rPr>
          <w:rStyle w:val="Appelnotedebasdep"/>
          <w:rFonts w:ascii="Times New Roman" w:eastAsia="Times New Roman" w:hAnsi="Times New Roman" w:cs="Times New Roman"/>
          <w:kern w:val="0"/>
          <w:sz w:val="24"/>
          <w:szCs w:val="24"/>
          <w:lang w:eastAsia="fr-FR"/>
        </w:rPr>
        <w:footnoteReference w:id="19"/>
      </w:r>
      <w:r w:rsidRPr="006857E6">
        <w:rPr>
          <w:rFonts w:ascii="Times New Roman" w:eastAsia="Times New Roman" w:hAnsi="Times New Roman" w:cs="Times New Roman"/>
          <w:kern w:val="0"/>
          <w:sz w:val="24"/>
          <w:szCs w:val="24"/>
          <w:lang w:eastAsia="fr-FR"/>
        </w:rPr>
        <w:t xml:space="preserve">, une compréhension très restrictive consistant à dire que le marketing renvoie à l’acte de vendre la production d’une entreprise. </w:t>
      </w:r>
      <w:r w:rsidRPr="001C08B7">
        <w:rPr>
          <w:rFonts w:ascii="Times New Roman" w:eastAsia="Times New Roman" w:hAnsi="Times New Roman" w:cs="Times New Roman"/>
          <w:kern w:val="0"/>
          <w:sz w:val="24"/>
          <w:szCs w:val="24"/>
          <w:lang w:val="en-US" w:eastAsia="fr-FR"/>
        </w:rPr>
        <w:t>Mais dès 1991, Kotler élargit cette définition en proposant une définition plus sociale « a social and managerial process by which individuals and groups obtain what they need and want through creating, offering, and exchanging products of value» .</w:t>
      </w:r>
      <w:r>
        <w:rPr>
          <w:rStyle w:val="Appelnotedebasdep"/>
          <w:rFonts w:ascii="Times New Roman" w:eastAsia="Times New Roman" w:hAnsi="Times New Roman" w:cs="Times New Roman"/>
          <w:kern w:val="0"/>
          <w:sz w:val="24"/>
          <w:szCs w:val="24"/>
          <w:lang w:eastAsia="fr-FR"/>
        </w:rPr>
        <w:footnoteReference w:id="20"/>
      </w:r>
      <w:r w:rsidRPr="006857E6">
        <w:rPr>
          <w:rFonts w:ascii="Times New Roman" w:eastAsia="Times New Roman" w:hAnsi="Times New Roman" w:cs="Times New Roman"/>
          <w:kern w:val="0"/>
          <w:sz w:val="24"/>
          <w:szCs w:val="24"/>
          <w:lang w:eastAsia="fr-FR"/>
        </w:rPr>
        <w:t xml:space="preserve">Le marketing n’est déjà plus simplement une question concernant l’entreprise et ses outputs, mais devient un processus social et managérial de portée universelle, sur la base d’une définition plus englobante </w:t>
      </w:r>
      <w:r w:rsidRPr="00D56A41">
        <w:rPr>
          <w:rFonts w:ascii="Times New Roman" w:eastAsia="Times New Roman" w:hAnsi="Times New Roman" w:cs="Times New Roman"/>
          <w:kern w:val="0"/>
          <w:sz w:val="24"/>
          <w:szCs w:val="24"/>
          <w:lang w:eastAsia="fr-FR"/>
        </w:rPr>
        <w:t>de tout ce qui inclut</w:t>
      </w:r>
      <w:r w:rsidRPr="006857E6">
        <w:rPr>
          <w:rFonts w:ascii="Times New Roman" w:eastAsia="Times New Roman" w:hAnsi="Times New Roman" w:cs="Times New Roman"/>
          <w:kern w:val="0"/>
          <w:sz w:val="24"/>
          <w:szCs w:val="24"/>
          <w:lang w:eastAsia="fr-FR"/>
        </w:rPr>
        <w:t xml:space="preserve"> un échange de valeur.</w:t>
      </w:r>
    </w:p>
    <w:p w:rsidR="005A638F" w:rsidRPr="001C08B7" w:rsidRDefault="005A638F" w:rsidP="00F7493D">
      <w:pPr>
        <w:spacing w:after="0" w:line="360" w:lineRule="auto"/>
        <w:ind w:firstLine="567"/>
        <w:jc w:val="both"/>
        <w:rPr>
          <w:rFonts w:ascii="Times New Roman" w:eastAsia="Times New Roman" w:hAnsi="Times New Roman" w:cs="Times New Roman"/>
          <w:kern w:val="0"/>
          <w:sz w:val="24"/>
          <w:szCs w:val="24"/>
          <w:lang w:val="en-US" w:eastAsia="fr-FR"/>
        </w:rPr>
      </w:pPr>
      <w:r w:rsidRPr="001C08B7">
        <w:rPr>
          <w:rFonts w:ascii="Times New Roman" w:eastAsia="Times New Roman" w:hAnsi="Times New Roman" w:cs="Times New Roman"/>
          <w:kern w:val="0"/>
          <w:sz w:val="24"/>
          <w:szCs w:val="24"/>
          <w:lang w:val="en-US" w:eastAsia="fr-FR"/>
        </w:rPr>
        <w:t>De son côté, L’American Marketing Association a également défini le marketing comme «Marketing is the activity, set of institutions, and processes for creating, communicating, delivering, and exchanging offerings that have value for customers, clients, partners, and society at large. »</w:t>
      </w:r>
      <w:r>
        <w:rPr>
          <w:rStyle w:val="Appelnotedebasdep"/>
          <w:rFonts w:ascii="Times New Roman" w:eastAsia="Times New Roman" w:hAnsi="Times New Roman" w:cs="Times New Roman"/>
          <w:kern w:val="0"/>
          <w:sz w:val="24"/>
          <w:szCs w:val="24"/>
          <w:lang w:eastAsia="fr-FR"/>
        </w:rPr>
        <w:footnoteReference w:id="21"/>
      </w:r>
    </w:p>
    <w:p w:rsidR="005A638F" w:rsidRDefault="005A638F" w:rsidP="006E2FEE">
      <w:pPr>
        <w:spacing w:after="0" w:line="360" w:lineRule="auto"/>
        <w:ind w:firstLine="567"/>
        <w:jc w:val="both"/>
        <w:rPr>
          <w:rFonts w:ascii="Times New Roman" w:eastAsia="Times New Roman" w:hAnsi="Times New Roman" w:cs="Times New Roman"/>
          <w:kern w:val="0"/>
          <w:sz w:val="24"/>
          <w:szCs w:val="24"/>
          <w:lang w:eastAsia="fr-FR"/>
        </w:rPr>
      </w:pPr>
      <w:r w:rsidRPr="00B15F32">
        <w:rPr>
          <w:rFonts w:ascii="Times New Roman" w:eastAsia="Times New Roman" w:hAnsi="Times New Roman" w:cs="Times New Roman"/>
          <w:kern w:val="0"/>
          <w:sz w:val="24"/>
          <w:szCs w:val="24"/>
          <w:lang w:eastAsia="fr-FR"/>
        </w:rPr>
        <w:t>Sur le plan opérationnel , le concept demarketing s'incarne dans la philosophie du mix marketing, Le professeur E. Jerome McCarthy a rendu le concept de Neil Borden plus accessible en le réduisant à quatrecatégories simples, désormais connues sous le nom de « les 4 P du marketing ».Ces quatre aspects - le produit, le prix, l'emplacement et la promotion -</w:t>
      </w:r>
      <w:r w:rsidRPr="00B15F32">
        <w:rPr>
          <w:rFonts w:ascii="Times New Roman" w:eastAsia="Times New Roman" w:hAnsi="Times New Roman" w:cs="Times New Roman"/>
          <w:kern w:val="0"/>
          <w:sz w:val="24"/>
          <w:szCs w:val="24"/>
          <w:lang w:eastAsia="fr-FR"/>
        </w:rPr>
        <w:lastRenderedPageBreak/>
        <w:t>forment le fondement de toute stratégie marketing efficace et vous permettentde percevoir votre offre du point de vue de vos clients et de maximiser vos ventes.</w:t>
      </w:r>
      <w:r>
        <w:rPr>
          <w:rStyle w:val="Appelnotedebasdep"/>
          <w:rFonts w:ascii="Times New Roman" w:eastAsia="Times New Roman" w:hAnsi="Times New Roman" w:cs="Times New Roman"/>
          <w:kern w:val="0"/>
          <w:sz w:val="24"/>
          <w:szCs w:val="24"/>
          <w:lang w:eastAsia="fr-FR"/>
        </w:rPr>
        <w:footnoteReference w:id="22"/>
      </w:r>
    </w:p>
    <w:p w:rsidR="00851C6A" w:rsidRDefault="00F17917" w:rsidP="006E2FEE">
      <w:pPr>
        <w:spacing w:after="0" w:line="360" w:lineRule="auto"/>
        <w:ind w:firstLine="567"/>
        <w:jc w:val="both"/>
        <w:rPr>
          <w:rFonts w:ascii="Times New Roman" w:eastAsia="Times New Roman" w:hAnsi="Times New Roman" w:cs="Times New Roman"/>
          <w:kern w:val="0"/>
          <w:sz w:val="24"/>
          <w:szCs w:val="24"/>
          <w:lang w:eastAsia="fr-FR"/>
        </w:rPr>
      </w:pPr>
      <w:r w:rsidRPr="00B15F32">
        <w:rPr>
          <w:rFonts w:ascii="Times New Roman" w:eastAsia="Times New Roman" w:hAnsi="Times New Roman" w:cs="Times New Roman"/>
          <w:kern w:val="0"/>
          <w:sz w:val="24"/>
          <w:szCs w:val="24"/>
          <w:lang w:eastAsia="fr-FR"/>
        </w:rPr>
        <w:t>Cependant,</w:t>
      </w:r>
      <w:r w:rsidR="005A638F" w:rsidRPr="00B15F32">
        <w:rPr>
          <w:rFonts w:ascii="Times New Roman" w:eastAsia="Times New Roman" w:hAnsi="Times New Roman" w:cs="Times New Roman"/>
          <w:kern w:val="0"/>
          <w:sz w:val="24"/>
          <w:szCs w:val="24"/>
          <w:lang w:eastAsia="fr-FR"/>
        </w:rPr>
        <w:t xml:space="preserve"> bien que fondamental pourl'établissement de la pensée </w:t>
      </w:r>
      <w:r w:rsidRPr="00B15F32">
        <w:rPr>
          <w:rFonts w:ascii="Times New Roman" w:eastAsia="Times New Roman" w:hAnsi="Times New Roman" w:cs="Times New Roman"/>
          <w:kern w:val="0"/>
          <w:sz w:val="24"/>
          <w:szCs w:val="24"/>
          <w:lang w:eastAsia="fr-FR"/>
        </w:rPr>
        <w:t>marketing</w:t>
      </w:r>
      <w:r>
        <w:rPr>
          <w:rFonts w:ascii="Times New Roman" w:eastAsia="Times New Roman" w:hAnsi="Times New Roman" w:cs="Times New Roman"/>
          <w:kern w:val="0"/>
          <w:sz w:val="24"/>
          <w:szCs w:val="24"/>
          <w:lang w:eastAsia="fr-FR"/>
        </w:rPr>
        <w:t>, ce</w:t>
      </w:r>
      <w:r w:rsidR="005A638F" w:rsidRPr="00B15F32">
        <w:rPr>
          <w:rFonts w:ascii="Times New Roman" w:eastAsia="Times New Roman" w:hAnsi="Times New Roman" w:cs="Times New Roman"/>
          <w:kern w:val="0"/>
          <w:sz w:val="24"/>
          <w:szCs w:val="24"/>
          <w:lang w:eastAsia="fr-FR"/>
        </w:rPr>
        <w:t xml:space="preserve"> cadre analytique a négligé lesdimensions environnementales et sanitaires des </w:t>
      </w:r>
      <w:r w:rsidRPr="00B15F32">
        <w:rPr>
          <w:rFonts w:ascii="Times New Roman" w:eastAsia="Times New Roman" w:hAnsi="Times New Roman" w:cs="Times New Roman"/>
          <w:kern w:val="0"/>
          <w:sz w:val="24"/>
          <w:szCs w:val="24"/>
          <w:lang w:eastAsia="fr-FR"/>
        </w:rPr>
        <w:t xml:space="preserve">politiques </w:t>
      </w:r>
      <w:r>
        <w:rPr>
          <w:rFonts w:ascii="Times New Roman" w:eastAsia="Times New Roman" w:hAnsi="Times New Roman" w:cs="Times New Roman"/>
          <w:kern w:val="0"/>
          <w:sz w:val="24"/>
          <w:szCs w:val="24"/>
          <w:lang w:eastAsia="fr-FR"/>
        </w:rPr>
        <w:t>marketing</w:t>
      </w:r>
      <w:r w:rsidR="005A638F" w:rsidRPr="00B15F32">
        <w:rPr>
          <w:rFonts w:ascii="Times New Roman" w:eastAsia="Times New Roman" w:hAnsi="Times New Roman" w:cs="Times New Roman"/>
          <w:kern w:val="0"/>
          <w:sz w:val="24"/>
          <w:szCs w:val="24"/>
          <w:lang w:eastAsia="fr-FR"/>
        </w:rPr>
        <w:t>, notammentdans le secteur agro-alimentaire où les entreprises se concentraient sur laproduction et la distribution de produits sans prêter attention aux effetspotentiels sur l'environnement et la santé des consommateurs.</w:t>
      </w:r>
    </w:p>
    <w:p w:rsidR="005A638F" w:rsidRPr="00851C6A" w:rsidRDefault="00851C6A" w:rsidP="00B20DAD">
      <w:pPr>
        <w:pStyle w:val="Titre4"/>
        <w:spacing w:before="0" w:after="0" w:line="360" w:lineRule="auto"/>
        <w:jc w:val="both"/>
        <w:rPr>
          <w:rFonts w:asciiTheme="majorBidi" w:hAnsiTheme="majorBidi" w:cstheme="majorBidi"/>
          <w:b/>
          <w:bCs/>
          <w:i w:val="0"/>
          <w:iCs w:val="0"/>
          <w:color w:val="auto"/>
          <w:kern w:val="0"/>
          <w:sz w:val="24"/>
          <w:szCs w:val="24"/>
          <w:lang w:eastAsia="fr-FR"/>
        </w:rPr>
      </w:pPr>
      <w:bookmarkStart w:id="32" w:name="_Toc230558613"/>
      <w:bookmarkStart w:id="33" w:name="_Toc230900247"/>
      <w:r>
        <w:rPr>
          <w:rFonts w:asciiTheme="majorBidi" w:hAnsiTheme="majorBidi" w:cstheme="majorBidi"/>
          <w:b/>
          <w:bCs/>
          <w:i w:val="0"/>
          <w:iCs w:val="0"/>
          <w:color w:val="auto"/>
          <w:sz w:val="24"/>
          <w:szCs w:val="24"/>
          <w:lang w:bidi="ar-DZ"/>
        </w:rPr>
        <w:t xml:space="preserve">1.2. </w:t>
      </w:r>
      <w:r w:rsidR="00F17917" w:rsidRPr="00851C6A">
        <w:rPr>
          <w:rFonts w:asciiTheme="majorBidi" w:hAnsiTheme="majorBidi" w:cstheme="majorBidi"/>
          <w:b/>
          <w:bCs/>
          <w:i w:val="0"/>
          <w:iCs w:val="0"/>
          <w:color w:val="auto"/>
          <w:sz w:val="24"/>
          <w:szCs w:val="24"/>
          <w:lang w:bidi="ar-DZ"/>
        </w:rPr>
        <w:t>Le</w:t>
      </w:r>
      <w:r w:rsidR="005A638F" w:rsidRPr="00851C6A">
        <w:rPr>
          <w:rFonts w:asciiTheme="majorBidi" w:hAnsiTheme="majorBidi" w:cstheme="majorBidi"/>
          <w:b/>
          <w:bCs/>
          <w:i w:val="0"/>
          <w:iCs w:val="0"/>
          <w:color w:val="auto"/>
          <w:sz w:val="24"/>
          <w:szCs w:val="24"/>
          <w:lang w:bidi="ar-DZ"/>
        </w:rPr>
        <w:t xml:space="preserve"> marketing </w:t>
      </w:r>
      <w:r w:rsidR="00F17917" w:rsidRPr="00851C6A">
        <w:rPr>
          <w:rFonts w:asciiTheme="majorBidi" w:hAnsiTheme="majorBidi" w:cstheme="majorBidi"/>
          <w:b/>
          <w:bCs/>
          <w:i w:val="0"/>
          <w:iCs w:val="0"/>
          <w:color w:val="auto"/>
          <w:sz w:val="24"/>
          <w:szCs w:val="24"/>
          <w:lang w:bidi="ar-DZ"/>
        </w:rPr>
        <w:t>vert :</w:t>
      </w:r>
      <w:bookmarkEnd w:id="32"/>
      <w:bookmarkEnd w:id="33"/>
    </w:p>
    <w:p w:rsidR="005A638F" w:rsidRDefault="005A638F" w:rsidP="006E2FEE">
      <w:pPr>
        <w:spacing w:line="360" w:lineRule="auto"/>
        <w:ind w:firstLine="567"/>
        <w:jc w:val="both"/>
        <w:rPr>
          <w:rFonts w:asciiTheme="majorBidi" w:hAnsiTheme="majorBidi" w:cstheme="majorBidi"/>
          <w:sz w:val="24"/>
          <w:szCs w:val="24"/>
          <w:lang w:bidi="ar-DZ"/>
        </w:rPr>
      </w:pPr>
      <w:r w:rsidRPr="00FD7A5E">
        <w:rPr>
          <w:rFonts w:ascii="Times New Roman" w:eastAsia="Times New Roman" w:hAnsi="Times New Roman" w:cs="Times New Roman"/>
          <w:kern w:val="0"/>
          <w:sz w:val="24"/>
          <w:szCs w:val="24"/>
          <w:lang w:eastAsia="fr-FR"/>
        </w:rPr>
        <w:t>Avec l'augmentation des soucis environnementaux et une conscience plus forte des problèmes d'écologie, les entreprises ont dû changer leurs façons de faire pour correspondre à ce que la société attend. Dans ce cadre, le marketing a petit à petit inclus l'environnement, ce qui a créé le marketing vert, dont le but est de diminuer l'impact des affaires sur l'environnement.</w:t>
      </w:r>
      <w:r>
        <w:rPr>
          <w:rStyle w:val="Appelnotedebasdep"/>
          <w:rFonts w:ascii="Times New Roman" w:eastAsia="Times New Roman" w:hAnsi="Times New Roman" w:cs="Times New Roman"/>
          <w:kern w:val="0"/>
          <w:sz w:val="24"/>
          <w:szCs w:val="24"/>
          <w:lang w:eastAsia="fr-FR"/>
        </w:rPr>
        <w:footnoteReference w:id="23"/>
      </w:r>
    </w:p>
    <w:p w:rsidR="005A638F" w:rsidRDefault="005A638F" w:rsidP="006E2FEE">
      <w:pPr>
        <w:spacing w:line="360" w:lineRule="auto"/>
        <w:ind w:firstLine="567"/>
        <w:jc w:val="both"/>
        <w:rPr>
          <w:rFonts w:asciiTheme="majorBidi" w:hAnsiTheme="majorBidi" w:cstheme="majorBidi"/>
          <w:sz w:val="24"/>
          <w:szCs w:val="24"/>
          <w:lang w:bidi="ar-DZ"/>
        </w:rPr>
      </w:pPr>
      <w:r w:rsidRPr="0045322E">
        <w:rPr>
          <w:rFonts w:asciiTheme="majorBidi" w:hAnsiTheme="majorBidi" w:cstheme="majorBidi"/>
          <w:sz w:val="24"/>
          <w:szCs w:val="24"/>
          <w:lang w:bidi="ar-DZ"/>
        </w:rPr>
        <w:t>D’après Jenkins &amp; Kähler , le marketing vert désigne un large répertoire de pratiques et choix organisationnels. Le marketing vert prend dans sa forme la plus simple la forme de la mise en avant d’un produit présenté comme possédant un attribut identifiant un attribut environnemental, avec par exemple un produit fabriqué grâce à des matériaux recyclés ou une ampoule à faible consommation électrique. Il peut aussi consister à mettre en avant une innovation favorisant l’environnement, ainsi que le raisonnement qui l’entoure peut-être un produit reformulé afin d’y éliminer des éléments nocifs, la réduction des emballages, la réduction des déchets et de la consommation des ressources dans le cadre d’une amélioration du processus de fabrication, le choix de fournisseurs locaux. Chacune de ces décisions entrant dans l’empreinte écologique de l’entreprise est susceptible d’avoir une place dans le cadre d’une stratégie de marketing vert.</w:t>
      </w:r>
      <w:r>
        <w:rPr>
          <w:rStyle w:val="Appelnotedebasdep"/>
          <w:rFonts w:asciiTheme="majorBidi" w:hAnsiTheme="majorBidi" w:cstheme="majorBidi"/>
          <w:sz w:val="24"/>
          <w:szCs w:val="24"/>
          <w:lang w:bidi="ar-DZ"/>
        </w:rPr>
        <w:footnoteReference w:id="24"/>
      </w:r>
    </w:p>
    <w:p w:rsidR="005A638F" w:rsidRDefault="005A638F" w:rsidP="006E2FEE">
      <w:pPr>
        <w:spacing w:line="360" w:lineRule="auto"/>
        <w:ind w:firstLine="567"/>
        <w:jc w:val="both"/>
        <w:rPr>
          <w:rFonts w:asciiTheme="majorBidi" w:hAnsiTheme="majorBidi" w:cstheme="majorBidi"/>
          <w:sz w:val="24"/>
          <w:szCs w:val="24"/>
          <w:lang w:bidi="ar-DZ"/>
        </w:rPr>
      </w:pPr>
      <w:r w:rsidRPr="007F56E7">
        <w:rPr>
          <w:rFonts w:asciiTheme="majorBidi" w:hAnsiTheme="majorBidi" w:cstheme="majorBidi"/>
          <w:sz w:val="24"/>
          <w:szCs w:val="24"/>
          <w:lang w:bidi="ar-DZ"/>
        </w:rPr>
        <w:t xml:space="preserve">Cette </w:t>
      </w:r>
      <w:r>
        <w:rPr>
          <w:rFonts w:asciiTheme="majorBidi" w:hAnsiTheme="majorBidi" w:cstheme="majorBidi"/>
          <w:sz w:val="24"/>
          <w:szCs w:val="24"/>
          <w:lang w:bidi="ar-DZ"/>
        </w:rPr>
        <w:t xml:space="preserve">approche </w:t>
      </w:r>
      <w:r w:rsidRPr="007F56E7">
        <w:rPr>
          <w:rFonts w:asciiTheme="majorBidi" w:hAnsiTheme="majorBidi" w:cstheme="majorBidi"/>
          <w:sz w:val="24"/>
          <w:szCs w:val="24"/>
          <w:lang w:bidi="ar-DZ"/>
        </w:rPr>
        <w:t xml:space="preserve">est également sujette à critiques. En effet, de nombreuses entreprises usent de greenwashing, c’est-à-dire tentent de se donner une image écologique en exagérant voire en falsifiant leurs actions en faveur de l’environnement. Bien qu’il n’existe pas de définition en bonne et due forme, ce phénomène se manifeste dans des publicités, sur les </w:t>
      </w:r>
      <w:r w:rsidRPr="007F56E7">
        <w:rPr>
          <w:rFonts w:asciiTheme="majorBidi" w:hAnsiTheme="majorBidi" w:cstheme="majorBidi"/>
          <w:sz w:val="24"/>
          <w:szCs w:val="24"/>
          <w:lang w:bidi="ar-DZ"/>
        </w:rPr>
        <w:lastRenderedPageBreak/>
        <w:t>réseaux sociaux ou via des projets présentés comme « verts » alors qu’ils le sont peu. Le greenwashing va mêler données justes et informations frauduleuses pour convaincre le public de l’engagement environnemental d’une structure.</w:t>
      </w:r>
    </w:p>
    <w:p w:rsidR="005A638F" w:rsidRDefault="005A638F" w:rsidP="006E2FEE">
      <w:pPr>
        <w:spacing w:after="0" w:line="360" w:lineRule="auto"/>
        <w:ind w:firstLine="567"/>
        <w:jc w:val="both"/>
        <w:rPr>
          <w:rFonts w:asciiTheme="majorBidi" w:hAnsiTheme="majorBidi" w:cstheme="majorBidi"/>
          <w:sz w:val="24"/>
          <w:szCs w:val="24"/>
          <w:rtl/>
          <w:lang w:bidi="ar-DZ"/>
        </w:rPr>
      </w:pPr>
      <w:r w:rsidRPr="002D2A29">
        <w:rPr>
          <w:rFonts w:asciiTheme="majorBidi" w:hAnsiTheme="majorBidi" w:cstheme="majorBidi"/>
          <w:sz w:val="24"/>
          <w:szCs w:val="24"/>
          <w:lang w:bidi="ar-DZ"/>
        </w:rPr>
        <w:t xml:space="preserve">Ces dérives signalent les limites dans lesquelles se cantonne le marketing vert, insuffisant pour garantir un véritable engagement écologique. Le marketing durable qui aura ici toute sa place  apparaît alors en réponse : il cherche à intégrer de manière harmonieuse dimensions économique, sociale et environnementale dans la stratégie des entreprises, afin d’articuler performance financière, responsabilité sociétale et protection de l’environnement. </w:t>
      </w:r>
      <w:r>
        <w:rPr>
          <w:rStyle w:val="Appelnotedebasdep"/>
          <w:rFonts w:asciiTheme="majorBidi" w:hAnsiTheme="majorBidi" w:cstheme="majorBidi"/>
          <w:sz w:val="24"/>
          <w:szCs w:val="24"/>
          <w:lang w:bidi="ar-DZ"/>
        </w:rPr>
        <w:footnoteReference w:id="25"/>
      </w:r>
    </w:p>
    <w:p w:rsidR="005A638F" w:rsidRPr="00851C6A" w:rsidRDefault="005A638F" w:rsidP="00D078CC">
      <w:pPr>
        <w:pStyle w:val="Titre4"/>
        <w:numPr>
          <w:ilvl w:val="1"/>
          <w:numId w:val="37"/>
        </w:numPr>
        <w:spacing w:before="0" w:after="0" w:line="360" w:lineRule="auto"/>
        <w:jc w:val="both"/>
        <w:rPr>
          <w:i w:val="0"/>
          <w:iCs w:val="0"/>
          <w:rtl/>
          <w:lang w:bidi="ar-DZ"/>
        </w:rPr>
      </w:pPr>
      <w:bookmarkStart w:id="34" w:name="_Toc230558614"/>
      <w:bookmarkStart w:id="35" w:name="_Toc230900248"/>
      <w:r w:rsidRPr="00851C6A">
        <w:rPr>
          <w:rFonts w:asciiTheme="majorBidi" w:hAnsiTheme="majorBidi" w:cstheme="majorBidi"/>
          <w:b/>
          <w:bCs/>
          <w:i w:val="0"/>
          <w:iCs w:val="0"/>
          <w:color w:val="auto"/>
          <w:sz w:val="24"/>
          <w:szCs w:val="24"/>
          <w:lang w:bidi="ar-DZ"/>
        </w:rPr>
        <w:t xml:space="preserve">Marketing </w:t>
      </w:r>
      <w:r w:rsidR="00F17917" w:rsidRPr="00851C6A">
        <w:rPr>
          <w:rFonts w:asciiTheme="majorBidi" w:hAnsiTheme="majorBidi" w:cstheme="majorBidi"/>
          <w:b/>
          <w:bCs/>
          <w:i w:val="0"/>
          <w:iCs w:val="0"/>
          <w:color w:val="auto"/>
          <w:sz w:val="24"/>
          <w:szCs w:val="24"/>
          <w:lang w:bidi="ar-DZ"/>
        </w:rPr>
        <w:t>durable</w:t>
      </w:r>
      <w:r w:rsidR="00F17917" w:rsidRPr="00851C6A">
        <w:rPr>
          <w:i w:val="0"/>
          <w:iCs w:val="0"/>
          <w:rtl/>
          <w:lang w:bidi="ar-DZ"/>
        </w:rPr>
        <w:t>:</w:t>
      </w:r>
      <w:bookmarkEnd w:id="34"/>
      <w:bookmarkEnd w:id="35"/>
    </w:p>
    <w:p w:rsidR="005A638F" w:rsidRDefault="005A638F" w:rsidP="006E2FEE">
      <w:pPr>
        <w:spacing w:line="360" w:lineRule="auto"/>
        <w:ind w:firstLine="567"/>
        <w:jc w:val="both"/>
        <w:rPr>
          <w:rFonts w:asciiTheme="majorBidi" w:hAnsiTheme="majorBidi" w:cstheme="majorBidi"/>
          <w:sz w:val="24"/>
          <w:szCs w:val="24"/>
          <w:lang w:bidi="ar-DZ"/>
        </w:rPr>
      </w:pPr>
      <w:r w:rsidRPr="00EF059A">
        <w:rPr>
          <w:rFonts w:asciiTheme="majorBidi" w:hAnsiTheme="majorBidi" w:cstheme="majorBidi"/>
          <w:sz w:val="24"/>
          <w:szCs w:val="24"/>
          <w:lang w:bidi="ar-DZ"/>
        </w:rPr>
        <w:t xml:space="preserve">Avec la montée des enjeux environnementaux et sociaux, de nombreuses entreprises </w:t>
      </w:r>
      <w:r w:rsidRPr="009E4E23">
        <w:rPr>
          <w:rFonts w:asciiTheme="majorBidi" w:hAnsiTheme="majorBidi" w:cstheme="majorBidi"/>
          <w:sz w:val="24"/>
          <w:szCs w:val="24"/>
          <w:lang w:bidi="ar-DZ"/>
        </w:rPr>
        <w:t>réorientent progressivement leur approche de la performance commerciale</w:t>
      </w:r>
      <w:r w:rsidRPr="00EF059A">
        <w:rPr>
          <w:rFonts w:asciiTheme="majorBidi" w:hAnsiTheme="majorBidi" w:cstheme="majorBidi"/>
          <w:sz w:val="24"/>
          <w:szCs w:val="24"/>
          <w:lang w:bidi="ar-DZ"/>
        </w:rPr>
        <w:t xml:space="preserve"> vers une approche intégrant la durabilité. Les objectifs ne se réduisent plus </w:t>
      </w:r>
      <w:r w:rsidRPr="009E4E23">
        <w:rPr>
          <w:rFonts w:asciiTheme="majorBidi" w:hAnsiTheme="majorBidi" w:cstheme="majorBidi"/>
          <w:sz w:val="24"/>
          <w:szCs w:val="24"/>
          <w:lang w:bidi="ar-DZ"/>
        </w:rPr>
        <w:t xml:space="preserve">à la maximisation des ventes, </w:t>
      </w:r>
      <w:r w:rsidRPr="00EF059A">
        <w:rPr>
          <w:rFonts w:asciiTheme="majorBidi" w:hAnsiTheme="majorBidi" w:cstheme="majorBidi"/>
          <w:sz w:val="24"/>
          <w:szCs w:val="24"/>
          <w:lang w:bidi="ar-DZ"/>
        </w:rPr>
        <w:t>mais incluent désormais l'adoption des pratiques responsables et pérennes</w:t>
      </w:r>
    </w:p>
    <w:p w:rsidR="005A638F" w:rsidRPr="009E4E23" w:rsidRDefault="005A638F" w:rsidP="00B20DAD">
      <w:pPr>
        <w:spacing w:line="360" w:lineRule="auto"/>
        <w:jc w:val="both"/>
        <w:rPr>
          <w:rFonts w:asciiTheme="majorBidi" w:hAnsiTheme="majorBidi" w:cstheme="majorBidi"/>
          <w:sz w:val="24"/>
          <w:szCs w:val="24"/>
          <w:lang w:bidi="ar-DZ"/>
        </w:rPr>
      </w:pPr>
      <w:r w:rsidRPr="009E4E23">
        <w:rPr>
          <w:rFonts w:asciiTheme="majorBidi" w:hAnsiTheme="majorBidi" w:cstheme="majorBidi"/>
          <w:sz w:val="24"/>
          <w:szCs w:val="24"/>
          <w:lang w:bidi="ar-DZ"/>
        </w:rPr>
        <w:t>Inspiré des travaux de Kotler et des manuels de marketing moderne, le marketing durable se définit comme la capacité à satisfaire les besoins actuels des consommateurs sans compromettre la possibilité pour les générations futures de répondre aux leurs. Cette approche intègre le triple Bottom line - à savoir les dimensions sociales, environnementales et économiques - dans les stratégies de positionnement et de croissance des entreprises, s'inscrivant ainsi pleinement dans une logique de marque orientée vers une mission sociétale.</w:t>
      </w:r>
      <w:r w:rsidRPr="009E4E23">
        <w:rPr>
          <w:rStyle w:val="Appelnotedebasdep"/>
          <w:rFonts w:asciiTheme="majorBidi" w:hAnsiTheme="majorBidi" w:cstheme="majorBidi"/>
          <w:sz w:val="24"/>
          <w:szCs w:val="24"/>
          <w:lang w:bidi="ar-DZ"/>
        </w:rPr>
        <w:footnoteReference w:id="26"/>
      </w:r>
    </w:p>
    <w:p w:rsidR="005A638F" w:rsidRPr="009E4E23" w:rsidRDefault="005A638F" w:rsidP="006E2FEE">
      <w:pPr>
        <w:spacing w:line="360" w:lineRule="auto"/>
        <w:ind w:firstLine="567"/>
        <w:jc w:val="both"/>
        <w:rPr>
          <w:rFonts w:asciiTheme="majorBidi" w:hAnsiTheme="majorBidi" w:cstheme="majorBidi"/>
          <w:sz w:val="24"/>
          <w:szCs w:val="24"/>
          <w:lang w:bidi="ar-DZ"/>
        </w:rPr>
      </w:pPr>
      <w:r w:rsidRPr="009E4E23">
        <w:rPr>
          <w:rFonts w:asciiTheme="majorBidi" w:hAnsiTheme="majorBidi" w:cstheme="majorBidi"/>
          <w:sz w:val="24"/>
          <w:szCs w:val="24"/>
          <w:lang w:bidi="ar-DZ"/>
        </w:rPr>
        <w:t xml:space="preserve">Le marketing durable repose sur le concept de la </w:t>
      </w:r>
      <w:r w:rsidRPr="009E4E23">
        <w:rPr>
          <w:rFonts w:asciiTheme="majorBidi" w:eastAsia="MS Gothic" w:hAnsiTheme="majorBidi" w:cstheme="majorBidi"/>
          <w:sz w:val="24"/>
          <w:szCs w:val="24"/>
          <w:lang w:bidi="ar-DZ"/>
        </w:rPr>
        <w:t>《</w:t>
      </w:r>
      <w:r w:rsidRPr="009E4E23">
        <w:rPr>
          <w:rFonts w:asciiTheme="majorBidi" w:hAnsiTheme="majorBidi" w:cstheme="majorBidi"/>
          <w:sz w:val="24"/>
          <w:szCs w:val="24"/>
          <w:lang w:bidi="ar-DZ"/>
        </w:rPr>
        <w:t xml:space="preserve">triple performance </w:t>
      </w:r>
      <w:r w:rsidRPr="009E4E23">
        <w:rPr>
          <w:rFonts w:asciiTheme="majorBidi" w:eastAsia="MS Gothic" w:hAnsiTheme="majorBidi" w:cstheme="majorBidi"/>
          <w:sz w:val="24"/>
          <w:szCs w:val="24"/>
          <w:lang w:bidi="ar-DZ"/>
        </w:rPr>
        <w:t>》</w:t>
      </w:r>
      <w:r w:rsidRPr="009E4E23">
        <w:rPr>
          <w:rFonts w:asciiTheme="majorBidi" w:hAnsiTheme="majorBidi" w:cstheme="majorBidi"/>
          <w:sz w:val="24"/>
          <w:szCs w:val="24"/>
          <w:lang w:bidi="ar-DZ"/>
        </w:rPr>
        <w:t xml:space="preserve"> (triple Bottom line), qui intègre trois dimensions complémentaires : l'économique (profit), le social (people) et l'environnement (Planet). La dimension économique reflète la capacité de l'entreprise à améliorer ses résultats financierset à maintenir sa rentabilité, tout en réduisant l'accent sur la réduction des effets nuisibles sur l'écosystème et la préservation des ressources naturelles. Quant à la dimension sociale, elle vise à renforcer </w:t>
      </w:r>
      <w:r w:rsidRPr="00D56A41">
        <w:rPr>
          <w:rFonts w:asciiTheme="majorBidi" w:hAnsiTheme="majorBidi" w:cstheme="majorBidi"/>
          <w:sz w:val="24"/>
          <w:szCs w:val="24"/>
          <w:lang w:bidi="ar-DZ"/>
        </w:rPr>
        <w:t>le bien-être</w:t>
      </w:r>
      <w:r w:rsidRPr="009E4571">
        <w:rPr>
          <w:rFonts w:asciiTheme="majorBidi" w:hAnsiTheme="majorBidi" w:cstheme="majorBidi"/>
          <w:sz w:val="24"/>
          <w:szCs w:val="24"/>
          <w:lang w:bidi="ar-DZ"/>
        </w:rPr>
        <w:t>des individus</w:t>
      </w:r>
      <w:r w:rsidRPr="009E4E23">
        <w:rPr>
          <w:rFonts w:asciiTheme="majorBidi" w:hAnsiTheme="majorBidi" w:cstheme="majorBidi"/>
          <w:sz w:val="24"/>
          <w:szCs w:val="24"/>
          <w:lang w:bidi="ar-DZ"/>
        </w:rPr>
        <w:t xml:space="preserve"> et de la collectivité, tout en limitant les conséquences sociales défavorables. Les chercheurs soulignent que, dans la pratique, l'application de ces trois dimensions reste souvent centrée sur la maximisation du profit, alors qu'il devient nécessaire d'adopter une approche où la durabilité elle-même constitue le cœur de la stratégie, améliorant simultanément la </w:t>
      </w:r>
      <w:r w:rsidR="00F17917" w:rsidRPr="009E4E23">
        <w:rPr>
          <w:rFonts w:asciiTheme="majorBidi" w:hAnsiTheme="majorBidi" w:cstheme="majorBidi"/>
          <w:sz w:val="24"/>
          <w:szCs w:val="24"/>
          <w:lang w:bidi="ar-DZ"/>
        </w:rPr>
        <w:t>bienêtre</w:t>
      </w:r>
      <w:r w:rsidRPr="009E4E23">
        <w:rPr>
          <w:rFonts w:asciiTheme="majorBidi" w:hAnsiTheme="majorBidi" w:cstheme="majorBidi"/>
          <w:sz w:val="24"/>
          <w:szCs w:val="24"/>
          <w:lang w:bidi="ar-DZ"/>
        </w:rPr>
        <w:t xml:space="preserve"> </w:t>
      </w:r>
      <w:r w:rsidRPr="009E4E23">
        <w:rPr>
          <w:rFonts w:asciiTheme="majorBidi" w:hAnsiTheme="majorBidi" w:cstheme="majorBidi"/>
          <w:sz w:val="24"/>
          <w:szCs w:val="24"/>
          <w:lang w:bidi="ar-DZ"/>
        </w:rPr>
        <w:lastRenderedPageBreak/>
        <w:t>social et environnemental tout en maintenant un niveau acceptable de performance financière.</w:t>
      </w:r>
      <w:r w:rsidRPr="009E4E23">
        <w:rPr>
          <w:rStyle w:val="Appelnotedebasdep"/>
          <w:rFonts w:asciiTheme="majorBidi" w:hAnsiTheme="majorBidi" w:cstheme="majorBidi"/>
          <w:sz w:val="24"/>
          <w:szCs w:val="24"/>
          <w:lang w:bidi="ar-DZ"/>
        </w:rPr>
        <w:footnoteReference w:id="27"/>
      </w:r>
    </w:p>
    <w:p w:rsidR="005A638F" w:rsidRDefault="005A638F" w:rsidP="006E2FEE">
      <w:pPr>
        <w:spacing w:after="0" w:line="360" w:lineRule="auto"/>
        <w:ind w:firstLine="567"/>
        <w:jc w:val="both"/>
        <w:rPr>
          <w:rFonts w:asciiTheme="majorBidi" w:hAnsiTheme="majorBidi" w:cstheme="majorBidi"/>
          <w:sz w:val="24"/>
          <w:szCs w:val="24"/>
          <w:lang w:bidi="ar-DZ"/>
        </w:rPr>
      </w:pPr>
      <w:r w:rsidRPr="00777E30">
        <w:rPr>
          <w:rFonts w:asciiTheme="majorBidi" w:hAnsiTheme="majorBidi" w:cstheme="majorBidi"/>
          <w:sz w:val="24"/>
          <w:szCs w:val="24"/>
          <w:lang w:bidi="ar-DZ"/>
        </w:rPr>
        <w:t>Le marketing durable constitue une étape clé dans l’évolution de la pensée marketing, puisqu’il a ouvert la voie à l’émergence de courants plus spécialisés. Parmi ces derniers figure le marketing biologique, qui met l’accent sur la promotion des produits issus de l’agriculture biologique, en lien direct avec la santé et la sécurité alimentaire.</w:t>
      </w:r>
    </w:p>
    <w:p w:rsidR="005A638F" w:rsidRPr="00851C6A" w:rsidRDefault="002E0D1B" w:rsidP="00B20DAD">
      <w:pPr>
        <w:pStyle w:val="Titre4"/>
        <w:spacing w:before="0" w:after="0" w:line="360" w:lineRule="auto"/>
        <w:jc w:val="both"/>
        <w:rPr>
          <w:rFonts w:asciiTheme="majorBidi" w:hAnsiTheme="majorBidi" w:cstheme="majorBidi"/>
          <w:b/>
          <w:bCs/>
          <w:i w:val="0"/>
          <w:iCs w:val="0"/>
          <w:color w:val="auto"/>
          <w:sz w:val="24"/>
          <w:szCs w:val="24"/>
          <w:lang w:bidi="ar-DZ"/>
        </w:rPr>
      </w:pPr>
      <w:bookmarkStart w:id="36" w:name="_Toc230558615"/>
      <w:bookmarkStart w:id="37" w:name="_Toc230900249"/>
      <w:r>
        <w:rPr>
          <w:rFonts w:asciiTheme="majorBidi" w:hAnsiTheme="majorBidi" w:cstheme="majorBidi"/>
          <w:b/>
          <w:bCs/>
          <w:i w:val="0"/>
          <w:iCs w:val="0"/>
          <w:color w:val="auto"/>
          <w:sz w:val="24"/>
          <w:szCs w:val="24"/>
          <w:lang w:bidi="ar-DZ"/>
        </w:rPr>
        <w:t xml:space="preserve">1.4. </w:t>
      </w:r>
      <w:r w:rsidR="00F17917" w:rsidRPr="00851C6A">
        <w:rPr>
          <w:rFonts w:asciiTheme="majorBidi" w:hAnsiTheme="majorBidi" w:cstheme="majorBidi"/>
          <w:b/>
          <w:bCs/>
          <w:i w:val="0"/>
          <w:iCs w:val="0"/>
          <w:color w:val="auto"/>
          <w:sz w:val="24"/>
          <w:szCs w:val="24"/>
          <w:lang w:bidi="ar-DZ"/>
        </w:rPr>
        <w:t>Le marketing biologique</w:t>
      </w:r>
      <w:r w:rsidR="005A638F" w:rsidRPr="00851C6A">
        <w:rPr>
          <w:rFonts w:asciiTheme="majorBidi" w:hAnsiTheme="majorBidi" w:cstheme="majorBidi"/>
          <w:b/>
          <w:bCs/>
          <w:i w:val="0"/>
          <w:iCs w:val="0"/>
          <w:color w:val="auto"/>
          <w:sz w:val="24"/>
          <w:szCs w:val="24"/>
          <w:lang w:bidi="ar-DZ"/>
        </w:rPr>
        <w:t> :</w:t>
      </w:r>
      <w:bookmarkEnd w:id="36"/>
      <w:bookmarkEnd w:id="37"/>
    </w:p>
    <w:p w:rsidR="005A638F" w:rsidRDefault="005A638F" w:rsidP="006E2FEE">
      <w:pPr>
        <w:spacing w:line="360" w:lineRule="auto"/>
        <w:ind w:firstLine="567"/>
        <w:jc w:val="both"/>
        <w:rPr>
          <w:rFonts w:asciiTheme="majorBidi" w:hAnsiTheme="majorBidi" w:cstheme="majorBidi"/>
          <w:sz w:val="24"/>
          <w:szCs w:val="24"/>
          <w:rtl/>
          <w:lang w:bidi="ar-DZ"/>
        </w:rPr>
      </w:pPr>
      <w:r w:rsidRPr="00854A7A">
        <w:rPr>
          <w:rFonts w:asciiTheme="majorBidi" w:hAnsiTheme="majorBidi" w:cstheme="majorBidi"/>
          <w:sz w:val="24"/>
          <w:szCs w:val="24"/>
          <w:lang w:bidi="ar-DZ"/>
        </w:rPr>
        <w:t>Le marketing biologique des produits alimentaires constitue un élément central du système mondial de production biologique. Il repose sur l’intégration des meilleures pratiques environnementales, la promotion d’une biodiversité élevée, la préservation des ressources naturelles et le respect de normes strictes visant à garantir une alimentation saine et sûre pour l’être humain. Ce type de marketing englobe une chaîne complète d’activités allant de l’achat des produits biologiques à leur stockage, leur tri et leur conditionnement, jusqu’à leur distribution via des réseaux de magasins spécialisés, afin de répondre aux attentes des consommateurs soucieux de leur santé et de la sécurité alimentaire.</w:t>
      </w:r>
      <w:r>
        <w:rPr>
          <w:rStyle w:val="Appelnotedebasdep"/>
          <w:rFonts w:asciiTheme="majorBidi" w:hAnsiTheme="majorBidi" w:cstheme="majorBidi"/>
          <w:sz w:val="24"/>
          <w:szCs w:val="24"/>
          <w:lang w:bidi="ar-DZ"/>
        </w:rPr>
        <w:footnoteReference w:id="28"/>
      </w:r>
    </w:p>
    <w:p w:rsidR="005A638F" w:rsidRPr="00E03E55" w:rsidRDefault="005A638F" w:rsidP="006E2FEE">
      <w:pPr>
        <w:spacing w:line="360" w:lineRule="auto"/>
        <w:ind w:firstLine="567"/>
        <w:jc w:val="both"/>
        <w:rPr>
          <w:rFonts w:asciiTheme="majorBidi" w:hAnsiTheme="majorBidi" w:cstheme="majorBidi"/>
          <w:sz w:val="24"/>
          <w:szCs w:val="24"/>
          <w:lang w:bidi="ar-DZ"/>
        </w:rPr>
      </w:pPr>
      <w:r w:rsidRPr="00E03E55">
        <w:rPr>
          <w:rFonts w:asciiTheme="majorBidi" w:hAnsiTheme="majorBidi" w:cstheme="majorBidi"/>
          <w:sz w:val="24"/>
          <w:szCs w:val="24"/>
          <w:lang w:bidi="ar-DZ"/>
        </w:rPr>
        <w:t xml:space="preserve">Nous avons vu que, d’un marketing traditionnel essentiellement centré sur la vente </w:t>
      </w:r>
      <w:r>
        <w:rPr>
          <w:rStyle w:val="Appelnotedebasdep"/>
          <w:rFonts w:asciiTheme="majorBidi" w:hAnsiTheme="majorBidi" w:cstheme="majorBidi"/>
          <w:sz w:val="24"/>
          <w:szCs w:val="24"/>
          <w:lang w:bidi="ar-DZ"/>
        </w:rPr>
        <w:footnoteReference w:id="29"/>
      </w:r>
      <w:r w:rsidRPr="00E03E55">
        <w:rPr>
          <w:rFonts w:asciiTheme="majorBidi" w:hAnsiTheme="majorBidi" w:cstheme="majorBidi"/>
          <w:sz w:val="24"/>
          <w:szCs w:val="24"/>
          <w:lang w:bidi="ar-DZ"/>
        </w:rPr>
        <w:t xml:space="preserve">, le marketing est devenu un processus social universel basé sur la création de valeur </w:t>
      </w:r>
      <w:r>
        <w:rPr>
          <w:rStyle w:val="Appelnotedebasdep"/>
          <w:rFonts w:asciiTheme="majorBidi" w:hAnsiTheme="majorBidi" w:cstheme="majorBidi"/>
          <w:sz w:val="24"/>
          <w:szCs w:val="24"/>
          <w:lang w:bidi="ar-DZ"/>
        </w:rPr>
        <w:footnoteReference w:id="30"/>
      </w:r>
      <w:r w:rsidRPr="00E03E55">
        <w:rPr>
          <w:rFonts w:asciiTheme="majorBidi" w:hAnsiTheme="majorBidi" w:cstheme="majorBidi"/>
          <w:sz w:val="24"/>
          <w:szCs w:val="24"/>
          <w:lang w:bidi="ar-DZ"/>
        </w:rPr>
        <w:t xml:space="preserve">. Le développement du marketing vert au début des années 1990, censé résoudre en partie les problèmes de dégradation environnementale associés à l’accroissement des activités commerciales </w:t>
      </w:r>
      <w:r>
        <w:rPr>
          <w:rStyle w:val="Appelnotedebasdep"/>
          <w:rFonts w:asciiTheme="majorBidi" w:hAnsiTheme="majorBidi" w:cstheme="majorBidi"/>
          <w:sz w:val="24"/>
          <w:szCs w:val="24"/>
          <w:lang w:bidi="ar-DZ"/>
        </w:rPr>
        <w:footnoteReference w:id="31"/>
      </w:r>
      <w:r w:rsidRPr="00E03E55">
        <w:rPr>
          <w:rFonts w:asciiTheme="majorBidi" w:hAnsiTheme="majorBidi" w:cstheme="majorBidi"/>
          <w:sz w:val="24"/>
          <w:szCs w:val="24"/>
          <w:lang w:bidi="ar-DZ"/>
        </w:rPr>
        <w:t xml:space="preserve">, s’est heurter à des problèmes intrinsèques au concept de marketing vert, dont le greenwashing </w:t>
      </w:r>
      <w:r>
        <w:rPr>
          <w:rStyle w:val="Appelnotedebasdep"/>
          <w:rFonts w:asciiTheme="majorBidi" w:hAnsiTheme="majorBidi" w:cstheme="majorBidi"/>
          <w:sz w:val="24"/>
          <w:szCs w:val="24"/>
          <w:lang w:bidi="ar-DZ"/>
        </w:rPr>
        <w:footnoteReference w:id="32"/>
      </w:r>
      <w:r w:rsidRPr="00E03E55">
        <w:rPr>
          <w:rFonts w:asciiTheme="majorBidi" w:hAnsiTheme="majorBidi" w:cstheme="majorBidi"/>
          <w:sz w:val="24"/>
          <w:szCs w:val="24"/>
          <w:lang w:bidi="ar-DZ"/>
        </w:rPr>
        <w:t xml:space="preserve">, et a conduit à l’apparition d’un marketing durable prenant pleinement en compte tout à la fois les dimensions économique, sociale et environnementale </w:t>
      </w:r>
      <w:r>
        <w:rPr>
          <w:rStyle w:val="Appelnotedebasdep"/>
          <w:rFonts w:asciiTheme="majorBidi" w:hAnsiTheme="majorBidi" w:cstheme="majorBidi"/>
          <w:sz w:val="24"/>
          <w:szCs w:val="24"/>
          <w:lang w:bidi="ar-DZ"/>
        </w:rPr>
        <w:footnoteReference w:id="33"/>
      </w:r>
      <w:r w:rsidRPr="00E03E55">
        <w:rPr>
          <w:rFonts w:asciiTheme="majorBidi" w:hAnsiTheme="majorBidi" w:cstheme="majorBidi"/>
          <w:sz w:val="24"/>
          <w:szCs w:val="24"/>
          <w:lang w:bidi="ar-DZ"/>
        </w:rPr>
        <w:t xml:space="preserve"> et ouvrir la </w:t>
      </w:r>
      <w:r w:rsidRPr="00E03E55">
        <w:rPr>
          <w:rFonts w:asciiTheme="majorBidi" w:hAnsiTheme="majorBidi" w:cstheme="majorBidi"/>
          <w:sz w:val="24"/>
          <w:szCs w:val="24"/>
          <w:lang w:bidi="ar-DZ"/>
        </w:rPr>
        <w:lastRenderedPageBreak/>
        <w:t xml:space="preserve">voie à de nouveaux courants spécialisés, comme le marketing biologique, prenant en compte la santé et la sécurité alimentaires </w:t>
      </w:r>
      <w:r>
        <w:rPr>
          <w:rStyle w:val="Appelnotedebasdep"/>
          <w:rFonts w:asciiTheme="majorBidi" w:hAnsiTheme="majorBidi" w:cstheme="majorBidi"/>
          <w:sz w:val="24"/>
          <w:szCs w:val="24"/>
          <w:lang w:bidi="ar-DZ"/>
        </w:rPr>
        <w:footnoteReference w:id="34"/>
      </w:r>
      <w:r w:rsidRPr="00E03E55">
        <w:rPr>
          <w:rFonts w:asciiTheme="majorBidi" w:hAnsiTheme="majorBidi" w:cstheme="majorBidi"/>
          <w:sz w:val="24"/>
          <w:szCs w:val="24"/>
          <w:lang w:bidi="ar-DZ"/>
        </w:rPr>
        <w:t>.</w:t>
      </w:r>
    </w:p>
    <w:p w:rsidR="005A638F" w:rsidRPr="00F17917" w:rsidRDefault="005A638F" w:rsidP="00B20DAD">
      <w:pPr>
        <w:spacing w:after="0" w:line="360" w:lineRule="auto"/>
        <w:jc w:val="both"/>
        <w:rPr>
          <w:rFonts w:asciiTheme="majorBidi" w:hAnsiTheme="majorBidi" w:cstheme="majorBidi"/>
          <w:sz w:val="24"/>
          <w:szCs w:val="24"/>
          <w:lang w:bidi="ar-DZ"/>
        </w:rPr>
      </w:pPr>
      <w:r w:rsidRPr="00E03E55">
        <w:rPr>
          <w:rFonts w:asciiTheme="majorBidi" w:hAnsiTheme="majorBidi" w:cstheme="majorBidi"/>
          <w:sz w:val="24"/>
          <w:szCs w:val="24"/>
          <w:lang w:bidi="ar-DZ"/>
        </w:rPr>
        <w:t>Nous focaliserons notre recherche sur le passage d’un marketing d’abord centré sur</w:t>
      </w:r>
      <w:r w:rsidR="00F17917">
        <w:rPr>
          <w:rFonts w:asciiTheme="majorBidi" w:hAnsiTheme="majorBidi" w:cstheme="majorBidi"/>
          <w:sz w:val="24"/>
          <w:szCs w:val="24"/>
          <w:lang w:bidi="ar-DZ"/>
        </w:rPr>
        <w:t xml:space="preserve"> p</w:t>
      </w:r>
      <w:r w:rsidRPr="00E03E55">
        <w:rPr>
          <w:rFonts w:asciiTheme="majorBidi" w:hAnsiTheme="majorBidi" w:cstheme="majorBidi"/>
          <w:sz w:val="24"/>
          <w:szCs w:val="24"/>
          <w:lang w:bidi="ar-DZ"/>
        </w:rPr>
        <w:t xml:space="preserve">erformance commerciale à un marketing supérieur prenant en compte les </w:t>
      </w:r>
      <w:r w:rsidR="00F17917">
        <w:rPr>
          <w:rFonts w:asciiTheme="majorBidi" w:hAnsiTheme="majorBidi" w:cstheme="majorBidi"/>
          <w:sz w:val="24"/>
          <w:szCs w:val="24"/>
          <w:lang w:bidi="ar-DZ"/>
        </w:rPr>
        <w:t>e</w:t>
      </w:r>
      <w:r w:rsidRPr="00E03E55">
        <w:rPr>
          <w:rFonts w:asciiTheme="majorBidi" w:hAnsiTheme="majorBidi" w:cstheme="majorBidi"/>
          <w:sz w:val="24"/>
          <w:szCs w:val="24"/>
          <w:lang w:bidi="ar-DZ"/>
        </w:rPr>
        <w:t>njeux environnementaux et sanitaires.</w:t>
      </w:r>
    </w:p>
    <w:p w:rsidR="005A638F" w:rsidRPr="002E0D1B" w:rsidRDefault="005A638F" w:rsidP="00D078CC">
      <w:pPr>
        <w:pStyle w:val="Titre3"/>
        <w:numPr>
          <w:ilvl w:val="0"/>
          <w:numId w:val="37"/>
        </w:numPr>
        <w:spacing w:before="0" w:after="0" w:line="360" w:lineRule="auto"/>
        <w:jc w:val="both"/>
        <w:rPr>
          <w:rFonts w:asciiTheme="majorBidi" w:hAnsiTheme="majorBidi" w:cstheme="majorBidi"/>
          <w:b/>
          <w:bCs/>
          <w:color w:val="auto"/>
          <w:sz w:val="24"/>
          <w:szCs w:val="24"/>
        </w:rPr>
      </w:pPr>
      <w:bookmarkStart w:id="38" w:name="_Toc230558616"/>
      <w:bookmarkStart w:id="39" w:name="_Toc230900250"/>
      <w:r w:rsidRPr="002E0D1B">
        <w:rPr>
          <w:rFonts w:asciiTheme="majorBidi" w:hAnsiTheme="majorBidi" w:cstheme="majorBidi"/>
          <w:b/>
          <w:bCs/>
          <w:color w:val="auto"/>
          <w:sz w:val="24"/>
          <w:szCs w:val="24"/>
        </w:rPr>
        <w:t>La</w:t>
      </w:r>
      <w:r w:rsidRPr="002E0D1B">
        <w:rPr>
          <w:rFonts w:asciiTheme="majorBidi" w:hAnsiTheme="majorBidi" w:cstheme="majorBidi"/>
          <w:b/>
          <w:bCs/>
          <w:color w:val="auto"/>
          <w:sz w:val="24"/>
          <w:szCs w:val="24"/>
          <w:lang w:bidi="ar-DZ"/>
        </w:rPr>
        <w:t xml:space="preserve"> différence entre le marketing vert et le marketing biologique</w:t>
      </w:r>
      <w:bookmarkEnd w:id="38"/>
      <w:bookmarkEnd w:id="39"/>
    </w:p>
    <w:p w:rsidR="005A638F" w:rsidRPr="002E0D1B" w:rsidRDefault="002E0D1B" w:rsidP="00B20DAD">
      <w:pPr>
        <w:pStyle w:val="Titre4"/>
        <w:spacing w:before="0" w:after="0" w:line="360" w:lineRule="auto"/>
        <w:jc w:val="both"/>
        <w:rPr>
          <w:rFonts w:asciiTheme="majorBidi" w:hAnsiTheme="majorBidi" w:cstheme="majorBidi"/>
          <w:b/>
          <w:bCs/>
          <w:i w:val="0"/>
          <w:iCs w:val="0"/>
          <w:color w:val="auto"/>
          <w:sz w:val="24"/>
          <w:szCs w:val="24"/>
        </w:rPr>
      </w:pPr>
      <w:bookmarkStart w:id="40" w:name="_Toc230558617"/>
      <w:bookmarkStart w:id="41" w:name="_Toc230900251"/>
      <w:r>
        <w:rPr>
          <w:rFonts w:asciiTheme="majorBidi" w:hAnsiTheme="majorBidi" w:cstheme="majorBidi"/>
          <w:b/>
          <w:bCs/>
          <w:i w:val="0"/>
          <w:iCs w:val="0"/>
          <w:color w:val="auto"/>
          <w:sz w:val="24"/>
          <w:szCs w:val="24"/>
          <w:lang w:bidi="ar-DZ"/>
        </w:rPr>
        <w:t xml:space="preserve">2.1. </w:t>
      </w:r>
      <w:r w:rsidR="005A638F" w:rsidRPr="002E0D1B">
        <w:rPr>
          <w:rFonts w:asciiTheme="majorBidi" w:hAnsiTheme="majorBidi" w:cstheme="majorBidi"/>
          <w:b/>
          <w:bCs/>
          <w:i w:val="0"/>
          <w:iCs w:val="0"/>
          <w:color w:val="auto"/>
          <w:sz w:val="24"/>
          <w:szCs w:val="24"/>
          <w:lang w:bidi="ar-DZ"/>
        </w:rPr>
        <w:t>En termes d’objectif :</w:t>
      </w:r>
      <w:bookmarkEnd w:id="40"/>
      <w:bookmarkEnd w:id="41"/>
    </w:p>
    <w:p w:rsidR="005A638F" w:rsidRDefault="005A638F" w:rsidP="006E2FEE">
      <w:pPr>
        <w:spacing w:after="0"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Le marketing vert vise à protéger l'environnement contre les menaces telles que la pollution, le gaspillage alimentaire et la déforestation. Les entreprises ont commencé à adopter des méthodes de production respectueuses de l'environnement, en même temps que la prise de conscience croissante des consommateurs de leur importance et de leur impact positif sur la santé humaine.</w:t>
      </w:r>
      <w:r>
        <w:rPr>
          <w:rStyle w:val="Appelnotedebasdep"/>
          <w:rFonts w:ascii="Times New Roman" w:hAnsi="Times New Roman" w:cs="Times New Roman"/>
          <w:sz w:val="24"/>
          <w:szCs w:val="24"/>
          <w:lang w:bidi="ar-DZ"/>
        </w:rPr>
        <w:footnoteReference w:id="35"/>
      </w:r>
      <w:r>
        <w:rPr>
          <w:rFonts w:ascii="Times New Roman" w:hAnsi="Times New Roman" w:cs="Times New Roman"/>
          <w:sz w:val="24"/>
          <w:szCs w:val="24"/>
          <w:lang w:bidi="ar-DZ"/>
        </w:rPr>
        <w:t xml:space="preserve"> Alors que l'objectif de marketing des produits biologiques est de fournir une alimentation saine et sûre et d'encourager des modes de production respectueux de l'environnement et préservant les ressources naturelles, elle vise également à sensibiliser les consommateurs à l'importance de ces produits et à leurs bienfaits pour la santé et l'environnement en respectant les normes et les lois relatives à la qualité et à la sécurité alimentaire.</w:t>
      </w:r>
      <w:r>
        <w:rPr>
          <w:rStyle w:val="Appelnotedebasdep"/>
          <w:rFonts w:ascii="Times New Roman" w:hAnsi="Times New Roman" w:cs="Times New Roman"/>
          <w:sz w:val="24"/>
          <w:szCs w:val="24"/>
          <w:lang w:bidi="ar-DZ"/>
        </w:rPr>
        <w:footnoteReference w:id="36"/>
      </w:r>
    </w:p>
    <w:p w:rsidR="005A638F" w:rsidRPr="00CC0DFF" w:rsidRDefault="00CC0DFF" w:rsidP="00B20DAD">
      <w:pPr>
        <w:pStyle w:val="Titre4"/>
        <w:spacing w:before="0" w:after="0" w:line="360" w:lineRule="auto"/>
        <w:jc w:val="both"/>
        <w:rPr>
          <w:rFonts w:asciiTheme="majorBidi" w:hAnsiTheme="majorBidi" w:cstheme="majorBidi"/>
          <w:b/>
          <w:bCs/>
          <w:i w:val="0"/>
          <w:iCs w:val="0"/>
          <w:color w:val="auto"/>
          <w:sz w:val="24"/>
          <w:szCs w:val="24"/>
        </w:rPr>
      </w:pPr>
      <w:bookmarkStart w:id="42" w:name="_Toc230558618"/>
      <w:bookmarkStart w:id="43" w:name="_Toc230900252"/>
      <w:r>
        <w:rPr>
          <w:rFonts w:asciiTheme="majorBidi" w:hAnsiTheme="majorBidi" w:cstheme="majorBidi"/>
          <w:b/>
          <w:bCs/>
          <w:i w:val="0"/>
          <w:iCs w:val="0"/>
          <w:color w:val="auto"/>
          <w:sz w:val="24"/>
          <w:szCs w:val="24"/>
          <w:lang w:bidi="ar-DZ"/>
        </w:rPr>
        <w:t xml:space="preserve">2.2. </w:t>
      </w:r>
      <w:r w:rsidR="005A638F" w:rsidRPr="00CC0DFF">
        <w:rPr>
          <w:rFonts w:asciiTheme="majorBidi" w:hAnsiTheme="majorBidi" w:cstheme="majorBidi"/>
          <w:b/>
          <w:bCs/>
          <w:i w:val="0"/>
          <w:iCs w:val="0"/>
          <w:color w:val="auto"/>
          <w:sz w:val="24"/>
          <w:szCs w:val="24"/>
          <w:lang w:bidi="ar-DZ"/>
        </w:rPr>
        <w:t>En termes de domaine d’application :</w:t>
      </w:r>
      <w:bookmarkEnd w:id="42"/>
      <w:bookmarkEnd w:id="43"/>
    </w:p>
    <w:p w:rsidR="000052F0" w:rsidRPr="0066256C" w:rsidRDefault="005A638F" w:rsidP="0066256C">
      <w:pPr>
        <w:spacing w:after="0"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L'application du marketing vert s'étend à différents secteurs et industries, comprenant cinq domaines principaux : la durabilité du produit, l'emballage écologique, la publicité verte, l'approvisionnement durable et la responsabilité sociale des entreprises. L'accent mis par les entreprises est principalement sur la durabilité et la responsabilité sociale. De plus, le marketing vert englobe toutes les activités commerciales qui prennent en compte les pratiques environnementales</w:t>
      </w:r>
      <w:r>
        <w:rPr>
          <w:rStyle w:val="Appelnotedebasdep"/>
          <w:rFonts w:ascii="Times New Roman" w:hAnsi="Times New Roman" w:cs="Times New Roman"/>
          <w:sz w:val="24"/>
          <w:szCs w:val="24"/>
          <w:lang w:bidi="ar-DZ"/>
        </w:rPr>
        <w:footnoteReference w:id="37"/>
      </w:r>
      <w:r>
        <w:rPr>
          <w:rFonts w:ascii="Times New Roman" w:hAnsi="Times New Roman" w:cs="Times New Roman"/>
          <w:sz w:val="24"/>
          <w:szCs w:val="24"/>
          <w:lang w:bidi="ar-DZ"/>
        </w:rPr>
        <w:t xml:space="preserve"> , À l'inverse, le marketing des produits biologiques se restreint aux produits agricoles et alimentaires, puisqu'ils sont élaborés sans l'ajout de pesticides agricoles ni d'engrais chimiques, et sans l'emploi de semences génétiquement modifiées, dans le but </w:t>
      </w:r>
      <w:r>
        <w:rPr>
          <w:rFonts w:ascii="Times New Roman" w:hAnsi="Times New Roman" w:cs="Times New Roman"/>
          <w:sz w:val="24"/>
          <w:szCs w:val="24"/>
          <w:lang w:bidi="ar-DZ"/>
        </w:rPr>
        <w:lastRenderedPageBreak/>
        <w:t>d'assurer une alimentation saine et adaptée aux consommateurs et d'éviter toute contamination par des intrants artificiels.</w:t>
      </w:r>
      <w:r>
        <w:rPr>
          <w:rStyle w:val="Appelnotedebasdep"/>
          <w:rFonts w:ascii="Times New Roman" w:hAnsi="Times New Roman" w:cs="Times New Roman"/>
          <w:sz w:val="24"/>
          <w:szCs w:val="24"/>
          <w:lang w:bidi="ar-DZ"/>
        </w:rPr>
        <w:footnoteReference w:id="38"/>
      </w:r>
    </w:p>
    <w:p w:rsidR="005A638F" w:rsidRPr="00CC0DFF" w:rsidRDefault="005A638F" w:rsidP="00D078CC">
      <w:pPr>
        <w:pStyle w:val="Titre3"/>
        <w:numPr>
          <w:ilvl w:val="0"/>
          <w:numId w:val="37"/>
        </w:numPr>
        <w:spacing w:before="0" w:after="0" w:line="360" w:lineRule="auto"/>
        <w:jc w:val="both"/>
        <w:rPr>
          <w:rFonts w:asciiTheme="majorBidi" w:hAnsiTheme="majorBidi" w:cstheme="majorBidi"/>
          <w:b/>
          <w:bCs/>
          <w:color w:val="auto"/>
          <w:sz w:val="24"/>
          <w:szCs w:val="24"/>
          <w:lang w:bidi="ar-DZ"/>
        </w:rPr>
      </w:pPr>
      <w:bookmarkStart w:id="44" w:name="_Toc230558619"/>
      <w:bookmarkStart w:id="45" w:name="_Toc230900253"/>
      <w:r w:rsidRPr="00CC0DFF">
        <w:rPr>
          <w:rFonts w:asciiTheme="majorBidi" w:hAnsiTheme="majorBidi" w:cstheme="majorBidi"/>
          <w:b/>
          <w:bCs/>
          <w:color w:val="auto"/>
          <w:sz w:val="24"/>
          <w:szCs w:val="24"/>
          <w:lang w:bidi="ar-DZ"/>
        </w:rPr>
        <w:t>Les éléments du mix marketing pour les produits biologiques</w:t>
      </w:r>
      <w:bookmarkEnd w:id="44"/>
      <w:bookmarkEnd w:id="45"/>
    </w:p>
    <w:p w:rsidR="005A638F" w:rsidRPr="00CC0DFF" w:rsidRDefault="00CC0DFF" w:rsidP="00B20DAD">
      <w:pPr>
        <w:pStyle w:val="Titre4"/>
        <w:spacing w:before="0" w:after="0" w:line="360" w:lineRule="auto"/>
        <w:jc w:val="both"/>
        <w:rPr>
          <w:rFonts w:asciiTheme="majorBidi" w:hAnsiTheme="majorBidi" w:cstheme="majorBidi"/>
          <w:b/>
          <w:bCs/>
          <w:i w:val="0"/>
          <w:iCs w:val="0"/>
          <w:color w:val="auto"/>
          <w:sz w:val="24"/>
          <w:szCs w:val="24"/>
        </w:rPr>
      </w:pPr>
      <w:bookmarkStart w:id="46" w:name="_Toc230558620"/>
      <w:bookmarkStart w:id="47" w:name="_Toc230900254"/>
      <w:r>
        <w:rPr>
          <w:rFonts w:asciiTheme="majorBidi" w:hAnsiTheme="majorBidi" w:cstheme="majorBidi"/>
          <w:b/>
          <w:bCs/>
          <w:i w:val="0"/>
          <w:iCs w:val="0"/>
          <w:color w:val="auto"/>
          <w:sz w:val="24"/>
          <w:szCs w:val="24"/>
          <w:lang w:bidi="ar-DZ"/>
        </w:rPr>
        <w:t xml:space="preserve">3.1. </w:t>
      </w:r>
      <w:r w:rsidR="005A638F" w:rsidRPr="00CC0DFF">
        <w:rPr>
          <w:rFonts w:asciiTheme="majorBidi" w:hAnsiTheme="majorBidi" w:cstheme="majorBidi"/>
          <w:b/>
          <w:bCs/>
          <w:i w:val="0"/>
          <w:iCs w:val="0"/>
          <w:color w:val="auto"/>
          <w:sz w:val="24"/>
          <w:szCs w:val="24"/>
          <w:lang w:bidi="ar-DZ"/>
        </w:rPr>
        <w:t>Politique produit :</w:t>
      </w:r>
      <w:bookmarkEnd w:id="46"/>
      <w:bookmarkEnd w:id="47"/>
    </w:p>
    <w:p w:rsidR="005A638F" w:rsidRDefault="005A638F" w:rsidP="00B20DAD">
      <w:pPr>
        <w:spacing w:after="0"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P. Kotler définit le produit comme "tout ce qui peut être offert sur le marché dans le but d'attirer l'attention, de l'obtenir, de l'utiliser ou de le consommer, ce qui peut satisfaire un désir ou un besoin, Cela inclut les objets matériels, les services, les personnes, les lieux, les organisations, les idées, les événements, ou un mélange de ces éléments. "</w:t>
      </w:r>
      <w:r>
        <w:rPr>
          <w:rStyle w:val="Appelnotedebasdep"/>
          <w:rFonts w:ascii="Times New Roman" w:hAnsi="Times New Roman" w:cs="Times New Roman"/>
          <w:sz w:val="24"/>
          <w:szCs w:val="24"/>
          <w:lang w:bidi="ar-DZ"/>
        </w:rPr>
        <w:footnoteReference w:id="39"/>
      </w:r>
    </w:p>
    <w:p w:rsidR="005A638F" w:rsidRDefault="005A638F" w:rsidP="00B20DAD">
      <w:pPr>
        <w:spacing w:after="0" w:line="360" w:lineRule="auto"/>
        <w:ind w:firstLine="567"/>
        <w:jc w:val="lowKashida"/>
        <w:rPr>
          <w:rFonts w:ascii="Times New Roman" w:hAnsi="Times New Roman" w:cs="Times New Roman"/>
          <w:sz w:val="24"/>
          <w:szCs w:val="24"/>
          <w:lang w:bidi="ar-DZ"/>
        </w:rPr>
      </w:pPr>
      <w:r>
        <w:rPr>
          <w:rFonts w:ascii="Times New Roman" w:hAnsi="Times New Roman" w:cs="Times New Roman"/>
          <w:sz w:val="24"/>
          <w:szCs w:val="24"/>
          <w:lang w:bidi="ar-DZ"/>
        </w:rPr>
        <w:t>Un produit biologique est défini comme un produit qui a été cultivé, élaboré, entreposé, acheminé et vendu en conformité avec les normes de l'Union européenne concernant l'agriculture biologique. Il arbore le label bio ou eco, certifié par des entités privées. Son étiquette peut être indépendante ou combinée avec un autre terme dans n'importe quelle communauté et langue pour sa présentation et sa promotion. Le produit peut être composé d'au moins 95% d'ingrédients biologiques, voire de 100%, excepté l'eau, le sel et les additifs approuvés par l'Union européenne pour l'agriculture biologique</w:t>
      </w:r>
      <w:r>
        <w:rPr>
          <w:rStyle w:val="Appelnotedebasdep"/>
          <w:rFonts w:ascii="Times New Roman" w:hAnsi="Times New Roman" w:cs="Times New Roman"/>
          <w:sz w:val="24"/>
          <w:szCs w:val="24"/>
          <w:lang w:bidi="ar-DZ"/>
        </w:rPr>
        <w:footnoteReference w:id="40"/>
      </w:r>
    </w:p>
    <w:p w:rsidR="005A638F" w:rsidRPr="00CC0DFF" w:rsidRDefault="00CC0DFF" w:rsidP="00B20DAD">
      <w:pPr>
        <w:pStyle w:val="Titre4"/>
        <w:spacing w:before="0" w:after="0" w:line="360" w:lineRule="auto"/>
        <w:jc w:val="lowKashida"/>
        <w:rPr>
          <w:rFonts w:asciiTheme="majorBidi" w:hAnsiTheme="majorBidi" w:cstheme="majorBidi"/>
          <w:b/>
          <w:bCs/>
          <w:i w:val="0"/>
          <w:iCs w:val="0"/>
          <w:color w:val="auto"/>
          <w:sz w:val="24"/>
          <w:szCs w:val="24"/>
        </w:rPr>
      </w:pPr>
      <w:bookmarkStart w:id="48" w:name="_Toc230558621"/>
      <w:bookmarkStart w:id="49" w:name="_Toc230900255"/>
      <w:r>
        <w:rPr>
          <w:rFonts w:asciiTheme="majorBidi" w:hAnsiTheme="majorBidi" w:cstheme="majorBidi"/>
          <w:b/>
          <w:bCs/>
          <w:i w:val="0"/>
          <w:iCs w:val="0"/>
          <w:color w:val="auto"/>
          <w:sz w:val="24"/>
          <w:szCs w:val="24"/>
          <w:lang w:bidi="ar-DZ"/>
        </w:rPr>
        <w:t xml:space="preserve">3.2. </w:t>
      </w:r>
      <w:r w:rsidR="000052F0" w:rsidRPr="00CC0DFF">
        <w:rPr>
          <w:rFonts w:asciiTheme="majorBidi" w:hAnsiTheme="majorBidi" w:cstheme="majorBidi"/>
          <w:b/>
          <w:bCs/>
          <w:i w:val="0"/>
          <w:iCs w:val="0"/>
          <w:color w:val="auto"/>
          <w:sz w:val="24"/>
          <w:szCs w:val="24"/>
          <w:lang w:bidi="ar-DZ"/>
        </w:rPr>
        <w:t>P</w:t>
      </w:r>
      <w:r w:rsidR="005A638F" w:rsidRPr="00CC0DFF">
        <w:rPr>
          <w:rFonts w:asciiTheme="majorBidi" w:hAnsiTheme="majorBidi" w:cstheme="majorBidi"/>
          <w:b/>
          <w:bCs/>
          <w:i w:val="0"/>
          <w:iCs w:val="0"/>
          <w:color w:val="auto"/>
          <w:sz w:val="24"/>
          <w:szCs w:val="24"/>
          <w:lang w:bidi="ar-DZ"/>
        </w:rPr>
        <w:t>olitique prix :</w:t>
      </w:r>
      <w:bookmarkEnd w:id="48"/>
      <w:bookmarkEnd w:id="49"/>
    </w:p>
    <w:p w:rsidR="005A638F" w:rsidRDefault="005A638F" w:rsidP="00B20DAD">
      <w:pPr>
        <w:spacing w:after="0" w:line="360" w:lineRule="auto"/>
        <w:ind w:firstLine="567"/>
        <w:jc w:val="lowKashida"/>
      </w:pPr>
      <w:r>
        <w:rPr>
          <w:rFonts w:ascii="Times New Roman" w:hAnsi="Times New Roman" w:cs="Times New Roman"/>
          <w:sz w:val="24"/>
          <w:szCs w:val="24"/>
          <w:lang w:bidi="ar-DZ"/>
        </w:rPr>
        <w:t xml:space="preserve">Le prix représente le deuxième aspect du mix marketing à travers lequel nous générons des revenus, tandis que les autres composants du mix marketing sont liés aux dépenses. Par conséquent, le prix doit être en accord avec la qualité, le design, l'emballage et toutes les caractéristiques et fonctions essentielles du produit, tout en montrant la productivité réalisée en même temps. </w:t>
      </w:r>
      <w:r>
        <w:rPr>
          <w:rStyle w:val="Appelnotedebasdep"/>
          <w:rFonts w:ascii="Times New Roman" w:hAnsi="Times New Roman" w:cs="Times New Roman"/>
          <w:sz w:val="24"/>
          <w:szCs w:val="24"/>
          <w:lang w:bidi="ar-DZ"/>
        </w:rPr>
        <w:footnoteReference w:id="41"/>
      </w:r>
    </w:p>
    <w:p w:rsidR="005A638F" w:rsidRDefault="00CC0DFF" w:rsidP="00B20DAD">
      <w:pPr>
        <w:spacing w:line="360" w:lineRule="auto"/>
        <w:jc w:val="lowKashida"/>
      </w:pPr>
      <w:r>
        <w:rPr>
          <w:rFonts w:ascii="Times New Roman" w:hAnsi="Times New Roman" w:cs="Times New Roman"/>
          <w:b/>
          <w:bCs/>
          <w:sz w:val="24"/>
          <w:szCs w:val="24"/>
          <w:lang w:bidi="ar-DZ"/>
        </w:rPr>
        <w:t>-</w:t>
      </w:r>
      <w:r w:rsidR="005A638F" w:rsidRPr="00CC0DFF">
        <w:rPr>
          <w:rFonts w:ascii="Times New Roman" w:hAnsi="Times New Roman" w:cs="Times New Roman"/>
          <w:b/>
          <w:bCs/>
          <w:sz w:val="24"/>
          <w:szCs w:val="24"/>
          <w:lang w:bidi="ar-DZ"/>
        </w:rPr>
        <w:t>Les facteurs influençant le prix des produits biologiques :</w:t>
      </w:r>
      <w:r w:rsidR="005A638F">
        <w:rPr>
          <w:rStyle w:val="Appelnotedebasdep"/>
          <w:rFonts w:ascii="Times New Roman" w:hAnsi="Times New Roman" w:cs="Times New Roman"/>
          <w:b/>
          <w:bCs/>
          <w:sz w:val="24"/>
          <w:szCs w:val="24"/>
          <w:lang w:bidi="ar-DZ"/>
        </w:rPr>
        <w:footnoteReference w:id="42"/>
      </w:r>
    </w:p>
    <w:p w:rsidR="005A638F" w:rsidRDefault="005A638F" w:rsidP="00B20DAD">
      <w:pPr>
        <w:spacing w:line="360" w:lineRule="auto"/>
        <w:jc w:val="lowKashida"/>
      </w:pPr>
      <w:r>
        <w:rPr>
          <w:rFonts w:ascii="Times New Roman" w:hAnsi="Times New Roman" w:cs="Times New Roman"/>
          <w:b/>
          <w:bCs/>
          <w:sz w:val="24"/>
          <w:szCs w:val="24"/>
          <w:lang w:bidi="ar-DZ"/>
        </w:rPr>
        <w:t xml:space="preserve">Méthode de distribution : </w:t>
      </w:r>
      <w:r>
        <w:rPr>
          <w:rFonts w:ascii="Times New Roman" w:hAnsi="Times New Roman" w:cs="Times New Roman"/>
          <w:sz w:val="24"/>
          <w:szCs w:val="24"/>
          <w:lang w:bidi="ar-DZ"/>
        </w:rPr>
        <w:t xml:space="preserve">Les prix fluctuent d'un point de vente à l'autre, le coût étant distinct sur le marché agricole comparé aux supermarchés, aux fournisseurs en gros et aux restaurants. Il est préférable d'opter pour la distribution directe par les fermiers ou la vente en ligne, car cela permet aux agriculteurs de minimiser les frais, notamment ceux associés au déplacement du produit du site de production vers le lieu de distribution13. Pour contrer le </w:t>
      </w:r>
      <w:r>
        <w:rPr>
          <w:rFonts w:ascii="Times New Roman" w:hAnsi="Times New Roman" w:cs="Times New Roman"/>
          <w:sz w:val="24"/>
          <w:szCs w:val="24"/>
          <w:lang w:bidi="ar-DZ"/>
        </w:rPr>
        <w:lastRenderedPageBreak/>
        <w:t>défi du coût élevé des produits bio, les producteurs peuvent consulter des experts en marketing afin d'adopter les stratégies de commercialisation les plus efficaces pour proposer leurs produits à des tarifs avantageux.</w:t>
      </w:r>
    </w:p>
    <w:p w:rsidR="005A638F" w:rsidRDefault="005A638F" w:rsidP="00B20DAD">
      <w:pPr>
        <w:spacing w:line="360" w:lineRule="auto"/>
        <w:jc w:val="lowKashida"/>
      </w:pPr>
      <w:r>
        <w:rPr>
          <w:rFonts w:ascii="Times New Roman" w:hAnsi="Times New Roman" w:cs="Times New Roman"/>
          <w:b/>
          <w:bCs/>
          <w:sz w:val="24"/>
          <w:szCs w:val="24"/>
          <w:lang w:bidi="ar-DZ"/>
        </w:rPr>
        <w:t>-Marché</w:t>
      </w:r>
      <w:r>
        <w:rPr>
          <w:rFonts w:ascii="Times New Roman" w:hAnsi="Times New Roman" w:cs="Times New Roman"/>
          <w:sz w:val="24"/>
          <w:szCs w:val="24"/>
          <w:lang w:bidi="ar-DZ"/>
        </w:rPr>
        <w:t xml:space="preserve"> : L'étape de développement du marché a un impact significatif sur le montant des prix. Durant la phase initiale de développement du marché, des prix élevés sont appliqués à cause des coûts de production et de la productivité globale. Sur les marchés développés, les producteurs agricoles sont de plus en plus expérimentés dans la diminution des frais de transport et d'entreposage, ce qui explique pourquoi les prix des produits bio restent bas.</w:t>
      </w:r>
    </w:p>
    <w:p w:rsidR="005A638F" w:rsidRDefault="005A638F" w:rsidP="00B20DAD">
      <w:pPr>
        <w:spacing w:line="360" w:lineRule="auto"/>
        <w:jc w:val="lowKashida"/>
      </w:pPr>
      <w:r>
        <w:rPr>
          <w:rFonts w:ascii="Times New Roman" w:hAnsi="Times New Roman" w:cs="Times New Roman"/>
          <w:b/>
          <w:bCs/>
          <w:sz w:val="24"/>
          <w:szCs w:val="24"/>
          <w:lang w:bidi="ar-DZ"/>
        </w:rPr>
        <w:t>-Certificat conformité et d’authentification :</w:t>
      </w:r>
      <w:r>
        <w:rPr>
          <w:rFonts w:ascii="Times New Roman" w:hAnsi="Times New Roman" w:cs="Times New Roman"/>
          <w:sz w:val="24"/>
          <w:szCs w:val="24"/>
          <w:lang w:bidi="ar-DZ"/>
        </w:rPr>
        <w:t xml:space="preserve"> Les frais liés à la certification jouent un rôle crucial dans l'établissement du coût du produit biologique. Beaucoup d'agriculteurs envisagent de passer à l'agriculture biologique, cependant, les normes rigoureuses concernant la gestion, notamment celles relatives à l'inspection et à la certification, engendrent des coûts élevés qui augmentent le prix d'achat.</w:t>
      </w:r>
    </w:p>
    <w:p w:rsidR="005A638F" w:rsidRPr="00CC0DFF" w:rsidRDefault="005A638F" w:rsidP="00B20DAD">
      <w:pPr>
        <w:spacing w:line="360" w:lineRule="auto"/>
        <w:jc w:val="lowKashida"/>
        <w:rPr>
          <w:rFonts w:ascii="Times New Roman" w:hAnsi="Times New Roman" w:cs="Times New Roman"/>
          <w:sz w:val="24"/>
          <w:szCs w:val="24"/>
          <w:lang w:bidi="ar-DZ"/>
        </w:rPr>
      </w:pPr>
      <w:r>
        <w:rPr>
          <w:rFonts w:ascii="Times New Roman" w:hAnsi="Times New Roman" w:cs="Times New Roman"/>
          <w:b/>
          <w:bCs/>
          <w:sz w:val="24"/>
          <w:szCs w:val="24"/>
          <w:lang w:bidi="ar-DZ"/>
        </w:rPr>
        <w:t>-Raisons d'opter pour l'agriculture biologique :</w:t>
      </w:r>
      <w:r>
        <w:rPr>
          <w:rFonts w:ascii="Times New Roman" w:hAnsi="Times New Roman" w:cs="Times New Roman"/>
          <w:sz w:val="24"/>
          <w:szCs w:val="24"/>
          <w:lang w:bidi="ar-DZ"/>
        </w:rPr>
        <w:t xml:space="preserve"> Plusieurs facteurs éthiques, financiers, politiques et individuels incitent les agriculteurs à embrasser l'agriculture biologique. L'agriculteur dont l'élément moteur est financier établit des tarifs bien plus élevés que les coûts, contrairement à l'agriculteur motivé par des raisons éthiques qui détermine des prix enadéquation avec les coûts. Les prix déraisonnables ont leur place sur le marché, toutefois, avec l'évolution du marché, ils perdront cette position entraînant une diminution des prix.</w:t>
      </w:r>
    </w:p>
    <w:p w:rsidR="00CC0DFF" w:rsidRDefault="005A638F" w:rsidP="00B20DAD">
      <w:pPr>
        <w:spacing w:after="0" w:line="360" w:lineRule="auto"/>
        <w:jc w:val="lowKashida"/>
      </w:pPr>
      <w:r>
        <w:rPr>
          <w:rFonts w:ascii="Times New Roman" w:hAnsi="Times New Roman" w:cs="Times New Roman"/>
          <w:b/>
          <w:bCs/>
          <w:sz w:val="24"/>
          <w:szCs w:val="24"/>
          <w:lang w:bidi="ar-DZ"/>
        </w:rPr>
        <w:t>-Hausse des coûts de production :</w:t>
      </w:r>
      <w:r>
        <w:rPr>
          <w:rFonts w:ascii="Times New Roman" w:hAnsi="Times New Roman" w:cs="Times New Roman"/>
          <w:sz w:val="24"/>
          <w:szCs w:val="24"/>
          <w:lang w:bidi="ar-DZ"/>
        </w:rPr>
        <w:t xml:space="preserve"> L'escalade des coûts de fabrication, l'intensification des exigences de travail et le manque d'usage d'intrants externes (comme les produits chimiques, les engrais minéraux et les OGM) mènent à une production moins abondante qu'avec les méthodes traditionnelles. Ceci provoque une hausse du coût des produits bio. </w:t>
      </w:r>
    </w:p>
    <w:p w:rsidR="005A638F" w:rsidRPr="00CC0DFF" w:rsidRDefault="00CC0DFF" w:rsidP="00B20DAD">
      <w:pPr>
        <w:pStyle w:val="Titre4"/>
        <w:spacing w:before="0" w:after="0" w:line="360" w:lineRule="auto"/>
        <w:jc w:val="lowKashida"/>
        <w:rPr>
          <w:rFonts w:asciiTheme="majorBidi" w:hAnsiTheme="majorBidi" w:cstheme="majorBidi"/>
          <w:b/>
          <w:bCs/>
          <w:i w:val="0"/>
          <w:iCs w:val="0"/>
          <w:color w:val="auto"/>
          <w:sz w:val="24"/>
          <w:szCs w:val="24"/>
        </w:rPr>
      </w:pPr>
      <w:bookmarkStart w:id="50" w:name="_Toc230558622"/>
      <w:bookmarkStart w:id="51" w:name="_Toc230900256"/>
      <w:r w:rsidRPr="00CC0DFF">
        <w:rPr>
          <w:rFonts w:asciiTheme="majorBidi" w:hAnsiTheme="majorBidi" w:cstheme="majorBidi"/>
          <w:b/>
          <w:bCs/>
          <w:i w:val="0"/>
          <w:iCs w:val="0"/>
          <w:color w:val="auto"/>
          <w:sz w:val="24"/>
          <w:szCs w:val="24"/>
        </w:rPr>
        <w:t>3.</w:t>
      </w:r>
      <w:r>
        <w:rPr>
          <w:rFonts w:asciiTheme="majorBidi" w:hAnsiTheme="majorBidi" w:cstheme="majorBidi"/>
          <w:b/>
          <w:bCs/>
          <w:i w:val="0"/>
          <w:iCs w:val="0"/>
          <w:color w:val="auto"/>
          <w:sz w:val="24"/>
          <w:szCs w:val="24"/>
        </w:rPr>
        <w:t>3</w:t>
      </w:r>
      <w:r w:rsidRPr="00CC0DFF">
        <w:rPr>
          <w:rFonts w:asciiTheme="majorBidi" w:hAnsiTheme="majorBidi" w:cstheme="majorBidi"/>
          <w:b/>
          <w:bCs/>
          <w:i w:val="0"/>
          <w:iCs w:val="0"/>
          <w:color w:val="auto"/>
          <w:sz w:val="24"/>
          <w:szCs w:val="24"/>
        </w:rPr>
        <w:t xml:space="preserve">. </w:t>
      </w:r>
      <w:r w:rsidRPr="00CC0DFF">
        <w:rPr>
          <w:rFonts w:asciiTheme="majorBidi" w:hAnsiTheme="majorBidi" w:cstheme="majorBidi"/>
          <w:b/>
          <w:bCs/>
          <w:i w:val="0"/>
          <w:iCs w:val="0"/>
          <w:color w:val="auto"/>
          <w:sz w:val="24"/>
          <w:szCs w:val="24"/>
          <w:lang w:bidi="ar-DZ"/>
        </w:rPr>
        <w:t>D</w:t>
      </w:r>
      <w:r w:rsidR="005A638F" w:rsidRPr="00CC0DFF">
        <w:rPr>
          <w:rFonts w:asciiTheme="majorBidi" w:hAnsiTheme="majorBidi" w:cstheme="majorBidi"/>
          <w:b/>
          <w:bCs/>
          <w:i w:val="0"/>
          <w:iCs w:val="0"/>
          <w:color w:val="auto"/>
          <w:sz w:val="24"/>
          <w:szCs w:val="24"/>
          <w:lang w:bidi="ar-DZ"/>
        </w:rPr>
        <w:t>istribution des produits biologique :</w:t>
      </w:r>
      <w:bookmarkEnd w:id="50"/>
      <w:bookmarkEnd w:id="51"/>
    </w:p>
    <w:p w:rsidR="005A638F" w:rsidRDefault="005A638F" w:rsidP="00B20DAD">
      <w:pPr>
        <w:spacing w:line="360" w:lineRule="auto"/>
        <w:jc w:val="lowKashida"/>
      </w:pPr>
      <w:r>
        <w:rPr>
          <w:rFonts w:ascii="Times New Roman" w:hAnsi="Times New Roman" w:cs="Times New Roman"/>
          <w:sz w:val="24"/>
          <w:szCs w:val="24"/>
          <w:lang w:bidi="ar-DZ"/>
        </w:rPr>
        <w:t>-La distribution constitue l'un des aspects les plus cruciaux des quatre composantes du mix marketing, car elle assure le passage de la valeur du produit du fabricant au client. Elle peut être réalisée directement ou en faisant appel à des intermédiaires afin de minimiser les points de contact, ces derniers étant plus performants et qualifiés pour mettre en avant leurs produits sur le marché.</w:t>
      </w:r>
    </w:p>
    <w:p w:rsidR="005A638F" w:rsidRDefault="005A638F" w:rsidP="00B20DAD">
      <w:pPr>
        <w:spacing w:line="360" w:lineRule="auto"/>
        <w:jc w:val="lowKashida"/>
      </w:pPr>
      <w:r>
        <w:rPr>
          <w:rFonts w:ascii="Times New Roman" w:hAnsi="Times New Roman" w:cs="Times New Roman"/>
          <w:sz w:val="24"/>
          <w:szCs w:val="24"/>
          <w:lang w:bidi="ar-DZ"/>
        </w:rPr>
        <w:t>-</w:t>
      </w:r>
      <w:r>
        <w:rPr>
          <w:rFonts w:ascii="Times New Roman" w:hAnsi="Times New Roman" w:cs="Times New Roman"/>
          <w:b/>
          <w:bCs/>
          <w:sz w:val="24"/>
          <w:szCs w:val="24"/>
          <w:lang w:bidi="ar-DZ"/>
        </w:rPr>
        <w:t>Conditions de transport et de stockage des produits biologiques :</w:t>
      </w:r>
    </w:p>
    <w:p w:rsidR="00851169" w:rsidRDefault="005A638F" w:rsidP="00FC3E0A">
      <w:pPr>
        <w:spacing w:line="360" w:lineRule="auto"/>
        <w:jc w:val="lowKashida"/>
        <w:rPr>
          <w:rFonts w:ascii="Times New Roman" w:hAnsi="Times New Roman" w:cs="Times New Roman"/>
          <w:b/>
          <w:bCs/>
          <w:sz w:val="24"/>
          <w:szCs w:val="24"/>
          <w:lang w:bidi="ar-DZ"/>
        </w:rPr>
      </w:pPr>
      <w:r>
        <w:rPr>
          <w:rFonts w:ascii="Times New Roman" w:hAnsi="Times New Roman" w:cs="Times New Roman"/>
          <w:b/>
          <w:bCs/>
          <w:sz w:val="24"/>
          <w:szCs w:val="24"/>
          <w:lang w:bidi="ar-DZ"/>
        </w:rPr>
        <w:lastRenderedPageBreak/>
        <w:t xml:space="preserve">-les conditions de stockage : </w:t>
      </w:r>
      <w:r w:rsidR="00FC3E0A" w:rsidRPr="00FC3E0A">
        <w:rPr>
          <w:rFonts w:ascii="Times New Roman" w:hAnsi="Times New Roman" w:cs="Times New Roman"/>
          <w:b/>
          <w:bCs/>
          <w:sz w:val="24"/>
          <w:szCs w:val="24"/>
          <w:vertAlign w:val="superscript"/>
          <w:lang w:bidi="ar-DZ"/>
        </w:rPr>
        <w:footnoteReference w:id="43"/>
      </w:r>
    </w:p>
    <w:p w:rsidR="005A638F" w:rsidRDefault="005A638F" w:rsidP="00FC3E0A">
      <w:pPr>
        <w:spacing w:line="360" w:lineRule="auto"/>
        <w:ind w:firstLine="567"/>
        <w:jc w:val="both"/>
      </w:pPr>
      <w:r>
        <w:rPr>
          <w:rFonts w:ascii="Times New Roman" w:hAnsi="Times New Roman" w:cs="Times New Roman"/>
          <w:sz w:val="24"/>
          <w:szCs w:val="24"/>
          <w:lang w:bidi="ar-DZ"/>
        </w:rPr>
        <w:t>Il est interdit d'utiliser des conteneurs de stockage et des matériaux d'emballage contenant un fongicide industriel, un conservateur ou un pesticide, ainsi que d'utiliser tout sac ou récipient ayant été en contact avec une substance nuisible à la pureté biologique du produit biologique, à moins qu'il n'ait été soigneusement nettoyé et ne présente aucun danger pour le produit biologique.</w:t>
      </w:r>
    </w:p>
    <w:p w:rsidR="005A638F" w:rsidRDefault="005A638F" w:rsidP="006E2FEE">
      <w:pPr>
        <w:spacing w:line="360" w:lineRule="auto"/>
        <w:jc w:val="both"/>
      </w:pPr>
      <w:r>
        <w:rPr>
          <w:rFonts w:ascii="Times New Roman" w:hAnsi="Times New Roman" w:cs="Times New Roman"/>
          <w:sz w:val="24"/>
          <w:szCs w:val="24"/>
          <w:lang w:bidi="ar-DZ"/>
        </w:rPr>
        <w:t>-</w:t>
      </w:r>
      <w:r>
        <w:rPr>
          <w:rFonts w:ascii="Times New Roman" w:hAnsi="Times New Roman" w:cs="Times New Roman"/>
          <w:b/>
          <w:bCs/>
          <w:sz w:val="24"/>
          <w:szCs w:val="24"/>
          <w:lang w:bidi="ar-DZ"/>
        </w:rPr>
        <w:t>les conditions de transport :</w:t>
      </w:r>
    </w:p>
    <w:p w:rsidR="005A638F" w:rsidRPr="00CC0DFF"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Il est essentiel que les opérateurs garantissent que les produits biologiques et en conversion sont acheminés vers d'autres entités, tels que grossistes et détaillants, uniquement dans des emballages, contenants ou véhicules adaptés, scellés de manière à ce qu'aucune modification, y compris remplacement du contenu, ne puisse se faire sans intervention ou détérioration du sceau.20les conteneurs transportant des produits biologiques doivent être munis d'une étiquette comportant les informations fondamentales suivantes, sans préjudice de toute autre exigence légale. Ces détails comprennent initialement : l'identité de l'opérateur, où il est nécessaire de citer le nom et l'adresse de l'opérateur, et si ceux-ci diffèrent, le nom et l'adresse du détenteur du produit ou du commercial. En second lieu : Identification du produit, en indiquant explicitement le nom du produit. Troisièmement : Informations de supervision, comprenant le nom ou le code de l'organisme de contrôle (Control Autority/Control Body) qui est chargé de la surveillance de l'opérateur. En quatrième lieu : le numéro de lot (le cas échéant), où l'emballage doit être muni d'un signe distinctif de lot (Lot identification mark) conforme à un système de marquage agréé au niveau national ou établi en accord avec l'autorité compétente ou l'entité de régulation, facilitant le lien entre le lot et les archives comptables.</w:t>
      </w:r>
      <w:r>
        <w:rPr>
          <w:rStyle w:val="Appelnotedebasdep"/>
          <w:rFonts w:ascii="Times New Roman" w:hAnsi="Times New Roman" w:cs="Times New Roman"/>
          <w:sz w:val="24"/>
          <w:szCs w:val="24"/>
          <w:lang w:bidi="ar-DZ"/>
        </w:rPr>
        <w:footnoteReference w:id="44"/>
      </w:r>
    </w:p>
    <w:p w:rsidR="005A638F" w:rsidRDefault="005A638F" w:rsidP="006E2FEE">
      <w:pPr>
        <w:spacing w:line="360" w:lineRule="auto"/>
        <w:jc w:val="both"/>
      </w:pPr>
      <w:r>
        <w:rPr>
          <w:rFonts w:ascii="Times New Roman" w:hAnsi="Times New Roman" w:cs="Times New Roman"/>
          <w:sz w:val="24"/>
          <w:szCs w:val="24"/>
          <w:lang w:bidi="ar-DZ"/>
        </w:rPr>
        <w:t>-</w:t>
      </w:r>
      <w:r>
        <w:rPr>
          <w:rFonts w:ascii="Times New Roman" w:hAnsi="Times New Roman" w:cs="Times New Roman"/>
          <w:b/>
          <w:bCs/>
          <w:sz w:val="24"/>
          <w:szCs w:val="24"/>
          <w:lang w:bidi="ar-DZ"/>
        </w:rPr>
        <w:t>Canaux de distribution des produits biologiques :</w:t>
      </w:r>
    </w:p>
    <w:p w:rsidR="005A638F" w:rsidRDefault="005A638F" w:rsidP="006E2FEE">
      <w:pPr>
        <w:spacing w:line="360" w:lineRule="auto"/>
        <w:jc w:val="both"/>
      </w:pPr>
      <w:r>
        <w:rPr>
          <w:rFonts w:ascii="Times New Roman" w:hAnsi="Times New Roman" w:cs="Times New Roman"/>
          <w:b/>
          <w:bCs/>
          <w:sz w:val="24"/>
          <w:szCs w:val="24"/>
          <w:lang w:bidi="ar-DZ"/>
        </w:rPr>
        <w:t>-les canaux directes :</w:t>
      </w:r>
      <w:r>
        <w:rPr>
          <w:rStyle w:val="Appelnotedebasdep"/>
          <w:rFonts w:ascii="Times New Roman" w:hAnsi="Times New Roman" w:cs="Times New Roman"/>
          <w:b/>
          <w:bCs/>
          <w:sz w:val="24"/>
          <w:szCs w:val="24"/>
          <w:lang w:bidi="ar-DZ"/>
        </w:rPr>
        <w:footnoteReference w:id="45"/>
      </w:r>
    </w:p>
    <w:p w:rsidR="00851169" w:rsidRDefault="005A638F" w:rsidP="006E2FEE">
      <w:pPr>
        <w:spacing w:after="0" w:line="360" w:lineRule="auto"/>
        <w:jc w:val="both"/>
      </w:pPr>
      <w:r>
        <w:rPr>
          <w:rFonts w:ascii="Times New Roman" w:hAnsi="Times New Roman" w:cs="Times New Roman"/>
          <w:b/>
          <w:bCs/>
          <w:sz w:val="24"/>
          <w:szCs w:val="24"/>
          <w:lang w:bidi="ar-DZ"/>
        </w:rPr>
        <w:t>-La vente à la ferme :</w:t>
      </w:r>
    </w:p>
    <w:p w:rsidR="005A638F" w:rsidRPr="00851169" w:rsidRDefault="005A638F" w:rsidP="006E2FEE">
      <w:pPr>
        <w:spacing w:after="0" w:line="360" w:lineRule="auto"/>
        <w:ind w:firstLine="567"/>
        <w:jc w:val="both"/>
      </w:pPr>
      <w:r>
        <w:rPr>
          <w:rFonts w:ascii="Times New Roman" w:hAnsi="Times New Roman" w:cs="Times New Roman"/>
          <w:sz w:val="24"/>
          <w:szCs w:val="24"/>
          <w:lang w:bidi="ar-DZ"/>
        </w:rPr>
        <w:lastRenderedPageBreak/>
        <w:t xml:space="preserve">Les différents marchés fermiers sont considérés comme l’un des canaux de distribution directe des produits bio les plus remarquable, mais aucun dispositif de vente ne peine à fonctionner sans un ensemble de déterminants essentiels. </w:t>
      </w:r>
    </w:p>
    <w:p w:rsidR="005A638F"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 xml:space="preserve">Pour réussir dans la vente directe, il est indispensable que la ferme soit dotée d’attributs entrepreneuriaux suffisamment développés pour lui permettre d’évoluer de la simple production à la gestion des opérations de commercialisation et de distribution. Ces fermes doivent se soumettre à des contraintes diverses tant sur le plan de la qualité des produits commercialisés que de la proximité géographique des marchés à satisfaire ou de la biographie des capacités de production et de logistique à mobiliser… </w:t>
      </w:r>
    </w:p>
    <w:p w:rsidR="005A638F" w:rsidRPr="00CC0DFF"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Une ferme qui souhaite investir réellement les circuits de vente directe doit investir dans les infrastructures de la distribution, car la chaîne sera rangée, transformée, manipulée et distribuée. Ces investissements vont croissant dans la phase de conversionl’exploitation conduite selon le modèle agricole traditionnel vers le modèle de l’agriculture biologique. Desconditions de séparation satisfaisantes doivent être assurées pour protéger les végétaux et les produits biologiques du contact et de la contamination possibles par les produits agricoles conventionnels, afin de préserver l'authenticité et la réputation de la production biologique.</w:t>
      </w:r>
    </w:p>
    <w:p w:rsidR="005A638F" w:rsidRDefault="005A638F" w:rsidP="00471318">
      <w:pPr>
        <w:spacing w:after="0" w:line="360" w:lineRule="auto"/>
        <w:jc w:val="both"/>
      </w:pPr>
      <w:r>
        <w:rPr>
          <w:rFonts w:ascii="Times New Roman" w:hAnsi="Times New Roman" w:cs="Times New Roman"/>
          <w:b/>
          <w:bCs/>
          <w:sz w:val="24"/>
          <w:szCs w:val="24"/>
          <w:lang w:bidi="ar-DZ"/>
        </w:rPr>
        <w:t xml:space="preserve">-la vente porte à porte : </w:t>
      </w:r>
      <w:r>
        <w:rPr>
          <w:rFonts w:ascii="Times New Roman" w:hAnsi="Times New Roman" w:cs="Times New Roman"/>
          <w:sz w:val="24"/>
          <w:szCs w:val="24"/>
          <w:lang w:bidi="ar-DZ"/>
        </w:rPr>
        <w:t xml:space="preserve">Ce mode de distribution directe recouvre plusieurs moyens : </w:t>
      </w:r>
    </w:p>
    <w:p w:rsidR="00471318" w:rsidRPr="00471318" w:rsidRDefault="005A638F" w:rsidP="00471318">
      <w:pPr>
        <w:spacing w:after="0" w:line="360" w:lineRule="auto"/>
        <w:jc w:val="both"/>
        <w:rPr>
          <w:rFonts w:ascii="Times New Roman" w:hAnsi="Times New Roman" w:cs="Times New Roman"/>
          <w:sz w:val="24"/>
          <w:szCs w:val="24"/>
          <w:lang w:bidi="ar-DZ"/>
        </w:rPr>
      </w:pPr>
      <w:r>
        <w:rPr>
          <w:rFonts w:ascii="Times New Roman" w:hAnsi="Times New Roman" w:cs="Times New Roman"/>
          <w:sz w:val="24"/>
          <w:szCs w:val="24"/>
          <w:lang w:bidi="ar-DZ"/>
        </w:rPr>
        <w:t>-les ventes en ligne</w:t>
      </w:r>
      <w:r w:rsidR="00471318">
        <w:rPr>
          <w:rFonts w:ascii="Times New Roman" w:hAnsi="Times New Roman" w:cs="Times New Roman"/>
          <w:sz w:val="24"/>
          <w:szCs w:val="24"/>
          <w:lang w:bidi="ar-DZ"/>
        </w:rPr>
        <w:t xml:space="preserve"> l</w:t>
      </w:r>
      <w:r w:rsidR="00471318" w:rsidRPr="00471318">
        <w:rPr>
          <w:rFonts w:ascii="Times New Roman" w:hAnsi="Times New Roman" w:cs="Times New Roman"/>
          <w:sz w:val="24"/>
          <w:szCs w:val="24"/>
          <w:lang w:bidi="ar-DZ"/>
        </w:rPr>
        <w:t xml:space="preserve">a digitalisation des circuits de distribution constitue désormais un levier stratégique pour la sécurité alimentaire, notamment à travers l'essor du commerce </w:t>
      </w:r>
      <w:r w:rsidR="00471318">
        <w:rPr>
          <w:rFonts w:ascii="Times New Roman" w:hAnsi="Times New Roman" w:cs="Times New Roman"/>
          <w:sz w:val="24"/>
          <w:szCs w:val="24"/>
          <w:lang w:bidi="ar-DZ"/>
        </w:rPr>
        <w:t>électronique agricole (Bessaid</w:t>
      </w:r>
      <w:r w:rsidR="00471318" w:rsidRPr="00471318">
        <w:rPr>
          <w:rFonts w:ascii="Times New Roman" w:hAnsi="Times New Roman" w:cs="Times New Roman"/>
          <w:sz w:val="24"/>
          <w:szCs w:val="24"/>
          <w:lang w:bidi="ar-DZ"/>
        </w:rPr>
        <w:t>, 2025).</w:t>
      </w:r>
    </w:p>
    <w:p w:rsidR="005A638F" w:rsidRDefault="005A638F" w:rsidP="00471318">
      <w:pPr>
        <w:spacing w:after="0" w:line="360" w:lineRule="auto"/>
        <w:jc w:val="both"/>
        <w:rPr>
          <w:rFonts w:ascii="Times New Roman" w:hAnsi="Times New Roman" w:cs="Times New Roman"/>
          <w:sz w:val="24"/>
          <w:szCs w:val="24"/>
          <w:lang w:bidi="ar-DZ"/>
        </w:rPr>
      </w:pPr>
      <w:r>
        <w:rPr>
          <w:rFonts w:ascii="Times New Roman" w:hAnsi="Times New Roman" w:cs="Times New Roman"/>
          <w:sz w:val="24"/>
          <w:szCs w:val="24"/>
          <w:lang w:bidi="ar-DZ"/>
        </w:rPr>
        <w:t xml:space="preserve">-les ventes au téléphone ou par fax </w:t>
      </w:r>
    </w:p>
    <w:p w:rsidR="005A638F" w:rsidRDefault="005A638F" w:rsidP="006E2FEE">
      <w:pPr>
        <w:spacing w:line="360" w:lineRule="auto"/>
        <w:jc w:val="both"/>
        <w:rPr>
          <w:rFonts w:ascii="Times New Roman" w:hAnsi="Times New Roman" w:cs="Times New Roman"/>
          <w:sz w:val="24"/>
          <w:szCs w:val="24"/>
          <w:lang w:bidi="ar-DZ"/>
        </w:rPr>
      </w:pPr>
      <w:r>
        <w:rPr>
          <w:rFonts w:ascii="Times New Roman" w:hAnsi="Times New Roman" w:cs="Times New Roman"/>
          <w:sz w:val="24"/>
          <w:szCs w:val="24"/>
          <w:lang w:bidi="ar-DZ"/>
        </w:rPr>
        <w:t xml:space="preserve">-le système d’abonnements périodiques dit « casiers verts » </w:t>
      </w:r>
    </w:p>
    <w:p w:rsidR="005A638F" w:rsidRDefault="005A638F" w:rsidP="006E2FEE">
      <w:pPr>
        <w:spacing w:line="360" w:lineRule="auto"/>
        <w:ind w:firstLine="567"/>
        <w:jc w:val="both"/>
      </w:pPr>
      <w:r>
        <w:rPr>
          <w:rFonts w:ascii="Times New Roman" w:hAnsi="Times New Roman" w:cs="Times New Roman"/>
          <w:sz w:val="24"/>
          <w:szCs w:val="24"/>
          <w:lang w:bidi="ar-DZ"/>
        </w:rPr>
        <w:t>Dans le système « paniers verts », un panier de produits biologiques est livré chaque semaine à l’adresse du consommateur. Le consommateur choisit le rythme de livraison (généralement une fois par semaine), le contenu du panier est établi en fonction de la demande du client et de la production de saison disponible. Ce système offre au consommateur le plaisir de recevoir ces produits mais aussi la possibilité pour le producteur d’instaurer une demande prévisible.</w:t>
      </w:r>
    </w:p>
    <w:p w:rsidR="005A638F" w:rsidRDefault="005A638F" w:rsidP="006E2FEE">
      <w:pPr>
        <w:spacing w:line="360" w:lineRule="auto"/>
        <w:jc w:val="both"/>
      </w:pPr>
      <w:r>
        <w:rPr>
          <w:rFonts w:ascii="Times New Roman" w:hAnsi="Times New Roman" w:cs="Times New Roman"/>
          <w:b/>
          <w:bCs/>
          <w:sz w:val="24"/>
          <w:szCs w:val="24"/>
          <w:lang w:bidi="ar-DZ"/>
        </w:rPr>
        <w:t>-Marchés de producteurs :</w:t>
      </w:r>
    </w:p>
    <w:p w:rsidR="005A638F"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 xml:space="preserve">Les marchés agricoles sont l’un des plus anciens canaux de vente directe et constituent, à ce jour, un canal important pour la commercialisation de produits biologiques, notamment de fruits et légumes frais. Pour le producteur, avoir recours à ce canal nécessite des coûts </w:t>
      </w:r>
      <w:r>
        <w:rPr>
          <w:rFonts w:ascii="Times New Roman" w:hAnsi="Times New Roman" w:cs="Times New Roman"/>
          <w:sz w:val="24"/>
          <w:szCs w:val="24"/>
          <w:lang w:bidi="ar-DZ"/>
        </w:rPr>
        <w:lastRenderedPageBreak/>
        <w:t>supplémentaires, en premier lieu le transport des produits du site de production au marché, et les frais de location de l’espace de vente, soit quotidiennement, soit mensuellement.</w:t>
      </w:r>
    </w:p>
    <w:p w:rsidR="005A638F" w:rsidRDefault="005A638F" w:rsidP="006E2FEE">
      <w:pPr>
        <w:spacing w:line="360" w:lineRule="auto"/>
        <w:ind w:firstLine="567"/>
        <w:jc w:val="both"/>
        <w:rPr>
          <w:rFonts w:ascii="Times New Roman" w:hAnsi="Times New Roman" w:cs="Times New Roman"/>
          <w:sz w:val="24"/>
          <w:szCs w:val="24"/>
          <w:rtl/>
          <w:lang w:bidi="ar-DZ"/>
        </w:rPr>
      </w:pPr>
      <w:r>
        <w:rPr>
          <w:rFonts w:ascii="Times New Roman" w:hAnsi="Times New Roman" w:cs="Times New Roman"/>
          <w:sz w:val="24"/>
          <w:szCs w:val="24"/>
          <w:lang w:bidi="ar-DZ"/>
        </w:rPr>
        <w:t>Si les statistiques officielles ne permettent pas de préciser le nombre de producteurs qui comptent sur ces canaux, les informations laissent supposer que de nombreuses fermes biologiques font des marchés de producteurs un canal de commercialisation important pour leur produit, et même régulier.</w:t>
      </w:r>
    </w:p>
    <w:p w:rsidR="0066256C" w:rsidRDefault="0066256C" w:rsidP="006E2FEE">
      <w:pPr>
        <w:spacing w:line="360" w:lineRule="auto"/>
        <w:ind w:firstLine="567"/>
        <w:jc w:val="both"/>
        <w:rPr>
          <w:rFonts w:ascii="Times New Roman" w:hAnsi="Times New Roman" w:cs="Times New Roman"/>
          <w:sz w:val="24"/>
          <w:szCs w:val="24"/>
          <w:rtl/>
          <w:lang w:bidi="ar-DZ"/>
        </w:rPr>
      </w:pPr>
    </w:p>
    <w:p w:rsidR="0066256C" w:rsidRDefault="0066256C" w:rsidP="006E2FEE">
      <w:pPr>
        <w:spacing w:line="360" w:lineRule="auto"/>
        <w:ind w:firstLine="567"/>
        <w:jc w:val="both"/>
      </w:pPr>
    </w:p>
    <w:p w:rsidR="005A638F" w:rsidRDefault="005A638F" w:rsidP="006E2FEE">
      <w:pPr>
        <w:spacing w:line="360" w:lineRule="auto"/>
        <w:jc w:val="both"/>
      </w:pPr>
      <w:r>
        <w:rPr>
          <w:rFonts w:ascii="Times New Roman" w:hAnsi="Times New Roman" w:cs="Times New Roman"/>
          <w:b/>
          <w:bCs/>
          <w:sz w:val="24"/>
          <w:szCs w:val="24"/>
          <w:lang w:bidi="ar-DZ"/>
        </w:rPr>
        <w:t>-Les salons et les festivals spécialisés :</w:t>
      </w:r>
    </w:p>
    <w:p w:rsidR="005A638F" w:rsidRPr="00851169"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Les foires présentent arrivent sous la forme d’événements de marketing saisonniers ayant lieu principalement pendant les saisons de récolte ou qui se déroulent, le plus souvent, dans bien des cas dans des grandes villes, dans des halls ou des espaces ouverts. Bien que les foires constituent des canaux de vente directs, elles doivent surtout être considérées comme un puissant événement marketing qui a pour fonction de rendre visible, d’un côté, une offre de produits biologiques, et, d’un autre côté, de rendre les consommateurs pleinement attentifs aux produits biologiques du marché.</w:t>
      </w:r>
    </w:p>
    <w:p w:rsidR="005A638F" w:rsidRDefault="005A638F" w:rsidP="006E2FEE">
      <w:pPr>
        <w:spacing w:line="360" w:lineRule="auto"/>
        <w:ind w:firstLine="567"/>
        <w:jc w:val="both"/>
      </w:pPr>
      <w:r>
        <w:rPr>
          <w:rFonts w:ascii="Times New Roman" w:hAnsi="Times New Roman" w:cs="Times New Roman"/>
          <w:sz w:val="24"/>
          <w:szCs w:val="24"/>
          <w:lang w:bidi="ar-DZ"/>
        </w:rPr>
        <w:t>Les foires se codent entre foires locales, régionales, internationales, et donnent aux producteurs locaux la possibilité d’exposer leurs produits au plus large public possible. Certaines des foires auxquelles participent les producteurs de produits biologiques locaux sont très célèbres, notamment la foire « Produits du village croate » et la foire internationale « Éco Éthno Croatie », tandis qu’une foire parmi les plus célèbres dans le monde des produits biologiques est la foire « BioFach » à Nuremberg, en Allemagne.</w:t>
      </w:r>
    </w:p>
    <w:p w:rsidR="005A638F" w:rsidRDefault="005A638F" w:rsidP="006E2FEE">
      <w:pPr>
        <w:spacing w:line="360" w:lineRule="auto"/>
        <w:jc w:val="both"/>
      </w:pPr>
      <w:r>
        <w:rPr>
          <w:rFonts w:ascii="Times New Roman" w:hAnsi="Times New Roman" w:cs="Times New Roman"/>
          <w:b/>
          <w:bCs/>
          <w:sz w:val="24"/>
          <w:szCs w:val="24"/>
          <w:lang w:bidi="ar-DZ"/>
        </w:rPr>
        <w:t xml:space="preserve">Les magasins </w:t>
      </w:r>
      <w:r w:rsidR="00851169">
        <w:rPr>
          <w:rFonts w:ascii="Times New Roman" w:hAnsi="Times New Roman" w:cs="Times New Roman"/>
          <w:b/>
          <w:bCs/>
          <w:sz w:val="24"/>
          <w:szCs w:val="24"/>
          <w:lang w:bidi="ar-DZ"/>
        </w:rPr>
        <w:t>privés :</w:t>
      </w:r>
    </w:p>
    <w:p w:rsidR="005A638F" w:rsidRDefault="005A638F" w:rsidP="006E2FEE">
      <w:pPr>
        <w:spacing w:line="360" w:lineRule="auto"/>
        <w:ind w:firstLine="567"/>
        <w:jc w:val="both"/>
      </w:pPr>
      <w:r>
        <w:rPr>
          <w:rFonts w:ascii="Times New Roman" w:hAnsi="Times New Roman" w:cs="Times New Roman"/>
          <w:sz w:val="24"/>
          <w:szCs w:val="24"/>
          <w:lang w:bidi="ar-DZ"/>
        </w:rPr>
        <w:t xml:space="preserve">-Les producteurs d'aliments bio commercialisent aussi leurs produits dans leurs boutiques dédiées. </w:t>
      </w:r>
    </w:p>
    <w:p w:rsidR="005A638F" w:rsidRDefault="005A638F" w:rsidP="006E2FEE">
      <w:pPr>
        <w:spacing w:line="360" w:lineRule="auto"/>
        <w:jc w:val="both"/>
      </w:pPr>
      <w:r>
        <w:rPr>
          <w:rFonts w:ascii="Times New Roman" w:hAnsi="Times New Roman" w:cs="Times New Roman"/>
          <w:b/>
          <w:bCs/>
          <w:sz w:val="24"/>
          <w:szCs w:val="24"/>
          <w:lang w:bidi="ar-DZ"/>
        </w:rPr>
        <w:t xml:space="preserve">les canaux indirectes : </w:t>
      </w:r>
      <w:r>
        <w:rPr>
          <w:rStyle w:val="Appelnotedebasdep"/>
          <w:rFonts w:ascii="Times New Roman" w:hAnsi="Times New Roman" w:cs="Times New Roman"/>
          <w:b/>
          <w:bCs/>
          <w:sz w:val="24"/>
          <w:szCs w:val="24"/>
          <w:lang w:bidi="ar-DZ"/>
        </w:rPr>
        <w:footnoteReference w:id="46"/>
      </w:r>
    </w:p>
    <w:p w:rsidR="005A638F" w:rsidRDefault="005A638F" w:rsidP="006E2FEE">
      <w:pPr>
        <w:spacing w:line="360" w:lineRule="auto"/>
        <w:ind w:firstLine="567"/>
        <w:jc w:val="both"/>
      </w:pPr>
      <w:r>
        <w:rPr>
          <w:rFonts w:ascii="Times New Roman" w:hAnsi="Times New Roman" w:cs="Times New Roman"/>
          <w:sz w:val="24"/>
          <w:szCs w:val="24"/>
          <w:lang w:bidi="ar-DZ"/>
        </w:rPr>
        <w:t xml:space="preserve">-Les canaux de distribution indirects des produits biologiques peuvent être regroupés dans les trois grands types suivants : chaînes de grands magasins (supermarchés et </w:t>
      </w:r>
      <w:r>
        <w:rPr>
          <w:rFonts w:ascii="Times New Roman" w:hAnsi="Times New Roman" w:cs="Times New Roman"/>
          <w:sz w:val="24"/>
          <w:szCs w:val="24"/>
          <w:lang w:bidi="ar-DZ"/>
        </w:rPr>
        <w:lastRenderedPageBreak/>
        <w:t>hypermarchés), magasins spécialisés en aliments sains, magasins spécialisés en produits biologiques, qui sont les plus récents venus dans la distribution du secteur.</w:t>
      </w:r>
    </w:p>
    <w:p w:rsidR="005A638F" w:rsidRDefault="005A638F" w:rsidP="006E2FEE">
      <w:pPr>
        <w:spacing w:line="360" w:lineRule="auto"/>
        <w:jc w:val="both"/>
        <w:rPr>
          <w:rFonts w:ascii="Times New Roman" w:hAnsi="Times New Roman" w:cs="Times New Roman"/>
          <w:b/>
          <w:bCs/>
          <w:sz w:val="24"/>
          <w:szCs w:val="24"/>
          <w:lang w:bidi="ar-DZ"/>
        </w:rPr>
      </w:pPr>
      <w:r>
        <w:rPr>
          <w:rFonts w:ascii="Times New Roman" w:hAnsi="Times New Roman" w:cs="Times New Roman"/>
          <w:b/>
          <w:bCs/>
          <w:sz w:val="24"/>
          <w:szCs w:val="24"/>
          <w:lang w:bidi="ar-DZ"/>
        </w:rPr>
        <w:t>les chaines de supermarché :</w:t>
      </w:r>
    </w:p>
    <w:p w:rsidR="005A638F"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Les chaînes de supermarchés agricoles ne s’investissent pas de la même façon dans la commercialisation des produits biologiques, et les motivations qui les conduisent à opérer cette mutation ainsi que leurs stratégies de vente, se révèlent également différentes.  L’engouement croissant des grandes surfaces pour la présentation des produits biologiques renforce leur statut de canal de distribution.</w:t>
      </w:r>
    </w:p>
    <w:p w:rsidR="005A638F" w:rsidRPr="00851169"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En revanche, la distribution de produits biologiques impose à ces circuits la garantie d’un approvisionnement continu, d’une qualité homogène et d’un volume important, ce qui constitue une limite plus difficile à contourner pour les productions bio en volume limité – il n’est pas rare que cela concerne de petits producteurs – que pour les produits transformés soumis à des conditions critiques à différentes étapes de leur préparation, et amenant souvent les grandes surfaces à recourir à l’importation pour les produits bio, afin de garantir l’abondance de l’offre et l’adéquation de l’approvisionnement.</w:t>
      </w:r>
    </w:p>
    <w:p w:rsidR="005A638F" w:rsidRDefault="005A638F" w:rsidP="006E2FEE">
      <w:pPr>
        <w:spacing w:line="360" w:lineRule="auto"/>
        <w:jc w:val="both"/>
        <w:rPr>
          <w:rFonts w:ascii="Times New Roman" w:hAnsi="Times New Roman" w:cs="Times New Roman"/>
          <w:b/>
          <w:bCs/>
          <w:sz w:val="24"/>
          <w:szCs w:val="24"/>
          <w:lang w:bidi="ar-DZ"/>
        </w:rPr>
      </w:pPr>
      <w:r>
        <w:rPr>
          <w:rFonts w:ascii="Times New Roman" w:hAnsi="Times New Roman" w:cs="Times New Roman"/>
          <w:b/>
          <w:bCs/>
          <w:sz w:val="24"/>
          <w:szCs w:val="24"/>
          <w:lang w:bidi="ar-DZ"/>
        </w:rPr>
        <w:t>-les magasins spécialisée dans des aliments saines :</w:t>
      </w:r>
    </w:p>
    <w:p w:rsidR="005A638F" w:rsidRDefault="005A638F" w:rsidP="006E2FEE">
      <w:pPr>
        <w:spacing w:line="360" w:lineRule="auto"/>
        <w:ind w:firstLine="567"/>
        <w:jc w:val="both"/>
      </w:pPr>
      <w:r>
        <w:rPr>
          <w:rFonts w:ascii="Times New Roman" w:hAnsi="Times New Roman" w:cs="Times New Roman"/>
          <w:sz w:val="24"/>
          <w:szCs w:val="24"/>
          <w:lang w:bidi="ar-DZ"/>
        </w:rPr>
        <w:t>Les commerces spécialisés dans la distribution de produits alimentaires sains sont particulièrement bien placés dans la commercialisation des produits biologiques, en concentrant une large part de leurs assortiments sur des marques certifiées par des producteurs locaux ou étrangers. Pour faciliter leur identification par le consommateur, ces produits sont communément placés sur des rayonnages séparés des produits traditionnels.</w:t>
      </w:r>
    </w:p>
    <w:p w:rsidR="005A638F" w:rsidRDefault="005A638F" w:rsidP="006E2FEE">
      <w:pPr>
        <w:spacing w:line="360" w:lineRule="auto"/>
        <w:jc w:val="both"/>
        <w:rPr>
          <w:rFonts w:ascii="Times New Roman" w:hAnsi="Times New Roman" w:cs="Times New Roman"/>
          <w:b/>
          <w:bCs/>
          <w:sz w:val="24"/>
          <w:szCs w:val="24"/>
          <w:lang w:bidi="ar-DZ"/>
        </w:rPr>
      </w:pPr>
      <w:r>
        <w:rPr>
          <w:rFonts w:ascii="Times New Roman" w:hAnsi="Times New Roman" w:cs="Times New Roman"/>
          <w:b/>
          <w:bCs/>
          <w:sz w:val="24"/>
          <w:szCs w:val="24"/>
          <w:lang w:bidi="ar-DZ"/>
        </w:rPr>
        <w:t xml:space="preserve">-les magasins spécialisée dans les produits biologiques : </w:t>
      </w:r>
    </w:p>
    <w:p w:rsidR="005A638F"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-L'essor du secteur concurrentiel des produits biologiques est bien observable et se matérialise sous surtout la forme d'une nouvelle forme de distribution, les magasins spécialisés, qui sont parmi les canaux de distribution à la plus forte croissance et qui peuvent peser lourd sur de nombreux marchés.</w:t>
      </w:r>
    </w:p>
    <w:p w:rsidR="005A638F" w:rsidRPr="00851169" w:rsidRDefault="00851169" w:rsidP="006E2FEE">
      <w:pPr>
        <w:pStyle w:val="Titre4"/>
        <w:spacing w:before="0" w:after="0" w:line="360" w:lineRule="auto"/>
        <w:jc w:val="both"/>
        <w:rPr>
          <w:rFonts w:asciiTheme="majorBidi" w:hAnsiTheme="majorBidi" w:cstheme="majorBidi"/>
          <w:b/>
          <w:bCs/>
          <w:i w:val="0"/>
          <w:iCs w:val="0"/>
          <w:color w:val="auto"/>
          <w:sz w:val="24"/>
          <w:szCs w:val="24"/>
        </w:rPr>
      </w:pPr>
      <w:bookmarkStart w:id="52" w:name="_Toc230558623"/>
      <w:bookmarkStart w:id="53" w:name="_Toc230900257"/>
      <w:r>
        <w:rPr>
          <w:rFonts w:asciiTheme="majorBidi" w:hAnsiTheme="majorBidi" w:cstheme="majorBidi"/>
          <w:b/>
          <w:bCs/>
          <w:i w:val="0"/>
          <w:iCs w:val="0"/>
          <w:color w:val="auto"/>
          <w:sz w:val="24"/>
          <w:szCs w:val="24"/>
          <w:lang w:bidi="ar-DZ"/>
        </w:rPr>
        <w:t>3.4. L</w:t>
      </w:r>
      <w:r w:rsidR="005A638F" w:rsidRPr="00851169">
        <w:rPr>
          <w:rFonts w:asciiTheme="majorBidi" w:hAnsiTheme="majorBidi" w:cstheme="majorBidi"/>
          <w:b/>
          <w:bCs/>
          <w:i w:val="0"/>
          <w:iCs w:val="0"/>
          <w:color w:val="auto"/>
          <w:sz w:val="24"/>
          <w:szCs w:val="24"/>
          <w:lang w:bidi="ar-DZ"/>
        </w:rPr>
        <w:t>a promotion des produits biologiques :</w:t>
      </w:r>
      <w:bookmarkEnd w:id="52"/>
      <w:bookmarkEnd w:id="53"/>
    </w:p>
    <w:p w:rsidR="005A638F" w:rsidRDefault="005A638F" w:rsidP="006E2FEE">
      <w:pPr>
        <w:spacing w:line="360" w:lineRule="auto"/>
        <w:ind w:firstLine="567"/>
        <w:jc w:val="both"/>
      </w:pPr>
      <w:r>
        <w:rPr>
          <w:rFonts w:ascii="Times New Roman" w:hAnsi="Times New Roman" w:cs="Times New Roman"/>
          <w:sz w:val="24"/>
          <w:szCs w:val="24"/>
          <w:lang w:bidi="ar-DZ"/>
        </w:rPr>
        <w:t xml:space="preserve">La promotion représente à l’intérieur des quatre éléments du mix marketing une place prioritaire au sens où elle ne porte pas directement sur la nature du produit, le prix ou le lieu, </w:t>
      </w:r>
      <w:r>
        <w:rPr>
          <w:rFonts w:ascii="Times New Roman" w:hAnsi="Times New Roman" w:cs="Times New Roman"/>
          <w:sz w:val="24"/>
          <w:szCs w:val="24"/>
          <w:lang w:bidi="ar-DZ"/>
        </w:rPr>
        <w:lastRenderedPageBreak/>
        <w:t>puisqu’elle, elle est une communication qui raconte une histoire, celle de l’entreprise, de ses produits, de ses avantages et qui incite le client à choisir la marque.</w:t>
      </w:r>
      <w:r>
        <w:rPr>
          <w:rStyle w:val="Appelnotedebasdep"/>
          <w:rFonts w:ascii="Times New Roman" w:hAnsi="Times New Roman" w:cs="Times New Roman"/>
          <w:sz w:val="24"/>
          <w:szCs w:val="24"/>
          <w:lang w:bidi="ar-DZ"/>
        </w:rPr>
        <w:footnoteReference w:id="47"/>
      </w:r>
    </w:p>
    <w:p w:rsidR="005A638F" w:rsidRDefault="005A638F" w:rsidP="006E2FEE">
      <w:pPr>
        <w:spacing w:line="360" w:lineRule="auto"/>
        <w:ind w:firstLine="567"/>
        <w:jc w:val="both"/>
      </w:pPr>
      <w:r>
        <w:rPr>
          <w:rFonts w:ascii="Times New Roman" w:hAnsi="Times New Roman" w:cs="Times New Roman"/>
          <w:sz w:val="24"/>
          <w:szCs w:val="24"/>
          <w:lang w:bidi="ar-DZ"/>
        </w:rPr>
        <w:t>Les producteurs usent de divers moyens de communication afin de faire connaître les produits biologiques aux consommateurs, de les inciter à les acheter, tout en utilisant des messages promotionnels soigneusement élaborés pour approcher le consommateur et pour atteindre l’objectif recherché. Pour la bonne marche de ce processus, il est nécessaire de procéder à une bonne analyse du consommateur sur ses besoins alimentaires et ses espoirs de santé, étant donné que c’est celui-ci qui de toute façon, va arbitrer l’efficacité du message de promotion.</w:t>
      </w:r>
      <w:r>
        <w:rPr>
          <w:rStyle w:val="Appelnotedebasdep"/>
          <w:rFonts w:ascii="Times New Roman" w:hAnsi="Times New Roman" w:cs="Times New Roman"/>
          <w:sz w:val="24"/>
          <w:szCs w:val="24"/>
          <w:lang w:bidi="ar-DZ"/>
        </w:rPr>
        <w:footnoteReference w:id="48"/>
      </w:r>
    </w:p>
    <w:p w:rsidR="005A638F" w:rsidRPr="00851169" w:rsidRDefault="005A638F" w:rsidP="006E2FEE">
      <w:pPr>
        <w:spacing w:line="360" w:lineRule="auto"/>
        <w:jc w:val="both"/>
      </w:pPr>
      <w:r>
        <w:rPr>
          <w:rFonts w:ascii="Times New Roman" w:hAnsi="Times New Roman" w:cs="Times New Roman"/>
          <w:b/>
          <w:bCs/>
          <w:sz w:val="24"/>
          <w:szCs w:val="24"/>
          <w:lang w:bidi="ar-DZ"/>
        </w:rPr>
        <w:t>Moyens de communication marketing :</w:t>
      </w:r>
    </w:p>
    <w:p w:rsidR="005A638F" w:rsidRDefault="005A638F" w:rsidP="006E2FEE">
      <w:pPr>
        <w:spacing w:line="360" w:lineRule="auto"/>
        <w:ind w:firstLine="567"/>
        <w:jc w:val="both"/>
      </w:pPr>
      <w:r>
        <w:rPr>
          <w:rFonts w:ascii="Times New Roman" w:hAnsi="Times New Roman" w:cs="Times New Roman"/>
          <w:sz w:val="24"/>
          <w:szCs w:val="24"/>
          <w:lang w:bidi="ar-DZ"/>
        </w:rPr>
        <w:t>-Les stratégies de communication marketing mises en œuvre sur les produits biologiques obéissent à un projet de communication visant à orienter le mode de consommation des consommateurs pour inciter, par des choix d’achat éclairés, le changement, allant même jusqu’à l’auto-influence individuelle de leurs perceptions de la santé et la satisfaction générale qu’ils peuvent avoir à disposer de ce type de produits dans leur équipes de consommation, relançant le lien de confiance en la bonne et juste information du produit.</w:t>
      </w:r>
      <w:r>
        <w:rPr>
          <w:rStyle w:val="Appelnotedebasdep"/>
          <w:rFonts w:ascii="Times New Roman" w:hAnsi="Times New Roman" w:cs="Times New Roman"/>
          <w:sz w:val="24"/>
          <w:szCs w:val="24"/>
          <w:lang w:bidi="ar-DZ"/>
        </w:rPr>
        <w:footnoteReference w:id="49"/>
      </w:r>
    </w:p>
    <w:p w:rsidR="005A638F"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Pour atteindre cet objectif les producteurs oriente l’accent de leurs efforts afin de faire connaître les produits et continuer à persuader le consommateur dans son achat, en s’efforçant de diffuser la bonne information sur le produit et la bonne méthode promotionnelle pour avoir sa marque dans les meilleures grilles d’achats possible, ce qui compte sur de telle stratégie promotionnelle c’est l’efficience du message publicitaire ou promotionnel lui-même capable d’influencer, dans la mesure même où il sera bien orienté au public visé, le processus d’achat vers l’un des produits exposés plutôt qu’un autre.</w:t>
      </w:r>
    </w:p>
    <w:p w:rsidR="006E2FEE" w:rsidRDefault="005A638F" w:rsidP="006E2FEE">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 xml:space="preserve">Pour cela il nécessite également des études spécialisées traitant du comportement du consommateur biologique, pour réaliser des publicités sectorielles destinées à cet achat, qui s’inscrivent mieux dans l’atteinte de leur objectif de promotion, ayant bien compris qu’elles devaient correspondre aux attentes du consommateur, ce dernier demeurant la référence </w:t>
      </w:r>
      <w:r>
        <w:rPr>
          <w:rFonts w:ascii="Times New Roman" w:hAnsi="Times New Roman" w:cs="Times New Roman"/>
          <w:sz w:val="24"/>
          <w:szCs w:val="24"/>
          <w:lang w:bidi="ar-DZ"/>
        </w:rPr>
        <w:lastRenderedPageBreak/>
        <w:t>principale permettant de bien cerner ses besoins et ce qu’il attend du produit à la consommation.</w:t>
      </w:r>
      <w:r>
        <w:rPr>
          <w:rStyle w:val="Appelnotedebasdep"/>
          <w:rFonts w:ascii="Times New Roman" w:hAnsi="Times New Roman" w:cs="Times New Roman"/>
          <w:sz w:val="24"/>
          <w:szCs w:val="24"/>
          <w:lang w:bidi="ar-DZ"/>
        </w:rPr>
        <w:footnoteReference w:id="50"/>
      </w:r>
    </w:p>
    <w:p w:rsidR="005A638F" w:rsidRPr="006E2FEE" w:rsidRDefault="005A638F" w:rsidP="006E2FEE">
      <w:pPr>
        <w:spacing w:line="360" w:lineRule="auto"/>
        <w:jc w:val="both"/>
        <w:rPr>
          <w:rFonts w:ascii="Times New Roman" w:hAnsi="Times New Roman" w:cs="Times New Roman"/>
          <w:sz w:val="24"/>
          <w:szCs w:val="24"/>
          <w:lang w:bidi="ar-DZ"/>
        </w:rPr>
      </w:pPr>
      <w:r w:rsidRPr="009B6100">
        <w:rPr>
          <w:rFonts w:ascii="Times New Roman" w:hAnsi="Times New Roman" w:cs="Times New Roman"/>
          <w:b/>
          <w:bCs/>
          <w:sz w:val="24"/>
          <w:szCs w:val="24"/>
          <w:lang w:bidi="ar-DZ"/>
        </w:rPr>
        <w:t>Les moyens de promotion personnelle directe</w:t>
      </w:r>
      <w:r w:rsidRPr="009B6100">
        <w:rPr>
          <w:rFonts w:ascii="Times New Roman" w:hAnsi="Times New Roman" w:cs="Times New Roman" w:hint="cs"/>
          <w:b/>
          <w:bCs/>
          <w:sz w:val="24"/>
          <w:szCs w:val="24"/>
          <w:rtl/>
          <w:lang w:bidi="ar-DZ"/>
        </w:rPr>
        <w:t>:</w:t>
      </w:r>
    </w:p>
    <w:p w:rsidR="005A638F" w:rsidRDefault="005A638F" w:rsidP="006E2FEE">
      <w:pPr>
        <w:spacing w:line="360" w:lineRule="auto"/>
        <w:ind w:firstLine="567"/>
        <w:jc w:val="both"/>
        <w:rPr>
          <w:rFonts w:ascii="Times New Roman" w:hAnsi="Times New Roman" w:cs="Times New Roman"/>
          <w:sz w:val="24"/>
          <w:szCs w:val="24"/>
          <w:lang w:bidi="ar-DZ"/>
        </w:rPr>
      </w:pPr>
      <w:r w:rsidRPr="009B6100">
        <w:rPr>
          <w:rFonts w:ascii="Times New Roman" w:hAnsi="Times New Roman" w:cs="Times New Roman"/>
          <w:sz w:val="24"/>
          <w:szCs w:val="24"/>
          <w:lang w:bidi="ar-DZ"/>
        </w:rPr>
        <w:t>Ces divers outils de communication qui prennent toutes les formes de contacts en face de face qui rassemblent deux interlocuteurs ou plus pour échanger des informations. Ces contacts en face de face peuvent être : l’entretien personnel, l’entretien téléphonique, les contacts par SMS ou par MMS via les e-mails ou les plateformes de messageries instantanées (WhatsApp, Messenger, TikTok, etc.), etc. Dans une telle démarche, la grande force de cette modalité est l’aptitude de l’interlocuteur à rendre la communication promotionnelle totalement ajustée aux besoins et aux attentes du client, en optant, si besoin est, une mobilisation opérante de l’interlocuteur pour : quoi dire, quoi faire ; comment dire, le dire à qui et proposer comment stimuler une prise de contact. Toutefois, sur la plupart des canaux et outils cités ne sont pas les plus appropriés. Parmi ces outils figurent :</w:t>
      </w:r>
      <w:r>
        <w:rPr>
          <w:rStyle w:val="Appelnotedebasdep"/>
          <w:rFonts w:ascii="Times New Roman" w:hAnsi="Times New Roman" w:cs="Times New Roman"/>
          <w:sz w:val="24"/>
          <w:szCs w:val="24"/>
          <w:lang w:bidi="ar-DZ"/>
        </w:rPr>
        <w:footnoteReference w:id="51"/>
      </w:r>
    </w:p>
    <w:p w:rsidR="005A638F" w:rsidRDefault="005A638F" w:rsidP="00B20DAD">
      <w:pPr>
        <w:spacing w:line="360" w:lineRule="auto"/>
        <w:jc w:val="lowKashida"/>
        <w:rPr>
          <w:rFonts w:ascii="Times New Roman" w:hAnsi="Times New Roman" w:cs="Times New Roman"/>
          <w:sz w:val="24"/>
          <w:szCs w:val="24"/>
          <w:lang w:bidi="ar-DZ"/>
        </w:rPr>
      </w:pPr>
      <w:r w:rsidRPr="006B5C1E">
        <w:rPr>
          <w:rFonts w:ascii="Times New Roman" w:hAnsi="Times New Roman" w:cs="Times New Roman"/>
          <w:b/>
          <w:bCs/>
          <w:sz w:val="24"/>
          <w:szCs w:val="24"/>
          <w:lang w:bidi="ar-DZ"/>
        </w:rPr>
        <w:t>Le marketing direct :</w:t>
      </w:r>
      <w:r w:rsidRPr="006B5C1E">
        <w:rPr>
          <w:rFonts w:ascii="Times New Roman" w:hAnsi="Times New Roman" w:cs="Times New Roman"/>
          <w:sz w:val="24"/>
          <w:szCs w:val="24"/>
          <w:lang w:bidi="ar-DZ"/>
        </w:rPr>
        <w:t xml:space="preserve"> Ce mode de communication direct présente des avantages de taille pour le consommateur qui peut obtenir directement les explications et informations précises sur les caractéristiques du produit biologique (et non du produit organique) auprès du producteur ou du service marketing. Les modalités de vente personnelle peuvent être assorties aux visites à domicile ou à des échanges par téléphone. Si cette méthode permet d’établir une relation forte entre le client et le producteur, elle est plus chronophage et exige davantage d’efforts physiques et organisationnels que d’autres modes de commercialisation.</w:t>
      </w:r>
    </w:p>
    <w:p w:rsidR="005A638F" w:rsidRDefault="005A638F" w:rsidP="00B20DAD">
      <w:pPr>
        <w:spacing w:line="360" w:lineRule="auto"/>
        <w:jc w:val="lowKashida"/>
        <w:rPr>
          <w:rFonts w:ascii="Times New Roman" w:hAnsi="Times New Roman" w:cs="Times New Roman"/>
          <w:sz w:val="24"/>
          <w:szCs w:val="24"/>
          <w:lang w:bidi="ar-DZ"/>
        </w:rPr>
      </w:pPr>
      <w:r w:rsidRPr="006B5C1E">
        <w:rPr>
          <w:rFonts w:ascii="Times New Roman" w:hAnsi="Times New Roman" w:cs="Times New Roman"/>
          <w:b/>
          <w:bCs/>
          <w:sz w:val="24"/>
          <w:szCs w:val="24"/>
          <w:lang w:bidi="ar-DZ"/>
        </w:rPr>
        <w:t>Les visites de terrain interactives :</w:t>
      </w:r>
      <w:r w:rsidRPr="006B5C1E">
        <w:rPr>
          <w:rFonts w:ascii="Times New Roman" w:hAnsi="Times New Roman" w:cs="Times New Roman"/>
          <w:sz w:val="24"/>
          <w:szCs w:val="24"/>
          <w:lang w:bidi="ar-DZ"/>
        </w:rPr>
        <w:t xml:space="preserve"> Cet instrument repose sur la coordination de rencontres périodiques réunissant les producteurs de nourriture bio et le grand public, pour créer un lieu d’échange de savoirs et d’expériences concrètes. L’importance de ces réunions, dans la mesure où elles sont un vecteur efficace de la proposition de développement qui exige réciprocité.</w:t>
      </w:r>
    </w:p>
    <w:p w:rsidR="005A638F" w:rsidRDefault="005A638F" w:rsidP="00B20DAD">
      <w:pPr>
        <w:spacing w:line="360" w:lineRule="auto"/>
        <w:jc w:val="lowKashida"/>
        <w:rPr>
          <w:rFonts w:ascii="Times New Roman" w:hAnsi="Times New Roman" w:cs="Times New Roman"/>
          <w:sz w:val="24"/>
          <w:szCs w:val="24"/>
          <w:lang w:bidi="ar-DZ"/>
        </w:rPr>
      </w:pPr>
      <w:r w:rsidRPr="006B5C1E">
        <w:rPr>
          <w:rFonts w:asciiTheme="majorBidi" w:hAnsiTheme="majorBidi" w:cstheme="majorBidi"/>
          <w:b/>
          <w:bCs/>
          <w:sz w:val="24"/>
          <w:szCs w:val="24"/>
        </w:rPr>
        <w:t xml:space="preserve">Réunions des </w:t>
      </w:r>
      <w:r w:rsidR="00851169" w:rsidRPr="006B5C1E">
        <w:rPr>
          <w:rFonts w:asciiTheme="majorBidi" w:hAnsiTheme="majorBidi" w:cstheme="majorBidi"/>
          <w:b/>
          <w:bCs/>
          <w:sz w:val="24"/>
          <w:szCs w:val="24"/>
        </w:rPr>
        <w:t>consommateurs:</w:t>
      </w:r>
      <w:r w:rsidRPr="006B5C1E">
        <w:rPr>
          <w:rFonts w:ascii="Times New Roman" w:hAnsi="Times New Roman" w:cs="Times New Roman"/>
          <w:sz w:val="24"/>
          <w:szCs w:val="24"/>
          <w:lang w:bidi="ar-DZ"/>
        </w:rPr>
        <w:t xml:space="preserve">activer des actions de communication avec des organisations civiles de type organisations féministes, des associations, des clubs sociaux, etc. sous forme de séminaires et de discussions ciblées. Ces rencontres doivent permettre de sensibiliser collectivement à l’intérêt (de l’agriculture biologique) pour sa pérennité (en tant que mode de </w:t>
      </w:r>
      <w:r w:rsidRPr="006B5C1E">
        <w:rPr>
          <w:rFonts w:ascii="Times New Roman" w:hAnsi="Times New Roman" w:cs="Times New Roman"/>
          <w:sz w:val="24"/>
          <w:szCs w:val="24"/>
          <w:lang w:bidi="ar-DZ"/>
        </w:rPr>
        <w:lastRenderedPageBreak/>
        <w:t>production) dans l’atteinte d’une sécurité alimentaire durable et, en faisant mieux valoir ses effets favorables (et les effets des agroécosystèmes sur la santé) et ses effets bénéfiques (de l’agriculture biologique) dans la mise en place de stratégies permettant de minimiser les dégradations environnementales.</w:t>
      </w:r>
    </w:p>
    <w:p w:rsidR="005A638F" w:rsidRDefault="005A638F" w:rsidP="00B20DAD">
      <w:pPr>
        <w:spacing w:line="360" w:lineRule="auto"/>
        <w:jc w:val="lowKashida"/>
        <w:rPr>
          <w:rFonts w:ascii="Times New Roman" w:hAnsi="Times New Roman" w:cs="Times New Roman"/>
          <w:sz w:val="24"/>
          <w:szCs w:val="24"/>
          <w:lang w:bidi="ar-DZ"/>
        </w:rPr>
      </w:pPr>
      <w:r w:rsidRPr="000E36EF">
        <w:rPr>
          <w:rFonts w:ascii="Times New Roman" w:hAnsi="Times New Roman" w:cs="Times New Roman"/>
          <w:b/>
          <w:bCs/>
          <w:sz w:val="24"/>
          <w:szCs w:val="24"/>
          <w:lang w:bidi="ar-DZ"/>
        </w:rPr>
        <w:t>Les canaux de communication promotionnelle indirecte :</w:t>
      </w:r>
      <w:r w:rsidRPr="000E36EF">
        <w:rPr>
          <w:rFonts w:ascii="Times New Roman" w:hAnsi="Times New Roman" w:cs="Times New Roman"/>
          <w:sz w:val="24"/>
          <w:szCs w:val="24"/>
          <w:lang w:bidi="ar-DZ"/>
        </w:rPr>
        <w:t>également désignés par l’expression « impersonnelle », peuvent être définis, quant à eux, comme étant des outils propres à la communication de masse, qui en tant que tels mettent en œuvre la transmission de messages marketing ou informatifs au public dans le cadre d’un échange non direct entre l’émetteur et son destinataire.  Cette stratégie se caractérise par l’utilisation d’un ensemble de médias et de canaux de nature collective, permettant d’atteindre en même temps de larges cibles de consommateurs, à savoir :</w:t>
      </w:r>
      <w:r>
        <w:rPr>
          <w:rStyle w:val="Appelnotedebasdep"/>
          <w:rFonts w:ascii="Times New Roman" w:hAnsi="Times New Roman" w:cs="Times New Roman"/>
          <w:sz w:val="24"/>
          <w:szCs w:val="24"/>
          <w:lang w:bidi="ar-DZ"/>
        </w:rPr>
        <w:footnoteReference w:id="52"/>
      </w:r>
    </w:p>
    <w:p w:rsidR="005A638F" w:rsidRPr="00196607" w:rsidRDefault="005A638F" w:rsidP="006E2FEE">
      <w:pPr>
        <w:spacing w:line="360" w:lineRule="auto"/>
        <w:jc w:val="lowKashida"/>
        <w:rPr>
          <w:rFonts w:ascii="Times New Roman" w:hAnsi="Times New Roman" w:cs="Times New Roman"/>
          <w:b/>
          <w:bCs/>
          <w:sz w:val="24"/>
          <w:szCs w:val="24"/>
          <w:lang w:bidi="ar-DZ"/>
        </w:rPr>
      </w:pPr>
      <w:r w:rsidRPr="00196607">
        <w:rPr>
          <w:rFonts w:ascii="Times New Roman" w:hAnsi="Times New Roman" w:cs="Times New Roman"/>
          <w:b/>
          <w:bCs/>
          <w:sz w:val="24"/>
          <w:szCs w:val="24"/>
          <w:lang w:bidi="ar-DZ"/>
        </w:rPr>
        <w:t>Les modèles</w:t>
      </w:r>
      <w:r w:rsidRPr="00196607">
        <w:rPr>
          <w:rFonts w:ascii="Times New Roman" w:hAnsi="Times New Roman" w:cs="Times New Roman" w:hint="cs"/>
          <w:b/>
          <w:bCs/>
          <w:sz w:val="24"/>
          <w:szCs w:val="24"/>
          <w:rtl/>
          <w:lang w:bidi="ar-DZ"/>
        </w:rPr>
        <w:t>:</w:t>
      </w:r>
    </w:p>
    <w:p w:rsidR="005A638F" w:rsidRDefault="005A638F" w:rsidP="006E2FEE">
      <w:pPr>
        <w:spacing w:line="360" w:lineRule="auto"/>
        <w:ind w:firstLine="567"/>
        <w:jc w:val="lowKashida"/>
        <w:rPr>
          <w:rFonts w:ascii="Times New Roman" w:hAnsi="Times New Roman" w:cs="Times New Roman"/>
          <w:sz w:val="24"/>
          <w:szCs w:val="24"/>
          <w:rtl/>
          <w:lang w:bidi="ar-DZ"/>
        </w:rPr>
      </w:pPr>
      <w:r w:rsidRPr="00196607">
        <w:rPr>
          <w:rFonts w:ascii="Times New Roman" w:hAnsi="Times New Roman" w:cs="Times New Roman"/>
          <w:sz w:val="24"/>
          <w:szCs w:val="24"/>
          <w:lang w:bidi="ar-DZ"/>
        </w:rPr>
        <w:t>Elle consiste à mobiliser la presse écrite et les revues spécialisées pour publier des articles scientifiques et de sensibilisation, comme l’expérience de la revue ‘Agriculture biologique’ en Tunisie. Elle s'adosse à la publication et à la diffusion de rapports et d’études qualitatives via les dispositifs numériques officiels, comme sur le site web du Centre Technique de l’Agriculture Biologique, de manière à faire connaître les bénéfices sanitaires et environnementaux des produits biologiques et d’illustrer la valeur ajoutée de l’agriculture biologique.</w:t>
      </w:r>
    </w:p>
    <w:p w:rsidR="00DC1548" w:rsidRDefault="005A638F" w:rsidP="006E2FEE">
      <w:pPr>
        <w:spacing w:line="360" w:lineRule="auto"/>
        <w:jc w:val="lowKashida"/>
        <w:rPr>
          <w:rFonts w:ascii="Times New Roman" w:hAnsi="Times New Roman" w:cs="Times New Roman"/>
          <w:sz w:val="24"/>
          <w:szCs w:val="24"/>
          <w:lang w:bidi="ar-DZ"/>
        </w:rPr>
      </w:pPr>
      <w:r w:rsidRPr="007B40F0">
        <w:rPr>
          <w:rFonts w:ascii="Times New Roman" w:hAnsi="Times New Roman" w:cs="Times New Roman"/>
          <w:b/>
          <w:bCs/>
          <w:sz w:val="24"/>
          <w:szCs w:val="24"/>
          <w:lang w:bidi="ar-DZ"/>
        </w:rPr>
        <w:t>Implication au sein des événements et foires commerciales :</w:t>
      </w:r>
    </w:p>
    <w:p w:rsidR="005A638F" w:rsidRDefault="005A638F" w:rsidP="00DC1548">
      <w:pPr>
        <w:spacing w:line="360" w:lineRule="auto"/>
        <w:ind w:firstLine="567"/>
        <w:jc w:val="lowKashida"/>
        <w:rPr>
          <w:rFonts w:ascii="Times New Roman" w:hAnsi="Times New Roman" w:cs="Times New Roman"/>
          <w:sz w:val="24"/>
          <w:szCs w:val="24"/>
          <w:lang w:bidi="ar-DZ"/>
        </w:rPr>
      </w:pPr>
      <w:r w:rsidRPr="007B40F0">
        <w:rPr>
          <w:rFonts w:ascii="Times New Roman" w:hAnsi="Times New Roman" w:cs="Times New Roman"/>
          <w:sz w:val="24"/>
          <w:szCs w:val="24"/>
          <w:lang w:bidi="ar-DZ"/>
        </w:rPr>
        <w:t>Les foires spécialisées sont pour les producteurs d’aliments biologiques une vitrine stratégique qui leur permet de faire connaître et de commercialiser leurs produits via la vente directe. Ce sont des événements économiques récurrents organisés dans différents pays de la planète. Ils sont disponibles sur des listes tenues par des sites officiels comme celui de l’Union européenne pour l’agriculture biologique. Les foires sont plus ou moins spécialisées, dans des événements spécialisés réservés aux aliments biologiques et/ou écologiques (ainsi, le salon français de la bio s’est tenu à Paris en février 2018) et des foires alimentaires à caractère général (où se retrouvent l’ensemble des acteurs de l’agroalimentaire) qui dégagent des places réservées aux produits soutenants l’environnement et leurs secteurs afférents.</w:t>
      </w:r>
    </w:p>
    <w:p w:rsidR="005A638F" w:rsidRPr="007B40F0" w:rsidRDefault="005A638F" w:rsidP="006E2FEE">
      <w:pPr>
        <w:spacing w:line="360" w:lineRule="auto"/>
        <w:rPr>
          <w:rFonts w:ascii="Times New Roman" w:hAnsi="Times New Roman" w:cs="Times New Roman"/>
          <w:b/>
          <w:bCs/>
          <w:sz w:val="24"/>
          <w:szCs w:val="24"/>
          <w:lang w:bidi="ar-DZ"/>
        </w:rPr>
      </w:pPr>
      <w:r w:rsidRPr="007B40F0">
        <w:rPr>
          <w:rFonts w:ascii="Times New Roman" w:hAnsi="Times New Roman" w:cs="Times New Roman"/>
          <w:b/>
          <w:bCs/>
          <w:sz w:val="24"/>
          <w:szCs w:val="24"/>
          <w:lang w:bidi="ar-DZ"/>
        </w:rPr>
        <w:t>Les visuels publicitaires de type (enseignes et affiches) :</w:t>
      </w:r>
    </w:p>
    <w:p w:rsidR="005A638F" w:rsidRDefault="005A638F" w:rsidP="006E2FEE">
      <w:pPr>
        <w:spacing w:line="360" w:lineRule="auto"/>
        <w:ind w:firstLine="567"/>
        <w:jc w:val="lowKashida"/>
        <w:rPr>
          <w:rFonts w:ascii="Times New Roman" w:hAnsi="Times New Roman" w:cs="Times New Roman"/>
          <w:sz w:val="24"/>
          <w:szCs w:val="24"/>
          <w:rtl/>
          <w:lang w:bidi="ar-DZ"/>
        </w:rPr>
      </w:pPr>
      <w:r w:rsidRPr="007B40F0">
        <w:rPr>
          <w:rFonts w:ascii="Times New Roman" w:hAnsi="Times New Roman" w:cs="Times New Roman"/>
          <w:sz w:val="24"/>
          <w:szCs w:val="24"/>
          <w:lang w:bidi="ar-DZ"/>
        </w:rPr>
        <w:lastRenderedPageBreak/>
        <w:t>Les entreprises productrices tirent parti de l’exploitation des espaces publicitaires dans les sites stratégiques et vitaux dans les espaces urbains, en plaçant des affiches publicitaires et des images promotionnelles fixes visant à interpeller et à séduire le passant, et tout autant l’activité publicitaire audiovisuelle via les spots publicitaires diffusés sur les chaînes de télévision permettant de contribuer à la création d’une image mentale du produit biologique chez un large public de consommateurs potentiels.</w:t>
      </w:r>
    </w:p>
    <w:p w:rsidR="00DC1548" w:rsidRDefault="005A638F" w:rsidP="006E2FEE">
      <w:pPr>
        <w:spacing w:line="360" w:lineRule="auto"/>
        <w:jc w:val="lowKashida"/>
        <w:rPr>
          <w:rFonts w:ascii="Times New Roman" w:hAnsi="Times New Roman" w:cs="Times New Roman"/>
          <w:b/>
          <w:bCs/>
          <w:sz w:val="24"/>
          <w:szCs w:val="24"/>
          <w:lang w:bidi="ar-DZ"/>
        </w:rPr>
      </w:pPr>
      <w:r w:rsidRPr="0079527E">
        <w:rPr>
          <w:rFonts w:ascii="Times New Roman" w:hAnsi="Times New Roman" w:cs="Times New Roman"/>
          <w:b/>
          <w:bCs/>
          <w:sz w:val="24"/>
          <w:szCs w:val="24"/>
          <w:lang w:bidi="ar-DZ"/>
        </w:rPr>
        <w:t>Les sites web institutionnels et professionnels</w:t>
      </w:r>
      <w:r w:rsidR="00851169">
        <w:rPr>
          <w:rFonts w:ascii="Times New Roman" w:hAnsi="Times New Roman" w:cs="Times New Roman"/>
          <w:b/>
          <w:bCs/>
          <w:sz w:val="24"/>
          <w:szCs w:val="24"/>
          <w:lang w:bidi="ar-DZ"/>
        </w:rPr>
        <w:t xml:space="preserve"> :</w:t>
      </w:r>
    </w:p>
    <w:p w:rsidR="005A638F" w:rsidRDefault="00851169" w:rsidP="00DC1548">
      <w:pPr>
        <w:spacing w:line="360" w:lineRule="auto"/>
        <w:ind w:firstLine="567"/>
        <w:jc w:val="lowKashida"/>
        <w:rPr>
          <w:rFonts w:ascii="Times New Roman" w:hAnsi="Times New Roman" w:cs="Times New Roman"/>
          <w:sz w:val="24"/>
          <w:szCs w:val="24"/>
          <w:lang w:bidi="ar-DZ"/>
        </w:rPr>
      </w:pPr>
      <w:r w:rsidRPr="00DC1548">
        <w:rPr>
          <w:rFonts w:ascii="Times New Roman" w:hAnsi="Times New Roman" w:cs="Times New Roman"/>
          <w:sz w:val="24"/>
          <w:szCs w:val="24"/>
          <w:lang w:bidi="ar-DZ"/>
        </w:rPr>
        <w:t>les</w:t>
      </w:r>
      <w:r w:rsidR="005A638F" w:rsidRPr="0079527E">
        <w:rPr>
          <w:rFonts w:ascii="Times New Roman" w:hAnsi="Times New Roman" w:cs="Times New Roman"/>
          <w:sz w:val="24"/>
          <w:szCs w:val="24"/>
          <w:lang w:bidi="ar-DZ"/>
        </w:rPr>
        <w:t xml:space="preserve"> sites web de l’entreprise représentée dans le secteur des produits biologiques au sens classique et strict du terme –, sont un canal decommunication complet, autant pour afficher l’identité du point de vue institutionnel que pour apporter des éclaircissements sur le produit mis en avant en tant que produit biologique, permettant ainsi au consommateur soucieux de la qualité de l’information dont il dispose d’accéder à une information correcte sur les pratiques de l’entreprise et les orientations qui la dirige vers une logique de préservation de l’environnement.</w:t>
      </w:r>
    </w:p>
    <w:p w:rsidR="005A638F" w:rsidRPr="0079527E" w:rsidRDefault="005A638F" w:rsidP="006E2FEE">
      <w:pPr>
        <w:spacing w:line="360" w:lineRule="auto"/>
        <w:jc w:val="lowKashida"/>
        <w:rPr>
          <w:rFonts w:ascii="Times New Roman" w:hAnsi="Times New Roman" w:cs="Times New Roman"/>
          <w:b/>
          <w:bCs/>
          <w:sz w:val="24"/>
          <w:szCs w:val="24"/>
          <w:lang w:bidi="ar-DZ"/>
        </w:rPr>
      </w:pPr>
      <w:r w:rsidRPr="0079527E">
        <w:rPr>
          <w:rFonts w:ascii="Times New Roman" w:hAnsi="Times New Roman" w:cs="Times New Roman"/>
          <w:b/>
          <w:bCs/>
          <w:sz w:val="24"/>
          <w:szCs w:val="24"/>
          <w:lang w:bidi="ar-DZ"/>
        </w:rPr>
        <w:t>Communication via les réseaux sociaux :</w:t>
      </w:r>
    </w:p>
    <w:p w:rsidR="005A638F" w:rsidRDefault="005A638F" w:rsidP="006E2FEE">
      <w:pPr>
        <w:spacing w:line="360" w:lineRule="auto"/>
        <w:ind w:firstLine="567"/>
        <w:jc w:val="lowKashida"/>
        <w:rPr>
          <w:rFonts w:ascii="Times New Roman" w:hAnsi="Times New Roman" w:cs="Times New Roman"/>
          <w:sz w:val="24"/>
          <w:szCs w:val="24"/>
          <w:rtl/>
          <w:lang w:bidi="ar-DZ"/>
        </w:rPr>
      </w:pPr>
      <w:r w:rsidRPr="0079527E">
        <w:rPr>
          <w:rFonts w:ascii="Times New Roman" w:hAnsi="Times New Roman" w:cs="Times New Roman"/>
          <w:sz w:val="24"/>
          <w:szCs w:val="24"/>
          <w:lang w:bidi="ar-DZ"/>
        </w:rPr>
        <w:t>L’utilisation des réseaux sociaux (comme Facebook et Twitter) est devenue un outil promotionnel à part entière pour les entreprises sponsors par la possibilité d’interaction instantanée, directe entre ces médias et le public. Ils favorisent la mise en place de communautés virtuelles sensibilisées aux produits biologiques, mais aussi au renouvellement de la santé et de l’environnement avec des stratégies marketing souples et peu coûteuses.</w:t>
      </w:r>
    </w:p>
    <w:p w:rsidR="005A638F" w:rsidRDefault="00851169" w:rsidP="00B20DAD">
      <w:pPr>
        <w:pStyle w:val="Titre2"/>
        <w:spacing w:before="0" w:after="0" w:line="360" w:lineRule="auto"/>
        <w:jc w:val="lowKashida"/>
        <w:rPr>
          <w:rFonts w:asciiTheme="majorBidi" w:hAnsiTheme="majorBidi" w:cstheme="majorBidi"/>
          <w:color w:val="auto"/>
          <w:sz w:val="24"/>
          <w:szCs w:val="24"/>
          <w:lang w:bidi="ar-DZ"/>
        </w:rPr>
      </w:pPr>
      <w:bookmarkStart w:id="54" w:name="_Toc230558624"/>
      <w:bookmarkStart w:id="55" w:name="_Toc230900258"/>
      <w:bookmarkStart w:id="56" w:name="_Toc230900919"/>
      <w:r w:rsidRPr="00851169">
        <w:rPr>
          <w:rFonts w:asciiTheme="majorBidi" w:hAnsiTheme="majorBidi" w:cstheme="majorBidi"/>
          <w:b/>
          <w:bCs/>
          <w:color w:val="auto"/>
          <w:sz w:val="24"/>
          <w:szCs w:val="24"/>
          <w:lang w:bidi="ar-DZ"/>
        </w:rPr>
        <w:t>Section 02 :</w:t>
      </w:r>
      <w:r w:rsidR="005A638F" w:rsidRPr="00851169">
        <w:rPr>
          <w:rFonts w:asciiTheme="majorBidi" w:hAnsiTheme="majorBidi" w:cstheme="majorBidi"/>
          <w:color w:val="auto"/>
          <w:sz w:val="24"/>
          <w:szCs w:val="24"/>
          <w:lang w:bidi="ar-DZ"/>
        </w:rPr>
        <w:t>L’approche scientifique et commerciale des produits biologiques.</w:t>
      </w:r>
      <w:bookmarkEnd w:id="54"/>
      <w:bookmarkEnd w:id="55"/>
      <w:bookmarkEnd w:id="56"/>
    </w:p>
    <w:p w:rsidR="0095325B" w:rsidRPr="0095325B" w:rsidRDefault="0095325B" w:rsidP="0095325B">
      <w:pPr>
        <w:suppressAutoHyphens w:val="0"/>
        <w:autoSpaceDN/>
        <w:spacing w:after="0" w:line="360" w:lineRule="auto"/>
        <w:textAlignment w:val="auto"/>
        <w:rPr>
          <w:rFonts w:ascii="Times New Roman" w:eastAsia="Times New Roman" w:hAnsi="Times New Roman" w:cs="Times New Roman"/>
          <w:kern w:val="0"/>
          <w:sz w:val="24"/>
          <w:szCs w:val="24"/>
          <w:lang w:eastAsia="fr-FR"/>
        </w:rPr>
      </w:pPr>
      <w:r>
        <w:rPr>
          <w:rFonts w:ascii="Times New Roman" w:eastAsia="Times New Roman" w:hAnsi="Times New Roman" w:cs="Times New Roman"/>
          <w:kern w:val="0"/>
          <w:sz w:val="24"/>
          <w:szCs w:val="24"/>
          <w:lang w:eastAsia="fr-FR"/>
        </w:rPr>
        <w:t xml:space="preserve">    </w:t>
      </w:r>
      <w:r w:rsidRPr="0095325B">
        <w:rPr>
          <w:rFonts w:ascii="Times New Roman" w:eastAsia="Times New Roman" w:hAnsi="Times New Roman" w:cs="Times New Roman"/>
          <w:kern w:val="0"/>
          <w:sz w:val="24"/>
          <w:szCs w:val="24"/>
          <w:lang w:eastAsia="fr-FR"/>
        </w:rPr>
        <w:t>Après avoir présenté les fondements du marketing biologique et son évolution, il est néce</w:t>
      </w:r>
      <w:r w:rsidRPr="0095325B">
        <w:rPr>
          <w:rFonts w:ascii="Times New Roman" w:eastAsia="Times New Roman" w:hAnsi="Times New Roman" w:cs="Times New Roman"/>
          <w:kern w:val="0"/>
          <w:sz w:val="24"/>
          <w:szCs w:val="24"/>
          <w:lang w:eastAsia="fr-FR"/>
        </w:rPr>
        <w:t>s</w:t>
      </w:r>
      <w:r w:rsidRPr="0095325B">
        <w:rPr>
          <w:rFonts w:ascii="Times New Roman" w:eastAsia="Times New Roman" w:hAnsi="Times New Roman" w:cs="Times New Roman"/>
          <w:kern w:val="0"/>
          <w:sz w:val="24"/>
          <w:szCs w:val="24"/>
          <w:lang w:eastAsia="fr-FR"/>
        </w:rPr>
        <w:t>saire de s’intéresser aux produits biologiques eux-mêmes. Ces produits se distinguent par des méthodes de production spécifiques reposant sur des normes scientifiques rigoureuses et des systèmes de certification garantissant leur qualité et leur authenticité. Parallèlement, leur commercialisation nécessite des stratégies adaptées permettant de répondre aux attentes des consommateurs et de valoriser leurs avantages. Cette section met en lumière les aspects scie</w:t>
      </w:r>
      <w:r w:rsidRPr="0095325B">
        <w:rPr>
          <w:rFonts w:ascii="Times New Roman" w:eastAsia="Times New Roman" w:hAnsi="Times New Roman" w:cs="Times New Roman"/>
          <w:kern w:val="0"/>
          <w:sz w:val="24"/>
          <w:szCs w:val="24"/>
          <w:lang w:eastAsia="fr-FR"/>
        </w:rPr>
        <w:t>n</w:t>
      </w:r>
      <w:r w:rsidRPr="0095325B">
        <w:rPr>
          <w:rFonts w:ascii="Times New Roman" w:eastAsia="Times New Roman" w:hAnsi="Times New Roman" w:cs="Times New Roman"/>
          <w:kern w:val="0"/>
          <w:sz w:val="24"/>
          <w:szCs w:val="24"/>
          <w:lang w:eastAsia="fr-FR"/>
        </w:rPr>
        <w:t>tifiques et commerciaux des produits biologiques, ainsi que les principaux mécanismes qui assurent leur développement sur le marché.</w:t>
      </w:r>
    </w:p>
    <w:p w:rsidR="0095325B" w:rsidRPr="0095325B" w:rsidRDefault="0095325B" w:rsidP="0095325B">
      <w:pPr>
        <w:rPr>
          <w:lang w:bidi="ar-DZ"/>
        </w:rPr>
      </w:pPr>
    </w:p>
    <w:p w:rsidR="005A638F" w:rsidRPr="00A25C4F" w:rsidRDefault="00851169" w:rsidP="00B20DAD">
      <w:pPr>
        <w:pStyle w:val="Titre3"/>
        <w:spacing w:before="0" w:after="0" w:line="360" w:lineRule="auto"/>
        <w:jc w:val="lowKashida"/>
        <w:rPr>
          <w:rFonts w:asciiTheme="majorBidi" w:hAnsiTheme="majorBidi" w:cstheme="majorBidi"/>
          <w:b/>
          <w:bCs/>
          <w:i/>
          <w:iCs/>
          <w:color w:val="auto"/>
          <w:sz w:val="24"/>
          <w:szCs w:val="24"/>
        </w:rPr>
      </w:pPr>
      <w:bookmarkStart w:id="57" w:name="_Toc230558625"/>
      <w:bookmarkStart w:id="58" w:name="_Toc230900259"/>
      <w:r w:rsidRPr="00A25C4F">
        <w:rPr>
          <w:rFonts w:asciiTheme="majorBidi" w:hAnsiTheme="majorBidi" w:cstheme="majorBidi"/>
          <w:b/>
          <w:bCs/>
          <w:color w:val="auto"/>
          <w:sz w:val="24"/>
          <w:szCs w:val="24"/>
          <w:lang w:bidi="ar-DZ"/>
        </w:rPr>
        <w:lastRenderedPageBreak/>
        <w:t xml:space="preserve">1. </w:t>
      </w:r>
      <w:r w:rsidR="005A638F" w:rsidRPr="00A25C4F">
        <w:rPr>
          <w:rFonts w:asciiTheme="majorBidi" w:hAnsiTheme="majorBidi" w:cstheme="majorBidi"/>
          <w:b/>
          <w:bCs/>
          <w:color w:val="auto"/>
          <w:sz w:val="24"/>
          <w:szCs w:val="24"/>
          <w:lang w:bidi="ar-DZ"/>
        </w:rPr>
        <w:t xml:space="preserve">Concept et normes des produits </w:t>
      </w:r>
      <w:r w:rsidRPr="00A25C4F">
        <w:rPr>
          <w:rFonts w:asciiTheme="majorBidi" w:hAnsiTheme="majorBidi" w:cstheme="majorBidi"/>
          <w:b/>
          <w:bCs/>
          <w:color w:val="auto"/>
          <w:sz w:val="24"/>
          <w:szCs w:val="24"/>
          <w:lang w:bidi="ar-DZ"/>
        </w:rPr>
        <w:t>biologiques.</w:t>
      </w:r>
      <w:bookmarkEnd w:id="57"/>
      <w:bookmarkEnd w:id="58"/>
    </w:p>
    <w:p w:rsidR="005A638F" w:rsidRPr="00A25C4F" w:rsidRDefault="00A25C4F" w:rsidP="00B20DAD">
      <w:pPr>
        <w:pStyle w:val="Titre4"/>
        <w:spacing w:line="360" w:lineRule="auto"/>
        <w:rPr>
          <w:rFonts w:asciiTheme="majorBidi" w:hAnsiTheme="majorBidi" w:cstheme="majorBidi"/>
          <w:b/>
          <w:bCs/>
          <w:i w:val="0"/>
          <w:iCs w:val="0"/>
          <w:color w:val="auto"/>
          <w:sz w:val="24"/>
          <w:szCs w:val="24"/>
          <w:rtl/>
          <w:lang w:bidi="ar-DZ"/>
        </w:rPr>
      </w:pPr>
      <w:bookmarkStart w:id="59" w:name="_Toc230558626"/>
      <w:bookmarkStart w:id="60" w:name="_Toc230900260"/>
      <w:r w:rsidRPr="00A25C4F">
        <w:rPr>
          <w:rFonts w:asciiTheme="majorBidi" w:hAnsiTheme="majorBidi" w:cstheme="majorBidi"/>
          <w:b/>
          <w:bCs/>
          <w:i w:val="0"/>
          <w:iCs w:val="0"/>
          <w:color w:val="auto"/>
          <w:sz w:val="24"/>
          <w:szCs w:val="24"/>
          <w:lang w:bidi="ar-DZ"/>
        </w:rPr>
        <w:t xml:space="preserve">1.1. </w:t>
      </w:r>
      <w:r w:rsidR="005A638F" w:rsidRPr="00A25C4F">
        <w:rPr>
          <w:rFonts w:asciiTheme="majorBidi" w:hAnsiTheme="majorBidi" w:cstheme="majorBidi"/>
          <w:b/>
          <w:bCs/>
          <w:i w:val="0"/>
          <w:iCs w:val="0"/>
          <w:color w:val="auto"/>
          <w:sz w:val="24"/>
          <w:szCs w:val="24"/>
          <w:lang w:bidi="ar-DZ"/>
        </w:rPr>
        <w:t>Définition des produits biologiques :</w:t>
      </w:r>
      <w:bookmarkEnd w:id="59"/>
      <w:bookmarkEnd w:id="60"/>
    </w:p>
    <w:p w:rsidR="005A638F" w:rsidRPr="008979E8" w:rsidRDefault="005A638F" w:rsidP="00B20DAD">
      <w:pPr>
        <w:spacing w:line="360" w:lineRule="auto"/>
        <w:ind w:firstLine="567"/>
        <w:jc w:val="lowKashida"/>
        <w:rPr>
          <w:rFonts w:asciiTheme="majorBidi" w:hAnsiTheme="majorBidi" w:cstheme="majorBidi"/>
          <w:sz w:val="24"/>
          <w:szCs w:val="24"/>
          <w:lang w:bidi="ar-DZ"/>
        </w:rPr>
      </w:pPr>
      <w:r w:rsidRPr="008979E8">
        <w:rPr>
          <w:rFonts w:asciiTheme="majorBidi" w:hAnsiTheme="majorBidi" w:cstheme="majorBidi"/>
          <w:sz w:val="24"/>
          <w:szCs w:val="24"/>
          <w:lang w:bidi="ar-DZ"/>
        </w:rPr>
        <w:t>Les produits biologiques sont l’une des principales directions sous la forme de critères de production de l’agriculture et de l’alimentation contemporaines, où les définitions se sont multipliées en fonction des approches analytiques et des références convoquées.</w:t>
      </w:r>
    </w:p>
    <w:p w:rsidR="005A638F" w:rsidRPr="00792D1F" w:rsidRDefault="005A638F" w:rsidP="00B20DAD">
      <w:pPr>
        <w:spacing w:line="360" w:lineRule="auto"/>
        <w:jc w:val="lowKashida"/>
        <w:rPr>
          <w:rFonts w:asciiTheme="majorBidi" w:hAnsiTheme="majorBidi" w:cstheme="majorBidi"/>
          <w:sz w:val="24"/>
          <w:szCs w:val="24"/>
          <w:lang w:bidi="ar-DZ"/>
        </w:rPr>
      </w:pPr>
      <w:r w:rsidRPr="00792D1F">
        <w:rPr>
          <w:rFonts w:asciiTheme="majorBidi" w:hAnsiTheme="majorBidi" w:cstheme="majorBidi"/>
          <w:b/>
          <w:bCs/>
          <w:sz w:val="24"/>
          <w:szCs w:val="24"/>
          <w:lang w:bidi="ar-DZ"/>
        </w:rPr>
        <w:t>-Définition 1</w:t>
      </w:r>
      <w:r w:rsidRPr="00792D1F">
        <w:rPr>
          <w:rFonts w:asciiTheme="majorBidi" w:hAnsiTheme="majorBidi" w:cstheme="majorBidi"/>
          <w:sz w:val="24"/>
          <w:szCs w:val="24"/>
          <w:lang w:bidi="ar-DZ"/>
        </w:rPr>
        <w:t xml:space="preserve"> : Approche marketing et comportementale du consommateur </w:t>
      </w:r>
    </w:p>
    <w:p w:rsidR="005A638F" w:rsidRDefault="005A638F" w:rsidP="00B20DAD">
      <w:pPr>
        <w:spacing w:line="360" w:lineRule="auto"/>
        <w:ind w:firstLine="567"/>
        <w:jc w:val="lowKashida"/>
        <w:rPr>
          <w:rFonts w:asciiTheme="majorBidi" w:hAnsiTheme="majorBidi" w:cstheme="majorBidi"/>
          <w:sz w:val="24"/>
          <w:szCs w:val="24"/>
          <w:rtl/>
          <w:lang w:bidi="ar-DZ"/>
        </w:rPr>
      </w:pPr>
      <w:r w:rsidRPr="00792D1F">
        <w:rPr>
          <w:rFonts w:asciiTheme="majorBidi" w:hAnsiTheme="majorBidi" w:cstheme="majorBidi"/>
          <w:sz w:val="24"/>
          <w:szCs w:val="24"/>
          <w:lang w:bidi="ar-DZ"/>
        </w:rPr>
        <w:t>Les produits biologiques désignent des denrées issues d’un système de production respectueux de l’environnement, caractérisé par une réduction significative des intrants chimiques. Sur le plan marketing, ils s’inscrivent dans une logique de différenciation reposant sur la qualité perçue, la confiance et les attentes spécifiques des consommateurs, notamment en matière de santé, d’écologie et d’authenticité.</w:t>
      </w:r>
      <w:r>
        <w:rPr>
          <w:rStyle w:val="Appelnotedebasdep"/>
          <w:rFonts w:ascii="Times New Roman" w:hAnsi="Times New Roman" w:cs="Times New Roman"/>
          <w:sz w:val="24"/>
          <w:szCs w:val="24"/>
          <w:lang w:bidi="ar-DZ"/>
        </w:rPr>
        <w:footnoteReference w:id="53"/>
      </w:r>
    </w:p>
    <w:p w:rsidR="005A638F" w:rsidRDefault="005A638F" w:rsidP="00B20DAD">
      <w:pPr>
        <w:spacing w:line="360" w:lineRule="auto"/>
        <w:jc w:val="lowKashida"/>
        <w:rPr>
          <w:rFonts w:ascii="Times New Roman" w:hAnsi="Times New Roman" w:cs="Times New Roman"/>
          <w:sz w:val="24"/>
          <w:szCs w:val="24"/>
          <w:lang w:bidi="ar-DZ"/>
        </w:rPr>
      </w:pPr>
      <w:r w:rsidRPr="00792D1F">
        <w:rPr>
          <w:rFonts w:ascii="Times New Roman" w:hAnsi="Times New Roman" w:cs="Times New Roman"/>
          <w:b/>
          <w:bCs/>
          <w:sz w:val="24"/>
          <w:szCs w:val="24"/>
          <w:lang w:bidi="ar-DZ"/>
        </w:rPr>
        <w:t>-Définition 2 :</w:t>
      </w:r>
      <w:r w:rsidRPr="00792D1F">
        <w:rPr>
          <w:rFonts w:ascii="Times New Roman" w:hAnsi="Times New Roman" w:cs="Times New Roman"/>
          <w:sz w:val="24"/>
          <w:szCs w:val="24"/>
          <w:lang w:bidi="ar-DZ"/>
        </w:rPr>
        <w:t xml:space="preserve"> Approche institutionnelle et normative </w:t>
      </w:r>
    </w:p>
    <w:p w:rsidR="005A638F" w:rsidRPr="00792D1F" w:rsidRDefault="005A638F" w:rsidP="00B20DAD">
      <w:pPr>
        <w:spacing w:line="360" w:lineRule="auto"/>
        <w:ind w:firstLine="567"/>
        <w:jc w:val="lowKashida"/>
        <w:rPr>
          <w:rFonts w:ascii="Times New Roman" w:hAnsi="Times New Roman" w:cs="Times New Roman"/>
          <w:b/>
          <w:bCs/>
          <w:sz w:val="24"/>
          <w:szCs w:val="24"/>
          <w:lang w:bidi="ar-DZ"/>
        </w:rPr>
      </w:pPr>
      <w:r w:rsidRPr="00792D1F">
        <w:rPr>
          <w:rFonts w:ascii="Times New Roman" w:hAnsi="Times New Roman" w:cs="Times New Roman"/>
          <w:sz w:val="24"/>
          <w:szCs w:val="24"/>
          <w:lang w:bidi="ar-DZ"/>
        </w:rPr>
        <w:t>Selon les référentiels internationaux, les produits biologiques sont issus d’un mode de production encadré par des normes strictes visant à préserver les écosystèmes, la biodiversité et la santé humaine, tout en excluant l’utilisation de substances chimiques de synthèse.</w:t>
      </w:r>
      <w:r>
        <w:rPr>
          <w:rStyle w:val="Appelnotedebasdep"/>
          <w:rFonts w:ascii="Times New Roman" w:hAnsi="Times New Roman" w:cs="Times New Roman"/>
          <w:sz w:val="24"/>
          <w:szCs w:val="24"/>
          <w:lang w:bidi="ar-DZ"/>
        </w:rPr>
        <w:footnoteReference w:id="54"/>
      </w:r>
    </w:p>
    <w:p w:rsidR="005A638F" w:rsidRDefault="005A638F" w:rsidP="00B20DAD">
      <w:pPr>
        <w:spacing w:line="360" w:lineRule="auto"/>
        <w:jc w:val="lowKashida"/>
        <w:rPr>
          <w:rFonts w:ascii="Times New Roman" w:hAnsi="Times New Roman" w:cs="Times New Roman"/>
          <w:sz w:val="24"/>
          <w:szCs w:val="24"/>
          <w:lang w:bidi="ar-DZ"/>
        </w:rPr>
      </w:pPr>
      <w:r w:rsidRPr="00B03761">
        <w:rPr>
          <w:rFonts w:ascii="Times New Roman" w:hAnsi="Times New Roman" w:cs="Times New Roman"/>
          <w:b/>
          <w:bCs/>
          <w:sz w:val="24"/>
          <w:szCs w:val="24"/>
          <w:lang w:bidi="ar-DZ"/>
        </w:rPr>
        <w:t>Définition 3 :</w:t>
      </w:r>
      <w:r w:rsidRPr="00B03761">
        <w:rPr>
          <w:rFonts w:ascii="Times New Roman" w:hAnsi="Times New Roman" w:cs="Times New Roman"/>
          <w:sz w:val="24"/>
          <w:szCs w:val="24"/>
          <w:lang w:bidi="ar-DZ"/>
        </w:rPr>
        <w:t xml:space="preserve"> Approche environnementale et sanitaire</w:t>
      </w:r>
    </w:p>
    <w:p w:rsidR="005A638F" w:rsidRDefault="005A638F" w:rsidP="00B20DAD">
      <w:pPr>
        <w:spacing w:line="360" w:lineRule="auto"/>
        <w:ind w:firstLine="567"/>
        <w:jc w:val="lowKashida"/>
        <w:rPr>
          <w:rFonts w:ascii="Times New Roman" w:hAnsi="Times New Roman" w:cs="Times New Roman"/>
          <w:sz w:val="24"/>
          <w:szCs w:val="24"/>
          <w:lang w:bidi="ar-DZ"/>
        </w:rPr>
      </w:pPr>
      <w:r w:rsidRPr="00B03761">
        <w:rPr>
          <w:rFonts w:ascii="Times New Roman" w:hAnsi="Times New Roman" w:cs="Times New Roman"/>
          <w:sz w:val="24"/>
          <w:szCs w:val="24"/>
          <w:lang w:bidi="ar-DZ"/>
        </w:rPr>
        <w:t xml:space="preserve"> Le produit biologique s’inscrit dans une logique de durabilité, reposant sur le respect des cycles naturels et contribuant à la prévention des risques sanitaires, tout en favorisant un modèle de consommation responsable.</w:t>
      </w:r>
      <w:r>
        <w:rPr>
          <w:rStyle w:val="Appelnotedebasdep"/>
          <w:rFonts w:ascii="Times New Roman" w:hAnsi="Times New Roman" w:cs="Times New Roman"/>
          <w:sz w:val="24"/>
          <w:szCs w:val="24"/>
          <w:lang w:bidi="ar-DZ"/>
        </w:rPr>
        <w:footnoteReference w:id="55"/>
      </w:r>
    </w:p>
    <w:p w:rsidR="005A638F" w:rsidRDefault="005A638F" w:rsidP="00B20DAD">
      <w:pPr>
        <w:spacing w:line="360" w:lineRule="auto"/>
        <w:jc w:val="lowKashida"/>
        <w:rPr>
          <w:rFonts w:ascii="Times New Roman" w:hAnsi="Times New Roman" w:cs="Times New Roman"/>
          <w:sz w:val="24"/>
          <w:szCs w:val="24"/>
          <w:lang w:bidi="ar-DZ"/>
        </w:rPr>
      </w:pPr>
      <w:r w:rsidRPr="004D4D51">
        <w:rPr>
          <w:rFonts w:ascii="Times New Roman" w:hAnsi="Times New Roman" w:cs="Times New Roman"/>
          <w:sz w:val="24"/>
          <w:szCs w:val="24"/>
          <w:lang w:bidi="ar-DZ"/>
        </w:rPr>
        <w:t>Ces différentes approches montrent que la notion de produit biologique est multidimensionnelle, combinant des dimensions économiques, réglementaires et environnementales</w:t>
      </w:r>
    </w:p>
    <w:p w:rsidR="005A638F" w:rsidRPr="00D30E5E" w:rsidRDefault="00A25C4F" w:rsidP="00B20DAD">
      <w:pPr>
        <w:pStyle w:val="Titre4"/>
        <w:spacing w:before="0" w:after="0" w:line="360" w:lineRule="auto"/>
        <w:jc w:val="lowKashida"/>
        <w:rPr>
          <w:rFonts w:asciiTheme="majorBidi" w:hAnsiTheme="majorBidi" w:cstheme="majorBidi"/>
          <w:b/>
          <w:bCs/>
          <w:i w:val="0"/>
          <w:iCs w:val="0"/>
          <w:color w:val="auto"/>
          <w:sz w:val="24"/>
          <w:szCs w:val="24"/>
        </w:rPr>
      </w:pPr>
      <w:bookmarkStart w:id="61" w:name="_Toc230558627"/>
      <w:bookmarkStart w:id="62" w:name="_Toc230900261"/>
      <w:r w:rsidRPr="00D30E5E">
        <w:rPr>
          <w:rFonts w:asciiTheme="majorBidi" w:hAnsiTheme="majorBidi" w:cstheme="majorBidi"/>
          <w:b/>
          <w:bCs/>
          <w:i w:val="0"/>
          <w:iCs w:val="0"/>
          <w:color w:val="auto"/>
          <w:sz w:val="24"/>
          <w:szCs w:val="24"/>
          <w:lang w:bidi="ar-DZ"/>
        </w:rPr>
        <w:t>1.</w:t>
      </w:r>
      <w:r w:rsidR="00D30E5E" w:rsidRPr="00D30E5E">
        <w:rPr>
          <w:rFonts w:asciiTheme="majorBidi" w:hAnsiTheme="majorBidi" w:cstheme="majorBidi"/>
          <w:b/>
          <w:bCs/>
          <w:i w:val="0"/>
          <w:iCs w:val="0"/>
          <w:color w:val="auto"/>
          <w:sz w:val="24"/>
          <w:szCs w:val="24"/>
          <w:lang w:bidi="ar-DZ"/>
        </w:rPr>
        <w:t>2. Les</w:t>
      </w:r>
      <w:r w:rsidR="005A638F" w:rsidRPr="00D30E5E">
        <w:rPr>
          <w:rFonts w:asciiTheme="majorBidi" w:hAnsiTheme="majorBidi" w:cstheme="majorBidi"/>
          <w:b/>
          <w:bCs/>
          <w:i w:val="0"/>
          <w:iCs w:val="0"/>
          <w:color w:val="auto"/>
          <w:sz w:val="24"/>
          <w:szCs w:val="24"/>
          <w:lang w:bidi="ar-DZ"/>
        </w:rPr>
        <w:t xml:space="preserve"> critères des produits biologiques :</w:t>
      </w:r>
      <w:bookmarkEnd w:id="61"/>
      <w:bookmarkEnd w:id="62"/>
    </w:p>
    <w:p w:rsidR="005A638F" w:rsidRDefault="005A638F" w:rsidP="00B20DAD">
      <w:pPr>
        <w:spacing w:line="360" w:lineRule="auto"/>
        <w:jc w:val="lowKashida"/>
        <w:rPr>
          <w:rFonts w:ascii="Times New Roman" w:hAnsi="Times New Roman" w:cs="Times New Roman"/>
          <w:b/>
          <w:bCs/>
          <w:sz w:val="24"/>
          <w:szCs w:val="24"/>
          <w:lang w:bidi="ar-DZ"/>
        </w:rPr>
      </w:pPr>
      <w:r>
        <w:rPr>
          <w:rFonts w:ascii="Times New Roman" w:hAnsi="Times New Roman" w:cs="Times New Roman"/>
          <w:b/>
          <w:bCs/>
          <w:sz w:val="24"/>
          <w:szCs w:val="24"/>
          <w:lang w:bidi="ar-DZ"/>
        </w:rPr>
        <w:t>-Premier critère : interdiction des pesticides et engrais chimiques</w:t>
      </w:r>
    </w:p>
    <w:p w:rsidR="005A638F" w:rsidRDefault="005A638F" w:rsidP="00B20DAD">
      <w:pPr>
        <w:spacing w:line="360" w:lineRule="auto"/>
        <w:ind w:firstLine="567"/>
        <w:jc w:val="lowKashida"/>
        <w:rPr>
          <w:rFonts w:ascii="Times New Roman" w:hAnsi="Times New Roman" w:cs="Times New Roman"/>
          <w:sz w:val="24"/>
          <w:szCs w:val="24"/>
          <w:rtl/>
          <w:lang w:bidi="ar-DZ"/>
        </w:rPr>
      </w:pPr>
      <w:r w:rsidRPr="00C65B4B">
        <w:rPr>
          <w:rFonts w:ascii="Times New Roman" w:hAnsi="Times New Roman" w:cs="Times New Roman"/>
          <w:sz w:val="24"/>
          <w:szCs w:val="24"/>
          <w:lang w:bidi="ar-DZ"/>
        </w:rPr>
        <w:lastRenderedPageBreak/>
        <w:t>Le principe fondamental de la production biologique repose sur l’élimination de l’ensemble des pesticides et engrais chimiques de synthèse. Les intrants externes à l’agriculture biologique peuvent être autorisés mais sélectionnés avec soin selon des critères garantissant l’absence de substance à effet toxique sur l’homme, l’environnement ou l’animal, ou contraire aux pratiques traditionnelles et aux attentes des agriculteurs et consommateurs biologiques. L’interdiction s’inscrit dans un usage croissant des pesticides et engrais chimiques en Europe et dans le monde engendrant pollution, fuites de nutriments, résidus et lessivage pour des coûts directs et indirects pour les écosystèmes et la biodiversité ou les organismes non ciblés.</w:t>
      </w:r>
      <w:r>
        <w:rPr>
          <w:rStyle w:val="Appelnotedebasdep"/>
          <w:rFonts w:ascii="Times New Roman" w:hAnsi="Times New Roman" w:cs="Times New Roman"/>
          <w:sz w:val="24"/>
          <w:szCs w:val="24"/>
          <w:lang w:bidi="ar-DZ"/>
        </w:rPr>
        <w:footnoteReference w:id="56"/>
      </w:r>
    </w:p>
    <w:p w:rsidR="005A638F" w:rsidRPr="0066256C" w:rsidRDefault="005A638F" w:rsidP="0066256C">
      <w:pPr>
        <w:spacing w:line="360" w:lineRule="auto"/>
        <w:jc w:val="lowKashida"/>
        <w:rPr>
          <w:rFonts w:ascii="Times New Roman" w:hAnsi="Times New Roman" w:cs="Times New Roman"/>
          <w:sz w:val="24"/>
          <w:szCs w:val="24"/>
          <w:lang w:bidi="ar-DZ"/>
        </w:rPr>
      </w:pPr>
      <w:r>
        <w:rPr>
          <w:rFonts w:ascii="Times New Roman" w:hAnsi="Times New Roman" w:cs="Times New Roman"/>
          <w:b/>
          <w:bCs/>
          <w:sz w:val="24"/>
          <w:szCs w:val="24"/>
          <w:lang w:bidi="ar-DZ"/>
        </w:rPr>
        <w:t>-Deuxième critère : interdiction du recours au génie génétique</w:t>
      </w:r>
    </w:p>
    <w:p w:rsidR="005A638F" w:rsidRPr="00C65B4B" w:rsidRDefault="005A638F" w:rsidP="00B20DAD">
      <w:pPr>
        <w:spacing w:line="360" w:lineRule="auto"/>
        <w:ind w:firstLine="567"/>
        <w:jc w:val="lowKashida"/>
        <w:rPr>
          <w:rFonts w:asciiTheme="majorBidi" w:hAnsiTheme="majorBidi" w:cstheme="majorBidi"/>
          <w:sz w:val="24"/>
          <w:szCs w:val="24"/>
        </w:rPr>
      </w:pPr>
      <w:r w:rsidRPr="00C65B4B">
        <w:rPr>
          <w:rFonts w:asciiTheme="majorBidi" w:hAnsiTheme="majorBidi" w:cstheme="majorBidi"/>
          <w:sz w:val="24"/>
          <w:szCs w:val="24"/>
        </w:rPr>
        <w:t xml:space="preserve">La production biologique repose sur un principe fondateur : l’interdiction de l’utilisation du génie génétique. Les directives du Codex Alimentarius interdisent par principe toute application de la biotechnologie dans le domaine de l’agriculture biologique, sauf les vaccins issus du génie génétique dont la mise sur le marché est approuvée par les Etats, mais sur cette question, la saisine du groupe de travail a été délaissée car il a été précisé que celle-ci dépasse les compétences du groupe et qu’il sera opportun d’y travailler en secteur biologique à court terme </w:t>
      </w:r>
      <w:r>
        <w:rPr>
          <w:rStyle w:val="Appelnotedebasdep"/>
          <w:rFonts w:asciiTheme="majorBidi" w:hAnsiTheme="majorBidi" w:cstheme="majorBidi"/>
          <w:sz w:val="24"/>
          <w:szCs w:val="24"/>
        </w:rPr>
        <w:footnoteReference w:id="57"/>
      </w:r>
    </w:p>
    <w:p w:rsidR="005A638F" w:rsidRDefault="005A638F" w:rsidP="00B20DAD">
      <w:pPr>
        <w:spacing w:line="360" w:lineRule="auto"/>
        <w:jc w:val="lowKashida"/>
        <w:rPr>
          <w:rFonts w:ascii="Times New Roman" w:hAnsi="Times New Roman" w:cs="Times New Roman"/>
          <w:b/>
          <w:bCs/>
          <w:sz w:val="24"/>
          <w:szCs w:val="24"/>
          <w:lang w:bidi="ar-DZ"/>
        </w:rPr>
      </w:pPr>
      <w:r>
        <w:rPr>
          <w:rFonts w:ascii="Times New Roman" w:hAnsi="Times New Roman" w:cs="Times New Roman"/>
          <w:b/>
          <w:bCs/>
          <w:sz w:val="24"/>
          <w:szCs w:val="24"/>
          <w:lang w:bidi="ar-DZ"/>
        </w:rPr>
        <w:t>-troisième critère :Respect de l’équilibre écologique</w:t>
      </w:r>
    </w:p>
    <w:p w:rsidR="005A638F" w:rsidRPr="00C65B4B" w:rsidRDefault="005A638F" w:rsidP="00B20DAD">
      <w:pPr>
        <w:spacing w:line="360" w:lineRule="auto"/>
        <w:ind w:firstLine="567"/>
        <w:jc w:val="lowKashida"/>
        <w:rPr>
          <w:rFonts w:asciiTheme="majorBidi" w:hAnsiTheme="majorBidi" w:cstheme="majorBidi"/>
          <w:sz w:val="24"/>
          <w:szCs w:val="24"/>
        </w:rPr>
      </w:pPr>
      <w:r w:rsidRPr="00C65B4B">
        <w:rPr>
          <w:rFonts w:asciiTheme="majorBidi" w:hAnsiTheme="majorBidi" w:cstheme="majorBidi"/>
          <w:sz w:val="24"/>
          <w:szCs w:val="24"/>
        </w:rPr>
        <w:t>Le système reconnaît bien l’importance de la protection des sols et des ressources en eau en tant que prérequis à la santé des écosystèmes et au maintien de la biodiversité. Pour cela, la production et la transformation biologiques s’appuient sur une gestion intégrée des ravageurs, des adventices et des maladies des végétaux et des animaux, de manière à amoindrir les effets néfastes sur l’équilibre écologique et à concourir à sa préservation (New Zealand Législation, 2025).</w:t>
      </w:r>
      <w:r>
        <w:rPr>
          <w:rStyle w:val="Appelnotedebasdep"/>
          <w:rFonts w:asciiTheme="majorBidi" w:hAnsiTheme="majorBidi" w:cstheme="majorBidi"/>
          <w:sz w:val="24"/>
          <w:szCs w:val="24"/>
        </w:rPr>
        <w:footnoteReference w:id="58"/>
      </w:r>
    </w:p>
    <w:p w:rsidR="005A638F" w:rsidRDefault="005A638F" w:rsidP="00B20DAD">
      <w:pPr>
        <w:spacing w:line="360" w:lineRule="auto"/>
        <w:jc w:val="lowKashida"/>
        <w:rPr>
          <w:rFonts w:ascii="Times New Roman" w:hAnsi="Times New Roman" w:cs="Times New Roman"/>
          <w:b/>
          <w:bCs/>
          <w:sz w:val="24"/>
          <w:szCs w:val="24"/>
          <w:lang w:bidi="ar-DZ"/>
        </w:rPr>
      </w:pPr>
      <w:r>
        <w:rPr>
          <w:rFonts w:ascii="Times New Roman" w:hAnsi="Times New Roman" w:cs="Times New Roman"/>
          <w:b/>
          <w:bCs/>
          <w:sz w:val="24"/>
          <w:szCs w:val="24"/>
          <w:lang w:bidi="ar-DZ"/>
        </w:rPr>
        <w:t>-Quatrième critère : Substances autorisées (listes des substances)</w:t>
      </w:r>
    </w:p>
    <w:p w:rsidR="005A638F" w:rsidRPr="00C65B4B" w:rsidRDefault="005A638F" w:rsidP="00D078FF">
      <w:pPr>
        <w:spacing w:line="360" w:lineRule="auto"/>
        <w:ind w:firstLine="567"/>
        <w:jc w:val="both"/>
        <w:rPr>
          <w:rFonts w:ascii="Times New Roman" w:hAnsi="Times New Roman" w:cs="Times New Roman"/>
          <w:sz w:val="24"/>
          <w:szCs w:val="24"/>
        </w:rPr>
      </w:pPr>
      <w:r w:rsidRPr="00C65B4B">
        <w:rPr>
          <w:rFonts w:ascii="Times New Roman" w:hAnsi="Times New Roman" w:cs="Times New Roman"/>
          <w:sz w:val="24"/>
          <w:szCs w:val="24"/>
        </w:rPr>
        <w:t xml:space="preserve">Il est nécessaire d’accompagner l’utilisation des intrants de normes précises : de ce fait, toute substance utilisée pour la production biologique – soit pour la fertilisation et </w:t>
      </w:r>
      <w:r w:rsidRPr="00C65B4B">
        <w:rPr>
          <w:rFonts w:ascii="Times New Roman" w:hAnsi="Times New Roman" w:cs="Times New Roman"/>
          <w:sz w:val="24"/>
          <w:szCs w:val="24"/>
        </w:rPr>
        <w:lastRenderedPageBreak/>
        <w:t xml:space="preserve">l’aménagement des sols, la santé animale ou la qualité des produits animaux, la lutte contre les parasites et les maladies, la préparation ou la conservation des aliments – doit respecter la réglementation nationale spécifique d’utilisation. </w:t>
      </w:r>
    </w:p>
    <w:p w:rsidR="005A638F" w:rsidRDefault="005A638F" w:rsidP="00D078FF">
      <w:pPr>
        <w:spacing w:line="360" w:lineRule="auto"/>
        <w:ind w:firstLine="567"/>
        <w:jc w:val="both"/>
        <w:rPr>
          <w:rFonts w:ascii="Times New Roman" w:hAnsi="Times New Roman" w:cs="Times New Roman"/>
          <w:sz w:val="24"/>
          <w:szCs w:val="24"/>
        </w:rPr>
      </w:pPr>
      <w:r w:rsidRPr="00C65B4B">
        <w:rPr>
          <w:rFonts w:ascii="Times New Roman" w:hAnsi="Times New Roman" w:cs="Times New Roman"/>
          <w:sz w:val="24"/>
          <w:szCs w:val="24"/>
        </w:rPr>
        <w:t>L’instance de certification ou l’organisme compétent peut prescrire des modalités d’emploi spécifiques pour certains intrants des listes utilisées, du type, volume d’utilisation, fréquence d’application, motif de leur emploi. S’agissant de certains produits jugés indispensables à la production primaire, une vigilance accrue peut s’imposer car ces substances peuvent, malgré leur admission aux usages, être abusivement ou mal utilisées au risque d’altérer l’équilibre écologique du sol ou de l’exploitation.</w:t>
      </w:r>
    </w:p>
    <w:p w:rsidR="005A638F" w:rsidRDefault="005A638F" w:rsidP="00D078FF">
      <w:pPr>
        <w:spacing w:line="360" w:lineRule="auto"/>
        <w:jc w:val="both"/>
        <w:rPr>
          <w:rFonts w:ascii="Times New Roman" w:hAnsi="Times New Roman" w:cs="Times New Roman"/>
          <w:sz w:val="24"/>
          <w:szCs w:val="24"/>
        </w:rPr>
      </w:pPr>
      <w:r w:rsidRPr="000A7F99">
        <w:rPr>
          <w:rFonts w:ascii="Times New Roman" w:hAnsi="Times New Roman" w:cs="Times New Roman"/>
          <w:sz w:val="24"/>
          <w:szCs w:val="24"/>
        </w:rPr>
        <w:t>Ces listes ne visent pas à donner un inventaire exhaustif ou exclusif à leur disposition, ni à constituer un élément normatif définitif. Leur objet est d’outiller les gouvernements pour se positionner sur les entrées reconnues internationalement. Le système de critères de révision exposé à la section V des présentes lignes directrices constitue le principal outil permettant aux autorités nationales d’accepter ou de refuser l’introduction de certaines substances.</w:t>
      </w:r>
      <w:r>
        <w:rPr>
          <w:rStyle w:val="Appelnotedebasdep"/>
          <w:rFonts w:ascii="Times New Roman" w:hAnsi="Times New Roman" w:cs="Times New Roman"/>
          <w:sz w:val="24"/>
          <w:szCs w:val="24"/>
        </w:rPr>
        <w:footnoteReference w:id="59"/>
      </w:r>
    </w:p>
    <w:p w:rsidR="005A638F" w:rsidRDefault="005A638F" w:rsidP="00D078F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-Cinquième critère : la </w:t>
      </w:r>
      <w:r w:rsidR="00337683">
        <w:rPr>
          <w:rFonts w:ascii="Times New Roman" w:hAnsi="Times New Roman" w:cs="Times New Roman"/>
          <w:b/>
          <w:bCs/>
          <w:sz w:val="24"/>
          <w:szCs w:val="24"/>
        </w:rPr>
        <w:t>certification</w:t>
      </w:r>
      <w:r>
        <w:rPr>
          <w:rFonts w:ascii="Times New Roman" w:hAnsi="Times New Roman" w:cs="Times New Roman"/>
          <w:b/>
          <w:bCs/>
          <w:sz w:val="24"/>
          <w:szCs w:val="24"/>
        </w:rPr>
        <w:t xml:space="preserve"> biologique </w:t>
      </w:r>
    </w:p>
    <w:p w:rsidR="005A638F" w:rsidRPr="000A7F99" w:rsidRDefault="005A638F" w:rsidP="00D078FF">
      <w:pPr>
        <w:spacing w:line="360" w:lineRule="auto"/>
        <w:ind w:firstLine="567"/>
        <w:jc w:val="both"/>
        <w:rPr>
          <w:rFonts w:ascii="Times New Roman" w:hAnsi="Times New Roman" w:cs="Times New Roman"/>
          <w:sz w:val="24"/>
          <w:szCs w:val="24"/>
        </w:rPr>
      </w:pPr>
      <w:r w:rsidRPr="000A7F99">
        <w:rPr>
          <w:rFonts w:ascii="Times New Roman" w:hAnsi="Times New Roman" w:cs="Times New Roman"/>
          <w:sz w:val="24"/>
          <w:szCs w:val="24"/>
        </w:rPr>
        <w:t>Le cadre de certification biologique est une condition indispensable à la mise en place d’un marché de masse des produits biologiques, car il en garantit la crédibilité et la confiance des consommateurs. Cependant, des cas de fraude sont régulièrement mis à jour sur des produits biologiques dans lesquels il existe un parcours de vérification, malgré la présence d’un dispositif de contrôle par ailleurs plutôt solide et efficace, nécessitant une amélioration de ces dispositifs.</w:t>
      </w:r>
    </w:p>
    <w:p w:rsidR="005A638F" w:rsidRDefault="002F26DB" w:rsidP="00D078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A638F" w:rsidRPr="000A7F99">
        <w:rPr>
          <w:rFonts w:ascii="Times New Roman" w:hAnsi="Times New Roman" w:cs="Times New Roman"/>
          <w:sz w:val="24"/>
          <w:szCs w:val="24"/>
        </w:rPr>
        <w:t xml:space="preserve">L’ampleur de la fraude du point de vue économique théorique plaide pour une certification biologique sous contrôle public des systèmes de certification biologique sous gestion privée pour leur efficacité et leur légitimité. L’analyse des statistiques montre, par ailleurs, plusieurs facteurs qui augmentent les chances d’être sanctionné pour les fraudeurs : les résultats des inspections antérieures, la complexité de l’exploitation du système de production animale, la taille de la ferme. Cependant les modèles statistiques ne peuvent établir aucune association significative entre les risques de fraude et des types de cultures ou de cheptel </w:t>
      </w:r>
      <w:r w:rsidR="005A638F">
        <w:rPr>
          <w:rStyle w:val="Appelnotedebasdep"/>
          <w:rFonts w:ascii="Times New Roman" w:hAnsi="Times New Roman" w:cs="Times New Roman"/>
          <w:sz w:val="24"/>
          <w:szCs w:val="24"/>
        </w:rPr>
        <w:footnoteReference w:id="60"/>
      </w:r>
    </w:p>
    <w:p w:rsidR="005A638F" w:rsidRPr="00B03761" w:rsidRDefault="005A638F" w:rsidP="00D078F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Pr="00B03761">
        <w:rPr>
          <w:rFonts w:ascii="Times New Roman" w:hAnsi="Times New Roman" w:cs="Times New Roman"/>
          <w:b/>
          <w:bCs/>
          <w:sz w:val="24"/>
          <w:szCs w:val="24"/>
        </w:rPr>
        <w:t>Sixième critère :</w:t>
      </w:r>
      <w:r w:rsidRPr="00B03761">
        <w:rPr>
          <w:rFonts w:ascii="Times New Roman" w:hAnsi="Times New Roman" w:cs="Times New Roman"/>
          <w:sz w:val="24"/>
          <w:szCs w:val="24"/>
        </w:rPr>
        <w:t xml:space="preserve"> Taux de composants biologiques</w:t>
      </w:r>
    </w:p>
    <w:p w:rsidR="005A638F" w:rsidRDefault="005A638F" w:rsidP="00D078FF">
      <w:pPr>
        <w:spacing w:line="360" w:lineRule="auto"/>
        <w:ind w:firstLine="567"/>
        <w:jc w:val="both"/>
        <w:rPr>
          <w:rFonts w:asciiTheme="majorBidi" w:hAnsiTheme="majorBidi" w:cstheme="majorBidi"/>
          <w:sz w:val="24"/>
          <w:szCs w:val="24"/>
          <w:rtl/>
        </w:rPr>
      </w:pPr>
      <w:r w:rsidRPr="000A7F99">
        <w:rPr>
          <w:rFonts w:asciiTheme="majorBidi" w:hAnsiTheme="majorBidi" w:cstheme="majorBidi"/>
          <w:sz w:val="24"/>
          <w:szCs w:val="24"/>
        </w:rPr>
        <w:t xml:space="preserve">Les denrées alimentaires transformées en tant que produits biologiques sont soumises à des critères très précis selon la réglementation européenne. </w:t>
      </w:r>
      <w:r>
        <w:rPr>
          <w:rStyle w:val="Appelnotedebasdep"/>
          <w:rFonts w:asciiTheme="majorBidi" w:hAnsiTheme="majorBidi" w:cstheme="majorBidi"/>
          <w:sz w:val="24"/>
          <w:szCs w:val="24"/>
        </w:rPr>
        <w:footnoteReference w:id="61"/>
      </w:r>
    </w:p>
    <w:p w:rsidR="005A638F" w:rsidRPr="00DC3CBA" w:rsidRDefault="005A638F" w:rsidP="00D078FF">
      <w:pPr>
        <w:spacing w:line="360" w:lineRule="auto"/>
        <w:jc w:val="both"/>
        <w:rPr>
          <w:rFonts w:asciiTheme="majorBidi" w:hAnsiTheme="majorBidi" w:cstheme="majorBidi"/>
          <w:b/>
          <w:bCs/>
          <w:sz w:val="24"/>
          <w:szCs w:val="24"/>
        </w:rPr>
      </w:pPr>
      <w:r w:rsidRPr="000A7F99">
        <w:rPr>
          <w:rFonts w:asciiTheme="majorBidi" w:hAnsiTheme="majorBidi" w:cstheme="majorBidi"/>
          <w:b/>
          <w:bCs/>
          <w:sz w:val="24"/>
          <w:szCs w:val="24"/>
        </w:rPr>
        <w:t>Premièr</w:t>
      </w:r>
      <w:r>
        <w:rPr>
          <w:rFonts w:asciiTheme="majorBidi" w:hAnsiTheme="majorBidi" w:cstheme="majorBidi"/>
          <w:b/>
          <w:bCs/>
          <w:sz w:val="24"/>
          <w:szCs w:val="24"/>
        </w:rPr>
        <w:t>e limite :</w:t>
      </w:r>
      <w:r w:rsidRPr="000A7F99">
        <w:rPr>
          <w:rFonts w:asciiTheme="majorBidi" w:hAnsiTheme="majorBidi" w:cstheme="majorBidi"/>
          <w:b/>
          <w:bCs/>
          <w:sz w:val="24"/>
          <w:szCs w:val="24"/>
        </w:rPr>
        <w:t xml:space="preserve"> la part d’ingrédients biologiques</w:t>
      </w:r>
      <w:r>
        <w:rPr>
          <w:rFonts w:asciiTheme="majorBidi" w:hAnsiTheme="majorBidi" w:cstheme="majorBidi"/>
          <w:b/>
          <w:bCs/>
          <w:sz w:val="24"/>
          <w:szCs w:val="24"/>
        </w:rPr>
        <w:t> </w:t>
      </w:r>
    </w:p>
    <w:p w:rsidR="005A638F" w:rsidRDefault="005A638F" w:rsidP="00D078FF">
      <w:pPr>
        <w:spacing w:line="360" w:lineRule="auto"/>
        <w:ind w:firstLine="567"/>
        <w:jc w:val="both"/>
        <w:rPr>
          <w:rFonts w:asciiTheme="majorBidi" w:hAnsiTheme="majorBidi" w:cstheme="majorBidi"/>
          <w:sz w:val="24"/>
          <w:szCs w:val="24"/>
        </w:rPr>
      </w:pPr>
      <w:r w:rsidRPr="00B43626">
        <w:rPr>
          <w:rFonts w:asciiTheme="majorBidi" w:hAnsiTheme="majorBidi" w:cstheme="majorBidi"/>
          <w:sz w:val="24"/>
          <w:szCs w:val="24"/>
        </w:rPr>
        <w:t>La part des ingrédients biologiques dans un produit détermine la catégorie d'étiquetage autorisée. Quatre niveaux sont ainsi définis. Premièrement, un produit peut être étiqueté « </w:t>
      </w:r>
      <w:r w:rsidRPr="00B43626">
        <w:rPr>
          <w:rFonts w:asciiTheme="majorBidi" w:hAnsiTheme="majorBidi" w:cstheme="majorBidi"/>
          <w:b/>
          <w:bCs/>
          <w:sz w:val="24"/>
          <w:szCs w:val="24"/>
        </w:rPr>
        <w:t>100 % biologique</w:t>
      </w:r>
      <w:r w:rsidRPr="00B43626">
        <w:rPr>
          <w:rFonts w:asciiTheme="majorBidi" w:hAnsiTheme="majorBidi" w:cstheme="majorBidi"/>
          <w:sz w:val="24"/>
          <w:szCs w:val="24"/>
        </w:rPr>
        <w:t> » s'il contient 100 % d'ingrédients issus de l'agriculture biologique, à l'exclusion de l'eau et du sel. Deuxièmement, la mention « </w:t>
      </w:r>
      <w:r w:rsidRPr="00B43626">
        <w:rPr>
          <w:rFonts w:asciiTheme="majorBidi" w:hAnsiTheme="majorBidi" w:cstheme="majorBidi"/>
          <w:b/>
          <w:bCs/>
          <w:sz w:val="24"/>
          <w:szCs w:val="24"/>
        </w:rPr>
        <w:t>biologique</w:t>
      </w:r>
      <w:r w:rsidRPr="00B43626">
        <w:rPr>
          <w:rFonts w:asciiTheme="majorBidi" w:hAnsiTheme="majorBidi" w:cstheme="majorBidi"/>
          <w:sz w:val="24"/>
          <w:szCs w:val="24"/>
        </w:rPr>
        <w:t> » exige qu'au moins 95 % des ingrédients agricoles (en poids ou en volume, hors eau et sel) soient certifiés biologiques. Les 5 % restants ne peuvent être composés que de substances non agricoles ou de produits agricoles non biologiques figurant sur une liste nationale des substances autorisées, ou d'ingrédients indisponibles commercialement sous forme biologique. Troisièmement, un produit peut revendiquer la mention « </w:t>
      </w:r>
      <w:r w:rsidRPr="00B43626">
        <w:rPr>
          <w:rFonts w:asciiTheme="majorBidi" w:hAnsiTheme="majorBidi" w:cstheme="majorBidi"/>
          <w:b/>
          <w:bCs/>
          <w:sz w:val="24"/>
          <w:szCs w:val="24"/>
        </w:rPr>
        <w:t>fabriqué à partir d'ingrédients biologiques (spécifiés)</w:t>
      </w:r>
      <w:r w:rsidRPr="00B43626">
        <w:rPr>
          <w:rFonts w:asciiTheme="majorBidi" w:hAnsiTheme="majorBidi" w:cstheme="majorBidi"/>
          <w:sz w:val="24"/>
          <w:szCs w:val="24"/>
        </w:rPr>
        <w:t> » s'il contient au moins 70 % d'ingrédients biologiques. Les ingrédients non biologiques sont alors autorisés sans être soumis à toutes les restrictions applicables aux catégories supérieures. Enfin, lorsque la proportion d'ingrédients biologiques est </w:t>
      </w:r>
      <w:r w:rsidRPr="00B43626">
        <w:rPr>
          <w:rFonts w:asciiTheme="majorBidi" w:hAnsiTheme="majorBidi" w:cstheme="majorBidi"/>
          <w:b/>
          <w:bCs/>
          <w:sz w:val="24"/>
          <w:szCs w:val="24"/>
        </w:rPr>
        <w:t>inférieure à 70 %</w:t>
      </w:r>
      <w:r w:rsidRPr="00B43626">
        <w:rPr>
          <w:rFonts w:asciiTheme="majorBidi" w:hAnsiTheme="majorBidi" w:cstheme="majorBidi"/>
          <w:sz w:val="24"/>
          <w:szCs w:val="24"/>
        </w:rPr>
        <w:t>, aucune mention globale « biologique » n'est autorisée sur l'emballage. Seule une indication dans la liste des ingrédients permet d'identifier les composants certifiés biologiques. Ainsi, la part d'ingrédients biologiques constitue le critère fondamental qui détermine à la fois le degré d'exigence de production et le niveau de revendication « bio » sur l'étiquette du produit fini.</w:t>
      </w:r>
      <w:r>
        <w:rPr>
          <w:rStyle w:val="Appelnotedebasdep"/>
          <w:rFonts w:asciiTheme="majorBidi" w:hAnsiTheme="majorBidi" w:cstheme="majorBidi"/>
          <w:sz w:val="24"/>
          <w:szCs w:val="24"/>
        </w:rPr>
        <w:footnoteReference w:id="62"/>
      </w:r>
    </w:p>
    <w:p w:rsidR="005A638F" w:rsidRDefault="005A638F" w:rsidP="00D078FF">
      <w:pPr>
        <w:spacing w:line="360" w:lineRule="auto"/>
        <w:jc w:val="both"/>
        <w:rPr>
          <w:rFonts w:asciiTheme="majorBidi" w:hAnsiTheme="majorBidi" w:cstheme="majorBidi"/>
          <w:b/>
          <w:bCs/>
          <w:sz w:val="24"/>
          <w:szCs w:val="24"/>
        </w:rPr>
      </w:pPr>
      <w:r w:rsidRPr="000A7F99">
        <w:rPr>
          <w:rFonts w:asciiTheme="majorBidi" w:hAnsiTheme="majorBidi" w:cstheme="majorBidi"/>
          <w:b/>
          <w:bCs/>
          <w:sz w:val="24"/>
          <w:szCs w:val="24"/>
        </w:rPr>
        <w:t>Deuxième limite : les règles de transformation</w:t>
      </w:r>
    </w:p>
    <w:p w:rsidR="005A638F" w:rsidRPr="000A7F99" w:rsidRDefault="005A638F" w:rsidP="00D078FF">
      <w:pPr>
        <w:spacing w:line="360" w:lineRule="auto"/>
        <w:ind w:firstLine="567"/>
        <w:jc w:val="both"/>
        <w:rPr>
          <w:rFonts w:asciiTheme="majorBidi" w:hAnsiTheme="majorBidi" w:cstheme="majorBidi"/>
          <w:sz w:val="24"/>
          <w:szCs w:val="24"/>
        </w:rPr>
      </w:pPr>
      <w:r w:rsidRPr="000A7F99">
        <w:rPr>
          <w:rFonts w:asciiTheme="majorBidi" w:hAnsiTheme="majorBidi" w:cstheme="majorBidi"/>
          <w:sz w:val="24"/>
          <w:szCs w:val="24"/>
        </w:rPr>
        <w:t xml:space="preserve">Sont admises uniquement certaines substances aromatisants et préparations aromatiques naturelles. La nécessité d’être biologique entraîne un rejet des traitements et additifs à base de substances chimiques non compatibles avec les principes de l’agriculture biologique. En </w:t>
      </w:r>
      <w:r w:rsidRPr="000A7F99">
        <w:rPr>
          <w:rFonts w:asciiTheme="majorBidi" w:hAnsiTheme="majorBidi" w:cstheme="majorBidi"/>
          <w:sz w:val="24"/>
          <w:szCs w:val="24"/>
        </w:rPr>
        <w:lastRenderedPageBreak/>
        <w:t>matière de transformation, la réglementation ne permet que des procédés expressément reconnus.</w:t>
      </w:r>
      <w:r>
        <w:rPr>
          <w:rStyle w:val="Appelnotedebasdep"/>
          <w:rFonts w:asciiTheme="majorBidi" w:hAnsiTheme="majorBidi" w:cstheme="majorBidi"/>
          <w:sz w:val="24"/>
          <w:szCs w:val="24"/>
        </w:rPr>
        <w:footnoteReference w:id="63"/>
      </w:r>
    </w:p>
    <w:p w:rsidR="005A638F" w:rsidRDefault="005A638F" w:rsidP="00D078FF">
      <w:pPr>
        <w:spacing w:line="360" w:lineRule="auto"/>
        <w:jc w:val="both"/>
        <w:rPr>
          <w:rFonts w:ascii="Times New Roman" w:hAnsi="Times New Roman" w:cs="Times New Roman"/>
          <w:b/>
          <w:bCs/>
          <w:sz w:val="24"/>
          <w:szCs w:val="24"/>
        </w:rPr>
      </w:pPr>
      <w:r w:rsidRPr="000A7F99">
        <w:rPr>
          <w:rFonts w:ascii="Times New Roman" w:hAnsi="Times New Roman" w:cs="Times New Roman"/>
          <w:b/>
          <w:bCs/>
          <w:sz w:val="24"/>
          <w:szCs w:val="24"/>
        </w:rPr>
        <w:t>Troisièmement</w:t>
      </w:r>
      <w:r w:rsidR="00DC3CBA">
        <w:rPr>
          <w:rFonts w:ascii="Times New Roman" w:hAnsi="Times New Roman" w:cs="Times New Roman"/>
          <w:b/>
          <w:bCs/>
          <w:sz w:val="24"/>
          <w:szCs w:val="24"/>
        </w:rPr>
        <w:t xml:space="preserve"> : exigeons</w:t>
      </w:r>
      <w:r w:rsidRPr="000A7F99">
        <w:rPr>
          <w:rFonts w:ascii="Times New Roman" w:hAnsi="Times New Roman" w:cs="Times New Roman"/>
          <w:b/>
          <w:bCs/>
          <w:sz w:val="24"/>
          <w:szCs w:val="24"/>
        </w:rPr>
        <w:t xml:space="preserve"> d’étiquetage</w:t>
      </w:r>
    </w:p>
    <w:p w:rsidR="005A638F" w:rsidRDefault="005A638F" w:rsidP="00D078FF">
      <w:pPr>
        <w:spacing w:line="360" w:lineRule="auto"/>
        <w:ind w:firstLine="567"/>
        <w:jc w:val="both"/>
        <w:rPr>
          <w:rFonts w:ascii="Times New Roman" w:hAnsi="Times New Roman" w:cs="Times New Roman"/>
          <w:sz w:val="24"/>
          <w:szCs w:val="24"/>
        </w:rPr>
      </w:pPr>
      <w:r w:rsidRPr="000A7F99">
        <w:rPr>
          <w:rFonts w:ascii="Times New Roman" w:hAnsi="Times New Roman" w:cs="Times New Roman"/>
          <w:sz w:val="24"/>
          <w:szCs w:val="24"/>
        </w:rPr>
        <w:t xml:space="preserve">Les produits pour lesquels la mention biologique peut être utilisée dans le descriptif, doivent bien sûr faire état des ingrédients biologiques dans la liste des ingrédients. Si le produit est fabriqué au sein de l’Union européenne, il doit obligatoirement porter le logo européen de la production biologique. Pour les produits importés, l’utilisation de ce logo est facultative. En tous les cas, l’emballage doit indiquer le code de l’organisme de contrôle ayant vérifié la dernière étape de production et d’étiquetage, code devant apparaître dans le même champ visuel que le logo européen, présent ou absent. </w:t>
      </w:r>
      <w:r>
        <w:rPr>
          <w:rStyle w:val="Appelnotedebasdep"/>
          <w:rFonts w:ascii="Times New Roman" w:hAnsi="Times New Roman" w:cs="Times New Roman"/>
          <w:sz w:val="24"/>
          <w:szCs w:val="24"/>
        </w:rPr>
        <w:footnoteReference w:id="64"/>
      </w:r>
    </w:p>
    <w:p w:rsidR="005A638F" w:rsidRPr="00DC3CBA" w:rsidRDefault="00C81D92" w:rsidP="00D078FF">
      <w:pPr>
        <w:pStyle w:val="Titre3"/>
        <w:spacing w:before="0" w:after="0" w:line="360" w:lineRule="auto"/>
        <w:jc w:val="both"/>
        <w:rPr>
          <w:rFonts w:asciiTheme="majorBidi" w:hAnsiTheme="majorBidi" w:cstheme="majorBidi"/>
          <w:b/>
          <w:bCs/>
          <w:color w:val="auto"/>
          <w:sz w:val="24"/>
          <w:szCs w:val="24"/>
        </w:rPr>
      </w:pPr>
      <w:bookmarkStart w:id="63" w:name="_Toc230558628"/>
      <w:bookmarkStart w:id="64" w:name="_Toc230900262"/>
      <w:r>
        <w:rPr>
          <w:rFonts w:asciiTheme="majorBidi" w:hAnsiTheme="majorBidi" w:cstheme="majorBidi"/>
          <w:b/>
          <w:bCs/>
          <w:color w:val="auto"/>
          <w:sz w:val="24"/>
          <w:szCs w:val="24"/>
        </w:rPr>
        <w:t xml:space="preserve">2. </w:t>
      </w:r>
      <w:r w:rsidR="005A638F" w:rsidRPr="00DC3CBA">
        <w:rPr>
          <w:rFonts w:asciiTheme="majorBidi" w:hAnsiTheme="majorBidi" w:cstheme="majorBidi"/>
          <w:b/>
          <w:bCs/>
          <w:color w:val="auto"/>
          <w:sz w:val="24"/>
          <w:szCs w:val="24"/>
        </w:rPr>
        <w:t>Système de certification et étiquetage biologique.</w:t>
      </w:r>
      <w:bookmarkEnd w:id="63"/>
      <w:bookmarkEnd w:id="64"/>
    </w:p>
    <w:p w:rsidR="005A638F" w:rsidRPr="00D83B38" w:rsidRDefault="00D30E5E" w:rsidP="00D078FF">
      <w:pPr>
        <w:pStyle w:val="Titre4"/>
        <w:spacing w:line="360" w:lineRule="auto"/>
        <w:jc w:val="both"/>
        <w:rPr>
          <w:rFonts w:ascii="Times New Roman" w:hAnsi="Times New Roman"/>
          <w:b/>
          <w:bCs/>
          <w:i w:val="0"/>
          <w:iCs w:val="0"/>
          <w:color w:val="auto"/>
          <w:sz w:val="24"/>
          <w:szCs w:val="24"/>
        </w:rPr>
      </w:pPr>
      <w:bookmarkStart w:id="65" w:name="_Toc230558629"/>
      <w:bookmarkStart w:id="66" w:name="_Toc230900263"/>
      <w:r w:rsidRPr="00D83B38">
        <w:rPr>
          <w:rFonts w:ascii="Times New Roman" w:hAnsi="Times New Roman"/>
          <w:b/>
          <w:bCs/>
          <w:i w:val="0"/>
          <w:iCs w:val="0"/>
          <w:color w:val="auto"/>
          <w:sz w:val="24"/>
          <w:szCs w:val="24"/>
        </w:rPr>
        <w:t xml:space="preserve">2.1. </w:t>
      </w:r>
      <w:r w:rsidR="005A638F" w:rsidRPr="00D83B38">
        <w:rPr>
          <w:rFonts w:ascii="Times New Roman" w:hAnsi="Times New Roman"/>
          <w:b/>
          <w:bCs/>
          <w:i w:val="0"/>
          <w:iCs w:val="0"/>
          <w:color w:val="auto"/>
          <w:sz w:val="24"/>
          <w:szCs w:val="24"/>
        </w:rPr>
        <w:t>Définition de certification :</w:t>
      </w:r>
      <w:bookmarkEnd w:id="65"/>
      <w:bookmarkEnd w:id="66"/>
    </w:p>
    <w:p w:rsidR="005A638F" w:rsidRDefault="005A638F" w:rsidP="00D078FF">
      <w:pPr>
        <w:spacing w:line="360" w:lineRule="auto"/>
        <w:ind w:firstLine="567"/>
        <w:jc w:val="both"/>
      </w:pPr>
      <w:r>
        <w:rPr>
          <w:rFonts w:ascii="Times New Roman" w:hAnsi="Times New Roman" w:cs="Times New Roman"/>
          <w:sz w:val="24"/>
          <w:szCs w:val="24"/>
        </w:rPr>
        <w:t xml:space="preserve">On entend par certification le fait qu’un organisme indépendant délivre une attestation écrite (certificat) qui atteste du respect d’exigences prédéterminées par un produit, un service ou un système. En garantissant une adéquation entre ses offres et les attentes de ses interlocuteurs, la certification participe à la crédibilité, et elle peut être requise par la loi ou contractuellement, dans certains secteurs. </w:t>
      </w:r>
      <w:r>
        <w:rPr>
          <w:rStyle w:val="Appelnotedebasdep"/>
          <w:rFonts w:ascii="Times New Roman" w:hAnsi="Times New Roman" w:cs="Times New Roman"/>
          <w:sz w:val="24"/>
          <w:szCs w:val="24"/>
        </w:rPr>
        <w:footnoteReference w:id="65"/>
      </w:r>
    </w:p>
    <w:p w:rsidR="005A638F" w:rsidRPr="00D83B38" w:rsidRDefault="00D30E5E" w:rsidP="00D078FF">
      <w:pPr>
        <w:pStyle w:val="Titre4"/>
        <w:spacing w:line="360" w:lineRule="auto"/>
        <w:jc w:val="both"/>
        <w:rPr>
          <w:rFonts w:ascii="Times New Roman" w:hAnsi="Times New Roman"/>
          <w:b/>
          <w:bCs/>
          <w:i w:val="0"/>
          <w:iCs w:val="0"/>
          <w:color w:val="auto"/>
          <w:sz w:val="24"/>
          <w:szCs w:val="24"/>
        </w:rPr>
      </w:pPr>
      <w:bookmarkStart w:id="67" w:name="_Toc230558630"/>
      <w:bookmarkStart w:id="68" w:name="_Toc230900264"/>
      <w:r w:rsidRPr="00D83B38">
        <w:rPr>
          <w:rFonts w:ascii="Times New Roman" w:hAnsi="Times New Roman"/>
          <w:b/>
          <w:bCs/>
          <w:i w:val="0"/>
          <w:iCs w:val="0"/>
          <w:color w:val="auto"/>
          <w:sz w:val="24"/>
          <w:szCs w:val="24"/>
        </w:rPr>
        <w:t>2.2.</w:t>
      </w:r>
      <w:r w:rsidR="005A638F" w:rsidRPr="00D83B38">
        <w:rPr>
          <w:rFonts w:ascii="Times New Roman" w:hAnsi="Times New Roman"/>
          <w:b/>
          <w:bCs/>
          <w:i w:val="0"/>
          <w:iCs w:val="0"/>
          <w:color w:val="auto"/>
          <w:sz w:val="24"/>
          <w:szCs w:val="24"/>
        </w:rPr>
        <w:t>Définition de certification des produits biologiques :</w:t>
      </w:r>
      <w:bookmarkEnd w:id="67"/>
      <w:bookmarkEnd w:id="68"/>
    </w:p>
    <w:p w:rsidR="005A638F" w:rsidRDefault="005A638F" w:rsidP="00D078FF">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La certification biologique repose sur un cahier des charges rigoureux qui encadre l’intégralité de la chaîne de production : agriculture, stockage, transformation, conditionnement et distribution. Est formellement prohibée l’utilisation de substances de synthèse (engrais chimiques, pesticides, hormono</w:t>
      </w:r>
      <w:r>
        <w:rPr>
          <w:rFonts w:ascii="Times New Roman" w:hAnsi="Times New Roman" w:cs="Times New Roman"/>
          <w:sz w:val="24"/>
          <w:szCs w:val="24"/>
        </w:rPr>
        <w:softHyphen/>
        <w:t xml:space="preserve">thérapie, antibiotiques et additifs alimentaires) et d’OGM. Le système impose la tenue de registres écrits très détaillés sur la production et les ventes afin d’assurer la traçabilité lors des audits. Il impose aussi une </w:t>
      </w:r>
      <w:r>
        <w:rPr>
          <w:rFonts w:ascii="Times New Roman" w:hAnsi="Times New Roman" w:cs="Times New Roman"/>
          <w:sz w:val="24"/>
          <w:szCs w:val="24"/>
        </w:rPr>
        <w:lastRenderedPageBreak/>
        <w:t xml:space="preserve">séparation physique stricte des produits bio, des produits non bio pour éviter toutes contaminations et préserver l’intégrité de la certification. </w:t>
      </w:r>
      <w:r>
        <w:rPr>
          <w:rStyle w:val="Appelnotedebasdep"/>
          <w:rFonts w:ascii="Times New Roman" w:hAnsi="Times New Roman" w:cs="Times New Roman"/>
          <w:sz w:val="24"/>
          <w:szCs w:val="24"/>
        </w:rPr>
        <w:footnoteReference w:id="66"/>
      </w:r>
    </w:p>
    <w:p w:rsidR="00F7157D" w:rsidRDefault="00F7157D" w:rsidP="00D078FF">
      <w:pPr>
        <w:pStyle w:val="Lgende"/>
        <w:spacing w:line="360" w:lineRule="auto"/>
        <w:jc w:val="both"/>
        <w:rPr>
          <w:rFonts w:ascii="Times New Roman" w:eastAsia="Calibri" w:hAnsi="Times New Roman" w:cs="Times New Roman"/>
          <w:b/>
          <w:bCs/>
          <w:i w:val="0"/>
          <w:iCs w:val="0"/>
          <w:color w:val="auto"/>
          <w:kern w:val="3"/>
          <w:sz w:val="24"/>
          <w:szCs w:val="24"/>
        </w:rPr>
      </w:pPr>
      <w:bookmarkStart w:id="69" w:name="_Toc230399437"/>
    </w:p>
    <w:p w:rsidR="00F7157D" w:rsidRDefault="00F7157D" w:rsidP="00D078FF">
      <w:pPr>
        <w:pStyle w:val="Lgende"/>
        <w:spacing w:line="360" w:lineRule="auto"/>
        <w:jc w:val="both"/>
        <w:rPr>
          <w:rFonts w:ascii="Times New Roman" w:eastAsia="Calibri" w:hAnsi="Times New Roman" w:cs="Times New Roman"/>
          <w:b/>
          <w:bCs/>
          <w:i w:val="0"/>
          <w:iCs w:val="0"/>
          <w:color w:val="auto"/>
          <w:kern w:val="3"/>
          <w:sz w:val="24"/>
          <w:szCs w:val="24"/>
        </w:rPr>
      </w:pPr>
    </w:p>
    <w:p w:rsidR="00F7157D" w:rsidRDefault="00F7157D" w:rsidP="00D078FF">
      <w:pPr>
        <w:pStyle w:val="Lgende"/>
        <w:spacing w:line="360" w:lineRule="auto"/>
        <w:jc w:val="both"/>
        <w:rPr>
          <w:rFonts w:ascii="Times New Roman" w:eastAsia="Calibri" w:hAnsi="Times New Roman" w:cs="Times New Roman"/>
          <w:b/>
          <w:bCs/>
          <w:i w:val="0"/>
          <w:iCs w:val="0"/>
          <w:color w:val="auto"/>
          <w:kern w:val="3"/>
          <w:sz w:val="24"/>
          <w:szCs w:val="24"/>
        </w:rPr>
      </w:pPr>
    </w:p>
    <w:p w:rsidR="00F7157D" w:rsidRDefault="00F7157D" w:rsidP="00D078FF">
      <w:pPr>
        <w:pStyle w:val="Lgende"/>
        <w:spacing w:line="360" w:lineRule="auto"/>
        <w:jc w:val="both"/>
        <w:rPr>
          <w:rFonts w:ascii="Times New Roman" w:eastAsia="Calibri" w:hAnsi="Times New Roman" w:cs="Times New Roman"/>
          <w:b/>
          <w:bCs/>
          <w:i w:val="0"/>
          <w:iCs w:val="0"/>
          <w:color w:val="auto"/>
          <w:kern w:val="3"/>
          <w:sz w:val="24"/>
          <w:szCs w:val="24"/>
        </w:rPr>
      </w:pPr>
    </w:p>
    <w:p w:rsidR="00F7157D" w:rsidRDefault="00F7157D" w:rsidP="00D078FF">
      <w:pPr>
        <w:pStyle w:val="Lgende"/>
        <w:spacing w:line="360" w:lineRule="auto"/>
        <w:jc w:val="both"/>
        <w:rPr>
          <w:rFonts w:ascii="Times New Roman" w:eastAsia="Calibri" w:hAnsi="Times New Roman" w:cs="Times New Roman"/>
          <w:b/>
          <w:bCs/>
          <w:i w:val="0"/>
          <w:iCs w:val="0"/>
          <w:color w:val="auto"/>
          <w:kern w:val="3"/>
          <w:sz w:val="24"/>
          <w:szCs w:val="24"/>
        </w:rPr>
      </w:pPr>
    </w:p>
    <w:p w:rsidR="00F7157D" w:rsidRPr="0066256C" w:rsidRDefault="00F7157D" w:rsidP="00D078FF">
      <w:pPr>
        <w:pStyle w:val="Lgende"/>
        <w:spacing w:line="360" w:lineRule="auto"/>
        <w:jc w:val="both"/>
        <w:rPr>
          <w:rFonts w:ascii="Times New Roman" w:eastAsia="Calibri" w:hAnsi="Times New Roman" w:cs="Times New Roman"/>
          <w:b/>
          <w:bCs/>
          <w:i w:val="0"/>
          <w:iCs w:val="0"/>
          <w:color w:val="auto"/>
          <w:kern w:val="3"/>
          <w:sz w:val="6"/>
          <w:szCs w:val="6"/>
        </w:rPr>
      </w:pPr>
    </w:p>
    <w:p w:rsidR="005A638F" w:rsidRPr="00DC3CBA" w:rsidRDefault="00DC3CBA" w:rsidP="00D078FF">
      <w:pPr>
        <w:pStyle w:val="Lgende"/>
        <w:spacing w:line="360" w:lineRule="auto"/>
        <w:jc w:val="both"/>
        <w:rPr>
          <w:rFonts w:ascii="Times New Roman" w:eastAsia="Calibri" w:hAnsi="Times New Roman" w:cs="Times New Roman"/>
          <w:i w:val="0"/>
          <w:iCs w:val="0"/>
          <w:color w:val="auto"/>
          <w:kern w:val="3"/>
          <w:sz w:val="24"/>
          <w:szCs w:val="24"/>
        </w:rPr>
      </w:pPr>
      <w:r w:rsidRPr="00DC3CBA">
        <w:rPr>
          <w:rFonts w:ascii="Times New Roman" w:eastAsia="Calibri" w:hAnsi="Times New Roman" w:cs="Times New Roman"/>
          <w:b/>
          <w:bCs/>
          <w:i w:val="0"/>
          <w:iCs w:val="0"/>
          <w:color w:val="auto"/>
          <w:kern w:val="3"/>
          <w:sz w:val="24"/>
          <w:szCs w:val="24"/>
        </w:rPr>
        <w:t xml:space="preserve">Figure </w:t>
      </w:r>
      <w:r w:rsidR="007B5998" w:rsidRPr="00DC3CBA">
        <w:rPr>
          <w:rFonts w:ascii="Times New Roman" w:eastAsia="Calibri" w:hAnsi="Times New Roman" w:cs="Times New Roman"/>
          <w:b/>
          <w:bCs/>
          <w:i w:val="0"/>
          <w:iCs w:val="0"/>
          <w:color w:val="auto"/>
          <w:kern w:val="3"/>
          <w:sz w:val="24"/>
          <w:szCs w:val="24"/>
        </w:rPr>
        <w:fldChar w:fldCharType="begin"/>
      </w:r>
      <w:r w:rsidRPr="00DC3CBA">
        <w:rPr>
          <w:rFonts w:ascii="Times New Roman" w:eastAsia="Calibri" w:hAnsi="Times New Roman" w:cs="Times New Roman"/>
          <w:b/>
          <w:bCs/>
          <w:i w:val="0"/>
          <w:iCs w:val="0"/>
          <w:color w:val="auto"/>
          <w:kern w:val="3"/>
          <w:sz w:val="24"/>
          <w:szCs w:val="24"/>
        </w:rPr>
        <w:instrText xml:space="preserve"> SEQ Figure \* ARABIC </w:instrText>
      </w:r>
      <w:r w:rsidR="007B5998" w:rsidRPr="00DC3CBA">
        <w:rPr>
          <w:rFonts w:ascii="Times New Roman" w:eastAsia="Calibri" w:hAnsi="Times New Roman" w:cs="Times New Roman"/>
          <w:b/>
          <w:bCs/>
          <w:i w:val="0"/>
          <w:iCs w:val="0"/>
          <w:color w:val="auto"/>
          <w:kern w:val="3"/>
          <w:sz w:val="24"/>
          <w:szCs w:val="24"/>
        </w:rPr>
        <w:fldChar w:fldCharType="separate"/>
      </w:r>
      <w:r w:rsidR="00515B25">
        <w:rPr>
          <w:rFonts w:ascii="Times New Roman" w:eastAsia="Calibri" w:hAnsi="Times New Roman" w:cs="Times New Roman"/>
          <w:b/>
          <w:bCs/>
          <w:i w:val="0"/>
          <w:iCs w:val="0"/>
          <w:noProof/>
          <w:color w:val="auto"/>
          <w:kern w:val="3"/>
          <w:sz w:val="24"/>
          <w:szCs w:val="24"/>
        </w:rPr>
        <w:t>1</w:t>
      </w:r>
      <w:r w:rsidR="007B5998" w:rsidRPr="00DC3CBA">
        <w:rPr>
          <w:rFonts w:ascii="Times New Roman" w:eastAsia="Calibri" w:hAnsi="Times New Roman" w:cs="Times New Roman"/>
          <w:b/>
          <w:bCs/>
          <w:i w:val="0"/>
          <w:iCs w:val="0"/>
          <w:color w:val="auto"/>
          <w:kern w:val="3"/>
          <w:sz w:val="24"/>
          <w:szCs w:val="24"/>
        </w:rPr>
        <w:fldChar w:fldCharType="end"/>
      </w:r>
      <w:r w:rsidRPr="00DC3CBA">
        <w:rPr>
          <w:rFonts w:ascii="Times New Roman" w:eastAsia="Calibri" w:hAnsi="Times New Roman" w:cs="Times New Roman"/>
          <w:b/>
          <w:bCs/>
          <w:i w:val="0"/>
          <w:iCs w:val="0"/>
          <w:color w:val="auto"/>
          <w:kern w:val="3"/>
          <w:sz w:val="24"/>
          <w:szCs w:val="24"/>
        </w:rPr>
        <w:t xml:space="preserve"> : </w:t>
      </w:r>
      <w:r w:rsidRPr="00DC3CBA">
        <w:rPr>
          <w:rFonts w:ascii="Times New Roman" w:eastAsia="Calibri" w:hAnsi="Times New Roman" w:cs="Times New Roman"/>
          <w:i w:val="0"/>
          <w:iCs w:val="0"/>
          <w:color w:val="auto"/>
          <w:kern w:val="3"/>
          <w:sz w:val="24"/>
          <w:szCs w:val="24"/>
        </w:rPr>
        <w:t>Recréation du processus de certific</w:t>
      </w:r>
      <w:r w:rsidRPr="00DC3CBA">
        <w:rPr>
          <w:rFonts w:ascii="Times New Roman" w:eastAsia="Calibri" w:hAnsi="Times New Roman" w:cs="Times New Roman"/>
          <w:i w:val="0"/>
          <w:iCs w:val="0"/>
          <w:color w:val="auto"/>
          <w:kern w:val="3"/>
          <w:sz w:val="24"/>
          <w:szCs w:val="24"/>
        </w:rPr>
        <w:t>a</w:t>
      </w:r>
      <w:r w:rsidRPr="00DC3CBA">
        <w:rPr>
          <w:rFonts w:ascii="Times New Roman" w:eastAsia="Calibri" w:hAnsi="Times New Roman" w:cs="Times New Roman"/>
          <w:i w:val="0"/>
          <w:iCs w:val="0"/>
          <w:color w:val="auto"/>
          <w:kern w:val="3"/>
          <w:sz w:val="24"/>
          <w:szCs w:val="24"/>
        </w:rPr>
        <w:t>tion biologique USDA</w:t>
      </w:r>
      <w:bookmarkEnd w:id="69"/>
    </w:p>
    <w:p w:rsidR="005A638F" w:rsidRDefault="005A638F" w:rsidP="00D078FF">
      <w:pPr>
        <w:spacing w:line="360" w:lineRule="auto"/>
        <w:jc w:val="both"/>
        <w:rPr>
          <w:rFonts w:ascii="Times New Roman" w:hAnsi="Times New Roman" w:cs="Times New Roman"/>
          <w:sz w:val="24"/>
          <w:szCs w:val="24"/>
        </w:rPr>
      </w:pPr>
      <w:r>
        <w:rPr>
          <w:noProof/>
          <w:lang w:eastAsia="fr-FR"/>
        </w:rPr>
        <w:drawing>
          <wp:anchor distT="0" distB="0" distL="114300" distR="114300" simplePos="0" relativeHeight="251708416" behindDoc="0" locked="0" layoutInCell="1" allowOverlap="1">
            <wp:simplePos x="0" y="0"/>
            <wp:positionH relativeFrom="column">
              <wp:posOffset>1196604</wp:posOffset>
            </wp:positionH>
            <wp:positionV relativeFrom="paragraph">
              <wp:posOffset>7045</wp:posOffset>
            </wp:positionV>
            <wp:extent cx="2533646" cy="2437762"/>
            <wp:effectExtent l="0" t="0" r="4" b="638"/>
            <wp:wrapTight wrapText="bothSides">
              <wp:wrapPolygon edited="0">
                <wp:start x="6985" y="0"/>
                <wp:lineTo x="6498" y="338"/>
                <wp:lineTo x="3899" y="2701"/>
                <wp:lineTo x="2599" y="3208"/>
                <wp:lineTo x="1137" y="4727"/>
                <wp:lineTo x="812" y="8104"/>
                <wp:lineTo x="0" y="9455"/>
                <wp:lineTo x="0" y="11819"/>
                <wp:lineTo x="812" y="13507"/>
                <wp:lineTo x="1137" y="16884"/>
                <wp:lineTo x="3411" y="18910"/>
                <wp:lineTo x="4224" y="18910"/>
                <wp:lineTo x="6823" y="21442"/>
                <wp:lineTo x="6985" y="21442"/>
                <wp:lineTo x="14458" y="21442"/>
                <wp:lineTo x="14620" y="21442"/>
                <wp:lineTo x="17219" y="18910"/>
                <wp:lineTo x="18032" y="18910"/>
                <wp:lineTo x="20143" y="16884"/>
                <wp:lineTo x="20631" y="13507"/>
                <wp:lineTo x="21443" y="11819"/>
                <wp:lineTo x="21443" y="9624"/>
                <wp:lineTo x="20793" y="8104"/>
                <wp:lineTo x="20468" y="4727"/>
                <wp:lineTo x="18844" y="3208"/>
                <wp:lineTo x="17544" y="2701"/>
                <wp:lineTo x="14620" y="0"/>
                <wp:lineTo x="6985" y="0"/>
              </wp:wrapPolygon>
            </wp:wrapTight>
            <wp:docPr id="1058738779"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2533646" cy="2437762"/>
                    </a:xfrm>
                    <a:prstGeom prst="rect">
                      <a:avLst/>
                    </a:prstGeom>
                    <a:noFill/>
                    <a:ln>
                      <a:noFill/>
                      <a:prstDash/>
                    </a:ln>
                  </pic:spPr>
                </pic:pic>
              </a:graphicData>
            </a:graphic>
          </wp:anchor>
        </w:drawing>
      </w:r>
    </w:p>
    <w:p w:rsidR="005A638F" w:rsidRDefault="005A638F" w:rsidP="00D078FF">
      <w:pPr>
        <w:spacing w:line="360" w:lineRule="auto"/>
        <w:jc w:val="both"/>
      </w:pPr>
    </w:p>
    <w:p w:rsidR="005A638F" w:rsidRDefault="005A638F" w:rsidP="00D078FF">
      <w:pPr>
        <w:spacing w:line="360" w:lineRule="auto"/>
        <w:jc w:val="both"/>
        <w:rPr>
          <w:rFonts w:ascii="Times New Roman" w:hAnsi="Times New Roman" w:cs="Times New Roman"/>
          <w:sz w:val="24"/>
          <w:szCs w:val="24"/>
        </w:rPr>
      </w:pPr>
    </w:p>
    <w:p w:rsidR="005A638F" w:rsidRDefault="005A638F" w:rsidP="00D078FF">
      <w:pPr>
        <w:spacing w:line="360" w:lineRule="auto"/>
        <w:jc w:val="both"/>
        <w:rPr>
          <w:rFonts w:ascii="Times New Roman" w:hAnsi="Times New Roman" w:cs="Times New Roman"/>
          <w:sz w:val="24"/>
          <w:szCs w:val="24"/>
        </w:rPr>
      </w:pPr>
    </w:p>
    <w:p w:rsidR="005A638F" w:rsidRDefault="005A638F" w:rsidP="00D078FF">
      <w:pPr>
        <w:spacing w:line="360" w:lineRule="auto"/>
        <w:jc w:val="both"/>
        <w:rPr>
          <w:rFonts w:ascii="Times New Roman" w:hAnsi="Times New Roman" w:cs="Times New Roman"/>
          <w:sz w:val="24"/>
          <w:szCs w:val="24"/>
        </w:rPr>
      </w:pPr>
    </w:p>
    <w:p w:rsidR="005A638F" w:rsidRDefault="005A638F" w:rsidP="00D078FF">
      <w:pPr>
        <w:spacing w:line="360" w:lineRule="auto"/>
        <w:jc w:val="both"/>
        <w:rPr>
          <w:rFonts w:ascii="Times New Roman" w:hAnsi="Times New Roman" w:cs="Times New Roman"/>
          <w:sz w:val="24"/>
          <w:szCs w:val="24"/>
        </w:rPr>
      </w:pPr>
    </w:p>
    <w:p w:rsidR="005A638F" w:rsidRDefault="005A638F" w:rsidP="00D078FF">
      <w:pPr>
        <w:spacing w:line="360" w:lineRule="auto"/>
        <w:jc w:val="both"/>
        <w:rPr>
          <w:rFonts w:ascii="Times New Roman" w:hAnsi="Times New Roman" w:cs="Times New Roman"/>
          <w:sz w:val="24"/>
          <w:szCs w:val="24"/>
        </w:rPr>
      </w:pPr>
    </w:p>
    <w:p w:rsidR="005A638F" w:rsidRDefault="005A638F" w:rsidP="00D078FF">
      <w:pPr>
        <w:spacing w:line="360" w:lineRule="auto"/>
        <w:jc w:val="both"/>
        <w:rPr>
          <w:rFonts w:ascii="Times New Roman" w:hAnsi="Times New Roman" w:cs="Times New Roman"/>
          <w:sz w:val="24"/>
          <w:szCs w:val="24"/>
        </w:rPr>
      </w:pPr>
    </w:p>
    <w:p w:rsidR="005A638F" w:rsidRPr="00925F7F" w:rsidRDefault="005A638F" w:rsidP="00D078FF">
      <w:pPr>
        <w:spacing w:line="360" w:lineRule="auto"/>
        <w:jc w:val="both"/>
        <w:rPr>
          <w:rFonts w:asciiTheme="majorBidi" w:hAnsiTheme="majorBidi" w:cstheme="majorBidi"/>
          <w:sz w:val="20"/>
          <w:szCs w:val="20"/>
        </w:rPr>
      </w:pPr>
      <w:r w:rsidRPr="00F7157D">
        <w:rPr>
          <w:rFonts w:asciiTheme="majorBidi" w:hAnsiTheme="majorBidi" w:cstheme="majorBidi"/>
          <w:b/>
          <w:bCs/>
          <w:sz w:val="20"/>
          <w:szCs w:val="20"/>
        </w:rPr>
        <w:t>Source :</w:t>
      </w:r>
      <w:r w:rsidRPr="00925F7F">
        <w:rPr>
          <w:rFonts w:asciiTheme="majorBidi" w:hAnsiTheme="majorBidi" w:cstheme="majorBidi"/>
          <w:sz w:val="20"/>
          <w:szCs w:val="20"/>
        </w:rPr>
        <w:t> APEDA, Government of India, « Certification bodies (CBs) », Organic APEDA, [en ligne], s.d., disponible sur : </w:t>
      </w:r>
      <w:hyperlink r:id="rId28" w:tgtFrame="_blank" w:history="1">
        <w:r w:rsidRPr="00925F7F">
          <w:rPr>
            <w:rStyle w:val="Lienhypertexte"/>
            <w:rFonts w:asciiTheme="majorBidi" w:hAnsiTheme="majorBidi" w:cstheme="majorBidi"/>
            <w:sz w:val="20"/>
            <w:szCs w:val="20"/>
          </w:rPr>
          <w:t>https://organic.apeda.gov.in/Organic-Certification-Bodies</w:t>
        </w:r>
      </w:hyperlink>
      <w:r w:rsidRPr="00925F7F">
        <w:rPr>
          <w:rFonts w:asciiTheme="majorBidi" w:hAnsiTheme="majorBidi" w:cstheme="majorBidi"/>
          <w:sz w:val="20"/>
          <w:szCs w:val="20"/>
        </w:rPr>
        <w:t> (consulté le 27 avril 2026).</w:t>
      </w:r>
    </w:p>
    <w:p w:rsidR="00D30E5E" w:rsidRPr="00D30E5E" w:rsidRDefault="005A638F" w:rsidP="00D078FF">
      <w:pPr>
        <w:spacing w:line="360" w:lineRule="auto"/>
        <w:jc w:val="both"/>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b/>
          <w:bCs/>
          <w:sz w:val="24"/>
          <w:szCs w:val="24"/>
        </w:rPr>
        <w:t>Ses objectifs en matière de garantie de la qualité des produits biologiques :</w:t>
      </w:r>
      <w:r>
        <w:rPr>
          <w:rStyle w:val="Appelnotedebasdep"/>
          <w:rFonts w:ascii="Times New Roman" w:hAnsi="Times New Roman" w:cs="Times New Roman"/>
          <w:b/>
          <w:bCs/>
          <w:sz w:val="24"/>
          <w:szCs w:val="24"/>
        </w:rPr>
        <w:footnoteReference w:id="67"/>
      </w:r>
    </w:p>
    <w:p w:rsidR="005A638F" w:rsidRPr="004617F2" w:rsidRDefault="005A638F" w:rsidP="00DC1548">
      <w:pPr>
        <w:spacing w:line="360" w:lineRule="auto"/>
        <w:ind w:firstLine="567"/>
        <w:jc w:val="both"/>
        <w:rPr>
          <w:rFonts w:ascii="Times New Roman" w:hAnsi="Times New Roman" w:cs="Times New Roman"/>
          <w:sz w:val="24"/>
          <w:szCs w:val="24"/>
        </w:rPr>
      </w:pPr>
      <w:r w:rsidRPr="004617F2">
        <w:rPr>
          <w:rFonts w:ascii="Times New Roman" w:hAnsi="Times New Roman" w:cs="Times New Roman"/>
          <w:sz w:val="24"/>
          <w:szCs w:val="24"/>
        </w:rPr>
        <w:t xml:space="preserve">L'objectif de la certification est de rassurer le consommateur que les produits biologiques sont soumis à un système de suivi intégré qui s'étend de la phase de production à la surveillance de la sécurité et de la qualité, à l'emballage, à l'étiquetage, à l'affichage des </w:t>
      </w:r>
      <w:r w:rsidRPr="004617F2">
        <w:rPr>
          <w:rFonts w:ascii="Times New Roman" w:hAnsi="Times New Roman" w:cs="Times New Roman"/>
          <w:sz w:val="24"/>
          <w:szCs w:val="24"/>
        </w:rPr>
        <w:lastRenderedPageBreak/>
        <w:t>informations d'origine, au transport, au marketing, et à l'harmonisation des procédures appliquées, tout en conférant un caractère légal à ces opérations.</w:t>
      </w:r>
    </w:p>
    <w:p w:rsidR="005A638F" w:rsidRDefault="005A638F" w:rsidP="00DC1548">
      <w:pPr>
        <w:spacing w:line="360" w:lineRule="auto"/>
        <w:ind w:firstLine="567"/>
        <w:jc w:val="both"/>
        <w:rPr>
          <w:rFonts w:asciiTheme="majorBidi" w:hAnsiTheme="majorBidi" w:cstheme="majorBidi"/>
          <w:sz w:val="24"/>
          <w:szCs w:val="24"/>
          <w:rtl/>
        </w:rPr>
      </w:pPr>
      <w:r w:rsidRPr="004617F2">
        <w:rPr>
          <w:rFonts w:asciiTheme="majorBidi" w:hAnsiTheme="majorBidi" w:cstheme="majorBidi"/>
          <w:sz w:val="24"/>
          <w:szCs w:val="24"/>
        </w:rPr>
        <w:t>La certification a apporté des avantages financiers aux producteurs et aux entreprises, car les produits certifiés se vendent à des prix plus élevés par rapport à leurs homologues non certifiés.</w:t>
      </w:r>
    </w:p>
    <w:p w:rsidR="006E2FEE" w:rsidRDefault="005A638F" w:rsidP="00DC1548">
      <w:pPr>
        <w:spacing w:line="360" w:lineRule="auto"/>
        <w:ind w:firstLine="567"/>
        <w:jc w:val="both"/>
        <w:rPr>
          <w:rFonts w:asciiTheme="majorBidi" w:hAnsiTheme="majorBidi" w:cstheme="majorBidi"/>
          <w:sz w:val="24"/>
          <w:szCs w:val="24"/>
        </w:rPr>
      </w:pPr>
      <w:r w:rsidRPr="004617F2">
        <w:rPr>
          <w:rFonts w:asciiTheme="majorBidi" w:hAnsiTheme="majorBidi" w:cstheme="majorBidi"/>
          <w:sz w:val="24"/>
          <w:szCs w:val="24"/>
        </w:rPr>
        <w:t>Le certificat joue un rôle central dans la préservation des habitats naturels et leur protection contre la dégradation.</w:t>
      </w:r>
    </w:p>
    <w:p w:rsidR="005A638F" w:rsidRPr="004617F2" w:rsidRDefault="005A638F" w:rsidP="00DC1548">
      <w:pPr>
        <w:spacing w:line="360" w:lineRule="auto"/>
        <w:ind w:firstLine="567"/>
        <w:jc w:val="both"/>
        <w:rPr>
          <w:rFonts w:asciiTheme="majorBidi" w:hAnsiTheme="majorBidi" w:cstheme="majorBidi"/>
          <w:sz w:val="24"/>
          <w:szCs w:val="24"/>
        </w:rPr>
      </w:pPr>
      <w:r w:rsidRPr="004617F2">
        <w:rPr>
          <w:rFonts w:asciiTheme="majorBidi" w:hAnsiTheme="majorBidi" w:cstheme="majorBidi"/>
          <w:sz w:val="24"/>
          <w:szCs w:val="24"/>
        </w:rPr>
        <w:t>L</w:t>
      </w:r>
      <w:r>
        <w:rPr>
          <w:rFonts w:asciiTheme="majorBidi" w:hAnsiTheme="majorBidi" w:cstheme="majorBidi"/>
          <w:sz w:val="24"/>
          <w:szCs w:val="24"/>
        </w:rPr>
        <w:t>a</w:t>
      </w:r>
      <w:r w:rsidRPr="004617F2">
        <w:rPr>
          <w:rFonts w:asciiTheme="majorBidi" w:hAnsiTheme="majorBidi" w:cstheme="majorBidi"/>
          <w:sz w:val="24"/>
          <w:szCs w:val="24"/>
        </w:rPr>
        <w:t xml:space="preserve"> certificat biologique a une double signification pour les consommateurs, car il représente un engagement envers la santé personnelle d'une part, et un engagement envers la protection de l'environnement d'autre part.</w:t>
      </w:r>
    </w:p>
    <w:p w:rsidR="005A638F" w:rsidRPr="00D83B38" w:rsidRDefault="004119F0" w:rsidP="00D078FF">
      <w:pPr>
        <w:pStyle w:val="Titre4"/>
        <w:spacing w:line="360" w:lineRule="auto"/>
        <w:jc w:val="both"/>
        <w:rPr>
          <w:rFonts w:ascii="Times New Roman" w:hAnsi="Times New Roman"/>
          <w:b/>
          <w:bCs/>
          <w:i w:val="0"/>
          <w:iCs w:val="0"/>
          <w:color w:val="auto"/>
          <w:sz w:val="24"/>
          <w:szCs w:val="24"/>
        </w:rPr>
      </w:pPr>
      <w:bookmarkStart w:id="70" w:name="_Toc230558631"/>
      <w:bookmarkStart w:id="71" w:name="_Toc230900265"/>
      <w:r w:rsidRPr="00D83B38">
        <w:rPr>
          <w:rFonts w:ascii="Times New Roman" w:hAnsi="Times New Roman"/>
          <w:b/>
          <w:bCs/>
          <w:i w:val="0"/>
          <w:iCs w:val="0"/>
          <w:color w:val="auto"/>
          <w:sz w:val="24"/>
          <w:szCs w:val="24"/>
        </w:rPr>
        <w:t>2.3. Conditions</w:t>
      </w:r>
      <w:r w:rsidR="005A638F" w:rsidRPr="00D83B38">
        <w:rPr>
          <w:rFonts w:ascii="Times New Roman" w:hAnsi="Times New Roman"/>
          <w:b/>
          <w:bCs/>
          <w:i w:val="0"/>
          <w:iCs w:val="0"/>
          <w:color w:val="auto"/>
          <w:sz w:val="24"/>
          <w:szCs w:val="24"/>
        </w:rPr>
        <w:t xml:space="preserve"> de certification biologique :</w:t>
      </w:r>
      <w:bookmarkEnd w:id="70"/>
      <w:bookmarkEnd w:id="71"/>
    </w:p>
    <w:p w:rsidR="005A638F" w:rsidRDefault="005A638F" w:rsidP="00D078FF">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Le terme </w:t>
      </w:r>
      <w:r w:rsidR="00DC1548">
        <w:rPr>
          <w:rFonts w:ascii="Times New Roman" w:hAnsi="Times New Roman" w:cs="Times New Roman"/>
          <w:sz w:val="24"/>
          <w:szCs w:val="24"/>
        </w:rPr>
        <w:t>d’«</w:t>
      </w:r>
      <w:r>
        <w:rPr>
          <w:rFonts w:ascii="Times New Roman" w:hAnsi="Times New Roman" w:cs="Times New Roman"/>
          <w:sz w:val="24"/>
          <w:szCs w:val="24"/>
        </w:rPr>
        <w:t xml:space="preserve"> biologique » renvoie à un étiquetage qui atteste que ce produit alimentaire ou ce produit agricole a été élaboré selon des modalités d’élaboration agréées. Les cahiers des charges biologiques définissent les exigences précises que doit respecter un agent certificateur accrédité par l’USDA avant que ces produits puissent être étiquetés en « USDA organic ».</w:t>
      </w:r>
      <w:r>
        <w:rPr>
          <w:rStyle w:val="Appelnotedebasdep"/>
          <w:rFonts w:ascii="Times New Roman" w:hAnsi="Times New Roman" w:cs="Times New Roman"/>
          <w:sz w:val="24"/>
          <w:szCs w:val="24"/>
        </w:rPr>
        <w:footnoteReference w:id="68"/>
      </w:r>
    </w:p>
    <w:p w:rsidR="005A638F" w:rsidRPr="00D83B38" w:rsidRDefault="004119F0" w:rsidP="00D078FF">
      <w:pPr>
        <w:pStyle w:val="Titre5"/>
        <w:spacing w:line="360" w:lineRule="auto"/>
        <w:jc w:val="both"/>
        <w:rPr>
          <w:rFonts w:ascii="Times New Roman" w:hAnsi="Times New Roman"/>
          <w:b/>
          <w:bCs/>
          <w:color w:val="auto"/>
          <w:sz w:val="24"/>
          <w:szCs w:val="24"/>
        </w:rPr>
      </w:pPr>
      <w:bookmarkStart w:id="72" w:name="_Toc230558632"/>
      <w:bookmarkStart w:id="73" w:name="_Toc230900266"/>
      <w:bookmarkStart w:id="74" w:name="_Hlk228395775"/>
      <w:r w:rsidRPr="00D83B38">
        <w:rPr>
          <w:rFonts w:ascii="Times New Roman" w:hAnsi="Times New Roman"/>
          <w:b/>
          <w:bCs/>
          <w:color w:val="auto"/>
          <w:sz w:val="24"/>
          <w:szCs w:val="24"/>
        </w:rPr>
        <w:t>2.3.1</w:t>
      </w:r>
      <w:r w:rsidR="005A638F" w:rsidRPr="00D83B38">
        <w:rPr>
          <w:rFonts w:ascii="Times New Roman" w:hAnsi="Times New Roman"/>
          <w:b/>
          <w:bCs/>
          <w:color w:val="auto"/>
          <w:sz w:val="24"/>
          <w:szCs w:val="24"/>
        </w:rPr>
        <w:t>Conditions de production agricole :</w:t>
      </w:r>
      <w:bookmarkEnd w:id="72"/>
      <w:bookmarkEnd w:id="73"/>
    </w:p>
    <w:p w:rsidR="005A638F" w:rsidRDefault="005A638F" w:rsidP="00D078F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Condition préalable du sol :</w:t>
      </w:r>
    </w:p>
    <w:p w:rsidR="005A638F" w:rsidRPr="00EC4EF2" w:rsidRDefault="005A638F" w:rsidP="00D078FF">
      <w:pPr>
        <w:spacing w:line="360" w:lineRule="auto"/>
        <w:ind w:firstLine="567"/>
        <w:jc w:val="both"/>
        <w:rPr>
          <w:rFonts w:asciiTheme="majorBidi" w:hAnsiTheme="majorBidi" w:cstheme="majorBidi"/>
          <w:sz w:val="24"/>
          <w:szCs w:val="24"/>
        </w:rPr>
      </w:pPr>
      <w:r w:rsidRPr="00EC4EF2">
        <w:rPr>
          <w:rFonts w:asciiTheme="majorBidi" w:hAnsiTheme="majorBidi" w:cstheme="majorBidi"/>
          <w:sz w:val="24"/>
          <w:szCs w:val="24"/>
        </w:rPr>
        <w:t>Pour qu'une parcelle soit éligible à la certification biologique, elle ne doit avoir reçu aucune application de substances interdites pendant une période de trois ans. Ainsi, dès lors qu'un agriculteur décide de convertir ses terres à la production biologique, il doit les gérer sans recourir à ces substances pendant trente-six mois avant de pouvoir commercialiser comme biologiques les récoltes ou produits agricoles qui en sont issus.</w:t>
      </w:r>
      <w:r>
        <w:rPr>
          <w:rStyle w:val="Appelnotedebasdep"/>
          <w:rFonts w:asciiTheme="majorBidi" w:hAnsiTheme="majorBidi" w:cstheme="majorBidi"/>
          <w:sz w:val="24"/>
          <w:szCs w:val="24"/>
        </w:rPr>
        <w:footnoteReference w:id="69"/>
      </w:r>
    </w:p>
    <w:p w:rsidR="005A638F" w:rsidRDefault="005A638F" w:rsidP="00D078F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Gestion de la fertilité du sol et des éléments nutritifs :</w:t>
      </w:r>
      <w:bookmarkEnd w:id="74"/>
    </w:p>
    <w:p w:rsidR="005A638F" w:rsidRPr="00FB70E8" w:rsidRDefault="005A638F" w:rsidP="00D078FF">
      <w:pPr>
        <w:spacing w:line="360" w:lineRule="auto"/>
        <w:ind w:firstLine="567"/>
        <w:jc w:val="both"/>
        <w:rPr>
          <w:rFonts w:ascii="Times New Roman" w:hAnsi="Times New Roman" w:cs="Times New Roman"/>
          <w:sz w:val="24"/>
          <w:szCs w:val="24"/>
        </w:rPr>
      </w:pPr>
      <w:r w:rsidRPr="00FB70E8">
        <w:rPr>
          <w:rFonts w:ascii="Times New Roman" w:hAnsi="Times New Roman" w:cs="Times New Roman"/>
          <w:sz w:val="24"/>
          <w:szCs w:val="24"/>
        </w:rPr>
        <w:t xml:space="preserve">Selon les normes canadiennes pour l'agriculture biologique, la gestion de la fertilité du sol impose aux agriculteurs de maintenir la fertilité en préservant la matière organique, en équilibrant les éléments nutritifs et en stimulant l'activité biologique du sol. Les pratiques recommandées incluent la rotation des cultures intégrant des engrais verts, des légumineuses </w:t>
      </w:r>
      <w:r w:rsidRPr="00FB70E8">
        <w:rPr>
          <w:rFonts w:ascii="Times New Roman" w:hAnsi="Times New Roman" w:cs="Times New Roman"/>
          <w:sz w:val="24"/>
          <w:szCs w:val="24"/>
        </w:rPr>
        <w:lastRenderedPageBreak/>
        <w:t>et des plantes à enracinement profond, l'utilisation de compost et de fumier animal, ainsi qu'un travail du sol adapté qui préserve les propriétés physico-chimiques et biologiques du sol tout en minimisant son érosion.</w:t>
      </w:r>
      <w:r>
        <w:rPr>
          <w:rStyle w:val="Appelnotedebasdep"/>
          <w:rFonts w:ascii="Times New Roman" w:hAnsi="Times New Roman" w:cs="Times New Roman"/>
          <w:sz w:val="24"/>
          <w:szCs w:val="24"/>
        </w:rPr>
        <w:footnoteReference w:id="70"/>
      </w:r>
    </w:p>
    <w:p w:rsidR="005A638F" w:rsidRDefault="005A638F" w:rsidP="00D078F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Gestion des ravageurs, des adventices et des maladies :</w:t>
      </w:r>
    </w:p>
    <w:p w:rsidR="005A638F" w:rsidRDefault="005A638F" w:rsidP="00D078FF">
      <w:pPr>
        <w:spacing w:line="360" w:lineRule="auto"/>
        <w:ind w:firstLine="567"/>
        <w:jc w:val="both"/>
      </w:pPr>
      <w:r>
        <w:rPr>
          <w:rFonts w:ascii="Times New Roman" w:hAnsi="Times New Roman" w:cs="Times New Roman"/>
          <w:sz w:val="24"/>
          <w:szCs w:val="24"/>
        </w:rPr>
        <w:t>il faut privilégier des méthodes non chimiques (préventives, physiques, mécaniques ou biologiques). Si ces méthodes sont insuffisantes, il sera alors possible de recourir aux substances biologiques, botaniques et/ou substances synthétiques à condition qu’elles soient sur la liste nationale approuvée.</w:t>
      </w:r>
      <w:r>
        <w:rPr>
          <w:rStyle w:val="Appelnotedebasdep"/>
          <w:rFonts w:ascii="Times New Roman" w:hAnsi="Times New Roman" w:cs="Times New Roman"/>
          <w:sz w:val="24"/>
          <w:szCs w:val="24"/>
        </w:rPr>
        <w:footnoteReference w:id="71"/>
      </w:r>
    </w:p>
    <w:p w:rsidR="005A638F" w:rsidRDefault="005A638F" w:rsidP="00D078F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Utilisation des semences et pratiques interdites :</w:t>
      </w:r>
    </w:p>
    <w:p w:rsidR="005A638F" w:rsidRPr="005C00DB" w:rsidRDefault="005A638F" w:rsidP="00D078FF">
      <w:pPr>
        <w:spacing w:line="360" w:lineRule="auto"/>
        <w:ind w:firstLine="567"/>
        <w:jc w:val="both"/>
        <w:rPr>
          <w:rFonts w:ascii="Times New Roman" w:hAnsi="Times New Roman" w:cs="Times New Roman"/>
          <w:sz w:val="24"/>
          <w:szCs w:val="24"/>
        </w:rPr>
      </w:pPr>
      <w:r w:rsidRPr="005C00DB">
        <w:rPr>
          <w:rFonts w:ascii="Times New Roman" w:hAnsi="Times New Roman" w:cs="Times New Roman"/>
          <w:sz w:val="24"/>
          <w:szCs w:val="24"/>
        </w:rPr>
        <w:t>L'utilisation de semences biologiques, de plants annuels et de matériel de plantation biologique est exigée dans la production biologique. Le recours aux semences non biologiques n'est autorisé que si les variétés biologiques équivalentes ne sont pas disponibles commercialement, avec des considérations spécifiques liées à la forme, à la qualité et à la quantité, sans que le prix ne puisse justifier cette indisponibilité. Le producteur doit documenter ses efforts de recherche de semences biologiques, y compris la prise de contact avec au moins trois sources, et obtenir l'approbation de l'organisme de certification. Sont également interdites les méthodes exclues, qui comprennent les techniques de modification génétique des organismes (OGM) telles que la technologie de l'ADN recombinant.</w:t>
      </w:r>
      <w:r>
        <w:rPr>
          <w:rStyle w:val="Appelnotedebasdep"/>
          <w:rFonts w:ascii="Times New Roman" w:hAnsi="Times New Roman" w:cs="Times New Roman"/>
          <w:sz w:val="24"/>
          <w:szCs w:val="24"/>
        </w:rPr>
        <w:footnoteReference w:id="72"/>
      </w:r>
    </w:p>
    <w:p w:rsidR="005A638F" w:rsidRPr="00D83B38" w:rsidRDefault="004119F0" w:rsidP="00D078FF">
      <w:pPr>
        <w:pStyle w:val="Titre5"/>
        <w:spacing w:line="360" w:lineRule="auto"/>
        <w:jc w:val="both"/>
        <w:rPr>
          <w:rFonts w:ascii="Times New Roman" w:hAnsi="Times New Roman"/>
          <w:b/>
          <w:bCs/>
          <w:color w:val="auto"/>
          <w:sz w:val="24"/>
          <w:szCs w:val="24"/>
        </w:rPr>
      </w:pPr>
      <w:bookmarkStart w:id="75" w:name="_Toc230558633"/>
      <w:bookmarkStart w:id="76" w:name="_Toc230900267"/>
      <w:r w:rsidRPr="00D83B38">
        <w:rPr>
          <w:rFonts w:ascii="Times New Roman" w:hAnsi="Times New Roman"/>
          <w:b/>
          <w:bCs/>
          <w:color w:val="auto"/>
          <w:sz w:val="24"/>
          <w:szCs w:val="24"/>
        </w:rPr>
        <w:t>2.3.2</w:t>
      </w:r>
      <w:r w:rsidR="005A638F" w:rsidRPr="00D83B38">
        <w:rPr>
          <w:rFonts w:ascii="Times New Roman" w:hAnsi="Times New Roman"/>
          <w:b/>
          <w:bCs/>
          <w:color w:val="auto"/>
          <w:sz w:val="24"/>
          <w:szCs w:val="24"/>
        </w:rPr>
        <w:t>Conditions de production animale :</w:t>
      </w:r>
      <w:bookmarkEnd w:id="75"/>
      <w:bookmarkEnd w:id="76"/>
    </w:p>
    <w:p w:rsidR="005A638F" w:rsidRPr="00114600" w:rsidRDefault="005A638F" w:rsidP="00D078F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Période de conduite biologique </w:t>
      </w:r>
    </w:p>
    <w:p w:rsidR="005A638F" w:rsidRDefault="005A638F" w:rsidP="00D078FF">
      <w:pPr>
        <w:spacing w:line="360" w:lineRule="auto"/>
        <w:ind w:firstLine="567"/>
        <w:jc w:val="both"/>
        <w:rPr>
          <w:rFonts w:ascii="Times New Roman" w:hAnsi="Times New Roman" w:cs="Times New Roman"/>
          <w:sz w:val="24"/>
          <w:szCs w:val="24"/>
        </w:rPr>
      </w:pPr>
      <w:r w:rsidRPr="00114600">
        <w:rPr>
          <w:rFonts w:ascii="Times New Roman" w:hAnsi="Times New Roman" w:cs="Times New Roman"/>
          <w:sz w:val="24"/>
          <w:szCs w:val="24"/>
        </w:rPr>
        <w:t xml:space="preserve">Le lait et les produits laitiers biologiques doivent provenir d'animaux ayant été placés sous gestion biologique continue à partir du dernier tiers de la gestation. Une seule exception est autorisée pour les nouvelles exploitations certifiées, qui peuvent convertir des animaux non biologiques à la production de lait biologique pendant une période de 12 mois au lieu d'exiger le dernier tiers de la gestation, et ce, une seule fois. La conversion doit s'effectuer sur une période continue de 12 mois, tous les animaux en cours de conversion devant terminer la </w:t>
      </w:r>
      <w:r w:rsidRPr="00114600">
        <w:rPr>
          <w:rFonts w:ascii="Times New Roman" w:hAnsi="Times New Roman" w:cs="Times New Roman"/>
          <w:sz w:val="24"/>
          <w:szCs w:val="24"/>
        </w:rPr>
        <w:lastRenderedPageBreak/>
        <w:t>transition en même temps. Une fois la conversion achevée, l'exploitation n'est pas autorisée à convertir des animaux non biologiques supplémentaires, ni à acquérir des animaux convertis en provenance d'autres exploitations. Lorsqu'il est nécessaire de remplacer des animaux réformés ou d'agrandir le troupeau, seuls des animaux ayant été placés sous gestion biologique depuis le dernier tiers de la gestation peuvent être ajoutés. Les animaux sont également classés en deux catégories : les animaux du dernier tiers de la gestation, éligibles à l'abattage biologique, et les animaux convertis, non éligibles à l'abattage biologique.</w:t>
      </w:r>
      <w:r>
        <w:rPr>
          <w:rStyle w:val="Appelnotedebasdep"/>
          <w:rFonts w:ascii="Times New Roman" w:hAnsi="Times New Roman" w:cs="Times New Roman"/>
          <w:sz w:val="24"/>
          <w:szCs w:val="24"/>
        </w:rPr>
        <w:footnoteReference w:id="73"/>
      </w:r>
    </w:p>
    <w:p w:rsidR="005A638F" w:rsidRDefault="005A638F" w:rsidP="00D078F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Alimentation :</w:t>
      </w:r>
      <w:r>
        <w:rPr>
          <w:rFonts w:ascii="Times New Roman" w:hAnsi="Times New Roman" w:cs="Times New Roman"/>
          <w:sz w:val="24"/>
          <w:szCs w:val="24"/>
        </w:rPr>
        <w:t> </w:t>
      </w:r>
    </w:p>
    <w:p w:rsidR="005A638F" w:rsidRDefault="005A638F" w:rsidP="00D078FF">
      <w:pPr>
        <w:spacing w:line="360" w:lineRule="auto"/>
        <w:ind w:firstLine="567"/>
        <w:jc w:val="both"/>
        <w:rPr>
          <w:rFonts w:ascii="Times New Roman" w:hAnsi="Times New Roman" w:cs="Times New Roman"/>
          <w:sz w:val="24"/>
          <w:szCs w:val="24"/>
          <w:rtl/>
        </w:rPr>
      </w:pPr>
      <w:r w:rsidRPr="00E04F36">
        <w:rPr>
          <w:rFonts w:ascii="Times New Roman" w:hAnsi="Times New Roman" w:cs="Times New Roman"/>
          <w:sz w:val="24"/>
          <w:szCs w:val="24"/>
        </w:rPr>
        <w:t>Le système d'alimentation des animaux biologiques constitue un pilier essentiel de l'agriculture biologique, étant soumis à des règles strictes visant à garantir la santé animale et la qualité du produit final. Les principes de base stipulent que </w:t>
      </w:r>
      <w:r w:rsidRPr="00E04F36">
        <w:rPr>
          <w:rFonts w:ascii="Times New Roman" w:hAnsi="Times New Roman" w:cs="Times New Roman"/>
          <w:b/>
          <w:bCs/>
          <w:sz w:val="24"/>
          <w:szCs w:val="24"/>
        </w:rPr>
        <w:t>tous les ingrédients agricoles composant l'alimentation (céréales, fourrage, fourrages grossiers) doivent être produits à 100 % selon le mode biologique</w:t>
      </w:r>
      <w:r w:rsidRPr="00E04F36">
        <w:rPr>
          <w:rFonts w:ascii="Times New Roman" w:hAnsi="Times New Roman" w:cs="Times New Roman"/>
          <w:sz w:val="24"/>
          <w:szCs w:val="24"/>
        </w:rPr>
        <w:t>, à l'exception de cas très limités, uniquement pendant la période de conversion. Conformément aux directives du Département de l'Agriculture des États-Unis (USDA-AMS) dans le document d'orientation 5030, l'ajout de </w:t>
      </w:r>
      <w:r w:rsidRPr="00E04F36">
        <w:rPr>
          <w:rFonts w:ascii="Times New Roman" w:hAnsi="Times New Roman" w:cs="Times New Roman"/>
          <w:b/>
          <w:bCs/>
          <w:sz w:val="24"/>
          <w:szCs w:val="24"/>
        </w:rPr>
        <w:t>vitamines et de minéraux de synthèse</w:t>
      </w:r>
      <w:r w:rsidRPr="00E04F36">
        <w:rPr>
          <w:rFonts w:ascii="Times New Roman" w:hAnsi="Times New Roman" w:cs="Times New Roman"/>
          <w:sz w:val="24"/>
          <w:szCs w:val="24"/>
        </w:rPr>
        <w:t> est autorisé mais sous des conditions strictes : ils doivent être approuvés par des organismes officiels (tels que la FDA ou l'AAFCO) et utilisés uniquement </w:t>
      </w:r>
      <w:r w:rsidRPr="00E04F36">
        <w:rPr>
          <w:rFonts w:ascii="Times New Roman" w:hAnsi="Times New Roman" w:cs="Times New Roman"/>
          <w:b/>
          <w:bCs/>
          <w:sz w:val="24"/>
          <w:szCs w:val="24"/>
        </w:rPr>
        <w:t>à des fins d'enrichissement ou de fortification nutritionnelle</w:t>
      </w:r>
      <w:r w:rsidRPr="00E04F36">
        <w:rPr>
          <w:rFonts w:ascii="Times New Roman" w:hAnsi="Times New Roman" w:cs="Times New Roman"/>
          <w:sz w:val="24"/>
          <w:szCs w:val="24"/>
        </w:rPr>
        <w:t>, lorsque les besoins de l'animal sont clairement établis. En revanche, l'utilisation des substances suivantes est </w:t>
      </w:r>
      <w:r w:rsidRPr="00E04F36">
        <w:rPr>
          <w:rFonts w:ascii="Times New Roman" w:hAnsi="Times New Roman" w:cs="Times New Roman"/>
          <w:b/>
          <w:bCs/>
          <w:sz w:val="24"/>
          <w:szCs w:val="24"/>
        </w:rPr>
        <w:t>formellement interdite</w:t>
      </w:r>
      <w:r w:rsidRPr="00E04F36">
        <w:rPr>
          <w:rFonts w:ascii="Times New Roman" w:hAnsi="Times New Roman" w:cs="Times New Roman"/>
          <w:sz w:val="24"/>
          <w:szCs w:val="24"/>
        </w:rPr>
        <w:t> dans les aliments biologiques : les hormones, les antibiotiques utilisés comme stimulateurs de croissance, les organismes génétiquement modifiés (OGM), ainsi que les farines de viande et les sous-produits d'abattage (notamment pour les volailles et les mammifères). De plus, la réglementation exige que tous les </w:t>
      </w:r>
      <w:r w:rsidRPr="00E04F36">
        <w:rPr>
          <w:rFonts w:ascii="Times New Roman" w:hAnsi="Times New Roman" w:cs="Times New Roman"/>
          <w:b/>
          <w:bCs/>
          <w:sz w:val="24"/>
          <w:szCs w:val="24"/>
        </w:rPr>
        <w:t>supports (carriers)</w:t>
      </w:r>
      <w:r w:rsidRPr="00E04F36">
        <w:rPr>
          <w:rFonts w:ascii="Times New Roman" w:hAnsi="Times New Roman" w:cs="Times New Roman"/>
          <w:sz w:val="24"/>
          <w:szCs w:val="24"/>
        </w:rPr>
        <w:t> et </w:t>
      </w:r>
      <w:r w:rsidRPr="00E04F36">
        <w:rPr>
          <w:rFonts w:ascii="Times New Roman" w:hAnsi="Times New Roman" w:cs="Times New Roman"/>
          <w:b/>
          <w:bCs/>
          <w:sz w:val="24"/>
          <w:szCs w:val="24"/>
        </w:rPr>
        <w:t>diluants agricoles</w:t>
      </w:r>
      <w:r w:rsidRPr="00E04F36">
        <w:rPr>
          <w:rFonts w:ascii="Times New Roman" w:hAnsi="Times New Roman" w:cs="Times New Roman"/>
          <w:sz w:val="24"/>
          <w:szCs w:val="24"/>
        </w:rPr>
        <w:t> (tels que le son de blé ou la mélasse) utilisés dans les mélanges alimentaires soient également certifiés biologiques. Ce système intégré garantit une alimentation naturellement équilibrée et assure la compatibilité entre les exigences de la production animale, la protection de l'environnement et la santé du consommateur.</w:t>
      </w:r>
      <w:r>
        <w:rPr>
          <w:rStyle w:val="Appelnotedebasdep"/>
          <w:rFonts w:ascii="Times New Roman" w:hAnsi="Times New Roman" w:cs="Times New Roman"/>
          <w:sz w:val="24"/>
          <w:szCs w:val="24"/>
        </w:rPr>
        <w:footnoteReference w:id="74"/>
      </w:r>
    </w:p>
    <w:p w:rsidR="005A638F" w:rsidRDefault="005A638F" w:rsidP="00D078F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Santé animale et traitements :</w:t>
      </w:r>
    </w:p>
    <w:p w:rsidR="005A638F" w:rsidRDefault="005A638F" w:rsidP="00D078FF">
      <w:pPr>
        <w:spacing w:line="360" w:lineRule="auto"/>
        <w:ind w:firstLine="567"/>
        <w:jc w:val="both"/>
        <w:rPr>
          <w:rFonts w:ascii="Times New Roman" w:hAnsi="Times New Roman" w:cs="Times New Roman"/>
          <w:sz w:val="24"/>
          <w:szCs w:val="24"/>
          <w:rtl/>
        </w:rPr>
      </w:pPr>
      <w:r>
        <w:rPr>
          <w:rFonts w:ascii="Times New Roman" w:hAnsi="Times New Roman" w:cs="Times New Roman"/>
          <w:sz w:val="24"/>
          <w:szCs w:val="24"/>
        </w:rPr>
        <w:lastRenderedPageBreak/>
        <w:t> Des mesures préventives doivent être mises en œuvre pour préserver la santé des animaux. Les producteurs ne peuvent refuser un traitement à un animal malade ou blessé. En revanche, tout animal ayant reçu une substance interdite ne pourra être commercialisé sous l'appellation biologique.</w:t>
      </w:r>
    </w:p>
    <w:p w:rsidR="0066256C" w:rsidRDefault="0066256C" w:rsidP="00D078FF">
      <w:pPr>
        <w:spacing w:line="360" w:lineRule="auto"/>
        <w:ind w:firstLine="567"/>
        <w:jc w:val="both"/>
        <w:rPr>
          <w:rFonts w:ascii="Times New Roman" w:hAnsi="Times New Roman" w:cs="Times New Roman"/>
          <w:sz w:val="24"/>
          <w:szCs w:val="24"/>
          <w:rtl/>
        </w:rPr>
      </w:pPr>
    </w:p>
    <w:p w:rsidR="0066256C" w:rsidRDefault="0066256C" w:rsidP="00D078FF">
      <w:pPr>
        <w:spacing w:line="360" w:lineRule="auto"/>
        <w:ind w:firstLine="567"/>
        <w:jc w:val="both"/>
        <w:rPr>
          <w:rFonts w:ascii="Times New Roman" w:hAnsi="Times New Roman" w:cs="Times New Roman"/>
          <w:sz w:val="24"/>
          <w:szCs w:val="24"/>
          <w:rtl/>
        </w:rPr>
      </w:pPr>
    </w:p>
    <w:p w:rsidR="0066256C" w:rsidRDefault="0066256C" w:rsidP="00D078FF">
      <w:pPr>
        <w:spacing w:line="360" w:lineRule="auto"/>
        <w:ind w:firstLine="567"/>
        <w:jc w:val="both"/>
      </w:pPr>
    </w:p>
    <w:p w:rsidR="00F7157D" w:rsidRDefault="005A638F" w:rsidP="00D078F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Accès au pâturage pour les ruminants :</w:t>
      </w:r>
      <w:r>
        <w:rPr>
          <w:rFonts w:ascii="Times New Roman" w:hAnsi="Times New Roman" w:cs="Times New Roman"/>
          <w:sz w:val="24"/>
          <w:szCs w:val="24"/>
        </w:rPr>
        <w:t> </w:t>
      </w:r>
    </w:p>
    <w:p w:rsidR="005A638F" w:rsidRPr="00945042" w:rsidRDefault="00F7157D" w:rsidP="00D078FF">
      <w:pPr>
        <w:spacing w:line="360" w:lineRule="auto"/>
        <w:jc w:val="both"/>
      </w:pPr>
      <w:r>
        <w:rPr>
          <w:rFonts w:ascii="Times New Roman" w:hAnsi="Times New Roman" w:cs="Times New Roman"/>
          <w:sz w:val="24"/>
          <w:szCs w:val="24"/>
        </w:rPr>
        <w:t xml:space="preserve">   </w:t>
      </w:r>
      <w:r w:rsidR="005A638F">
        <w:rPr>
          <w:rFonts w:ascii="Times New Roman" w:hAnsi="Times New Roman" w:cs="Times New Roman"/>
          <w:sz w:val="24"/>
          <w:szCs w:val="24"/>
        </w:rPr>
        <w:t>Ces animaux doivent être maintenus au pâturage pendant toute la saison de pâture, et ce pour une durée minimale de 120 jours. Ils doivent également tirer au moins 30 % de leur ration alimentaire (ou matière sèche ingérée) de l'herbe pâturée.</w:t>
      </w:r>
    </w:p>
    <w:p w:rsidR="005A638F" w:rsidRDefault="005A638F" w:rsidP="00D078F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Accès permanent au plein air :</w:t>
      </w:r>
      <w:r>
        <w:rPr>
          <w:rFonts w:ascii="Times New Roman" w:hAnsi="Times New Roman" w:cs="Times New Roman"/>
          <w:sz w:val="24"/>
          <w:szCs w:val="24"/>
        </w:rPr>
        <w:t> </w:t>
      </w:r>
    </w:p>
    <w:p w:rsidR="005A638F" w:rsidRDefault="005A638F" w:rsidP="00D078FF">
      <w:pPr>
        <w:spacing w:line="360" w:lineRule="auto"/>
        <w:ind w:firstLine="567"/>
        <w:jc w:val="both"/>
      </w:pPr>
      <w:r>
        <w:rPr>
          <w:rFonts w:ascii="Times New Roman" w:hAnsi="Times New Roman" w:cs="Times New Roman"/>
          <w:sz w:val="24"/>
          <w:szCs w:val="24"/>
        </w:rPr>
        <w:t>L'ensemble des animaux biologiques, y compris les volailles, doit disposer d'un accès à l'extérieur tout au long de l'année. Un confinement temporaire n'est autorisé que pour des raisons environnementales ou sanitaires dûment justifiées et documentées.</w:t>
      </w:r>
    </w:p>
    <w:p w:rsidR="005A638F" w:rsidRPr="00D83B38" w:rsidRDefault="004119F0" w:rsidP="00D078FF">
      <w:pPr>
        <w:pStyle w:val="Titre5"/>
        <w:spacing w:line="360" w:lineRule="auto"/>
        <w:jc w:val="both"/>
        <w:rPr>
          <w:rFonts w:ascii="Times New Roman" w:hAnsi="Times New Roman"/>
          <w:b/>
          <w:bCs/>
          <w:color w:val="auto"/>
          <w:sz w:val="24"/>
          <w:szCs w:val="24"/>
        </w:rPr>
      </w:pPr>
      <w:bookmarkStart w:id="77" w:name="_Toc230558634"/>
      <w:bookmarkStart w:id="78" w:name="_Toc230900268"/>
      <w:r w:rsidRPr="00D83B38">
        <w:rPr>
          <w:rFonts w:ascii="Times New Roman" w:hAnsi="Times New Roman"/>
          <w:b/>
          <w:bCs/>
          <w:color w:val="auto"/>
          <w:sz w:val="24"/>
          <w:szCs w:val="24"/>
        </w:rPr>
        <w:t>2.3.3.</w:t>
      </w:r>
      <w:r w:rsidR="005A638F" w:rsidRPr="00D83B38">
        <w:rPr>
          <w:rFonts w:ascii="Times New Roman" w:hAnsi="Times New Roman"/>
          <w:b/>
          <w:bCs/>
          <w:color w:val="auto"/>
          <w:sz w:val="24"/>
          <w:szCs w:val="24"/>
        </w:rPr>
        <w:t>Les conditions de traitement et commercialisation :</w:t>
      </w:r>
      <w:r w:rsidR="005A638F" w:rsidRPr="00D83B38">
        <w:rPr>
          <w:rStyle w:val="Appelnotedebasdep"/>
          <w:rFonts w:ascii="Times New Roman" w:hAnsi="Times New Roman"/>
          <w:b/>
          <w:bCs/>
          <w:color w:val="auto"/>
          <w:sz w:val="24"/>
          <w:szCs w:val="24"/>
        </w:rPr>
        <w:footnoteReference w:id="75"/>
      </w:r>
      <w:bookmarkEnd w:id="77"/>
      <w:bookmarkEnd w:id="78"/>
    </w:p>
    <w:p w:rsidR="005A638F" w:rsidRDefault="005A638F" w:rsidP="00D078FF">
      <w:pPr>
        <w:spacing w:line="360" w:lineRule="auto"/>
        <w:ind w:left="360"/>
        <w:jc w:val="both"/>
      </w:pPr>
      <w:r>
        <w:rPr>
          <w:rFonts w:ascii="Times New Roman" w:hAnsi="Times New Roman" w:cs="Times New Roman"/>
          <w:b/>
          <w:bCs/>
          <w:sz w:val="24"/>
          <w:szCs w:val="24"/>
        </w:rPr>
        <w:t>Ingrédients non agricoles :</w:t>
      </w:r>
      <w:r>
        <w:rPr>
          <w:rFonts w:ascii="Times New Roman" w:hAnsi="Times New Roman" w:cs="Times New Roman"/>
          <w:sz w:val="24"/>
          <w:szCs w:val="24"/>
        </w:rPr>
        <w:t xml:space="preserve"> Tous les éléments non issus de l’agriculture, naturels ou synthétiques, doivent être présents dans la liste nationale des substances autorisées ou interdites.</w:t>
      </w:r>
    </w:p>
    <w:p w:rsidR="005A638F" w:rsidRDefault="005A638F" w:rsidP="00D078FF">
      <w:pPr>
        <w:spacing w:line="360" w:lineRule="auto"/>
        <w:ind w:left="360"/>
        <w:jc w:val="both"/>
      </w:pPr>
      <w:r>
        <w:rPr>
          <w:rFonts w:ascii="Times New Roman" w:hAnsi="Times New Roman" w:cs="Times New Roman"/>
          <w:b/>
          <w:bCs/>
          <w:sz w:val="24"/>
          <w:szCs w:val="24"/>
        </w:rPr>
        <w:t xml:space="preserve">Ingrédients agricoles dans des produits multi-composants étiquetés « bio » : </w:t>
      </w:r>
      <w:r>
        <w:rPr>
          <w:rFonts w:ascii="Times New Roman" w:hAnsi="Times New Roman" w:cs="Times New Roman"/>
          <w:sz w:val="24"/>
          <w:szCs w:val="24"/>
        </w:rPr>
        <w:t>Tous les ingrédients d’origine agricole doivent être issus de l’agriculture biologique, sauf si un ingrédient spécifique n’est pas disponible commercialement en bio et est expressément spécifié dans la rubrique 205.606.</w:t>
      </w:r>
    </w:p>
    <w:p w:rsidR="005A638F" w:rsidRDefault="005A638F" w:rsidP="00D078FF">
      <w:pPr>
        <w:spacing w:line="360" w:lineRule="auto"/>
        <w:ind w:left="360"/>
        <w:jc w:val="both"/>
      </w:pPr>
      <w:r>
        <w:rPr>
          <w:rFonts w:ascii="Times New Roman" w:hAnsi="Times New Roman" w:cs="Times New Roman"/>
          <w:b/>
          <w:bCs/>
          <w:sz w:val="24"/>
          <w:szCs w:val="24"/>
        </w:rPr>
        <w:t>Prévention des mélanges et contaminations :</w:t>
      </w:r>
      <w:r>
        <w:rPr>
          <w:rFonts w:ascii="Times New Roman" w:hAnsi="Times New Roman" w:cs="Times New Roman"/>
          <w:sz w:val="24"/>
          <w:szCs w:val="24"/>
        </w:rPr>
        <w:t xml:space="preserve"> Les opérateurs doivent stopper le mélange des produits biologiques aux non biologiques, et interdire le contact des produits certifiés avec des substances interdites.</w:t>
      </w:r>
    </w:p>
    <w:p w:rsidR="005A638F" w:rsidRPr="00D83B38" w:rsidRDefault="004119F0" w:rsidP="00D078FF">
      <w:pPr>
        <w:pStyle w:val="Titre5"/>
        <w:spacing w:line="360" w:lineRule="auto"/>
        <w:jc w:val="both"/>
        <w:rPr>
          <w:rFonts w:ascii="Times New Roman" w:hAnsi="Times New Roman"/>
          <w:b/>
          <w:bCs/>
          <w:color w:val="auto"/>
          <w:sz w:val="24"/>
          <w:szCs w:val="24"/>
        </w:rPr>
      </w:pPr>
      <w:bookmarkStart w:id="79" w:name="_Toc230558635"/>
      <w:bookmarkStart w:id="80" w:name="_Toc230900269"/>
      <w:r w:rsidRPr="00D83B38">
        <w:rPr>
          <w:rFonts w:ascii="Times New Roman" w:hAnsi="Times New Roman"/>
          <w:b/>
          <w:bCs/>
          <w:color w:val="auto"/>
          <w:sz w:val="24"/>
          <w:szCs w:val="24"/>
        </w:rPr>
        <w:lastRenderedPageBreak/>
        <w:t>2.3.4.</w:t>
      </w:r>
      <w:r w:rsidR="005A638F" w:rsidRPr="00D83B38">
        <w:rPr>
          <w:rFonts w:ascii="Times New Roman" w:hAnsi="Times New Roman"/>
          <w:b/>
          <w:bCs/>
          <w:color w:val="auto"/>
          <w:sz w:val="24"/>
          <w:szCs w:val="24"/>
        </w:rPr>
        <w:t>les conditions d'étiquetage :</w:t>
      </w:r>
      <w:bookmarkEnd w:id="79"/>
      <w:bookmarkEnd w:id="80"/>
    </w:p>
    <w:p w:rsidR="005A638F" w:rsidRDefault="005A638F" w:rsidP="00D078FF">
      <w:pPr>
        <w:spacing w:line="360" w:lineRule="auto"/>
        <w:jc w:val="both"/>
        <w:rPr>
          <w:rFonts w:ascii="Times New Roman" w:hAnsi="Times New Roman" w:cs="Times New Roman"/>
          <w:sz w:val="24"/>
          <w:szCs w:val="24"/>
        </w:rPr>
      </w:pPr>
      <w:r w:rsidRPr="00A33BEA">
        <w:rPr>
          <w:rFonts w:ascii="Times New Roman" w:hAnsi="Times New Roman" w:cs="Times New Roman"/>
          <w:sz w:val="24"/>
          <w:szCs w:val="24"/>
        </w:rPr>
        <w:t>Les règles d’étiquetage des produits biologiques établissent quatre niveaux de revendication. Les produits estampillés « 100 % biologique » doivent être composés exclusivement d’ingrédients et auxiliaires technologiques d’origine biologique, sans sulfites ajoutés chimiquement. La mention « biologique » requiert au moins 95 % d’ingrédients certifiés, avec la même interdiction des sulfites chimiques. Pour la catégorie intermédiaire « fabriqué à partir d’ingrédients biologiques », le seuil minimal est fixé à 70 % d’ingrédients biologiques, avec une tolérance de sulfites de dioxyde de soufre n’excédant pas 100 ppm, et l’usage du logo officiel est interdit. Enfin, lorsque la teneur en ingrédients biologiques est inférieure à 70 %,aucune revendication globale n’est autorisée sur l’emballage ; seuls les ingrédients individuellement certifiés peuvent être identifiés comme tels dans la liste des composants.</w:t>
      </w:r>
      <w:r>
        <w:rPr>
          <w:rStyle w:val="Appelnotedebasdep"/>
          <w:rFonts w:ascii="Times New Roman" w:hAnsi="Times New Roman" w:cs="Times New Roman"/>
          <w:sz w:val="24"/>
          <w:szCs w:val="24"/>
        </w:rPr>
        <w:footnoteReference w:id="76"/>
      </w:r>
    </w:p>
    <w:p w:rsidR="00945042" w:rsidRDefault="005A638F" w:rsidP="00D078FF">
      <w:pPr>
        <w:spacing w:line="360" w:lineRule="auto"/>
        <w:jc w:val="both"/>
        <w:rPr>
          <w:rFonts w:ascii="Times New Roman" w:hAnsi="Times New Roman"/>
          <w:b/>
          <w:bCs/>
          <w:sz w:val="24"/>
          <w:szCs w:val="24"/>
        </w:rPr>
      </w:pPr>
      <w:r>
        <w:rPr>
          <w:rFonts w:ascii="Times New Roman" w:hAnsi="Times New Roman" w:cs="Times New Roman"/>
          <w:sz w:val="24"/>
          <w:szCs w:val="24"/>
        </w:rPr>
        <w:t>-</w:t>
      </w:r>
      <w:r w:rsidRPr="00C566C2">
        <w:rPr>
          <w:rFonts w:ascii="Times New Roman" w:hAnsi="Times New Roman"/>
          <w:b/>
          <w:bCs/>
          <w:sz w:val="24"/>
          <w:szCs w:val="24"/>
        </w:rPr>
        <w:t>Exigences principales de la certification Bio</w:t>
      </w:r>
      <w:r>
        <w:rPr>
          <w:rFonts w:ascii="Times New Roman" w:hAnsi="Times New Roman"/>
          <w:b/>
          <w:bCs/>
          <w:sz w:val="24"/>
          <w:szCs w:val="24"/>
        </w:rPr>
        <w:t> :</w:t>
      </w:r>
    </w:p>
    <w:p w:rsidR="00945042" w:rsidRPr="00945042" w:rsidRDefault="00945042" w:rsidP="00D078FF">
      <w:pPr>
        <w:pStyle w:val="Lgende"/>
        <w:spacing w:after="0" w:line="360" w:lineRule="auto"/>
        <w:jc w:val="both"/>
        <w:rPr>
          <w:rFonts w:asciiTheme="majorBidi" w:hAnsiTheme="majorBidi" w:cstheme="majorBidi"/>
          <w:b/>
          <w:bCs/>
          <w:i w:val="0"/>
          <w:iCs w:val="0"/>
          <w:color w:val="auto"/>
          <w:sz w:val="36"/>
          <w:szCs w:val="36"/>
        </w:rPr>
      </w:pPr>
      <w:bookmarkStart w:id="81" w:name="_Toc230400739"/>
      <w:r w:rsidRPr="00945042">
        <w:rPr>
          <w:rFonts w:asciiTheme="majorBidi" w:hAnsiTheme="majorBidi" w:cstheme="majorBidi"/>
          <w:b/>
          <w:bCs/>
          <w:i w:val="0"/>
          <w:iCs w:val="0"/>
          <w:color w:val="auto"/>
          <w:sz w:val="24"/>
          <w:szCs w:val="24"/>
        </w:rPr>
        <w:t xml:space="preserve">Tableau </w:t>
      </w:r>
      <w:r w:rsidR="007B5998" w:rsidRPr="00945042">
        <w:rPr>
          <w:rFonts w:asciiTheme="majorBidi" w:hAnsiTheme="majorBidi" w:cstheme="majorBidi"/>
          <w:b/>
          <w:bCs/>
          <w:i w:val="0"/>
          <w:iCs w:val="0"/>
          <w:color w:val="auto"/>
          <w:sz w:val="24"/>
          <w:szCs w:val="24"/>
        </w:rPr>
        <w:fldChar w:fldCharType="begin"/>
      </w:r>
      <w:r w:rsidRPr="00945042">
        <w:rPr>
          <w:rFonts w:asciiTheme="majorBidi" w:hAnsiTheme="majorBidi" w:cstheme="majorBidi"/>
          <w:b/>
          <w:bCs/>
          <w:i w:val="0"/>
          <w:iCs w:val="0"/>
          <w:color w:val="auto"/>
          <w:sz w:val="24"/>
          <w:szCs w:val="24"/>
        </w:rPr>
        <w:instrText xml:space="preserve"> SEQ Tableau \* ARABIC </w:instrText>
      </w:r>
      <w:r w:rsidR="007B5998" w:rsidRPr="00945042">
        <w:rPr>
          <w:rFonts w:asciiTheme="majorBidi" w:hAnsiTheme="majorBidi" w:cstheme="majorBidi"/>
          <w:b/>
          <w:bCs/>
          <w:i w:val="0"/>
          <w:iCs w:val="0"/>
          <w:color w:val="auto"/>
          <w:sz w:val="24"/>
          <w:szCs w:val="24"/>
        </w:rPr>
        <w:fldChar w:fldCharType="separate"/>
      </w:r>
      <w:r w:rsidR="00515B25">
        <w:rPr>
          <w:rFonts w:asciiTheme="majorBidi" w:hAnsiTheme="majorBidi" w:cstheme="majorBidi"/>
          <w:b/>
          <w:bCs/>
          <w:i w:val="0"/>
          <w:iCs w:val="0"/>
          <w:noProof/>
          <w:color w:val="auto"/>
          <w:sz w:val="24"/>
          <w:szCs w:val="24"/>
        </w:rPr>
        <w:t>1</w:t>
      </w:r>
      <w:r w:rsidR="007B5998" w:rsidRPr="00945042">
        <w:rPr>
          <w:rFonts w:asciiTheme="majorBidi" w:hAnsiTheme="majorBidi" w:cstheme="majorBidi"/>
          <w:b/>
          <w:bCs/>
          <w:i w:val="0"/>
          <w:iCs w:val="0"/>
          <w:color w:val="auto"/>
          <w:sz w:val="24"/>
          <w:szCs w:val="24"/>
        </w:rPr>
        <w:fldChar w:fldCharType="end"/>
      </w:r>
      <w:r w:rsidRPr="00945042">
        <w:rPr>
          <w:rFonts w:asciiTheme="majorBidi" w:hAnsiTheme="majorBidi" w:cstheme="majorBidi"/>
          <w:b/>
          <w:bCs/>
          <w:i w:val="0"/>
          <w:iCs w:val="0"/>
          <w:color w:val="auto"/>
          <w:sz w:val="24"/>
          <w:szCs w:val="24"/>
        </w:rPr>
        <w:t xml:space="preserve"> : </w:t>
      </w:r>
      <w:r w:rsidRPr="00945042">
        <w:rPr>
          <w:rFonts w:asciiTheme="majorBidi" w:hAnsiTheme="majorBidi" w:cstheme="majorBidi"/>
          <w:i w:val="0"/>
          <w:iCs w:val="0"/>
          <w:color w:val="auto"/>
          <w:sz w:val="24"/>
          <w:szCs w:val="24"/>
        </w:rPr>
        <w:t>Exigences principales de la certification Bio</w:t>
      </w:r>
      <w:bookmarkEnd w:id="81"/>
    </w:p>
    <w:tbl>
      <w:tblPr>
        <w:tblStyle w:val="Grilledutableau"/>
        <w:tblpPr w:leftFromText="141" w:rightFromText="141" w:vertAnchor="text" w:horzAnchor="margin" w:tblpXSpec="center" w:tblpY="216"/>
        <w:tblW w:w="9067" w:type="dxa"/>
        <w:tblLook w:val="04A0"/>
      </w:tblPr>
      <w:tblGrid>
        <w:gridCol w:w="3539"/>
        <w:gridCol w:w="5528"/>
      </w:tblGrid>
      <w:tr w:rsidR="005A638F" w:rsidTr="00945042">
        <w:trPr>
          <w:trHeight w:val="723"/>
        </w:trPr>
        <w:tc>
          <w:tcPr>
            <w:tcW w:w="3539" w:type="dxa"/>
          </w:tcPr>
          <w:p w:rsidR="005A638F" w:rsidRDefault="005A638F" w:rsidP="00D078FF">
            <w:pPr>
              <w:spacing w:line="360" w:lineRule="auto"/>
              <w:jc w:val="both"/>
              <w:rPr>
                <w:rFonts w:ascii="Montserrat" w:hAnsi="Montserrat"/>
                <w:b/>
                <w:bCs/>
                <w:color w:val="303030"/>
              </w:rPr>
            </w:pPr>
          </w:p>
          <w:p w:rsidR="005A638F" w:rsidRDefault="005A638F" w:rsidP="00D078FF">
            <w:pPr>
              <w:spacing w:line="360" w:lineRule="auto"/>
              <w:jc w:val="both"/>
              <w:rPr>
                <w:rFonts w:ascii="Montserrat" w:hAnsi="Montserrat"/>
                <w:b/>
                <w:bCs/>
                <w:color w:val="303030"/>
              </w:rPr>
            </w:pPr>
            <w:r>
              <w:rPr>
                <w:rFonts w:ascii="Montserrat" w:hAnsi="Montserrat"/>
                <w:b/>
                <w:bCs/>
                <w:color w:val="303030"/>
              </w:rPr>
              <w:t>Domaine</w:t>
            </w:r>
          </w:p>
          <w:p w:rsidR="005A638F" w:rsidRDefault="005A638F" w:rsidP="00D078FF">
            <w:pPr>
              <w:spacing w:line="360" w:lineRule="auto"/>
              <w:jc w:val="both"/>
              <w:rPr>
                <w:rFonts w:ascii="Times New Roman" w:hAnsi="Times New Roman" w:cs="Times New Roman"/>
                <w:sz w:val="24"/>
                <w:szCs w:val="24"/>
              </w:rPr>
            </w:pPr>
          </w:p>
        </w:tc>
        <w:tc>
          <w:tcPr>
            <w:tcW w:w="5528"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b/>
                <w:bCs/>
                <w:sz w:val="24"/>
                <w:szCs w:val="24"/>
              </w:rPr>
              <w:t>Exigences principales</w:t>
            </w:r>
          </w:p>
        </w:tc>
      </w:tr>
      <w:tr w:rsidR="005A638F" w:rsidTr="00945042">
        <w:trPr>
          <w:trHeight w:val="723"/>
        </w:trPr>
        <w:tc>
          <w:tcPr>
            <w:tcW w:w="3539"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Production végétale</w:t>
            </w:r>
          </w:p>
        </w:tc>
        <w:tc>
          <w:tcPr>
            <w:tcW w:w="5528"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Interdiction d’engrais et de pesticides de synthèse, rotations culturales, fertilisation organique</w:t>
            </w:r>
          </w:p>
        </w:tc>
      </w:tr>
      <w:tr w:rsidR="005A638F" w:rsidTr="00945042">
        <w:trPr>
          <w:trHeight w:val="723"/>
        </w:trPr>
        <w:tc>
          <w:tcPr>
            <w:tcW w:w="3539" w:type="dxa"/>
          </w:tcPr>
          <w:p w:rsidR="005A638F" w:rsidRDefault="005A638F" w:rsidP="00D078FF">
            <w:pPr>
              <w:spacing w:line="360" w:lineRule="auto"/>
              <w:jc w:val="both"/>
              <w:rPr>
                <w:rFonts w:ascii="Times New Roman" w:hAnsi="Times New Roman" w:cs="Times New Roman"/>
                <w:sz w:val="24"/>
                <w:szCs w:val="24"/>
              </w:rPr>
            </w:pPr>
          </w:p>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Élevage</w:t>
            </w:r>
          </w:p>
        </w:tc>
        <w:tc>
          <w:tcPr>
            <w:tcW w:w="5528" w:type="dxa"/>
          </w:tcPr>
          <w:p w:rsidR="005A638F" w:rsidRPr="00C566C2" w:rsidRDefault="005A638F" w:rsidP="00D078FF">
            <w:pPr>
              <w:spacing w:line="360" w:lineRule="auto"/>
              <w:jc w:val="both"/>
              <w:rPr>
                <w:rFonts w:asciiTheme="majorBidi" w:hAnsiTheme="majorBidi" w:cstheme="majorBidi"/>
                <w:color w:val="303030"/>
                <w:sz w:val="24"/>
                <w:szCs w:val="24"/>
              </w:rPr>
            </w:pPr>
            <w:r w:rsidRPr="00C566C2">
              <w:rPr>
                <w:rFonts w:asciiTheme="majorBidi" w:hAnsiTheme="majorBidi" w:cstheme="majorBidi"/>
                <w:color w:val="303030"/>
                <w:sz w:val="24"/>
                <w:szCs w:val="24"/>
              </w:rPr>
              <w:br/>
              <w:t>Alimentation bio, accès au plein air, densité limitée, traitements vétérinaires encadrés</w:t>
            </w:r>
          </w:p>
          <w:p w:rsidR="005A638F" w:rsidRDefault="005A638F" w:rsidP="00D078FF">
            <w:pPr>
              <w:spacing w:line="360" w:lineRule="auto"/>
              <w:jc w:val="both"/>
              <w:rPr>
                <w:rFonts w:ascii="Times New Roman" w:hAnsi="Times New Roman" w:cs="Times New Roman"/>
                <w:sz w:val="24"/>
                <w:szCs w:val="24"/>
              </w:rPr>
            </w:pPr>
          </w:p>
        </w:tc>
      </w:tr>
      <w:tr w:rsidR="005A638F" w:rsidTr="00945042">
        <w:trPr>
          <w:trHeight w:val="723"/>
        </w:trPr>
        <w:tc>
          <w:tcPr>
            <w:tcW w:w="3539"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Transformation</w:t>
            </w:r>
          </w:p>
        </w:tc>
        <w:tc>
          <w:tcPr>
            <w:tcW w:w="5528"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Séparation stricte des lignes de production, usage d’additifs autorisés uniquement</w:t>
            </w:r>
          </w:p>
        </w:tc>
      </w:tr>
      <w:tr w:rsidR="005A638F" w:rsidTr="00945042">
        <w:trPr>
          <w:trHeight w:val="723"/>
        </w:trPr>
        <w:tc>
          <w:tcPr>
            <w:tcW w:w="3539"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Stockage &amp; transport</w:t>
            </w:r>
          </w:p>
        </w:tc>
        <w:tc>
          <w:tcPr>
            <w:tcW w:w="5528"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Identification, nettoyage, prévention des contaminations croisées</w:t>
            </w:r>
          </w:p>
        </w:tc>
      </w:tr>
      <w:tr w:rsidR="005A638F" w:rsidTr="00945042">
        <w:trPr>
          <w:trHeight w:val="723"/>
        </w:trPr>
        <w:tc>
          <w:tcPr>
            <w:tcW w:w="3539"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Commercialisation</w:t>
            </w:r>
          </w:p>
        </w:tc>
        <w:tc>
          <w:tcPr>
            <w:tcW w:w="5528" w:type="dxa"/>
          </w:tcPr>
          <w:p w:rsidR="005A638F" w:rsidRDefault="005A638F" w:rsidP="00D078FF">
            <w:pPr>
              <w:spacing w:line="360" w:lineRule="auto"/>
              <w:jc w:val="both"/>
              <w:rPr>
                <w:rFonts w:ascii="Times New Roman" w:hAnsi="Times New Roman" w:cs="Times New Roman"/>
                <w:sz w:val="24"/>
                <w:szCs w:val="24"/>
              </w:rPr>
            </w:pPr>
            <w:r w:rsidRPr="00C566C2">
              <w:rPr>
                <w:rFonts w:ascii="Times New Roman" w:hAnsi="Times New Roman" w:cs="Times New Roman"/>
                <w:sz w:val="24"/>
                <w:szCs w:val="24"/>
              </w:rPr>
              <w:t>Traçabilité, facturation, étiquetage conforme au règlement UE</w:t>
            </w:r>
          </w:p>
        </w:tc>
      </w:tr>
    </w:tbl>
    <w:p w:rsidR="005A638F" w:rsidRDefault="005A638F" w:rsidP="00D078FF">
      <w:pPr>
        <w:spacing w:line="360" w:lineRule="auto"/>
        <w:jc w:val="both"/>
        <w:rPr>
          <w:rFonts w:ascii="Times New Roman" w:hAnsi="Times New Roman" w:cs="Times New Roman"/>
          <w:b/>
          <w:bCs/>
          <w:sz w:val="24"/>
          <w:szCs w:val="24"/>
          <w:rtl/>
        </w:rPr>
      </w:pPr>
    </w:p>
    <w:p w:rsidR="005A638F" w:rsidRPr="00D767A7" w:rsidRDefault="005A638F" w:rsidP="00D078FF">
      <w:pPr>
        <w:spacing w:line="360" w:lineRule="auto"/>
        <w:jc w:val="both"/>
        <w:rPr>
          <w:rFonts w:ascii="Times New Roman" w:hAnsi="Times New Roman" w:cs="Times New Roman"/>
          <w:sz w:val="20"/>
          <w:szCs w:val="20"/>
          <w:rtl/>
        </w:rPr>
      </w:pPr>
      <w:r w:rsidRPr="00D767A7">
        <w:rPr>
          <w:rFonts w:ascii="Times New Roman" w:hAnsi="Times New Roman" w:cs="Times New Roman"/>
          <w:b/>
          <w:bCs/>
          <w:sz w:val="20"/>
          <w:szCs w:val="20"/>
        </w:rPr>
        <w:lastRenderedPageBreak/>
        <w:t>-Source :</w:t>
      </w:r>
      <w:r w:rsidRPr="00D767A7">
        <w:rPr>
          <w:rFonts w:ascii="Times New Roman" w:hAnsi="Times New Roman" w:cs="Times New Roman"/>
          <w:sz w:val="20"/>
          <w:szCs w:val="20"/>
        </w:rPr>
        <w:t>Certipaq, « Certification Bio : audit, exigences et conformité Agriculture Biologique 2025 », [en ligne], 10 novembre 2025, disponible sur : </w:t>
      </w:r>
      <w:hyperlink r:id="rId29" w:tgtFrame="_blank" w:history="1">
        <w:r w:rsidRPr="00D767A7">
          <w:rPr>
            <w:rStyle w:val="Lienhypertexte"/>
            <w:rFonts w:ascii="Times New Roman" w:hAnsi="Times New Roman" w:cs="Times New Roman"/>
            <w:sz w:val="20"/>
            <w:szCs w:val="20"/>
          </w:rPr>
          <w:t>https://www.certipaq.com/certification-bio-agriculture-biologique/</w:t>
        </w:r>
      </w:hyperlink>
      <w:r w:rsidRPr="00D767A7">
        <w:rPr>
          <w:rFonts w:ascii="Times New Roman" w:hAnsi="Times New Roman" w:cs="Times New Roman"/>
          <w:sz w:val="20"/>
          <w:szCs w:val="20"/>
        </w:rPr>
        <w:t> (consulté le 29 avril 2026).</w:t>
      </w:r>
    </w:p>
    <w:p w:rsidR="005A638F" w:rsidRPr="007E41F0" w:rsidRDefault="0014408D" w:rsidP="00D078FF">
      <w:pPr>
        <w:pStyle w:val="Titre4"/>
        <w:spacing w:line="360" w:lineRule="auto"/>
        <w:jc w:val="both"/>
        <w:rPr>
          <w:rFonts w:ascii="Times New Roman" w:hAnsi="Times New Roman"/>
          <w:b/>
          <w:bCs/>
          <w:i w:val="0"/>
          <w:iCs w:val="0"/>
          <w:color w:val="auto"/>
          <w:sz w:val="24"/>
          <w:szCs w:val="24"/>
        </w:rPr>
      </w:pPr>
      <w:bookmarkStart w:id="82" w:name="_Toc230558636"/>
      <w:bookmarkStart w:id="83" w:name="_Toc230900270"/>
      <w:r>
        <w:rPr>
          <w:rFonts w:hint="cs"/>
          <w:rtl/>
          <w:lang w:bidi="ar-DZ"/>
        </w:rPr>
        <w:t>.</w:t>
      </w:r>
      <w:r w:rsidRPr="007E41F0">
        <w:rPr>
          <w:rFonts w:ascii="Times New Roman" w:hAnsi="Times New Roman"/>
          <w:b/>
          <w:bCs/>
          <w:i w:val="0"/>
          <w:iCs w:val="0"/>
          <w:color w:val="auto"/>
          <w:sz w:val="24"/>
          <w:szCs w:val="24"/>
          <w:rtl/>
          <w:lang w:bidi="ar-DZ"/>
        </w:rPr>
        <w:t>2.4</w:t>
      </w:r>
      <w:r w:rsidR="005A638F" w:rsidRPr="007E41F0">
        <w:rPr>
          <w:rFonts w:ascii="Times New Roman" w:hAnsi="Times New Roman"/>
          <w:b/>
          <w:bCs/>
          <w:i w:val="0"/>
          <w:iCs w:val="0"/>
          <w:color w:val="auto"/>
          <w:sz w:val="24"/>
          <w:szCs w:val="24"/>
        </w:rPr>
        <w:t>Organismes d'accréditation et de surveillance</w:t>
      </w:r>
      <w:r w:rsidR="005A638F" w:rsidRPr="007E41F0">
        <w:rPr>
          <w:rFonts w:ascii="Times New Roman" w:hAnsi="Times New Roman"/>
          <w:b/>
          <w:bCs/>
          <w:i w:val="0"/>
          <w:iCs w:val="0"/>
          <w:color w:val="auto"/>
          <w:sz w:val="24"/>
          <w:szCs w:val="24"/>
          <w:rtl/>
        </w:rPr>
        <w:t xml:space="preserve"> :</w:t>
      </w:r>
      <w:bookmarkEnd w:id="82"/>
      <w:bookmarkEnd w:id="83"/>
    </w:p>
    <w:p w:rsidR="005A638F" w:rsidRPr="007E41F0" w:rsidRDefault="004119F0" w:rsidP="00D078FF">
      <w:pPr>
        <w:pStyle w:val="Titre5"/>
        <w:spacing w:line="360" w:lineRule="auto"/>
        <w:jc w:val="both"/>
        <w:rPr>
          <w:rFonts w:ascii="Times New Roman" w:hAnsi="Times New Roman"/>
          <w:b/>
          <w:bCs/>
          <w:color w:val="auto"/>
          <w:sz w:val="24"/>
          <w:szCs w:val="24"/>
        </w:rPr>
      </w:pPr>
      <w:bookmarkStart w:id="84" w:name="_Toc230558637"/>
      <w:bookmarkStart w:id="85" w:name="_Toc230900271"/>
      <w:r w:rsidRPr="007E41F0">
        <w:rPr>
          <w:rFonts w:ascii="Times New Roman" w:hAnsi="Times New Roman"/>
          <w:b/>
          <w:bCs/>
          <w:color w:val="auto"/>
          <w:sz w:val="24"/>
          <w:szCs w:val="24"/>
        </w:rPr>
        <w:t>2.</w:t>
      </w:r>
      <w:r w:rsidR="0014408D" w:rsidRPr="007E41F0">
        <w:rPr>
          <w:rFonts w:ascii="Times New Roman" w:hAnsi="Times New Roman"/>
          <w:b/>
          <w:bCs/>
          <w:color w:val="auto"/>
          <w:sz w:val="24"/>
          <w:szCs w:val="24"/>
          <w:rtl/>
          <w:lang w:bidi="ar-DZ"/>
        </w:rPr>
        <w:t>4</w:t>
      </w:r>
      <w:r w:rsidRPr="007E41F0">
        <w:rPr>
          <w:rFonts w:ascii="Times New Roman" w:hAnsi="Times New Roman"/>
          <w:b/>
          <w:bCs/>
          <w:color w:val="auto"/>
          <w:sz w:val="24"/>
          <w:szCs w:val="24"/>
        </w:rPr>
        <w:t>.1.</w:t>
      </w:r>
      <w:r w:rsidR="005A638F" w:rsidRPr="007E41F0">
        <w:rPr>
          <w:rFonts w:ascii="Times New Roman" w:hAnsi="Times New Roman"/>
          <w:b/>
          <w:bCs/>
          <w:color w:val="auto"/>
          <w:sz w:val="24"/>
          <w:szCs w:val="24"/>
        </w:rPr>
        <w:t>Ecocert :</w:t>
      </w:r>
      <w:bookmarkEnd w:id="84"/>
      <w:bookmarkEnd w:id="85"/>
    </w:p>
    <w:p w:rsidR="005A638F" w:rsidRDefault="005A638F" w:rsidP="00D078FF">
      <w:pPr>
        <w:spacing w:line="360" w:lineRule="auto"/>
        <w:ind w:firstLine="567"/>
        <w:jc w:val="both"/>
        <w:rPr>
          <w:rFonts w:ascii="Times New Roman" w:hAnsi="Times New Roman" w:cs="Times New Roman"/>
          <w:sz w:val="24"/>
          <w:szCs w:val="24"/>
        </w:rPr>
      </w:pPr>
      <w:r w:rsidRPr="005B474A">
        <w:rPr>
          <w:rFonts w:ascii="Times New Roman" w:hAnsi="Times New Roman" w:cs="Times New Roman"/>
          <w:sz w:val="24"/>
          <w:szCs w:val="24"/>
        </w:rPr>
        <w:t>Créé en 1991 par William Vidal, figure du mouvement biologique associatif français, Ecocert est le tout premier organisme de certification biologique en France, identifié par le code FR-BIO-01. Sa mission est d’accompagner les agriculteurs et les transformateurs souhaitant se lancer dans le bio, en vérifiant la conformité de leurs productions aux cahiers des charges français. Ces derniers seront ensuite progressivement remplacés par une réglementation européenne harmonisée quelques années plus tard.</w:t>
      </w:r>
    </w:p>
    <w:p w:rsidR="005A638F" w:rsidRPr="005B474A" w:rsidRDefault="005A638F" w:rsidP="00D078FF">
      <w:pPr>
        <w:spacing w:line="360" w:lineRule="auto"/>
        <w:jc w:val="both"/>
        <w:rPr>
          <w:rFonts w:ascii="Times New Roman" w:hAnsi="Times New Roman" w:cs="Times New Roman"/>
          <w:sz w:val="24"/>
          <w:szCs w:val="24"/>
        </w:rPr>
      </w:pPr>
      <w:r w:rsidRPr="005B474A">
        <w:rPr>
          <w:rFonts w:ascii="Times New Roman" w:hAnsi="Times New Roman" w:cs="Times New Roman"/>
          <w:sz w:val="24"/>
          <w:szCs w:val="24"/>
        </w:rPr>
        <w:t>Face à l'essor rapide de l'agriculture biologique et à l'attrait croissant des consommateurs pour les produits labellisés, Ecocert s'impose rapidement comme la référence de la certification biologique en France, acquérant une véritable expertise dans ce domaine. Sa marque est devenue un gage de qualité et de confiance, tant pour les professionnels que pour les consommateurs.</w:t>
      </w:r>
    </w:p>
    <w:p w:rsidR="005A638F" w:rsidRPr="005B474A" w:rsidRDefault="005A638F" w:rsidP="00D078FF">
      <w:pPr>
        <w:spacing w:line="360" w:lineRule="auto"/>
        <w:ind w:firstLine="567"/>
        <w:jc w:val="both"/>
        <w:rPr>
          <w:rFonts w:ascii="Times New Roman" w:hAnsi="Times New Roman" w:cs="Times New Roman"/>
          <w:sz w:val="24"/>
          <w:szCs w:val="24"/>
        </w:rPr>
      </w:pPr>
      <w:r w:rsidRPr="005B474A">
        <w:rPr>
          <w:rFonts w:ascii="Times New Roman" w:hAnsi="Times New Roman" w:cs="Times New Roman"/>
          <w:sz w:val="24"/>
          <w:szCs w:val="24"/>
        </w:rPr>
        <w:t>Les engagements d'Ecocert dépassent rapidement les frontières françaises. Dès 1994, l'entreprise implante sa première filiale à l'international, avec la volonté de rester proche de ses clients et d'identifier en amont les besoins des filières biologiques. Aujourd'hui, Ecocert dispose d'un réseau de 32 filières locales et intervient dans plus de 130 pays grâce à ses 1 700 collaborateurs. L'arrivée de Certisys, nouvelle filiale belge depuis 2021, renforce la dynamique de croissance du groupe aux côtés d'acteurs historiques dédiés au bio.</w:t>
      </w:r>
    </w:p>
    <w:p w:rsidR="005A638F" w:rsidRPr="005B474A" w:rsidRDefault="005A638F" w:rsidP="00D078FF">
      <w:pPr>
        <w:spacing w:line="360" w:lineRule="auto"/>
        <w:ind w:firstLine="567"/>
        <w:jc w:val="both"/>
        <w:rPr>
          <w:rFonts w:ascii="Times New Roman" w:hAnsi="Times New Roman" w:cs="Times New Roman"/>
          <w:sz w:val="24"/>
          <w:szCs w:val="24"/>
        </w:rPr>
      </w:pPr>
      <w:r w:rsidRPr="005B474A">
        <w:rPr>
          <w:rFonts w:ascii="Times New Roman" w:hAnsi="Times New Roman" w:cs="Times New Roman"/>
          <w:sz w:val="24"/>
          <w:szCs w:val="24"/>
        </w:rPr>
        <w:t xml:space="preserve">Parallèlement, fort de ses convictions, Ecocert continue de soutenir le développement du bio non seulement dans l'alimentaire, mais aussi dans les secteurs de la cosmétique, du textile et des écoproduits. Pour ce faire, l'organisme élabore des cahiers des charges innovants, en lien avec les consommateurs, les associations et les experts. Dès 2002, Ecocert encourage les bonnes pratiques dans la cosmétique avec son premier référentiel « Cosmétique biologique et écologique ». En 2011, il cofonde COSMOS, le label international de référence pour la cosmétique naturelle et biologique. Ecocert crée également des référentiels pour le commerce </w:t>
      </w:r>
      <w:r w:rsidRPr="005B474A">
        <w:rPr>
          <w:rFonts w:ascii="Times New Roman" w:hAnsi="Times New Roman" w:cs="Times New Roman"/>
          <w:sz w:val="24"/>
          <w:szCs w:val="24"/>
        </w:rPr>
        <w:lastRenderedPageBreak/>
        <w:t>équitable (2007), les textiles biologiques recyclés (2012), et la restauration collective avec le label « En Cuisine » (2013).</w:t>
      </w:r>
      <w:r>
        <w:rPr>
          <w:rStyle w:val="Appelnotedebasdep"/>
          <w:rFonts w:ascii="Times New Roman" w:hAnsi="Times New Roman" w:cs="Times New Roman"/>
          <w:sz w:val="24"/>
          <w:szCs w:val="24"/>
        </w:rPr>
        <w:footnoteReference w:id="77"/>
      </w:r>
    </w:p>
    <w:p w:rsidR="005A638F" w:rsidRPr="007E41F0" w:rsidRDefault="004119F0" w:rsidP="00D078FF">
      <w:pPr>
        <w:pStyle w:val="Titre5"/>
        <w:spacing w:line="360" w:lineRule="auto"/>
        <w:jc w:val="both"/>
        <w:rPr>
          <w:rFonts w:ascii="Times New Roman" w:hAnsi="Times New Roman"/>
          <w:b/>
          <w:bCs/>
          <w:color w:val="auto"/>
          <w:sz w:val="24"/>
          <w:szCs w:val="24"/>
        </w:rPr>
      </w:pPr>
      <w:bookmarkStart w:id="86" w:name="_Toc230558638"/>
      <w:bookmarkStart w:id="87" w:name="_Toc230900272"/>
      <w:r w:rsidRPr="007E41F0">
        <w:rPr>
          <w:rFonts w:ascii="Times New Roman" w:hAnsi="Times New Roman"/>
          <w:b/>
          <w:bCs/>
          <w:color w:val="auto"/>
          <w:sz w:val="24"/>
          <w:szCs w:val="24"/>
        </w:rPr>
        <w:t>2.</w:t>
      </w:r>
      <w:r w:rsidR="0014408D" w:rsidRPr="007E41F0">
        <w:rPr>
          <w:rFonts w:ascii="Times New Roman" w:hAnsi="Times New Roman"/>
          <w:b/>
          <w:bCs/>
          <w:color w:val="auto"/>
          <w:sz w:val="24"/>
          <w:szCs w:val="24"/>
          <w:rtl/>
          <w:lang w:bidi="ar-DZ"/>
        </w:rPr>
        <w:t>4</w:t>
      </w:r>
      <w:r w:rsidRPr="007E41F0">
        <w:rPr>
          <w:rFonts w:ascii="Times New Roman" w:hAnsi="Times New Roman"/>
          <w:b/>
          <w:bCs/>
          <w:color w:val="auto"/>
          <w:sz w:val="24"/>
          <w:szCs w:val="24"/>
        </w:rPr>
        <w:t>.2.</w:t>
      </w:r>
      <w:r w:rsidR="005A638F" w:rsidRPr="007E41F0">
        <w:rPr>
          <w:rFonts w:ascii="Times New Roman" w:hAnsi="Times New Roman"/>
          <w:b/>
          <w:bCs/>
          <w:color w:val="auto"/>
          <w:sz w:val="24"/>
          <w:szCs w:val="24"/>
        </w:rPr>
        <w:t>Le rôle de l'organisme de certification:</w:t>
      </w:r>
      <w:bookmarkEnd w:id="86"/>
      <w:bookmarkEnd w:id="87"/>
    </w:p>
    <w:p w:rsidR="005A638F" w:rsidRDefault="005A638F" w:rsidP="00D078FF">
      <w:pPr>
        <w:spacing w:line="360" w:lineRule="auto"/>
        <w:ind w:firstLine="567"/>
        <w:jc w:val="both"/>
        <w:rPr>
          <w:rFonts w:ascii="Times New Roman" w:hAnsi="Times New Roman" w:cs="Times New Roman"/>
          <w:sz w:val="24"/>
          <w:szCs w:val="24"/>
        </w:rPr>
      </w:pPr>
      <w:r w:rsidRPr="00312486">
        <w:rPr>
          <w:rFonts w:ascii="Times New Roman" w:hAnsi="Times New Roman" w:cs="Times New Roman"/>
          <w:sz w:val="24"/>
          <w:szCs w:val="24"/>
        </w:rPr>
        <w:t>est d'évaluer la conformité d'un produit, d'un service ou d'un processus à des normes spécifiques. Ces organismes tirent leur autorité soit des normes établies par les autorités publiques, soit des spécifications strictes émises par des organisations professionnelles, des associations ou des entités privées. À la suite de cette évaluation, l'organisme délivre le label "bio certifié", qui se distingue des labels "auto-déclarés" où la responsabilité de la revendication de qualité incombe uniquement à l'entité productrice. Pour garantir la fiabilité de ce rôle, les organismes de certification sont accrédités chaque année par des organismes publics officiels après un audit interne, ce qui assure leur compétence, leur impartialité et leur conformité aux normes.</w:t>
      </w:r>
      <w:r>
        <w:rPr>
          <w:rStyle w:val="Appelnotedebasdep"/>
          <w:rFonts w:ascii="Times New Roman" w:hAnsi="Times New Roman" w:cs="Times New Roman"/>
          <w:sz w:val="24"/>
          <w:szCs w:val="24"/>
        </w:rPr>
        <w:footnoteReference w:id="78"/>
      </w:r>
    </w:p>
    <w:p w:rsidR="005A638F" w:rsidRPr="007E41F0" w:rsidRDefault="004119F0" w:rsidP="00D078FF">
      <w:pPr>
        <w:pStyle w:val="Titre5"/>
        <w:spacing w:line="360" w:lineRule="auto"/>
        <w:jc w:val="both"/>
        <w:rPr>
          <w:rFonts w:ascii="Times New Roman" w:hAnsi="Times New Roman"/>
          <w:b/>
          <w:bCs/>
          <w:color w:val="auto"/>
          <w:sz w:val="24"/>
          <w:szCs w:val="24"/>
        </w:rPr>
      </w:pPr>
      <w:bookmarkStart w:id="88" w:name="_Toc230558639"/>
      <w:bookmarkStart w:id="89" w:name="_Toc230900273"/>
      <w:r w:rsidRPr="007E41F0">
        <w:rPr>
          <w:rFonts w:ascii="Times New Roman" w:hAnsi="Times New Roman"/>
          <w:b/>
          <w:bCs/>
          <w:color w:val="auto"/>
          <w:sz w:val="24"/>
          <w:szCs w:val="24"/>
        </w:rPr>
        <w:t>2.</w:t>
      </w:r>
      <w:r w:rsidR="0014408D" w:rsidRPr="007E41F0">
        <w:rPr>
          <w:rFonts w:ascii="Times New Roman" w:hAnsi="Times New Roman"/>
          <w:b/>
          <w:bCs/>
          <w:color w:val="auto"/>
          <w:sz w:val="24"/>
          <w:szCs w:val="24"/>
          <w:rtl/>
          <w:lang w:bidi="ar-DZ"/>
        </w:rPr>
        <w:t>4</w:t>
      </w:r>
      <w:r w:rsidRPr="007E41F0">
        <w:rPr>
          <w:rFonts w:ascii="Times New Roman" w:hAnsi="Times New Roman"/>
          <w:b/>
          <w:bCs/>
          <w:color w:val="auto"/>
          <w:sz w:val="24"/>
          <w:szCs w:val="24"/>
        </w:rPr>
        <w:t>.3.</w:t>
      </w:r>
      <w:r w:rsidR="005A638F" w:rsidRPr="007E41F0">
        <w:rPr>
          <w:rFonts w:ascii="Times New Roman" w:hAnsi="Times New Roman"/>
          <w:b/>
          <w:bCs/>
          <w:color w:val="auto"/>
          <w:sz w:val="24"/>
          <w:szCs w:val="24"/>
        </w:rPr>
        <w:t>Étapes pour obtenir la certification biologique :</w:t>
      </w:r>
      <w:r w:rsidR="005A638F" w:rsidRPr="007E41F0">
        <w:rPr>
          <w:rStyle w:val="Appelnotedebasdep"/>
          <w:rFonts w:ascii="Times New Roman" w:hAnsi="Times New Roman"/>
          <w:b/>
          <w:bCs/>
          <w:color w:val="auto"/>
          <w:sz w:val="24"/>
          <w:szCs w:val="24"/>
        </w:rPr>
        <w:footnoteReference w:id="79"/>
      </w:r>
      <w:bookmarkEnd w:id="88"/>
      <w:bookmarkEnd w:id="89"/>
    </w:p>
    <w:p w:rsidR="005A638F" w:rsidRDefault="005A638F" w:rsidP="00D078FF">
      <w:pPr>
        <w:spacing w:line="360" w:lineRule="auto"/>
        <w:jc w:val="both"/>
      </w:pPr>
      <w:r>
        <w:rPr>
          <w:rFonts w:ascii="Times New Roman" w:hAnsi="Times New Roman" w:cs="Times New Roman"/>
          <w:b/>
          <w:bCs/>
          <w:sz w:val="24"/>
          <w:szCs w:val="24"/>
        </w:rPr>
        <w:t>Les organismes de certification</w:t>
      </w:r>
      <w:r>
        <w:rPr>
          <w:rFonts w:ascii="Times New Roman" w:hAnsi="Times New Roman" w:cs="Times New Roman"/>
          <w:sz w:val="24"/>
          <w:szCs w:val="24"/>
        </w:rPr>
        <w:t> sont chargés de veiller à ce que les produits biologiques répondent à l'ensemble des normes établies par le département américain de l'Agriculture (USDA). La délivrance de la certification biologique requiert de suivre cinq étapes :</w:t>
      </w:r>
    </w:p>
    <w:p w:rsidR="005A638F" w:rsidRDefault="005A638F" w:rsidP="00D078FF">
      <w:pPr>
        <w:spacing w:line="360" w:lineRule="auto"/>
        <w:jc w:val="both"/>
      </w:pPr>
      <w:r>
        <w:rPr>
          <w:rFonts w:ascii="Times New Roman" w:hAnsi="Times New Roman" w:cs="Times New Roman"/>
          <w:b/>
          <w:bCs/>
          <w:sz w:val="24"/>
          <w:szCs w:val="24"/>
        </w:rPr>
        <w:t>La mise en pratique de l’agriculture biologique et la demande de certification :</w:t>
      </w:r>
      <w:r>
        <w:rPr>
          <w:rFonts w:ascii="Times New Roman" w:hAnsi="Times New Roman" w:cs="Times New Roman"/>
          <w:sz w:val="24"/>
          <w:szCs w:val="24"/>
        </w:rPr>
        <w:t xml:space="preserve"> L’exploitation ou l’entreprise adopte des méthodes en accord avec les principes de l’agriculture biologique, choisit un agent certificateur accrédité par l’USDA, et lui transmet un dossier de candidature avec ses frais.</w:t>
      </w:r>
    </w:p>
    <w:p w:rsidR="005A638F" w:rsidRDefault="005A638F" w:rsidP="00D078FF">
      <w:pPr>
        <w:spacing w:line="360" w:lineRule="auto"/>
        <w:jc w:val="both"/>
      </w:pPr>
      <w:r>
        <w:rPr>
          <w:rFonts w:ascii="Times New Roman" w:hAnsi="Times New Roman" w:cs="Times New Roman"/>
          <w:b/>
          <w:bCs/>
          <w:sz w:val="24"/>
          <w:szCs w:val="24"/>
        </w:rPr>
        <w:t>L’examen du dossier par l’organisme certificateur :</w:t>
      </w:r>
      <w:r>
        <w:rPr>
          <w:rFonts w:ascii="Times New Roman" w:hAnsi="Times New Roman" w:cs="Times New Roman"/>
          <w:sz w:val="24"/>
          <w:szCs w:val="24"/>
        </w:rPr>
        <w:t xml:space="preserve"> L’agent certificateur est chargé de vérifier que les pratiques de l’exploitation décrites dans la demande de certification sont conformes à la réglementation USDA pour les produits biologiques.</w:t>
      </w:r>
    </w:p>
    <w:p w:rsidR="005A638F" w:rsidRDefault="005A638F" w:rsidP="00D078FF">
      <w:pPr>
        <w:spacing w:line="360" w:lineRule="auto"/>
        <w:jc w:val="both"/>
      </w:pPr>
      <w:r>
        <w:rPr>
          <w:rFonts w:ascii="Times New Roman" w:hAnsi="Times New Roman" w:cs="Times New Roman"/>
          <w:b/>
          <w:bCs/>
          <w:sz w:val="24"/>
          <w:szCs w:val="24"/>
        </w:rPr>
        <w:t>La visite d’inspection :</w:t>
      </w:r>
      <w:r>
        <w:rPr>
          <w:rFonts w:ascii="Times New Roman" w:hAnsi="Times New Roman" w:cs="Times New Roman"/>
          <w:sz w:val="24"/>
          <w:szCs w:val="24"/>
        </w:rPr>
        <w:t xml:space="preserve"> Un inspecteur, missionné par l’organisme, se rend sur site pour vérifier le fonctionnement effectif de l’exploitation.</w:t>
      </w:r>
    </w:p>
    <w:p w:rsidR="005A638F" w:rsidRDefault="005A638F" w:rsidP="00D078FF">
      <w:pPr>
        <w:spacing w:line="360" w:lineRule="auto"/>
        <w:jc w:val="both"/>
      </w:pPr>
      <w:r>
        <w:rPr>
          <w:rFonts w:ascii="Times New Roman" w:hAnsi="Times New Roman" w:cs="Times New Roman"/>
          <w:b/>
          <w:bCs/>
          <w:sz w:val="24"/>
          <w:szCs w:val="24"/>
        </w:rPr>
        <w:lastRenderedPageBreak/>
        <w:t xml:space="preserve">L’analyse du dossier et du rapport d’inspection : </w:t>
      </w:r>
      <w:r>
        <w:rPr>
          <w:rFonts w:ascii="Times New Roman" w:hAnsi="Times New Roman" w:cs="Times New Roman"/>
          <w:sz w:val="24"/>
          <w:szCs w:val="24"/>
        </w:rPr>
        <w:t>L’agent certificateur est chargé d’examiner l’intégralité du dossier du demandeur, y compris les conclusions de l’inspecteur, afin de délivrer le certificat si l’exploitation répond aux exigences de l’USDA.</w:t>
      </w:r>
    </w:p>
    <w:p w:rsidR="005A638F" w:rsidRDefault="005A638F" w:rsidP="00D078FF">
      <w:pPr>
        <w:spacing w:line="360" w:lineRule="auto"/>
        <w:jc w:val="both"/>
      </w:pPr>
      <w:r>
        <w:rPr>
          <w:rFonts w:ascii="Times New Roman" w:hAnsi="Times New Roman" w:cs="Times New Roman"/>
          <w:b/>
          <w:bCs/>
          <w:sz w:val="24"/>
          <w:szCs w:val="24"/>
        </w:rPr>
        <w:t>La délivrance du certificat :</w:t>
      </w:r>
      <w:r>
        <w:rPr>
          <w:rFonts w:ascii="Times New Roman" w:hAnsi="Times New Roman" w:cs="Times New Roman"/>
          <w:sz w:val="24"/>
          <w:szCs w:val="24"/>
        </w:rPr>
        <w:t xml:space="preserve"> Si les conditions sont bien remplies, l’organisme attribue officiellement l’attestation de conformité biologique.</w:t>
      </w:r>
    </w:p>
    <w:p w:rsidR="005A638F" w:rsidRDefault="005A638F" w:rsidP="00D078FF">
      <w:pPr>
        <w:spacing w:line="360" w:lineRule="auto"/>
        <w:jc w:val="both"/>
      </w:pPr>
      <w:r>
        <w:rPr>
          <w:rFonts w:ascii="Times New Roman" w:hAnsi="Times New Roman" w:cs="Times New Roman"/>
          <w:b/>
          <w:bCs/>
          <w:sz w:val="24"/>
          <w:szCs w:val="24"/>
        </w:rPr>
        <w:t xml:space="preserve">Le maintien de la certification </w:t>
      </w:r>
      <w:r>
        <w:rPr>
          <w:rFonts w:ascii="Times New Roman" w:hAnsi="Times New Roman" w:cs="Times New Roman"/>
          <w:sz w:val="24"/>
          <w:szCs w:val="24"/>
        </w:rPr>
        <w:t>: Chaque année, l’exploitation certifiée doit repasser par un processus de renouvellement comprenant une révision administrative et une inspection.</w:t>
      </w:r>
    </w:p>
    <w:p w:rsidR="005A638F" w:rsidRPr="007E41F0" w:rsidRDefault="0014408D" w:rsidP="00D078FF">
      <w:pPr>
        <w:pStyle w:val="Titre4"/>
        <w:spacing w:line="360" w:lineRule="auto"/>
        <w:jc w:val="both"/>
        <w:rPr>
          <w:rFonts w:ascii="Times New Roman" w:hAnsi="Times New Roman"/>
          <w:b/>
          <w:bCs/>
          <w:i w:val="0"/>
          <w:iCs w:val="0"/>
          <w:color w:val="auto"/>
          <w:sz w:val="24"/>
          <w:szCs w:val="24"/>
        </w:rPr>
      </w:pPr>
      <w:bookmarkStart w:id="90" w:name="_Toc230558640"/>
      <w:bookmarkStart w:id="91" w:name="_Toc230900274"/>
      <w:r>
        <w:rPr>
          <w:rFonts w:hint="cs"/>
          <w:rtl/>
          <w:lang w:bidi="ar-DZ"/>
        </w:rPr>
        <w:t>.</w:t>
      </w:r>
      <w:r w:rsidRPr="007E41F0">
        <w:rPr>
          <w:rFonts w:ascii="Times New Roman" w:hAnsi="Times New Roman"/>
          <w:b/>
          <w:bCs/>
          <w:i w:val="0"/>
          <w:iCs w:val="0"/>
          <w:color w:val="auto"/>
          <w:sz w:val="24"/>
          <w:szCs w:val="24"/>
          <w:rtl/>
          <w:lang w:bidi="ar-DZ"/>
        </w:rPr>
        <w:t>2.5</w:t>
      </w:r>
      <w:r w:rsidR="005A638F" w:rsidRPr="007E41F0">
        <w:rPr>
          <w:rFonts w:ascii="Times New Roman" w:hAnsi="Times New Roman"/>
          <w:b/>
          <w:bCs/>
          <w:i w:val="0"/>
          <w:iCs w:val="0"/>
          <w:color w:val="auto"/>
          <w:sz w:val="24"/>
          <w:szCs w:val="24"/>
          <w:lang w:bidi="ar-DZ"/>
        </w:rPr>
        <w:t>Définition de label bio :</w:t>
      </w:r>
      <w:bookmarkEnd w:id="90"/>
      <w:bookmarkEnd w:id="91"/>
    </w:p>
    <w:p w:rsidR="005A638F" w:rsidRDefault="005A638F" w:rsidP="00D078FF">
      <w:pPr>
        <w:spacing w:line="360" w:lineRule="auto"/>
        <w:ind w:firstLine="567"/>
        <w:jc w:val="both"/>
        <w:rPr>
          <w:rFonts w:ascii="Times New Roman" w:hAnsi="Times New Roman" w:cs="Times New Roman"/>
          <w:sz w:val="24"/>
          <w:szCs w:val="24"/>
          <w:lang w:bidi="ar-DZ"/>
        </w:rPr>
      </w:pPr>
      <w:r w:rsidRPr="00764448">
        <w:rPr>
          <w:rFonts w:ascii="Times New Roman" w:hAnsi="Times New Roman" w:cs="Times New Roman"/>
          <w:sz w:val="24"/>
          <w:szCs w:val="24"/>
          <w:lang w:bidi="ar-DZ"/>
        </w:rPr>
        <w:t xml:space="preserve">Le label « bio » constitue une signalétique aisément reconnaissable et généralement porteuse de réassurance pour le consommateur. Toutefois, les réalités sous-jacentes à cette certification mondiale varient considérablement selon les régions. Si les normes européennes </w:t>
      </w:r>
    </w:p>
    <w:p w:rsidR="005A638F" w:rsidRPr="00764448" w:rsidRDefault="005A638F" w:rsidP="00D078FF">
      <w:pPr>
        <w:spacing w:line="360" w:lineRule="auto"/>
        <w:ind w:firstLine="567"/>
        <w:jc w:val="both"/>
      </w:pPr>
      <w:r w:rsidRPr="00764448">
        <w:rPr>
          <w:rFonts w:ascii="Times New Roman" w:hAnsi="Times New Roman" w:cs="Times New Roman"/>
          <w:sz w:val="24"/>
          <w:szCs w:val="24"/>
          <w:lang w:bidi="ar-DZ"/>
        </w:rPr>
        <w:t>se distinguent par leur rigueur, les réglementations nord-américaines se révèlent sensiblement plus flexibles. Dans les économies émergentes, c'est davantage l'hétérogénéité des dispositifs de contrôle qui prévaut. Ces disparités sont susceptibles d'affecter la confiance que les consommateurs accordent aux produits estampillés « bio ». Dès lors, la question de l'harmonisation internationale des cahiers des charges se pose avec acuité. En définitive, le « bio » apparaît comme un label mondial applicable à des produits originaires d'Europe, de Chine ou d'Amérique du Sud, mais dont l'universalité reste largement illusoire, les exigences normatives différant sensiblement selon le pays de production</w:t>
      </w:r>
      <w:r>
        <w:rPr>
          <w:rFonts w:ascii="Times New Roman" w:hAnsi="Times New Roman" w:cs="Times New Roman"/>
          <w:sz w:val="24"/>
          <w:szCs w:val="24"/>
          <w:lang w:bidi="ar-DZ"/>
        </w:rPr>
        <w:t>.</w:t>
      </w:r>
      <w:r>
        <w:rPr>
          <w:rStyle w:val="Appelnotedebasdep"/>
          <w:rFonts w:ascii="Times New Roman" w:hAnsi="Times New Roman" w:cs="Times New Roman"/>
          <w:sz w:val="24"/>
          <w:szCs w:val="24"/>
          <w:lang w:bidi="ar-DZ"/>
        </w:rPr>
        <w:footnoteReference w:id="80"/>
      </w:r>
    </w:p>
    <w:p w:rsidR="005A638F" w:rsidRPr="007E41F0" w:rsidRDefault="0014408D" w:rsidP="00D078FF">
      <w:pPr>
        <w:pStyle w:val="Titre4"/>
        <w:spacing w:line="360" w:lineRule="auto"/>
        <w:jc w:val="both"/>
        <w:rPr>
          <w:rFonts w:ascii="Times New Roman" w:hAnsi="Times New Roman"/>
          <w:b/>
          <w:bCs/>
          <w:i w:val="0"/>
          <w:iCs w:val="0"/>
          <w:color w:val="auto"/>
          <w:sz w:val="24"/>
          <w:szCs w:val="24"/>
        </w:rPr>
      </w:pPr>
      <w:bookmarkStart w:id="92" w:name="_Toc230558641"/>
      <w:bookmarkStart w:id="93" w:name="_Toc230900275"/>
      <w:r>
        <w:rPr>
          <w:rFonts w:hint="cs"/>
          <w:rtl/>
          <w:lang w:bidi="ar-DZ"/>
        </w:rPr>
        <w:t>.</w:t>
      </w:r>
      <w:r w:rsidRPr="007E41F0">
        <w:rPr>
          <w:rFonts w:ascii="Times New Roman" w:hAnsi="Times New Roman"/>
          <w:b/>
          <w:bCs/>
          <w:i w:val="0"/>
          <w:iCs w:val="0"/>
          <w:color w:val="auto"/>
          <w:sz w:val="24"/>
          <w:szCs w:val="24"/>
          <w:rtl/>
          <w:lang w:bidi="ar-DZ"/>
        </w:rPr>
        <w:t>2.6</w:t>
      </w:r>
      <w:r w:rsidR="005A638F" w:rsidRPr="007E41F0">
        <w:rPr>
          <w:rFonts w:ascii="Times New Roman" w:hAnsi="Times New Roman"/>
          <w:b/>
          <w:bCs/>
          <w:i w:val="0"/>
          <w:iCs w:val="0"/>
          <w:color w:val="auto"/>
          <w:sz w:val="24"/>
          <w:szCs w:val="24"/>
          <w:lang w:bidi="ar-DZ"/>
        </w:rPr>
        <w:t>les types des label bio:</w:t>
      </w:r>
      <w:bookmarkEnd w:id="92"/>
      <w:bookmarkEnd w:id="93"/>
    </w:p>
    <w:p w:rsidR="005A638F" w:rsidRDefault="0014408D" w:rsidP="00D078FF">
      <w:pPr>
        <w:pStyle w:val="Titre5"/>
        <w:spacing w:line="360" w:lineRule="auto"/>
        <w:jc w:val="both"/>
        <w:rPr>
          <w:lang w:bidi="ar-DZ"/>
        </w:rPr>
      </w:pPr>
      <w:bookmarkStart w:id="94" w:name="_Toc230558642"/>
      <w:bookmarkStart w:id="95" w:name="_Toc230900276"/>
      <w:r>
        <w:rPr>
          <w:rFonts w:hint="cs"/>
          <w:rtl/>
          <w:lang w:bidi="ar-DZ"/>
        </w:rPr>
        <w:t>.</w:t>
      </w:r>
      <w:r w:rsidRPr="007E41F0">
        <w:rPr>
          <w:rFonts w:ascii="Times New Roman" w:hAnsi="Times New Roman"/>
          <w:b/>
          <w:bCs/>
          <w:color w:val="auto"/>
          <w:sz w:val="24"/>
          <w:szCs w:val="24"/>
          <w:rtl/>
          <w:lang w:bidi="ar-DZ"/>
        </w:rPr>
        <w:t>2.6.1</w:t>
      </w:r>
      <w:r w:rsidR="005A638F" w:rsidRPr="007E41F0">
        <w:rPr>
          <w:rFonts w:ascii="Times New Roman" w:hAnsi="Times New Roman"/>
          <w:b/>
          <w:bCs/>
          <w:color w:val="auto"/>
          <w:sz w:val="24"/>
          <w:szCs w:val="24"/>
          <w:lang w:bidi="ar-DZ"/>
        </w:rPr>
        <w:t>Première classification : par pays d'origine</w:t>
      </w:r>
      <w:bookmarkEnd w:id="94"/>
      <w:bookmarkEnd w:id="95"/>
    </w:p>
    <w:p w:rsidR="005A638F" w:rsidRDefault="005A638F" w:rsidP="00D078FF">
      <w:pPr>
        <w:spacing w:line="360" w:lineRule="auto"/>
        <w:jc w:val="both"/>
        <w:rPr>
          <w:rFonts w:ascii="Times New Roman" w:hAnsi="Times New Roman" w:cs="Times New Roman"/>
          <w:b/>
          <w:bCs/>
          <w:sz w:val="24"/>
          <w:szCs w:val="24"/>
          <w:lang w:bidi="ar-DZ"/>
        </w:rPr>
      </w:pPr>
      <w:r>
        <w:rPr>
          <w:rFonts w:ascii="Times New Roman" w:hAnsi="Times New Roman" w:cs="Times New Roman"/>
          <w:b/>
          <w:bCs/>
          <w:sz w:val="24"/>
          <w:szCs w:val="24"/>
          <w:lang w:bidi="ar-DZ"/>
        </w:rPr>
        <w:t>-Les normes nationales obligatoires :</w:t>
      </w:r>
    </w:p>
    <w:p w:rsidR="005A638F" w:rsidRDefault="005A638F" w:rsidP="00D078FF">
      <w:pPr>
        <w:spacing w:line="360" w:lineRule="auto"/>
        <w:ind w:firstLine="567"/>
        <w:jc w:val="both"/>
      </w:pPr>
      <w:r>
        <w:rPr>
          <w:rFonts w:ascii="Times New Roman" w:hAnsi="Times New Roman" w:cs="Times New Roman"/>
          <w:sz w:val="24"/>
          <w:szCs w:val="24"/>
          <w:lang w:bidi="ar-DZ"/>
        </w:rPr>
        <w:t xml:space="preserve">Les normes définies par le Codex Alimentarius et par l’IFOAM représentent le niveau minimal vers lequel doivent tendre les systèmes de production biologique. L’objectif de ces référentiels reste d’inciter le gouvernement comme les organismes de certification privés à définir leurs propres spécifications, en tant que « normes-cadres » ou « standards pour l’établissement de standards ». En Inde, l’APEDA, agence de coordination, a bien sûr adhéré </w:t>
      </w:r>
      <w:r>
        <w:rPr>
          <w:rFonts w:ascii="Times New Roman" w:hAnsi="Times New Roman" w:cs="Times New Roman"/>
          <w:sz w:val="24"/>
          <w:szCs w:val="24"/>
          <w:lang w:bidi="ar-DZ"/>
        </w:rPr>
        <w:lastRenderedPageBreak/>
        <w:t>à ces deux référentiels ayant valeur normative pour tout organisme de certification biologique.</w:t>
      </w:r>
      <w:r>
        <w:rPr>
          <w:rStyle w:val="Appelnotedebasdep"/>
          <w:rFonts w:ascii="Times New Roman" w:hAnsi="Times New Roman" w:cs="Times New Roman"/>
          <w:sz w:val="24"/>
          <w:szCs w:val="24"/>
          <w:lang w:bidi="ar-DZ"/>
        </w:rPr>
        <w:footnoteReference w:id="81"/>
      </w:r>
    </w:p>
    <w:p w:rsidR="005A638F" w:rsidRDefault="005A638F" w:rsidP="00D078FF">
      <w:pPr>
        <w:spacing w:line="360" w:lineRule="auto"/>
        <w:jc w:val="both"/>
      </w:pPr>
      <w:r>
        <w:rPr>
          <w:rFonts w:ascii="Times New Roman" w:hAnsi="Times New Roman" w:cs="Times New Roman"/>
          <w:b/>
          <w:bCs/>
          <w:sz w:val="24"/>
          <w:szCs w:val="24"/>
          <w:lang w:bidi="ar-DZ"/>
        </w:rPr>
        <w:t>-Les normes à caractère international :</w:t>
      </w:r>
    </w:p>
    <w:p w:rsidR="005A638F" w:rsidRDefault="005A638F" w:rsidP="00D078FF">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 xml:space="preserve"> dénommées « directives internationales », sont élaborées au niveau international par la Commission du Codex Alimentarius de la FAO/OMS (l’instance intergouvernementale chargée d’établir les normes pour l’ensemble des denrées alimentaires) chargée depuis l’origine d’élaborer des lignes directrices mondiales communes portant sur la production, la </w:t>
      </w:r>
    </w:p>
    <w:p w:rsidR="005A638F" w:rsidRDefault="005A638F" w:rsidP="00D078FF">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transformation, l’étiquetage et la commercialisation des aliments issus de l’agriculture biologique, tant pour l’orientation des producteurs que pour la protection des consommateurs contre la tromperie et la fraude, et qui ont été définitivement approuvées de façon quasi unanime par tous les États membres de la Commission du Codex Alimentarius. Dans le secteur privé, elles correspondent aux Normes de base internationales pour la production et la transformation biologiques de la Fédération internationale des mouvements d’agriculture biologique (IFOAM).</w:t>
      </w:r>
    </w:p>
    <w:p w:rsidR="005A638F" w:rsidRDefault="005A638F" w:rsidP="00D078FF">
      <w:pPr>
        <w:spacing w:line="360" w:lineRule="auto"/>
        <w:ind w:firstLine="567"/>
        <w:jc w:val="both"/>
      </w:pPr>
      <w:r>
        <w:rPr>
          <w:rFonts w:ascii="Times New Roman" w:hAnsi="Times New Roman" w:cs="Times New Roman"/>
          <w:sz w:val="24"/>
          <w:szCs w:val="24"/>
          <w:lang w:bidi="ar-DZ"/>
        </w:rPr>
        <w:t>Les principes de gestion préconisés par le Codex Alimentarius et l’IFOAM sur les systèmes de productions végétales, d’animaux d’élevage, d’abeilles et de leurs produits, (pour l’IFOAM comprenant aussi des dispositions sur les fibres, l’aquaculture, les produits forestiers non ligneux) ; des règles pour assurer la manutention, le stockage, la transformation, l’emballage et le transport des produits ; la liste des substances autorisées en production et en transformation des aliments bio. Les dispositions de ces directives sont régulièrement révisées, notamment sur les critères d’admission des substances autorisées, les modalités d’inspection et de délivrance des certifications.</w:t>
      </w:r>
      <w:r>
        <w:rPr>
          <w:rStyle w:val="Appelnotedebasdep"/>
          <w:rFonts w:ascii="Times New Roman" w:hAnsi="Times New Roman" w:cs="Times New Roman"/>
          <w:sz w:val="24"/>
          <w:szCs w:val="24"/>
          <w:lang w:bidi="ar-DZ"/>
        </w:rPr>
        <w:footnoteReference w:id="82"/>
      </w:r>
    </w:p>
    <w:p w:rsidR="005A638F" w:rsidRPr="006852C1" w:rsidRDefault="0014408D" w:rsidP="00D078FF">
      <w:pPr>
        <w:pStyle w:val="Titre5"/>
        <w:spacing w:line="360" w:lineRule="auto"/>
        <w:jc w:val="both"/>
        <w:rPr>
          <w:rtl/>
          <w:lang w:bidi="ar-DZ"/>
        </w:rPr>
      </w:pPr>
      <w:bookmarkStart w:id="96" w:name="_Toc230558643"/>
      <w:bookmarkStart w:id="97" w:name="_Toc230900277"/>
      <w:r>
        <w:rPr>
          <w:rFonts w:hint="cs"/>
          <w:rtl/>
          <w:lang w:bidi="ar-DZ"/>
        </w:rPr>
        <w:t>.</w:t>
      </w:r>
      <w:r w:rsidRPr="007E41F0">
        <w:rPr>
          <w:rFonts w:ascii="Times New Roman" w:hAnsi="Times New Roman"/>
          <w:b/>
          <w:bCs/>
          <w:color w:val="auto"/>
          <w:sz w:val="24"/>
          <w:szCs w:val="24"/>
          <w:rtl/>
          <w:lang w:bidi="ar-DZ"/>
        </w:rPr>
        <w:t>2.6.2</w:t>
      </w:r>
      <w:r w:rsidR="005A638F" w:rsidRPr="007E41F0">
        <w:rPr>
          <w:rFonts w:ascii="Times New Roman" w:hAnsi="Times New Roman"/>
          <w:b/>
          <w:bCs/>
          <w:color w:val="auto"/>
          <w:sz w:val="24"/>
          <w:szCs w:val="24"/>
          <w:lang w:bidi="ar-DZ"/>
        </w:rPr>
        <w:t>Deuxième classification : selon le pourcentage de matière organique</w:t>
      </w:r>
      <w:bookmarkEnd w:id="96"/>
      <w:bookmarkEnd w:id="97"/>
    </w:p>
    <w:p w:rsidR="005A638F" w:rsidRDefault="005A638F" w:rsidP="0066256C">
      <w:pPr>
        <w:spacing w:line="360" w:lineRule="auto"/>
        <w:rPr>
          <w:rFonts w:asciiTheme="majorBidi" w:hAnsiTheme="majorBidi" w:cstheme="majorBidi"/>
          <w:b/>
          <w:bCs/>
          <w:sz w:val="24"/>
          <w:szCs w:val="24"/>
        </w:rPr>
      </w:pPr>
      <w:r>
        <w:rPr>
          <w:rFonts w:asciiTheme="majorBidi" w:hAnsiTheme="majorBidi" w:cstheme="majorBidi"/>
          <w:b/>
          <w:bCs/>
          <w:sz w:val="24"/>
          <w:szCs w:val="24"/>
        </w:rPr>
        <w:t>1</w:t>
      </w:r>
      <w:r>
        <w:rPr>
          <w:rFonts w:asciiTheme="majorBidi" w:hAnsiTheme="majorBidi" w:cstheme="majorBidi" w:hint="cs"/>
          <w:b/>
          <w:bCs/>
          <w:sz w:val="24"/>
          <w:szCs w:val="24"/>
          <w:rtl/>
        </w:rPr>
        <w:t>-</w:t>
      </w:r>
      <w:r w:rsidRPr="009E4EDA">
        <w:rPr>
          <w:rFonts w:asciiTheme="majorBidi" w:hAnsiTheme="majorBidi" w:cstheme="majorBidi"/>
          <w:b/>
          <w:bCs/>
          <w:sz w:val="24"/>
          <w:szCs w:val="24"/>
        </w:rPr>
        <w:t>Label « 100 % Biologique »</w:t>
      </w:r>
      <w:r>
        <w:rPr>
          <w:rFonts w:asciiTheme="majorBidi" w:hAnsiTheme="majorBidi" w:cstheme="majorBidi"/>
          <w:b/>
          <w:bCs/>
          <w:sz w:val="24"/>
          <w:szCs w:val="24"/>
        </w:rPr>
        <w:t> :</w:t>
      </w:r>
      <w:r w:rsidRPr="00C721C5">
        <w:rPr>
          <w:rFonts w:asciiTheme="majorBidi" w:hAnsiTheme="majorBidi" w:cstheme="majorBidi"/>
          <w:b/>
          <w:bCs/>
          <w:sz w:val="24"/>
          <w:szCs w:val="24"/>
        </w:rPr>
        <w:br/>
      </w:r>
      <w:r w:rsidRPr="00C721C5">
        <w:rPr>
          <w:rFonts w:asciiTheme="majorBidi" w:hAnsiTheme="majorBidi" w:cstheme="majorBidi"/>
          <w:sz w:val="24"/>
          <w:szCs w:val="24"/>
        </w:rPr>
        <w:t xml:space="preserve">Elle s’applique aux produits dont tous les ingrédients et auxiliaires technologiques sont </w:t>
      </w:r>
      <w:r w:rsidRPr="00C721C5">
        <w:rPr>
          <w:rFonts w:asciiTheme="majorBidi" w:hAnsiTheme="majorBidi" w:cstheme="majorBidi"/>
          <w:sz w:val="24"/>
          <w:szCs w:val="24"/>
        </w:rPr>
        <w:lastRenderedPageBreak/>
        <w:t>d’origine biologique, à l’exception du sel et de l’eau. Aucun autre ingrédient ou additif n’est autorisé.</w:t>
      </w:r>
      <w:r>
        <w:rPr>
          <w:rStyle w:val="Appelnotedebasdep"/>
          <w:rFonts w:asciiTheme="majorBidi" w:hAnsiTheme="majorBidi" w:cstheme="majorBidi"/>
          <w:sz w:val="24"/>
          <w:szCs w:val="24"/>
        </w:rPr>
        <w:footnoteReference w:id="83"/>
      </w:r>
    </w:p>
    <w:p w:rsidR="005A638F" w:rsidRPr="00C721C5" w:rsidRDefault="005A638F" w:rsidP="0066256C">
      <w:pPr>
        <w:spacing w:line="360" w:lineRule="auto"/>
        <w:rPr>
          <w:rFonts w:ascii="Times New Roman" w:hAnsi="Times New Roman"/>
          <w:sz w:val="24"/>
          <w:szCs w:val="24"/>
          <w:lang w:bidi="ar-DZ"/>
        </w:rPr>
      </w:pPr>
      <w:r w:rsidRPr="00C721C5">
        <w:rPr>
          <w:rFonts w:ascii="Times New Roman" w:hAnsi="Times New Roman"/>
          <w:b/>
          <w:bCs/>
          <w:sz w:val="24"/>
          <w:szCs w:val="24"/>
          <w:lang w:bidi="ar-DZ"/>
        </w:rPr>
        <w:t>2. La mention « biologique » (« organic »)</w:t>
      </w:r>
      <w:r w:rsidRPr="00C721C5">
        <w:rPr>
          <w:rFonts w:ascii="Times New Roman" w:hAnsi="Times New Roman"/>
          <w:b/>
          <w:bCs/>
          <w:sz w:val="24"/>
          <w:szCs w:val="24"/>
          <w:lang w:bidi="ar-DZ"/>
        </w:rPr>
        <w:br/>
      </w:r>
      <w:r w:rsidRPr="00C721C5">
        <w:rPr>
          <w:rFonts w:ascii="Times New Roman" w:hAnsi="Times New Roman"/>
          <w:sz w:val="24"/>
          <w:szCs w:val="24"/>
          <w:lang w:bidi="ar-DZ"/>
        </w:rPr>
        <w:t>Elle exige qu’au moins 95 % des ingrédients (sel et eau exclus) soient certifiés biologiques. Les 5 % restants ne peuvent être constitués que de substances non agricoles figurant sur la liste nationale des substances autorisées (NOP National List).</w:t>
      </w:r>
    </w:p>
    <w:p w:rsidR="005A638F" w:rsidRPr="00F7157D" w:rsidRDefault="005A638F" w:rsidP="00E65041">
      <w:pPr>
        <w:spacing w:line="360" w:lineRule="auto"/>
        <w:jc w:val="lowKashida"/>
        <w:rPr>
          <w:rFonts w:ascii="Times New Roman" w:hAnsi="Times New Roman"/>
          <w:sz w:val="24"/>
          <w:szCs w:val="24"/>
          <w:lang w:bidi="ar-DZ"/>
        </w:rPr>
      </w:pPr>
      <w:r w:rsidRPr="00C721C5">
        <w:rPr>
          <w:rFonts w:ascii="Times New Roman" w:hAnsi="Times New Roman"/>
          <w:sz w:val="24"/>
          <w:szCs w:val="24"/>
          <w:lang w:bidi="ar-DZ"/>
        </w:rPr>
        <w:t xml:space="preserve">Pour ces deux catégories, le panneau principal de l’emballage peut afficher la mention correspondante ainsi que le pourcentage d’ingrédients biologiques. En outre, ces produits doivent être cultivés, manipulés et transformés sans recours aux pesticides, aux engrais de </w:t>
      </w:r>
    </w:p>
    <w:p w:rsidR="005A638F" w:rsidRDefault="005A638F" w:rsidP="00AA6044">
      <w:pPr>
        <w:spacing w:line="360" w:lineRule="auto"/>
        <w:jc w:val="lowKashida"/>
        <w:rPr>
          <w:rFonts w:ascii="Times New Roman" w:hAnsi="Times New Roman"/>
          <w:sz w:val="24"/>
          <w:szCs w:val="24"/>
          <w:rtl/>
          <w:lang w:bidi="ar-DZ"/>
        </w:rPr>
      </w:pPr>
      <w:r w:rsidRPr="00C721C5">
        <w:rPr>
          <w:rFonts w:ascii="Times New Roman" w:hAnsi="Times New Roman"/>
          <w:sz w:val="24"/>
          <w:szCs w:val="24"/>
          <w:lang w:bidi="ar-DZ"/>
        </w:rPr>
        <w:t>synthèse, à l’irradiation, aux OGM, ni aux boues d’épuration. Enfin, le sceau officiel de l’USDA ainsi que le sceau ou le marqueur de l’organisme certificateur peuvent figurer sur les emballages et les publicités.</w:t>
      </w:r>
      <w:r>
        <w:rPr>
          <w:rStyle w:val="Appelnotedebasdep"/>
          <w:rFonts w:ascii="Times New Roman" w:hAnsi="Times New Roman"/>
          <w:sz w:val="24"/>
          <w:szCs w:val="24"/>
          <w:lang w:bidi="ar-DZ"/>
        </w:rPr>
        <w:footnoteReference w:id="84"/>
      </w:r>
    </w:p>
    <w:p w:rsidR="00E65041" w:rsidRPr="00A46A8B" w:rsidRDefault="00E65041" w:rsidP="00AA6044">
      <w:pPr>
        <w:spacing w:line="360" w:lineRule="auto"/>
        <w:jc w:val="lowKashida"/>
        <w:rPr>
          <w:rFonts w:ascii="Times New Roman" w:hAnsi="Times New Roman"/>
          <w:sz w:val="24"/>
          <w:szCs w:val="24"/>
          <w:lang w:bidi="ar-DZ"/>
        </w:rPr>
      </w:pPr>
    </w:p>
    <w:p w:rsidR="005A638F" w:rsidRDefault="005A638F" w:rsidP="00D078FF">
      <w:pPr>
        <w:spacing w:line="360" w:lineRule="auto"/>
        <w:jc w:val="both"/>
        <w:rPr>
          <w:rFonts w:ascii="Times New Roman" w:hAnsi="Times New Roman"/>
          <w:b/>
          <w:bCs/>
          <w:sz w:val="24"/>
          <w:szCs w:val="24"/>
          <w:lang w:bidi="ar-DZ"/>
        </w:rPr>
      </w:pPr>
      <w:r w:rsidRPr="00C714BE">
        <w:rPr>
          <w:rFonts w:ascii="Times New Roman" w:hAnsi="Times New Roman"/>
          <w:b/>
          <w:bCs/>
          <w:sz w:val="24"/>
          <w:szCs w:val="24"/>
          <w:lang w:bidi="ar-DZ"/>
        </w:rPr>
        <w:t>3. Label « Fabriqué avec _biologique(s) » </w:t>
      </w:r>
    </w:p>
    <w:p w:rsidR="005A638F" w:rsidRDefault="005A638F" w:rsidP="00D078FF">
      <w:pPr>
        <w:spacing w:line="360" w:lineRule="auto"/>
        <w:jc w:val="both"/>
        <w:rPr>
          <w:rFonts w:ascii="Times New Roman" w:hAnsi="Times New Roman"/>
          <w:b/>
          <w:bCs/>
          <w:sz w:val="24"/>
          <w:szCs w:val="24"/>
          <w:rtl/>
          <w:lang w:bidi="ar-DZ"/>
        </w:rPr>
      </w:pPr>
      <w:r>
        <w:rPr>
          <w:rFonts w:ascii="Times New Roman" w:hAnsi="Times New Roman" w:hint="cs"/>
          <w:b/>
          <w:bCs/>
          <w:sz w:val="24"/>
          <w:szCs w:val="24"/>
          <w:rtl/>
          <w:lang w:bidi="ar-DZ"/>
        </w:rPr>
        <w:t>-</w:t>
      </w:r>
      <w:r w:rsidRPr="00C714BE">
        <w:rPr>
          <w:rFonts w:ascii="Times New Roman" w:hAnsi="Times New Roman"/>
          <w:b/>
          <w:bCs/>
          <w:sz w:val="24"/>
          <w:szCs w:val="24"/>
          <w:lang w:bidi="ar-DZ"/>
        </w:rPr>
        <w:t xml:space="preserve">Exigences de </w:t>
      </w:r>
      <w:r w:rsidR="00945042" w:rsidRPr="00C714BE">
        <w:rPr>
          <w:rFonts w:ascii="Times New Roman" w:hAnsi="Times New Roman"/>
          <w:b/>
          <w:bCs/>
          <w:sz w:val="24"/>
          <w:szCs w:val="24"/>
          <w:lang w:bidi="ar-DZ"/>
        </w:rPr>
        <w:t>contenu:</w:t>
      </w:r>
      <w:r>
        <w:rPr>
          <w:rStyle w:val="Appelnotedebasdep"/>
          <w:rFonts w:ascii="Times New Roman" w:hAnsi="Times New Roman"/>
          <w:b/>
          <w:bCs/>
          <w:sz w:val="24"/>
          <w:szCs w:val="24"/>
          <w:lang w:bidi="ar-DZ"/>
        </w:rPr>
        <w:footnoteReference w:id="85"/>
      </w:r>
    </w:p>
    <w:p w:rsidR="005A638F" w:rsidRPr="00C714BE" w:rsidRDefault="005A638F" w:rsidP="00D078FF">
      <w:pPr>
        <w:spacing w:line="360" w:lineRule="auto"/>
        <w:jc w:val="both"/>
        <w:rPr>
          <w:rFonts w:ascii="Times New Roman" w:hAnsi="Times New Roman"/>
          <w:sz w:val="24"/>
          <w:szCs w:val="24"/>
          <w:lang w:bidi="ar-DZ"/>
        </w:rPr>
      </w:pPr>
      <w:r w:rsidRPr="00C714BE">
        <w:rPr>
          <w:rFonts w:ascii="Times New Roman" w:hAnsi="Times New Roman"/>
          <w:sz w:val="24"/>
          <w:szCs w:val="24"/>
          <w:lang w:bidi="ar-DZ"/>
        </w:rPr>
        <w:t>Au moins 70 % du produit (hors sel et eau) doit être composé d’ingrédients certifiés biologiques.</w:t>
      </w:r>
    </w:p>
    <w:p w:rsidR="005A638F" w:rsidRPr="00C714BE" w:rsidRDefault="005A638F" w:rsidP="00D078FF">
      <w:pPr>
        <w:spacing w:line="360" w:lineRule="auto"/>
        <w:jc w:val="both"/>
        <w:rPr>
          <w:rFonts w:ascii="Times New Roman" w:hAnsi="Times New Roman"/>
          <w:sz w:val="24"/>
          <w:szCs w:val="24"/>
          <w:lang w:bidi="ar-DZ"/>
        </w:rPr>
      </w:pPr>
      <w:r w:rsidRPr="00C714BE">
        <w:rPr>
          <w:rFonts w:ascii="Times New Roman" w:hAnsi="Times New Roman"/>
          <w:sz w:val="24"/>
          <w:szCs w:val="24"/>
          <w:lang w:bidi="ar-DZ"/>
        </w:rPr>
        <w:t>Les autres ingrédients agricoles ne doivent pas être produits par génie génétique, irradiation ionisante ni boues d’épuration.</w:t>
      </w:r>
    </w:p>
    <w:p w:rsidR="005A638F" w:rsidRPr="00C714BE" w:rsidRDefault="005A638F" w:rsidP="00D078FF">
      <w:pPr>
        <w:spacing w:line="360" w:lineRule="auto"/>
        <w:jc w:val="both"/>
        <w:rPr>
          <w:rFonts w:ascii="Times New Roman" w:hAnsi="Times New Roman"/>
          <w:sz w:val="24"/>
          <w:szCs w:val="24"/>
          <w:lang w:bidi="ar-DZ"/>
        </w:rPr>
      </w:pPr>
      <w:r w:rsidRPr="00C714BE">
        <w:rPr>
          <w:rFonts w:ascii="Times New Roman" w:hAnsi="Times New Roman"/>
          <w:sz w:val="24"/>
          <w:szCs w:val="24"/>
          <w:lang w:bidi="ar-DZ"/>
        </w:rPr>
        <w:t>Les ingrédients non agricoles doivent être autorisés par la Liste nationale.</w:t>
      </w:r>
    </w:p>
    <w:p w:rsidR="005A638F" w:rsidRPr="00C714BE" w:rsidRDefault="005A638F" w:rsidP="00D078FF">
      <w:pPr>
        <w:spacing w:line="360" w:lineRule="auto"/>
        <w:jc w:val="both"/>
        <w:rPr>
          <w:rFonts w:ascii="Times New Roman" w:hAnsi="Times New Roman"/>
          <w:sz w:val="24"/>
          <w:szCs w:val="24"/>
          <w:lang w:bidi="ar-DZ"/>
        </w:rPr>
      </w:pPr>
      <w:r w:rsidRPr="00C714BE">
        <w:rPr>
          <w:rFonts w:ascii="Times New Roman" w:hAnsi="Times New Roman"/>
          <w:sz w:val="24"/>
          <w:szCs w:val="24"/>
          <w:lang w:bidi="ar-DZ"/>
        </w:rPr>
        <w:t>L’organisme certificateur doit figurer sur le panneau d’information.</w:t>
      </w:r>
    </w:p>
    <w:p w:rsidR="005A638F" w:rsidRDefault="005A638F" w:rsidP="00D078FF">
      <w:pPr>
        <w:spacing w:line="360" w:lineRule="auto"/>
        <w:jc w:val="both"/>
        <w:rPr>
          <w:rFonts w:ascii="Times New Roman" w:hAnsi="Times New Roman"/>
          <w:sz w:val="24"/>
          <w:szCs w:val="24"/>
          <w:rtl/>
          <w:lang w:bidi="ar-DZ"/>
        </w:rPr>
      </w:pPr>
      <w:r w:rsidRPr="00C714BE">
        <w:rPr>
          <w:rFonts w:ascii="Times New Roman" w:hAnsi="Times New Roman"/>
          <w:sz w:val="24"/>
          <w:szCs w:val="24"/>
          <w:lang w:bidi="ar-DZ"/>
        </w:rPr>
        <w:t>Les ingrédients biologiques doivent être clairement identifiés dans la liste des ingrédients.</w:t>
      </w:r>
    </w:p>
    <w:p w:rsidR="005A638F" w:rsidRPr="00C714BE" w:rsidRDefault="005A638F" w:rsidP="00D078FF">
      <w:pPr>
        <w:spacing w:line="360" w:lineRule="auto"/>
        <w:jc w:val="both"/>
        <w:rPr>
          <w:rFonts w:ascii="Times New Roman" w:hAnsi="Times New Roman"/>
          <w:sz w:val="24"/>
          <w:szCs w:val="24"/>
          <w:lang w:bidi="ar-DZ"/>
        </w:rPr>
      </w:pPr>
      <w:r w:rsidRPr="00C714BE">
        <w:rPr>
          <w:rFonts w:ascii="Times New Roman" w:hAnsi="Times New Roman"/>
          <w:b/>
          <w:bCs/>
          <w:sz w:val="24"/>
          <w:szCs w:val="24"/>
          <w:lang w:bidi="ar-DZ"/>
        </w:rPr>
        <w:t xml:space="preserve">Autorisé sur le panneau </w:t>
      </w:r>
      <w:r w:rsidR="00945042" w:rsidRPr="00C714BE">
        <w:rPr>
          <w:rFonts w:ascii="Times New Roman" w:hAnsi="Times New Roman"/>
          <w:b/>
          <w:bCs/>
          <w:sz w:val="24"/>
          <w:szCs w:val="24"/>
          <w:lang w:bidi="ar-DZ"/>
        </w:rPr>
        <w:t>principal:</w:t>
      </w:r>
      <w:r>
        <w:rPr>
          <w:rStyle w:val="Appelnotedebasdep"/>
          <w:rFonts w:ascii="Times New Roman" w:hAnsi="Times New Roman"/>
          <w:b/>
          <w:bCs/>
          <w:sz w:val="24"/>
          <w:szCs w:val="24"/>
          <w:lang w:bidi="ar-DZ"/>
        </w:rPr>
        <w:footnoteReference w:id="86"/>
      </w:r>
    </w:p>
    <w:p w:rsidR="005A638F" w:rsidRPr="00C714BE" w:rsidRDefault="005A638F" w:rsidP="00D078FF">
      <w:pPr>
        <w:spacing w:line="360" w:lineRule="auto"/>
        <w:jc w:val="both"/>
        <w:rPr>
          <w:rFonts w:ascii="Times New Roman" w:hAnsi="Times New Roman"/>
          <w:sz w:val="24"/>
          <w:szCs w:val="24"/>
          <w:lang w:bidi="ar-DZ"/>
        </w:rPr>
      </w:pPr>
      <w:r w:rsidRPr="00C714BE">
        <w:rPr>
          <w:rFonts w:ascii="Times New Roman" w:hAnsi="Times New Roman"/>
          <w:sz w:val="24"/>
          <w:szCs w:val="24"/>
          <w:lang w:bidi="ar-DZ"/>
        </w:rPr>
        <w:lastRenderedPageBreak/>
        <w:t>Mention : « fabriqué avec _____ biologique(s) » (liste de 3 ingrédients ou catégories maximum)</w:t>
      </w:r>
    </w:p>
    <w:p w:rsidR="005A638F" w:rsidRDefault="005A638F" w:rsidP="00D078FF">
      <w:pPr>
        <w:spacing w:line="360" w:lineRule="auto"/>
        <w:jc w:val="both"/>
        <w:rPr>
          <w:rFonts w:ascii="Times New Roman" w:hAnsi="Times New Roman"/>
          <w:sz w:val="24"/>
          <w:szCs w:val="24"/>
          <w:rtl/>
          <w:lang w:bidi="ar-DZ"/>
        </w:rPr>
      </w:pPr>
      <w:r w:rsidRPr="00C714BE">
        <w:rPr>
          <w:rFonts w:ascii="Times New Roman" w:hAnsi="Times New Roman"/>
          <w:sz w:val="24"/>
          <w:szCs w:val="24"/>
          <w:lang w:bidi="ar-DZ"/>
        </w:rPr>
        <w:t>Interdit : sceau USDA biologique, le mot « biologique » seul, ou la mention « fabriqué avec des ingrédients biologiques »</w:t>
      </w:r>
    </w:p>
    <w:p w:rsidR="005A638F" w:rsidRDefault="005A638F" w:rsidP="00D078FF">
      <w:pPr>
        <w:spacing w:line="360" w:lineRule="auto"/>
        <w:jc w:val="both"/>
        <w:rPr>
          <w:rFonts w:ascii="Times New Roman" w:hAnsi="Times New Roman"/>
          <w:b/>
          <w:bCs/>
          <w:sz w:val="24"/>
          <w:szCs w:val="24"/>
          <w:rtl/>
          <w:lang w:bidi="ar-DZ"/>
        </w:rPr>
      </w:pPr>
      <w:r w:rsidRPr="0014687F">
        <w:rPr>
          <w:rFonts w:ascii="Times New Roman" w:hAnsi="Times New Roman"/>
          <w:b/>
          <w:bCs/>
          <w:sz w:val="24"/>
          <w:szCs w:val="24"/>
          <w:lang w:bidi="ar-DZ"/>
        </w:rPr>
        <w:t>4. Label « Ingrédient biologique spécifique »</w:t>
      </w:r>
    </w:p>
    <w:p w:rsidR="005A638F" w:rsidRDefault="005A638F" w:rsidP="00D078FF">
      <w:pPr>
        <w:spacing w:line="360" w:lineRule="auto"/>
        <w:jc w:val="both"/>
        <w:rPr>
          <w:rFonts w:ascii="Times New Roman" w:hAnsi="Times New Roman"/>
          <w:sz w:val="24"/>
          <w:szCs w:val="24"/>
          <w:lang w:bidi="ar-DZ"/>
        </w:rPr>
      </w:pPr>
      <w:r w:rsidRPr="006A24A0">
        <w:rPr>
          <w:rFonts w:ascii="Times New Roman" w:hAnsi="Times New Roman"/>
          <w:sz w:val="24"/>
          <w:szCs w:val="24"/>
          <w:lang w:bidi="ar-DZ"/>
        </w:rPr>
        <w:t>les ingrédients certifiés biologiques doivent respecter les règles de production et de manutention de la sous</w:t>
      </w:r>
      <w:r w:rsidRPr="006A24A0">
        <w:rPr>
          <w:rFonts w:ascii="Times New Roman" w:hAnsi="Times New Roman"/>
          <w:sz w:val="24"/>
          <w:szCs w:val="24"/>
          <w:lang w:bidi="ar-DZ"/>
        </w:rPr>
        <w:noBreakHyphen/>
        <w:t xml:space="preserve">partie C. En revanche, les ingrédients non biologiques sont libres de toute contrainte réglementaire au titre du NOP. Par conséquent, le produit ne peut mentionner </w:t>
      </w:r>
    </w:p>
    <w:p w:rsidR="005A638F" w:rsidRDefault="005A638F" w:rsidP="00D078FF">
      <w:pPr>
        <w:spacing w:line="360" w:lineRule="auto"/>
        <w:jc w:val="both"/>
        <w:rPr>
          <w:rFonts w:ascii="Times New Roman" w:hAnsi="Times New Roman"/>
          <w:sz w:val="24"/>
          <w:szCs w:val="24"/>
          <w:rtl/>
          <w:lang w:bidi="ar-DZ"/>
        </w:rPr>
      </w:pPr>
      <w:r w:rsidRPr="006A24A0">
        <w:rPr>
          <w:rFonts w:ascii="Times New Roman" w:hAnsi="Times New Roman"/>
          <w:sz w:val="24"/>
          <w:szCs w:val="24"/>
          <w:lang w:bidi="ar-DZ"/>
        </w:rPr>
        <w:t>son caractère biologique que dans les conditions très encadrées de l’article § 205.305, ce qui se traduit essentiellement par une simple indication dans la liste des ingrédients.</w:t>
      </w:r>
      <w:r>
        <w:rPr>
          <w:rStyle w:val="Appelnotedebasdep"/>
          <w:rFonts w:ascii="Times New Roman" w:hAnsi="Times New Roman"/>
          <w:sz w:val="24"/>
          <w:szCs w:val="24"/>
          <w:lang w:bidi="ar-DZ"/>
        </w:rPr>
        <w:footnoteReference w:id="87"/>
      </w:r>
    </w:p>
    <w:p w:rsidR="00E65041" w:rsidRDefault="00E65041" w:rsidP="00D078FF">
      <w:pPr>
        <w:spacing w:line="360" w:lineRule="auto"/>
        <w:jc w:val="both"/>
        <w:rPr>
          <w:rFonts w:ascii="Times New Roman" w:hAnsi="Times New Roman"/>
          <w:sz w:val="24"/>
          <w:szCs w:val="24"/>
          <w:rtl/>
          <w:lang w:bidi="ar-DZ"/>
        </w:rPr>
      </w:pPr>
    </w:p>
    <w:p w:rsidR="00E65041" w:rsidRDefault="00E65041" w:rsidP="00D078FF">
      <w:pPr>
        <w:spacing w:line="360" w:lineRule="auto"/>
        <w:jc w:val="both"/>
        <w:rPr>
          <w:rFonts w:ascii="Times New Roman" w:hAnsi="Times New Roman"/>
          <w:sz w:val="24"/>
          <w:szCs w:val="24"/>
          <w:lang w:bidi="ar-DZ"/>
        </w:rPr>
      </w:pPr>
    </w:p>
    <w:p w:rsidR="005A638F" w:rsidRPr="00945042" w:rsidRDefault="00945042" w:rsidP="00981E6F">
      <w:pPr>
        <w:pStyle w:val="Lgende"/>
        <w:spacing w:after="0" w:line="360" w:lineRule="auto"/>
        <w:jc w:val="both"/>
        <w:rPr>
          <w:rFonts w:ascii="Times New Roman" w:eastAsia="Calibri" w:hAnsi="Times New Roman" w:cs="Arial"/>
          <w:b/>
          <w:bCs/>
          <w:i w:val="0"/>
          <w:iCs w:val="0"/>
          <w:color w:val="auto"/>
          <w:kern w:val="3"/>
          <w:sz w:val="24"/>
          <w:szCs w:val="24"/>
          <w:lang w:bidi="ar-DZ"/>
        </w:rPr>
      </w:pPr>
      <w:bookmarkStart w:id="98" w:name="_Toc230400740"/>
      <w:r w:rsidRPr="00945042">
        <w:rPr>
          <w:rFonts w:ascii="Times New Roman" w:eastAsia="Calibri" w:hAnsi="Times New Roman" w:cs="Arial"/>
          <w:b/>
          <w:bCs/>
          <w:i w:val="0"/>
          <w:iCs w:val="0"/>
          <w:color w:val="auto"/>
          <w:kern w:val="3"/>
          <w:sz w:val="24"/>
          <w:szCs w:val="24"/>
          <w:lang w:bidi="ar-DZ"/>
        </w:rPr>
        <w:t xml:space="preserve">Tableau </w:t>
      </w:r>
      <w:r w:rsidR="007B5998" w:rsidRPr="00945042">
        <w:rPr>
          <w:rFonts w:ascii="Times New Roman" w:eastAsia="Calibri" w:hAnsi="Times New Roman" w:cs="Arial"/>
          <w:b/>
          <w:bCs/>
          <w:i w:val="0"/>
          <w:iCs w:val="0"/>
          <w:color w:val="auto"/>
          <w:kern w:val="3"/>
          <w:sz w:val="24"/>
          <w:szCs w:val="24"/>
          <w:lang w:bidi="ar-DZ"/>
        </w:rPr>
        <w:fldChar w:fldCharType="begin"/>
      </w:r>
      <w:r w:rsidRPr="00945042">
        <w:rPr>
          <w:rFonts w:ascii="Times New Roman" w:eastAsia="Calibri" w:hAnsi="Times New Roman" w:cs="Arial"/>
          <w:b/>
          <w:bCs/>
          <w:i w:val="0"/>
          <w:iCs w:val="0"/>
          <w:color w:val="auto"/>
          <w:kern w:val="3"/>
          <w:sz w:val="24"/>
          <w:szCs w:val="24"/>
          <w:lang w:bidi="ar-DZ"/>
        </w:rPr>
        <w:instrText xml:space="preserve"> SEQ Tableau \* ARABIC </w:instrText>
      </w:r>
      <w:r w:rsidR="007B5998" w:rsidRPr="00945042">
        <w:rPr>
          <w:rFonts w:ascii="Times New Roman" w:eastAsia="Calibri" w:hAnsi="Times New Roman" w:cs="Arial"/>
          <w:b/>
          <w:bCs/>
          <w:i w:val="0"/>
          <w:iCs w:val="0"/>
          <w:color w:val="auto"/>
          <w:kern w:val="3"/>
          <w:sz w:val="24"/>
          <w:szCs w:val="24"/>
          <w:lang w:bidi="ar-DZ"/>
        </w:rPr>
        <w:fldChar w:fldCharType="separate"/>
      </w:r>
      <w:r w:rsidR="00515B25">
        <w:rPr>
          <w:rFonts w:ascii="Times New Roman" w:eastAsia="Calibri" w:hAnsi="Times New Roman" w:cs="Arial"/>
          <w:b/>
          <w:bCs/>
          <w:i w:val="0"/>
          <w:iCs w:val="0"/>
          <w:noProof/>
          <w:color w:val="auto"/>
          <w:kern w:val="3"/>
          <w:sz w:val="24"/>
          <w:szCs w:val="24"/>
          <w:lang w:bidi="ar-DZ"/>
        </w:rPr>
        <w:t>2</w:t>
      </w:r>
      <w:r w:rsidR="007B5998" w:rsidRPr="00945042">
        <w:rPr>
          <w:rFonts w:ascii="Times New Roman" w:eastAsia="Calibri" w:hAnsi="Times New Roman" w:cs="Arial"/>
          <w:b/>
          <w:bCs/>
          <w:i w:val="0"/>
          <w:iCs w:val="0"/>
          <w:color w:val="auto"/>
          <w:kern w:val="3"/>
          <w:sz w:val="24"/>
          <w:szCs w:val="24"/>
          <w:lang w:bidi="ar-DZ"/>
        </w:rPr>
        <w:fldChar w:fldCharType="end"/>
      </w:r>
      <w:r w:rsidRPr="00945042">
        <w:rPr>
          <w:rFonts w:ascii="Times New Roman" w:eastAsia="Calibri" w:hAnsi="Times New Roman" w:cs="Arial"/>
          <w:b/>
          <w:bCs/>
          <w:i w:val="0"/>
          <w:iCs w:val="0"/>
          <w:color w:val="auto"/>
          <w:kern w:val="3"/>
          <w:sz w:val="24"/>
          <w:szCs w:val="24"/>
          <w:lang w:bidi="ar-DZ"/>
        </w:rPr>
        <w:t xml:space="preserve"> : </w:t>
      </w:r>
      <w:r w:rsidRPr="00945042">
        <w:rPr>
          <w:rFonts w:ascii="Times New Roman" w:eastAsia="Calibri" w:hAnsi="Times New Roman" w:cs="Arial"/>
          <w:i w:val="0"/>
          <w:iCs w:val="0"/>
          <w:color w:val="auto"/>
          <w:kern w:val="3"/>
          <w:sz w:val="24"/>
          <w:szCs w:val="24"/>
          <w:lang w:bidi="ar-DZ"/>
        </w:rPr>
        <w:t>les pourcentages de matière organique</w:t>
      </w:r>
      <w:bookmarkEnd w:id="98"/>
    </w:p>
    <w:tbl>
      <w:tblPr>
        <w:tblpPr w:leftFromText="141" w:rightFromText="141" w:vertAnchor="text" w:horzAnchor="margin" w:tblpXSpec="center" w:tblpY="262"/>
        <w:tblW w:w="9385" w:type="dxa"/>
        <w:tblCellMar>
          <w:left w:w="10" w:type="dxa"/>
          <w:right w:w="10" w:type="dxa"/>
        </w:tblCellMar>
        <w:tblLook w:val="0000"/>
      </w:tblPr>
      <w:tblGrid>
        <w:gridCol w:w="2660"/>
        <w:gridCol w:w="2126"/>
        <w:gridCol w:w="1906"/>
        <w:gridCol w:w="2693"/>
      </w:tblGrid>
      <w:tr w:rsidR="005A638F" w:rsidTr="00981E6F">
        <w:trPr>
          <w:trHeight w:val="638"/>
        </w:trPr>
        <w:tc>
          <w:tcPr>
            <w:tcW w:w="2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b/>
                <w:bCs/>
                <w:color w:val="0F1115"/>
                <w:sz w:val="24"/>
                <w:szCs w:val="24"/>
              </w:rPr>
            </w:pPr>
            <w:r>
              <w:rPr>
                <w:rFonts w:ascii="Times New Roman" w:hAnsi="Times New Roman" w:cs="Times New Roman"/>
                <w:b/>
                <w:bCs/>
                <w:color w:val="0F1115"/>
                <w:sz w:val="24"/>
                <w:szCs w:val="24"/>
              </w:rPr>
              <w:t>Allégation</w:t>
            </w:r>
          </w:p>
          <w:p w:rsidR="005A638F" w:rsidRDefault="005A638F" w:rsidP="00981E6F">
            <w:pPr>
              <w:spacing w:after="0" w:line="360" w:lineRule="auto"/>
              <w:jc w:val="both"/>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bio min. (hors eau/sel)</w:t>
            </w:r>
          </w:p>
        </w:tc>
        <w:tc>
          <w:tcPr>
            <w:tcW w:w="1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Sceau USDA autorisé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Logo WSDA autorisé ?</w:t>
            </w:r>
          </w:p>
        </w:tc>
      </w:tr>
      <w:tr w:rsidR="005A638F" w:rsidTr="00981E6F">
        <w:trPr>
          <w:trHeight w:val="602"/>
        </w:trPr>
        <w:tc>
          <w:tcPr>
            <w:tcW w:w="2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100 % bio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pPr>
            <w:r>
              <w:t>100 %</w:t>
            </w:r>
          </w:p>
        </w:tc>
        <w:tc>
          <w:tcPr>
            <w:tcW w:w="1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sz w:val="24"/>
                <w:szCs w:val="24"/>
              </w:rPr>
            </w:pPr>
            <w:r>
              <w:rPr>
                <w:sz w:val="24"/>
                <w:szCs w:val="24"/>
              </w:rPr>
              <w:t>Oui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Oui (taille ≤ USDA)</w:t>
            </w:r>
          </w:p>
        </w:tc>
      </w:tr>
      <w:tr w:rsidR="005A638F" w:rsidTr="00981E6F">
        <w:trPr>
          <w:trHeight w:val="638"/>
        </w:trPr>
        <w:tc>
          <w:tcPr>
            <w:tcW w:w="2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Bio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rPr>
            </w:pPr>
            <w:r>
              <w:rPr>
                <w:rFonts w:ascii="Times New Roman" w:hAnsi="Times New Roman" w:cs="Times New Roman"/>
              </w:rPr>
              <w:t>≥ 95 %</w:t>
            </w:r>
          </w:p>
        </w:tc>
        <w:tc>
          <w:tcPr>
            <w:tcW w:w="1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pPr>
            <w:r>
              <w:t>Oui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Oui (taille ≤ USDA)</w:t>
            </w:r>
          </w:p>
        </w:tc>
      </w:tr>
      <w:tr w:rsidR="005A638F" w:rsidTr="00981E6F">
        <w:trPr>
          <w:trHeight w:val="602"/>
        </w:trPr>
        <w:tc>
          <w:tcPr>
            <w:tcW w:w="2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pPr>
            <w:r>
              <w:t>Fabriqué avec bio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pPr>
            <w:r>
              <w:t>≥ 70 %</w:t>
            </w:r>
          </w:p>
        </w:tc>
        <w:tc>
          <w:tcPr>
            <w:tcW w:w="1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Non</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A638F" w:rsidRDefault="005A638F" w:rsidP="00981E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Oui (avec mention)</w:t>
            </w:r>
          </w:p>
        </w:tc>
      </w:tr>
    </w:tbl>
    <w:p w:rsidR="005A638F" w:rsidRPr="0014687F" w:rsidRDefault="005A638F" w:rsidP="00981E6F">
      <w:pPr>
        <w:spacing w:after="0" w:line="360" w:lineRule="auto"/>
        <w:jc w:val="both"/>
        <w:rPr>
          <w:rFonts w:ascii="Times New Roman" w:hAnsi="Times New Roman"/>
          <w:sz w:val="24"/>
          <w:szCs w:val="24"/>
          <w:lang w:bidi="ar-DZ"/>
        </w:rPr>
      </w:pPr>
    </w:p>
    <w:p w:rsidR="005A638F" w:rsidRPr="007C3D9F" w:rsidRDefault="005A638F" w:rsidP="00981E6F">
      <w:pPr>
        <w:spacing w:after="0" w:line="360" w:lineRule="auto"/>
        <w:jc w:val="both"/>
        <w:rPr>
          <w:rFonts w:ascii="Times New Roman" w:hAnsi="Times New Roman"/>
          <w:sz w:val="20"/>
          <w:szCs w:val="20"/>
          <w:lang w:bidi="ar-DZ"/>
        </w:rPr>
      </w:pPr>
      <w:r w:rsidRPr="008A7D2D">
        <w:rPr>
          <w:rFonts w:ascii="Times New Roman" w:hAnsi="Times New Roman"/>
          <w:sz w:val="20"/>
          <w:szCs w:val="20"/>
          <w:lang w:bidi="ar-DZ"/>
        </w:rPr>
        <w:t xml:space="preserve">Source : </w:t>
      </w:r>
      <w:r w:rsidRPr="008A7D2D">
        <w:rPr>
          <w:rFonts w:asciiTheme="majorBidi" w:hAnsiTheme="majorBidi" w:cstheme="majorBidi"/>
          <w:sz w:val="20"/>
          <w:szCs w:val="20"/>
        </w:rPr>
        <w:t>Baker, K. A. &amp; Hoover, A., « Organic labeling of multi-ingredient food products », [en ligne], 22 juillet 2017, Clemson University, Home &amp; Garden Information Center (HGIC), disponible sur : </w:t>
      </w:r>
      <w:hyperlink r:id="rId30" w:tgtFrame="_blank" w:history="1">
        <w:r w:rsidRPr="008A7D2D">
          <w:rPr>
            <w:rStyle w:val="Lienhypertexte"/>
            <w:rFonts w:asciiTheme="majorBidi" w:hAnsiTheme="majorBidi" w:cstheme="majorBidi"/>
            <w:sz w:val="20"/>
            <w:szCs w:val="20"/>
          </w:rPr>
          <w:t>https://hgic.clemson.edu/factsheet/organic-labeling-of-multi-ingredient-food-products/</w:t>
        </w:r>
      </w:hyperlink>
      <w:r w:rsidRPr="008A7D2D">
        <w:rPr>
          <w:rFonts w:asciiTheme="majorBidi" w:hAnsiTheme="majorBidi" w:cstheme="majorBidi"/>
          <w:sz w:val="20"/>
          <w:szCs w:val="20"/>
        </w:rPr>
        <w:t> (consulté le 27 avril 2026).</w:t>
      </w:r>
    </w:p>
    <w:p w:rsidR="005A638F" w:rsidRPr="0014408D" w:rsidRDefault="0014408D" w:rsidP="00981E6F">
      <w:pPr>
        <w:pStyle w:val="Titre5"/>
        <w:spacing w:before="0" w:after="0" w:line="360" w:lineRule="auto"/>
        <w:jc w:val="both"/>
        <w:rPr>
          <w:b/>
          <w:bCs/>
        </w:rPr>
      </w:pPr>
      <w:bookmarkStart w:id="99" w:name="_Toc230558644"/>
      <w:bookmarkStart w:id="100" w:name="_Toc230900278"/>
      <w:r>
        <w:rPr>
          <w:rFonts w:hint="cs"/>
          <w:rtl/>
          <w:lang w:bidi="ar-DZ"/>
        </w:rPr>
        <w:t xml:space="preserve">. </w:t>
      </w:r>
      <w:r w:rsidRPr="007E41F0">
        <w:rPr>
          <w:rFonts w:ascii="Times New Roman" w:hAnsi="Times New Roman"/>
          <w:b/>
          <w:bCs/>
          <w:color w:val="auto"/>
          <w:sz w:val="24"/>
          <w:szCs w:val="24"/>
          <w:rtl/>
          <w:lang w:bidi="ar-DZ"/>
        </w:rPr>
        <w:t>2.6.3</w:t>
      </w:r>
      <w:r w:rsidR="005A638F" w:rsidRPr="007E41F0">
        <w:rPr>
          <w:rFonts w:ascii="Times New Roman" w:hAnsi="Times New Roman"/>
          <w:b/>
          <w:bCs/>
          <w:color w:val="auto"/>
          <w:sz w:val="24"/>
          <w:szCs w:val="24"/>
          <w:lang w:bidi="ar-DZ"/>
        </w:rPr>
        <w:t>Classification troisième: par région géographique</w:t>
      </w:r>
      <w:bookmarkEnd w:id="99"/>
      <w:bookmarkEnd w:id="100"/>
    </w:p>
    <w:p w:rsidR="0066256C" w:rsidRDefault="005A638F" w:rsidP="00981E6F">
      <w:pPr>
        <w:pStyle w:val="Lgende"/>
        <w:spacing w:after="0" w:line="360" w:lineRule="auto"/>
        <w:jc w:val="both"/>
        <w:rPr>
          <w:rFonts w:ascii="Times New Roman" w:hAnsi="Times New Roman" w:cs="Times New Roman"/>
          <w:b/>
          <w:bCs/>
          <w:sz w:val="24"/>
          <w:szCs w:val="24"/>
          <w:rtl/>
          <w:lang w:bidi="ar-DZ"/>
        </w:rPr>
      </w:pPr>
      <w:r>
        <w:rPr>
          <w:rFonts w:ascii="Times New Roman" w:hAnsi="Times New Roman" w:cs="Times New Roman"/>
          <w:sz w:val="24"/>
          <w:szCs w:val="24"/>
          <w:lang w:bidi="ar-DZ"/>
        </w:rPr>
        <w:t>1 -</w:t>
      </w:r>
      <w:r>
        <w:rPr>
          <w:rFonts w:ascii="Times New Roman" w:hAnsi="Times New Roman" w:cs="Times New Roman"/>
          <w:b/>
          <w:bCs/>
          <w:sz w:val="24"/>
          <w:szCs w:val="24"/>
          <w:lang w:bidi="ar-DZ"/>
        </w:rPr>
        <w:t>USDA Organic :</w:t>
      </w:r>
    </w:p>
    <w:p w:rsidR="0066256C" w:rsidRPr="0066256C" w:rsidRDefault="005A638F" w:rsidP="0005654B">
      <w:pPr>
        <w:pStyle w:val="Lgende"/>
        <w:spacing w:after="0" w:line="360" w:lineRule="auto"/>
        <w:jc w:val="both"/>
        <w:rPr>
          <w:rFonts w:asciiTheme="majorBidi" w:eastAsia="Calibri" w:hAnsiTheme="majorBidi" w:cstheme="majorBidi"/>
          <w:i w:val="0"/>
          <w:iCs w:val="0"/>
          <w:color w:val="auto"/>
          <w:kern w:val="3"/>
          <w:sz w:val="24"/>
          <w:szCs w:val="24"/>
          <w:rtl/>
          <w:lang w:val="en-US" w:bidi="ar-DZ"/>
        </w:rPr>
      </w:pPr>
      <w:r>
        <w:rPr>
          <w:rFonts w:ascii="Times New Roman" w:hAnsi="Times New Roman" w:cs="Times New Roman"/>
          <w:b/>
          <w:bCs/>
          <w:sz w:val="24"/>
          <w:szCs w:val="24"/>
          <w:lang w:bidi="ar-DZ"/>
        </w:rPr>
        <w:t xml:space="preserve"> </w:t>
      </w:r>
      <w:bookmarkStart w:id="101" w:name="_Toc230399438"/>
      <w:r w:rsidR="0066256C" w:rsidRPr="00945042">
        <w:rPr>
          <w:rFonts w:asciiTheme="majorBidi" w:eastAsia="Calibri" w:hAnsiTheme="majorBidi" w:cstheme="majorBidi"/>
          <w:b/>
          <w:bCs/>
          <w:i w:val="0"/>
          <w:iCs w:val="0"/>
          <w:color w:val="auto"/>
          <w:kern w:val="3"/>
          <w:sz w:val="24"/>
          <w:szCs w:val="24"/>
          <w:lang w:val="en-US"/>
        </w:rPr>
        <w:t xml:space="preserve">Figure </w:t>
      </w:r>
      <w:r w:rsidR="007B5998" w:rsidRPr="00945042">
        <w:rPr>
          <w:rFonts w:asciiTheme="majorBidi" w:eastAsia="Calibri" w:hAnsiTheme="majorBidi" w:cstheme="majorBidi"/>
          <w:b/>
          <w:bCs/>
          <w:i w:val="0"/>
          <w:iCs w:val="0"/>
          <w:color w:val="auto"/>
          <w:kern w:val="3"/>
          <w:sz w:val="24"/>
          <w:szCs w:val="24"/>
          <w:lang w:val="en-US"/>
        </w:rPr>
        <w:fldChar w:fldCharType="begin"/>
      </w:r>
      <w:r w:rsidR="0066256C" w:rsidRPr="00945042">
        <w:rPr>
          <w:rFonts w:asciiTheme="majorBidi" w:eastAsia="Calibri" w:hAnsiTheme="majorBidi" w:cstheme="majorBidi"/>
          <w:b/>
          <w:bCs/>
          <w:i w:val="0"/>
          <w:iCs w:val="0"/>
          <w:color w:val="auto"/>
          <w:kern w:val="3"/>
          <w:sz w:val="24"/>
          <w:szCs w:val="24"/>
          <w:lang w:val="en-US"/>
        </w:rPr>
        <w:instrText xml:space="preserve"> SEQ Figure \* ARABIC </w:instrText>
      </w:r>
      <w:r w:rsidR="007B5998" w:rsidRPr="00945042">
        <w:rPr>
          <w:rFonts w:asciiTheme="majorBidi" w:eastAsia="Calibri" w:hAnsiTheme="majorBidi" w:cstheme="majorBidi"/>
          <w:b/>
          <w:bCs/>
          <w:i w:val="0"/>
          <w:iCs w:val="0"/>
          <w:color w:val="auto"/>
          <w:kern w:val="3"/>
          <w:sz w:val="24"/>
          <w:szCs w:val="24"/>
          <w:lang w:val="en-US"/>
        </w:rPr>
        <w:fldChar w:fldCharType="separate"/>
      </w:r>
      <w:r w:rsidR="00515B25">
        <w:rPr>
          <w:rFonts w:asciiTheme="majorBidi" w:eastAsia="Calibri" w:hAnsiTheme="majorBidi" w:cstheme="majorBidi"/>
          <w:b/>
          <w:bCs/>
          <w:i w:val="0"/>
          <w:iCs w:val="0"/>
          <w:noProof/>
          <w:color w:val="auto"/>
          <w:kern w:val="3"/>
          <w:sz w:val="24"/>
          <w:szCs w:val="24"/>
          <w:lang w:val="en-US"/>
        </w:rPr>
        <w:t>2</w:t>
      </w:r>
      <w:r w:rsidR="007B5998" w:rsidRPr="00945042">
        <w:rPr>
          <w:rFonts w:asciiTheme="majorBidi" w:eastAsia="Calibri" w:hAnsiTheme="majorBidi" w:cstheme="majorBidi"/>
          <w:b/>
          <w:bCs/>
          <w:i w:val="0"/>
          <w:iCs w:val="0"/>
          <w:color w:val="auto"/>
          <w:kern w:val="3"/>
          <w:sz w:val="24"/>
          <w:szCs w:val="24"/>
          <w:lang w:val="en-US"/>
        </w:rPr>
        <w:fldChar w:fldCharType="end"/>
      </w:r>
      <w:r w:rsidR="0066256C" w:rsidRPr="00945042">
        <w:rPr>
          <w:rFonts w:asciiTheme="majorBidi" w:eastAsia="Calibri" w:hAnsiTheme="majorBidi" w:cstheme="majorBidi"/>
          <w:b/>
          <w:bCs/>
          <w:i w:val="0"/>
          <w:iCs w:val="0"/>
          <w:color w:val="auto"/>
          <w:kern w:val="3"/>
          <w:sz w:val="24"/>
          <w:szCs w:val="24"/>
          <w:lang w:val="en-US"/>
        </w:rPr>
        <w:t xml:space="preserve"> :</w:t>
      </w:r>
      <w:r w:rsidR="0066256C" w:rsidRPr="00945042">
        <w:rPr>
          <w:rFonts w:asciiTheme="majorBidi" w:eastAsia="Calibri" w:hAnsiTheme="majorBidi" w:cstheme="majorBidi"/>
          <w:i w:val="0"/>
          <w:iCs w:val="0"/>
          <w:color w:val="auto"/>
          <w:kern w:val="3"/>
          <w:sz w:val="24"/>
          <w:szCs w:val="24"/>
          <w:lang w:val="en-US"/>
        </w:rPr>
        <w:t xml:space="preserve"> USDA Certified Organic Seal Image courtesy of the USDA-AMS</w:t>
      </w:r>
      <w:bookmarkEnd w:id="101"/>
    </w:p>
    <w:p w:rsidR="0005654B" w:rsidRDefault="0005654B" w:rsidP="0066256C">
      <w:pPr>
        <w:spacing w:line="360" w:lineRule="auto"/>
        <w:jc w:val="both"/>
        <w:rPr>
          <w:rFonts w:ascii="Times New Roman" w:hAnsi="Times New Roman" w:cs="Times New Roman"/>
          <w:b/>
          <w:bCs/>
          <w:sz w:val="24"/>
          <w:szCs w:val="24"/>
          <w:rtl/>
          <w:lang w:bidi="ar-DZ"/>
        </w:rPr>
      </w:pPr>
    </w:p>
    <w:p w:rsidR="005A638F" w:rsidRPr="0005654B" w:rsidRDefault="005A638F" w:rsidP="0066256C">
      <w:pPr>
        <w:spacing w:line="360" w:lineRule="auto"/>
        <w:jc w:val="both"/>
        <w:rPr>
          <w:sz w:val="2"/>
          <w:szCs w:val="2"/>
          <w:lang w:val="en-US"/>
        </w:rPr>
      </w:pPr>
      <w:r w:rsidRPr="0005654B">
        <w:rPr>
          <w:noProof/>
          <w:sz w:val="2"/>
          <w:szCs w:val="2"/>
          <w:lang w:eastAsia="fr-FR"/>
        </w:rPr>
        <w:drawing>
          <wp:anchor distT="0" distB="0" distL="114300" distR="114300" simplePos="0" relativeHeight="251711488" behindDoc="0" locked="0" layoutInCell="1" allowOverlap="1">
            <wp:simplePos x="0" y="0"/>
            <wp:positionH relativeFrom="column">
              <wp:posOffset>2101670</wp:posOffset>
            </wp:positionH>
            <wp:positionV relativeFrom="paragraph">
              <wp:posOffset>479</wp:posOffset>
            </wp:positionV>
            <wp:extent cx="948689" cy="948689"/>
            <wp:effectExtent l="0" t="0" r="4445" b="4445"/>
            <wp:wrapTopAndBottom/>
            <wp:docPr id="513639611" name="Image 1" descr="logo USDA ORGANIC"/>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948689" cy="948689"/>
                    </a:xfrm>
                    <a:prstGeom prst="rect">
                      <a:avLst/>
                    </a:prstGeom>
                    <a:noFill/>
                    <a:ln>
                      <a:noFill/>
                      <a:prstDash/>
                    </a:ln>
                  </pic:spPr>
                </pic:pic>
              </a:graphicData>
            </a:graphic>
          </wp:anchor>
        </w:drawing>
      </w:r>
    </w:p>
    <w:p w:rsidR="005A638F" w:rsidRPr="001C08B7" w:rsidRDefault="005A638F" w:rsidP="0005654B">
      <w:pPr>
        <w:spacing w:after="0" w:line="360" w:lineRule="auto"/>
        <w:jc w:val="both"/>
        <w:rPr>
          <w:rFonts w:asciiTheme="majorBidi" w:hAnsiTheme="majorBidi" w:cstheme="majorBidi"/>
          <w:sz w:val="20"/>
          <w:szCs w:val="20"/>
          <w:lang w:val="en-US"/>
        </w:rPr>
      </w:pPr>
      <w:r w:rsidRPr="001C08B7">
        <w:rPr>
          <w:rFonts w:ascii="Times New Roman" w:hAnsi="Times New Roman" w:cs="Times New Roman"/>
          <w:b/>
          <w:bCs/>
          <w:sz w:val="20"/>
          <w:szCs w:val="20"/>
          <w:lang w:val="en-US" w:bidi="ar-DZ"/>
        </w:rPr>
        <w:t>Source :</w:t>
      </w:r>
      <w:r w:rsidRPr="001C08B7">
        <w:rPr>
          <w:rFonts w:asciiTheme="majorBidi" w:hAnsiTheme="majorBidi" w:cstheme="majorBidi"/>
          <w:sz w:val="20"/>
          <w:szCs w:val="20"/>
          <w:lang w:val="en-US"/>
        </w:rPr>
        <w:t xml:space="preserve"> Baker, K. A. &amp; Hoover, A., « Organic labeling of multi-ingredient food products », [en ligne], 22 juillet 2017, Clemson University, Home &amp; Garden Information Center (HGIC), disponible sur </w:t>
      </w:r>
    </w:p>
    <w:p w:rsidR="005A638F" w:rsidRPr="00D12168" w:rsidRDefault="005A638F" w:rsidP="0005654B">
      <w:pPr>
        <w:spacing w:after="0" w:line="360" w:lineRule="auto"/>
        <w:jc w:val="both"/>
        <w:rPr>
          <w:rFonts w:ascii="Times New Roman" w:hAnsi="Times New Roman" w:cs="Times New Roman"/>
          <w:b/>
          <w:bCs/>
          <w:sz w:val="20"/>
          <w:szCs w:val="20"/>
          <w:lang w:bidi="ar-DZ"/>
        </w:rPr>
      </w:pPr>
      <w:r w:rsidRPr="00D12168">
        <w:rPr>
          <w:rFonts w:asciiTheme="majorBidi" w:hAnsiTheme="majorBidi" w:cstheme="majorBidi"/>
          <w:sz w:val="20"/>
          <w:szCs w:val="20"/>
        </w:rPr>
        <w:t>: </w:t>
      </w:r>
      <w:hyperlink r:id="rId32" w:tgtFrame="_blank" w:history="1">
        <w:r w:rsidRPr="00D12168">
          <w:rPr>
            <w:rStyle w:val="Lienhypertexte"/>
            <w:rFonts w:asciiTheme="majorBidi" w:hAnsiTheme="majorBidi" w:cstheme="majorBidi"/>
            <w:sz w:val="20"/>
            <w:szCs w:val="20"/>
          </w:rPr>
          <w:t>https://hgic.clemson.edu/factsheet/organic-labeling-of-multi-ingredient-food-products/</w:t>
        </w:r>
      </w:hyperlink>
      <w:r w:rsidRPr="00D12168">
        <w:rPr>
          <w:rFonts w:asciiTheme="majorBidi" w:hAnsiTheme="majorBidi" w:cstheme="majorBidi"/>
          <w:sz w:val="20"/>
          <w:szCs w:val="20"/>
        </w:rPr>
        <w:t> (consulté le 27 avril 2026).</w:t>
      </w:r>
    </w:p>
    <w:p w:rsidR="005A638F" w:rsidRDefault="005A638F" w:rsidP="0005654B">
      <w:pPr>
        <w:spacing w:after="0" w:line="360" w:lineRule="auto"/>
        <w:jc w:val="both"/>
        <w:rPr>
          <w:rFonts w:ascii="Times New Roman" w:hAnsi="Times New Roman" w:cs="Times New Roman"/>
          <w:sz w:val="24"/>
          <w:szCs w:val="24"/>
          <w:lang w:bidi="ar-DZ"/>
        </w:rPr>
      </w:pPr>
      <w:r w:rsidRPr="00E210E1">
        <w:rPr>
          <w:rFonts w:ascii="Times New Roman" w:hAnsi="Times New Roman" w:cs="Times New Roman"/>
          <w:sz w:val="24"/>
          <w:szCs w:val="24"/>
          <w:lang w:bidi="ar-DZ"/>
        </w:rPr>
        <w:t>Il s’agit d’un label officiel concédé aux produits alimentaires et agricoles qui montrent qu’ils ont été élaborés selon les exigences normatives rigoureuses du département de l’agriculture des Etats-Unis en matière d’agriculture biologique, des exigences que les producteurs doivent respecter avec des techniques qui protègent les ressources naturelles, qui soutiennent la biodiversité, et qui réalisent l’équilibre écologique</w:t>
      </w:r>
      <w:r>
        <w:rPr>
          <w:rFonts w:ascii="Times New Roman" w:hAnsi="Times New Roman" w:cs="Times New Roman"/>
          <w:sz w:val="24"/>
          <w:szCs w:val="24"/>
          <w:lang w:bidi="ar-DZ"/>
        </w:rPr>
        <w:t>.</w:t>
      </w:r>
      <w:r>
        <w:rPr>
          <w:rStyle w:val="Appelnotedebasdep"/>
          <w:rFonts w:ascii="Times New Roman" w:hAnsi="Times New Roman" w:cs="Times New Roman"/>
          <w:sz w:val="24"/>
          <w:szCs w:val="24"/>
          <w:lang w:bidi="ar-DZ"/>
        </w:rPr>
        <w:footnoteReference w:id="88"/>
      </w:r>
    </w:p>
    <w:p w:rsidR="005A638F" w:rsidRDefault="005A638F" w:rsidP="0005654B">
      <w:pPr>
        <w:spacing w:after="0" w:line="360" w:lineRule="auto"/>
        <w:jc w:val="both"/>
        <w:rPr>
          <w:rFonts w:ascii="Times New Roman" w:hAnsi="Times New Roman" w:cs="Times New Roman"/>
          <w:b/>
          <w:bCs/>
          <w:sz w:val="24"/>
          <w:szCs w:val="24"/>
          <w:lang w:bidi="ar-DZ"/>
        </w:rPr>
      </w:pPr>
      <w:r>
        <w:rPr>
          <w:rFonts w:ascii="Times New Roman" w:hAnsi="Times New Roman" w:cs="Times New Roman"/>
          <w:b/>
          <w:bCs/>
          <w:sz w:val="24"/>
          <w:szCs w:val="24"/>
          <w:lang w:bidi="ar-DZ"/>
        </w:rPr>
        <w:t>Qu'est-ce qui rend ce label  unique et fiable :</w:t>
      </w:r>
      <w:r>
        <w:rPr>
          <w:rStyle w:val="Appelnotedebasdep"/>
          <w:rFonts w:ascii="Times New Roman" w:hAnsi="Times New Roman" w:cs="Times New Roman"/>
          <w:b/>
          <w:bCs/>
          <w:sz w:val="24"/>
          <w:szCs w:val="24"/>
          <w:lang w:bidi="ar-DZ"/>
        </w:rPr>
        <w:footnoteReference w:id="89"/>
      </w:r>
    </w:p>
    <w:p w:rsidR="005A638F" w:rsidRDefault="005A638F" w:rsidP="0005654B">
      <w:pPr>
        <w:spacing w:after="0" w:line="360" w:lineRule="auto"/>
        <w:jc w:val="both"/>
      </w:pPr>
      <w:r>
        <w:rPr>
          <w:rFonts w:ascii="Times New Roman" w:hAnsi="Times New Roman" w:cs="Times New Roman"/>
          <w:b/>
          <w:bCs/>
          <w:sz w:val="24"/>
          <w:szCs w:val="24"/>
          <w:lang w:bidi="ar-DZ"/>
        </w:rPr>
        <w:t xml:space="preserve">Protection légale exclusive : </w:t>
      </w:r>
      <w:r>
        <w:rPr>
          <w:rFonts w:ascii="Times New Roman" w:hAnsi="Times New Roman" w:cs="Times New Roman"/>
          <w:sz w:val="24"/>
          <w:szCs w:val="24"/>
          <w:lang w:bidi="ar-DZ"/>
        </w:rPr>
        <w:t>cette étiquette est la seule revendication marketing pour les aliments biologiques aux États-Unis soutenue directement par le gouvernement. C'est une marque déposée, ce qui permet au ministère de poursuivre toute opération non autorisée qui l'utilise de manière frauduleuse.</w:t>
      </w:r>
    </w:p>
    <w:p w:rsidR="005A638F" w:rsidRDefault="005A638F" w:rsidP="0005654B">
      <w:pPr>
        <w:spacing w:after="0" w:line="360" w:lineRule="auto"/>
        <w:jc w:val="both"/>
      </w:pPr>
      <w:r>
        <w:rPr>
          <w:rFonts w:ascii="Times New Roman" w:hAnsi="Times New Roman" w:cs="Times New Roman"/>
          <w:b/>
          <w:bCs/>
          <w:sz w:val="24"/>
          <w:szCs w:val="24"/>
          <w:lang w:bidi="ar-DZ"/>
        </w:rPr>
        <w:t>Contrôle annuel par des experts indépendants :</w:t>
      </w:r>
      <w:r>
        <w:rPr>
          <w:rFonts w:ascii="Times New Roman" w:hAnsi="Times New Roman" w:cs="Times New Roman"/>
          <w:sz w:val="24"/>
          <w:szCs w:val="24"/>
          <w:lang w:bidi="ar-DZ"/>
        </w:rPr>
        <w:t xml:space="preserve"> aucune ferme ou entreprise ne peut appeler son produit "bio" sans obtenir un certificat d'un organisme de certification accrédité par le département de l'Agriculture des États-Unis. Ces lieux sont soumis à des inspections annuelles programmées et à d'autres inspections surprises non programmées pour s'assurer qu'ils continuent de respecter les normes.</w:t>
      </w:r>
    </w:p>
    <w:p w:rsidR="005A638F" w:rsidRDefault="005A638F" w:rsidP="0005654B">
      <w:pPr>
        <w:spacing w:after="0" w:line="360" w:lineRule="auto"/>
        <w:jc w:val="both"/>
      </w:pPr>
      <w:r>
        <w:rPr>
          <w:rFonts w:ascii="Times New Roman" w:hAnsi="Times New Roman" w:cs="Times New Roman"/>
          <w:b/>
          <w:bCs/>
          <w:sz w:val="24"/>
          <w:szCs w:val="24"/>
          <w:lang w:bidi="ar-DZ"/>
        </w:rPr>
        <w:t>Suivi complet de la chaîne d'approvisionnement :</w:t>
      </w:r>
      <w:r>
        <w:rPr>
          <w:rFonts w:ascii="Times New Roman" w:hAnsi="Times New Roman" w:cs="Times New Roman"/>
          <w:sz w:val="24"/>
          <w:szCs w:val="24"/>
          <w:lang w:bidi="ar-DZ"/>
        </w:rPr>
        <w:t xml:space="preserve"> Grâce à des règles de traçabilité strictes, le produit biologique peut être suivi depuis l'étagère du magasin jusqu'à la ferme où il a été produit. Ce système garantit l'intégrité de l'ensemble de la chaîne et lutte contre la fraude.</w:t>
      </w:r>
    </w:p>
    <w:p w:rsidR="00E65041" w:rsidRPr="00E65041" w:rsidRDefault="005A638F" w:rsidP="0005654B">
      <w:pPr>
        <w:spacing w:after="0" w:line="360" w:lineRule="auto"/>
        <w:jc w:val="both"/>
        <w:rPr>
          <w:rtl/>
          <w:lang w:bidi="ar-DZ"/>
        </w:rPr>
      </w:pPr>
      <w:r>
        <w:rPr>
          <w:rFonts w:ascii="Times New Roman" w:hAnsi="Times New Roman" w:cs="Times New Roman"/>
          <w:b/>
          <w:bCs/>
          <w:sz w:val="24"/>
          <w:szCs w:val="24"/>
          <w:lang w:bidi="ar-DZ"/>
        </w:rPr>
        <w:t>Des règles évolutives avec la participation de tous :</w:t>
      </w:r>
      <w:r>
        <w:rPr>
          <w:rFonts w:ascii="Times New Roman" w:hAnsi="Times New Roman" w:cs="Times New Roman"/>
          <w:sz w:val="24"/>
          <w:szCs w:val="24"/>
          <w:lang w:bidi="ar-DZ"/>
        </w:rPr>
        <w:t xml:space="preserve"> les normes biologiques ne sont pas fixes ; elles sont développées et améliorées sur la base des recommandations du Conseil des normes alimentaires biologiques national, qui comprend des bénévoles de la communauté </w:t>
      </w:r>
      <w:r>
        <w:rPr>
          <w:rFonts w:ascii="Times New Roman" w:hAnsi="Times New Roman" w:cs="Times New Roman"/>
          <w:sz w:val="24"/>
          <w:szCs w:val="24"/>
          <w:lang w:bidi="ar-DZ"/>
        </w:rPr>
        <w:lastRenderedPageBreak/>
        <w:t>biologique, et la possibilité de commentaires publics est ouverte à tous pour participer à la formulation des décisions finales.</w:t>
      </w:r>
    </w:p>
    <w:p w:rsidR="005A638F" w:rsidRDefault="005A638F" w:rsidP="0005654B">
      <w:pPr>
        <w:spacing w:after="0" w:line="360" w:lineRule="auto"/>
        <w:jc w:val="both"/>
        <w:rPr>
          <w:rFonts w:ascii="Times New Roman" w:hAnsi="Times New Roman" w:cs="Times New Roman"/>
          <w:b/>
          <w:bCs/>
          <w:sz w:val="24"/>
          <w:szCs w:val="24"/>
          <w:lang w:bidi="ar-DZ"/>
        </w:rPr>
      </w:pPr>
      <w:r w:rsidRPr="000167A6">
        <w:rPr>
          <w:rFonts w:ascii="Times New Roman" w:hAnsi="Times New Roman" w:cs="Times New Roman"/>
          <w:b/>
          <w:bCs/>
          <w:sz w:val="24"/>
          <w:szCs w:val="24"/>
          <w:lang w:bidi="ar-DZ"/>
        </w:rPr>
        <w:t>Le logo bio de l'Union européenne</w:t>
      </w:r>
    </w:p>
    <w:p w:rsidR="007C3D9F" w:rsidRDefault="00697DE2" w:rsidP="0005654B">
      <w:pPr>
        <w:pStyle w:val="Lgende"/>
        <w:spacing w:after="0" w:line="360" w:lineRule="auto"/>
        <w:jc w:val="both"/>
        <w:rPr>
          <w:rFonts w:asciiTheme="majorBidi" w:eastAsia="Calibri" w:hAnsiTheme="majorBidi" w:cstheme="majorBidi"/>
          <w:i w:val="0"/>
          <w:iCs w:val="0"/>
          <w:color w:val="auto"/>
          <w:kern w:val="3"/>
          <w:sz w:val="24"/>
          <w:szCs w:val="24"/>
        </w:rPr>
      </w:pPr>
      <w:bookmarkStart w:id="102" w:name="_Toc230399439"/>
      <w:r w:rsidRPr="00697DE2">
        <w:rPr>
          <w:rFonts w:asciiTheme="majorBidi" w:eastAsia="Calibri" w:hAnsiTheme="majorBidi" w:cstheme="majorBidi"/>
          <w:b/>
          <w:bCs/>
          <w:i w:val="0"/>
          <w:iCs w:val="0"/>
          <w:color w:val="auto"/>
          <w:kern w:val="3"/>
          <w:sz w:val="24"/>
          <w:szCs w:val="24"/>
        </w:rPr>
        <w:t xml:space="preserve">Figure </w:t>
      </w:r>
      <w:r w:rsidR="007B5998" w:rsidRPr="00697DE2">
        <w:rPr>
          <w:rFonts w:asciiTheme="majorBidi" w:eastAsia="Calibri" w:hAnsiTheme="majorBidi" w:cstheme="majorBidi"/>
          <w:b/>
          <w:bCs/>
          <w:i w:val="0"/>
          <w:iCs w:val="0"/>
          <w:color w:val="auto"/>
          <w:kern w:val="3"/>
          <w:sz w:val="24"/>
          <w:szCs w:val="24"/>
        </w:rPr>
        <w:fldChar w:fldCharType="begin"/>
      </w:r>
      <w:r w:rsidRPr="00697DE2">
        <w:rPr>
          <w:rFonts w:asciiTheme="majorBidi" w:eastAsia="Calibri" w:hAnsiTheme="majorBidi" w:cstheme="majorBidi"/>
          <w:b/>
          <w:bCs/>
          <w:i w:val="0"/>
          <w:iCs w:val="0"/>
          <w:color w:val="auto"/>
          <w:kern w:val="3"/>
          <w:sz w:val="24"/>
          <w:szCs w:val="24"/>
        </w:rPr>
        <w:instrText xml:space="preserve"> SEQ Figure \* ARABIC </w:instrText>
      </w:r>
      <w:r w:rsidR="007B5998" w:rsidRPr="00697DE2">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w:t>
      </w:r>
      <w:r w:rsidR="007B5998" w:rsidRPr="00697DE2">
        <w:rPr>
          <w:rFonts w:asciiTheme="majorBidi" w:eastAsia="Calibri" w:hAnsiTheme="majorBidi" w:cstheme="majorBidi"/>
          <w:b/>
          <w:bCs/>
          <w:i w:val="0"/>
          <w:iCs w:val="0"/>
          <w:color w:val="auto"/>
          <w:kern w:val="3"/>
          <w:sz w:val="24"/>
          <w:szCs w:val="24"/>
        </w:rPr>
        <w:fldChar w:fldCharType="end"/>
      </w:r>
      <w:r w:rsidRPr="00697DE2">
        <w:rPr>
          <w:rFonts w:asciiTheme="majorBidi" w:eastAsia="Calibri" w:hAnsiTheme="majorBidi" w:cstheme="majorBidi"/>
          <w:b/>
          <w:bCs/>
          <w:i w:val="0"/>
          <w:iCs w:val="0"/>
          <w:color w:val="auto"/>
          <w:kern w:val="3"/>
          <w:sz w:val="24"/>
          <w:szCs w:val="24"/>
        </w:rPr>
        <w:t xml:space="preserve"> : </w:t>
      </w:r>
      <w:r w:rsidRPr="00697DE2">
        <w:rPr>
          <w:rFonts w:asciiTheme="majorBidi" w:eastAsia="Calibri" w:hAnsiTheme="majorBidi" w:cstheme="majorBidi"/>
          <w:i w:val="0"/>
          <w:iCs w:val="0"/>
          <w:color w:val="auto"/>
          <w:kern w:val="3"/>
          <w:sz w:val="24"/>
          <w:szCs w:val="24"/>
        </w:rPr>
        <w:t>EU organic logo</w:t>
      </w:r>
    </w:p>
    <w:p w:rsidR="00945042" w:rsidRPr="007C3D9F" w:rsidRDefault="005A638F" w:rsidP="007C3D9F">
      <w:pPr>
        <w:pStyle w:val="Lgende"/>
        <w:spacing w:line="360" w:lineRule="auto"/>
        <w:jc w:val="both"/>
        <w:rPr>
          <w:rFonts w:asciiTheme="majorBidi" w:eastAsia="Calibri" w:hAnsiTheme="majorBidi" w:cstheme="majorBidi"/>
          <w:b/>
          <w:bCs/>
          <w:i w:val="0"/>
          <w:iCs w:val="0"/>
          <w:color w:val="auto"/>
          <w:kern w:val="3"/>
          <w:sz w:val="24"/>
          <w:szCs w:val="24"/>
        </w:rPr>
      </w:pPr>
      <w:r w:rsidRPr="00136660">
        <w:rPr>
          <w:rFonts w:asciiTheme="majorBidi" w:hAnsiTheme="majorBidi" w:cstheme="majorBidi"/>
          <w:b/>
          <w:bCs/>
          <w:noProof/>
          <w:sz w:val="24"/>
          <w:szCs w:val="24"/>
          <w:lang w:eastAsia="fr-FR"/>
        </w:rPr>
        <w:drawing>
          <wp:anchor distT="0" distB="0" distL="114300" distR="114300" simplePos="0" relativeHeight="251710464" behindDoc="0" locked="0" layoutInCell="1" allowOverlap="1">
            <wp:simplePos x="0" y="0"/>
            <wp:positionH relativeFrom="margin">
              <wp:align>center</wp:align>
            </wp:positionH>
            <wp:positionV relativeFrom="paragraph">
              <wp:posOffset>382965</wp:posOffset>
            </wp:positionV>
            <wp:extent cx="2299335" cy="1353820"/>
            <wp:effectExtent l="19050" t="0" r="5715" b="0"/>
            <wp:wrapTopAndBottom/>
            <wp:docPr id="668091334" name="Image 2" descr="twelve white stars shaped in the form of a leaf on a gree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elve white stars shaped in the form of a leaf on a green background"/>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99335" cy="1353820"/>
                    </a:xfrm>
                    <a:prstGeom prst="rect">
                      <a:avLst/>
                    </a:prstGeom>
                    <a:noFill/>
                    <a:ln>
                      <a:noFill/>
                    </a:ln>
                  </pic:spPr>
                </pic:pic>
              </a:graphicData>
            </a:graphic>
          </wp:anchor>
        </w:drawing>
      </w:r>
      <w:bookmarkEnd w:id="102"/>
    </w:p>
    <w:p w:rsidR="005A638F" w:rsidRPr="00D12168" w:rsidRDefault="005A638F" w:rsidP="00D078FF">
      <w:pPr>
        <w:spacing w:line="360" w:lineRule="auto"/>
        <w:jc w:val="both"/>
        <w:rPr>
          <w:rFonts w:asciiTheme="majorBidi" w:hAnsiTheme="majorBidi" w:cstheme="majorBidi"/>
          <w:sz w:val="20"/>
          <w:szCs w:val="20"/>
          <w:lang w:bidi="ar-DZ"/>
        </w:rPr>
      </w:pPr>
      <w:r w:rsidRPr="00D12168">
        <w:rPr>
          <w:rFonts w:asciiTheme="majorBidi" w:hAnsiTheme="majorBidi" w:cstheme="majorBidi"/>
          <w:b/>
          <w:bCs/>
          <w:sz w:val="20"/>
          <w:szCs w:val="20"/>
        </w:rPr>
        <w:t>source </w:t>
      </w:r>
      <w:r>
        <w:rPr>
          <w:rFonts w:asciiTheme="majorBidi" w:hAnsiTheme="majorBidi" w:cstheme="majorBidi"/>
          <w:sz w:val="20"/>
          <w:szCs w:val="20"/>
        </w:rPr>
        <w:t xml:space="preserve">: </w:t>
      </w:r>
      <w:r w:rsidRPr="00D12168">
        <w:rPr>
          <w:rFonts w:asciiTheme="majorBidi" w:hAnsiTheme="majorBidi" w:cstheme="majorBidi"/>
          <w:sz w:val="20"/>
          <w:szCs w:val="20"/>
        </w:rPr>
        <w:t>European Commission, « Organic logo », [en ligne], s.d., disponible sur : </w:t>
      </w:r>
      <w:hyperlink r:id="rId34" w:tgtFrame="_blank" w:history="1">
        <w:r w:rsidRPr="00D12168">
          <w:rPr>
            <w:rStyle w:val="Lienhypertexte"/>
            <w:rFonts w:asciiTheme="majorBidi" w:hAnsiTheme="majorBidi" w:cstheme="majorBidi"/>
            <w:sz w:val="20"/>
            <w:szCs w:val="20"/>
          </w:rPr>
          <w:t>https://agriculture.ec.europa.eu/farming/organic-farming/organic-logo_en</w:t>
        </w:r>
      </w:hyperlink>
      <w:r w:rsidRPr="00D12168">
        <w:rPr>
          <w:rFonts w:asciiTheme="majorBidi" w:hAnsiTheme="majorBidi" w:cstheme="majorBidi"/>
          <w:sz w:val="20"/>
          <w:szCs w:val="20"/>
        </w:rPr>
        <w:t> (consulté le 30 avril 2026).</w:t>
      </w:r>
    </w:p>
    <w:p w:rsidR="00D30E5E" w:rsidRDefault="005A638F" w:rsidP="00D078FF">
      <w:pPr>
        <w:spacing w:line="360" w:lineRule="auto"/>
        <w:ind w:firstLine="567"/>
        <w:jc w:val="both"/>
        <w:rPr>
          <w:rFonts w:ascii="Times New Roman" w:hAnsi="Times New Roman"/>
          <w:sz w:val="24"/>
          <w:szCs w:val="24"/>
          <w:rtl/>
          <w:lang w:bidi="ar-DZ"/>
        </w:rPr>
      </w:pPr>
      <w:r w:rsidRPr="000167A6">
        <w:rPr>
          <w:rFonts w:ascii="Times New Roman" w:hAnsi="Times New Roman"/>
          <w:sz w:val="24"/>
          <w:szCs w:val="24"/>
          <w:lang w:bidi="ar-DZ"/>
        </w:rPr>
        <w:t>Le logo de l'Union européenne pour les produits biologiques (Euro-leaf) confère une identité visuelle cohérente et unifiée aux produits biologiques produits dans les pays de l'Union, ce qui aide les consommateurs à reconnaître rapidement les produits biologiques sur différents marchés, tout en facilitant en même temps la commercialisation de leurs produits par les agriculteurs et les producteurs dans tous les pays de l'Union européenne. Ce logo ne peut être utilisé que sur les produits ayant obtenu une certification officielle en tant que produits biologiques par une agence ou une autorité de contrôle agréée, garantissant ainsi que ces produits ont satisfait à des conditions strictes couvrant toutes les étapes de production, de la culture et la transformation au transport et au stockage. En termes de composition, l'utilisation du logo n'est autorisée que lorsque les produits contiennent au moins 95 % d'ingrédients biologiques, tout en respectant des conditions strictes pour les 5 % restants, et il est impératif que le même ingrédient ne soit pas disponible sous forme biologique et non biologique dans le même produit. En plus du logo, le code de l'organisme de contrôle (numéro de code de l'organisme de certification) ainsi que le lieu de culture des matières premières agricoles entrant dans le produit, qu'elles soient cultivées au sein de l'Union européenne ou en dehors, doivent être affichés pour garantir une transparence totale au consommateur.</w:t>
      </w:r>
      <w:r>
        <w:rPr>
          <w:rStyle w:val="Appelnotedebasdep"/>
          <w:rFonts w:ascii="Times New Roman" w:hAnsi="Times New Roman"/>
          <w:sz w:val="24"/>
          <w:szCs w:val="24"/>
          <w:lang w:bidi="ar-DZ"/>
        </w:rPr>
        <w:footnoteReference w:id="90"/>
      </w:r>
    </w:p>
    <w:p w:rsidR="005A638F" w:rsidRDefault="005A638F" w:rsidP="00D078FF">
      <w:pPr>
        <w:spacing w:line="360" w:lineRule="auto"/>
        <w:rPr>
          <w:rFonts w:ascii="Times New Roman" w:hAnsi="Times New Roman"/>
          <w:b/>
          <w:bCs/>
          <w:sz w:val="24"/>
          <w:szCs w:val="24"/>
          <w:rtl/>
          <w:lang w:bidi="ar-DZ"/>
        </w:rPr>
      </w:pPr>
      <w:r w:rsidRPr="00677A36">
        <w:rPr>
          <w:rFonts w:ascii="Times New Roman" w:hAnsi="Times New Roman"/>
          <w:b/>
          <w:bCs/>
          <w:sz w:val="24"/>
          <w:szCs w:val="24"/>
          <w:lang w:bidi="ar-DZ"/>
        </w:rPr>
        <w:t>Quand le logo des produits biologiques européens est-il utilisé ?</w:t>
      </w:r>
    </w:p>
    <w:p w:rsidR="00D078FF" w:rsidRDefault="005A638F" w:rsidP="00D078FF">
      <w:pPr>
        <w:spacing w:line="360" w:lineRule="auto"/>
        <w:rPr>
          <w:rFonts w:ascii="Times New Roman" w:hAnsi="Times New Roman"/>
          <w:sz w:val="24"/>
          <w:szCs w:val="24"/>
          <w:lang w:bidi="ar-DZ"/>
        </w:rPr>
      </w:pPr>
      <w:r w:rsidRPr="00677A36">
        <w:rPr>
          <w:rFonts w:ascii="Times New Roman" w:hAnsi="Times New Roman"/>
          <w:b/>
          <w:bCs/>
          <w:sz w:val="24"/>
          <w:szCs w:val="24"/>
          <w:lang w:bidi="ar-DZ"/>
        </w:rPr>
        <w:lastRenderedPageBreak/>
        <w:t>Pou</w:t>
      </w:r>
      <w:r w:rsidR="00D078FF">
        <w:rPr>
          <w:rFonts w:ascii="Times New Roman" w:hAnsi="Times New Roman"/>
          <w:b/>
          <w:bCs/>
          <w:sz w:val="24"/>
          <w:szCs w:val="24"/>
          <w:lang w:bidi="ar-DZ"/>
        </w:rPr>
        <w:t xml:space="preserve">r </w:t>
      </w:r>
      <w:r w:rsidRPr="00677A36">
        <w:rPr>
          <w:rFonts w:ascii="Times New Roman" w:hAnsi="Times New Roman"/>
          <w:b/>
          <w:bCs/>
          <w:sz w:val="24"/>
          <w:szCs w:val="24"/>
          <w:lang w:bidi="ar-DZ"/>
        </w:rPr>
        <w:t>une utilisation obligatoire</w:t>
      </w:r>
      <w:r w:rsidRPr="00677A36">
        <w:rPr>
          <w:rFonts w:ascii="Times New Roman" w:hAnsi="Times New Roman"/>
          <w:b/>
          <w:bCs/>
          <w:sz w:val="24"/>
          <w:szCs w:val="24"/>
          <w:lang w:bidi="ar-DZ"/>
        </w:rPr>
        <w:br/>
      </w:r>
      <w:r w:rsidRPr="00677A36">
        <w:rPr>
          <w:rFonts w:ascii="Times New Roman" w:hAnsi="Times New Roman"/>
          <w:sz w:val="24"/>
          <w:szCs w:val="24"/>
          <w:lang w:bidi="ar-DZ"/>
        </w:rPr>
        <w:t>Le label est obligatoire pour la majorité des produits biologiques, conformément à un ensemble de règles spécifiques conçues pour éviter de troubler les consommateurs, maintenirla confiance dans les aliments biologiques et soutenir les autorités dans leurs missions de contrôle.</w:t>
      </w:r>
      <w:r w:rsidRPr="00677A36">
        <w:rPr>
          <w:rFonts w:ascii="Times New Roman" w:hAnsi="Times New Roman"/>
          <w:sz w:val="24"/>
          <w:szCs w:val="24"/>
          <w:lang w:bidi="ar-DZ"/>
        </w:rPr>
        <w:br/>
        <w:t>Le logo doit être utilisé dans le cas suivant :</w:t>
      </w:r>
      <w:r w:rsidRPr="00677A36">
        <w:rPr>
          <w:rFonts w:ascii="Times New Roman" w:hAnsi="Times New Roman"/>
          <w:sz w:val="24"/>
          <w:szCs w:val="24"/>
          <w:lang w:bidi="ar-DZ"/>
        </w:rPr>
        <w:br/>
        <w:t>Tous les produits alimentaires européens préemballés, produits et vendus comme des produits biologiques au sein de l'Union européenne.</w:t>
      </w:r>
      <w:r>
        <w:rPr>
          <w:rStyle w:val="Appelnotedebasdep"/>
          <w:rFonts w:ascii="Times New Roman" w:hAnsi="Times New Roman"/>
          <w:sz w:val="24"/>
          <w:szCs w:val="24"/>
          <w:lang w:bidi="ar-DZ"/>
        </w:rPr>
        <w:footnoteReference w:id="91"/>
      </w:r>
    </w:p>
    <w:p w:rsidR="00D078FF" w:rsidRDefault="005A638F" w:rsidP="00D078FF">
      <w:pPr>
        <w:spacing w:line="360" w:lineRule="auto"/>
        <w:rPr>
          <w:rFonts w:ascii="Times New Roman" w:hAnsi="Times New Roman"/>
          <w:sz w:val="24"/>
          <w:szCs w:val="24"/>
          <w:lang w:bidi="ar-DZ"/>
        </w:rPr>
      </w:pPr>
      <w:r>
        <w:rPr>
          <w:rFonts w:ascii="Times New Roman" w:hAnsi="Times New Roman" w:hint="cs"/>
          <w:sz w:val="24"/>
          <w:szCs w:val="24"/>
          <w:rtl/>
          <w:lang w:bidi="ar-DZ"/>
        </w:rPr>
        <w:t>-</w:t>
      </w:r>
      <w:r w:rsidRPr="00677A36">
        <w:rPr>
          <w:rFonts w:ascii="Times New Roman" w:hAnsi="Times New Roman"/>
          <w:b/>
          <w:bCs/>
          <w:sz w:val="24"/>
          <w:szCs w:val="24"/>
          <w:lang w:bidi="ar-DZ"/>
        </w:rPr>
        <w:t>Pour une utilisation facultative</w:t>
      </w:r>
      <w:r>
        <w:rPr>
          <w:rFonts w:ascii="Times New Roman" w:hAnsi="Times New Roman"/>
          <w:b/>
          <w:bCs/>
          <w:sz w:val="24"/>
          <w:szCs w:val="24"/>
          <w:lang w:bidi="ar-DZ"/>
        </w:rPr>
        <w:t> :</w:t>
      </w:r>
      <w:r>
        <w:rPr>
          <w:rStyle w:val="Appelnotedebasdep"/>
          <w:rFonts w:ascii="Times New Roman" w:hAnsi="Times New Roman"/>
          <w:b/>
          <w:bCs/>
          <w:sz w:val="24"/>
          <w:szCs w:val="24"/>
          <w:lang w:bidi="ar-DZ"/>
        </w:rPr>
        <w:footnoteReference w:id="92"/>
      </w:r>
      <w:r w:rsidRPr="00677A36">
        <w:rPr>
          <w:rFonts w:ascii="Times New Roman" w:hAnsi="Times New Roman"/>
          <w:sz w:val="24"/>
          <w:szCs w:val="24"/>
          <w:lang w:bidi="ar-DZ"/>
        </w:rPr>
        <w:br/>
        <w:t>Le logo peut être utilisé de manière facultative dans les cas suivants :</w:t>
      </w:r>
      <w:r w:rsidRPr="00677A36">
        <w:rPr>
          <w:rFonts w:ascii="Times New Roman" w:hAnsi="Times New Roman"/>
          <w:sz w:val="24"/>
          <w:szCs w:val="24"/>
          <w:lang w:bidi="ar-DZ"/>
        </w:rPr>
        <w:br/>
        <w:t>Les produits importés conformes aux règles européennes pour l'importation de biens biologiques.</w:t>
      </w:r>
      <w:r w:rsidRPr="00677A36">
        <w:rPr>
          <w:rFonts w:ascii="Times New Roman" w:hAnsi="Times New Roman"/>
          <w:sz w:val="24"/>
          <w:szCs w:val="24"/>
          <w:lang w:bidi="ar-DZ"/>
        </w:rPr>
        <w:br/>
        <w:t>Les produits biologiques non emballés.</w:t>
      </w:r>
      <w:r w:rsidRPr="00677A36">
        <w:rPr>
          <w:rFonts w:ascii="Times New Roman" w:hAnsi="Times New Roman"/>
          <w:sz w:val="24"/>
          <w:szCs w:val="24"/>
          <w:lang w:bidi="ar-DZ"/>
        </w:rPr>
        <w:br/>
        <w:t>Les produits biologiques européens mis sur les marchés des pays tiers (hors de l'Union).</w:t>
      </w:r>
      <w:r w:rsidRPr="00677A36">
        <w:rPr>
          <w:rFonts w:ascii="Times New Roman" w:hAnsi="Times New Roman"/>
          <w:sz w:val="24"/>
          <w:szCs w:val="24"/>
          <w:lang w:bidi="ar-DZ"/>
        </w:rPr>
        <w:br/>
        <w:t>Dans le cadre des campagnes de sensibilisation destinées au public sur le système des produits biologiques, à condition qu'elles ne soient pas trompeuses ou utilisées pour suggérer qu'un produit non biologique répond aux exigences d'un produit biologique.</w:t>
      </w:r>
    </w:p>
    <w:p w:rsidR="005A638F" w:rsidRPr="00D078FF" w:rsidRDefault="005A638F" w:rsidP="00D078FF">
      <w:pPr>
        <w:spacing w:line="360" w:lineRule="auto"/>
        <w:rPr>
          <w:rFonts w:ascii="Times New Roman" w:hAnsi="Times New Roman"/>
          <w:sz w:val="24"/>
          <w:szCs w:val="24"/>
          <w:lang w:bidi="ar-DZ"/>
        </w:rPr>
      </w:pPr>
      <w:r w:rsidRPr="00677A36">
        <w:rPr>
          <w:rFonts w:ascii="Times New Roman" w:hAnsi="Times New Roman" w:hint="cs"/>
          <w:b/>
          <w:bCs/>
          <w:sz w:val="24"/>
          <w:szCs w:val="24"/>
          <w:rtl/>
          <w:lang w:bidi="ar-DZ"/>
        </w:rPr>
        <w:t>-</w:t>
      </w:r>
      <w:r w:rsidRPr="00677A36">
        <w:rPr>
          <w:rFonts w:ascii="Times New Roman" w:hAnsi="Times New Roman"/>
          <w:b/>
          <w:bCs/>
          <w:sz w:val="24"/>
          <w:szCs w:val="24"/>
          <w:lang w:bidi="ar-DZ"/>
        </w:rPr>
        <w:t>Cas où l'utilisation du logo n'est pas autorisée</w:t>
      </w:r>
      <w:r>
        <w:rPr>
          <w:rFonts w:ascii="Times New Roman" w:hAnsi="Times New Roman" w:hint="cs"/>
          <w:b/>
          <w:bCs/>
          <w:sz w:val="24"/>
          <w:szCs w:val="24"/>
          <w:rtl/>
          <w:lang w:bidi="ar-DZ"/>
        </w:rPr>
        <w:t> </w:t>
      </w:r>
      <w:r>
        <w:rPr>
          <w:rFonts w:ascii="Times New Roman" w:hAnsi="Times New Roman"/>
          <w:b/>
          <w:bCs/>
          <w:sz w:val="24"/>
          <w:szCs w:val="24"/>
          <w:lang w:bidi="ar-DZ"/>
        </w:rPr>
        <w:t>:</w:t>
      </w:r>
      <w:r>
        <w:rPr>
          <w:rStyle w:val="Appelnotedebasdep"/>
          <w:rFonts w:ascii="Times New Roman" w:hAnsi="Times New Roman"/>
          <w:b/>
          <w:bCs/>
          <w:sz w:val="24"/>
          <w:szCs w:val="24"/>
          <w:lang w:bidi="ar-DZ"/>
        </w:rPr>
        <w:footnoteReference w:id="93"/>
      </w:r>
    </w:p>
    <w:p w:rsidR="005A638F" w:rsidRDefault="005A638F" w:rsidP="00D078FF">
      <w:pPr>
        <w:spacing w:line="360" w:lineRule="auto"/>
        <w:rPr>
          <w:rFonts w:ascii="Times New Roman" w:hAnsi="Times New Roman"/>
          <w:sz w:val="24"/>
          <w:szCs w:val="24"/>
          <w:lang w:bidi="ar-DZ"/>
        </w:rPr>
      </w:pPr>
      <w:r>
        <w:rPr>
          <w:rFonts w:ascii="Times New Roman" w:hAnsi="Times New Roman"/>
          <w:sz w:val="24"/>
          <w:szCs w:val="24"/>
          <w:lang w:bidi="ar-DZ"/>
        </w:rPr>
        <w:t>-</w:t>
      </w:r>
      <w:r w:rsidRPr="00677A36">
        <w:rPr>
          <w:rFonts w:ascii="Times New Roman" w:hAnsi="Times New Roman"/>
          <w:sz w:val="24"/>
          <w:szCs w:val="24"/>
          <w:lang w:bidi="ar-DZ"/>
        </w:rPr>
        <w:t>Les produits contenant moins de 95 % d'ingrédients biologiques.</w:t>
      </w:r>
      <w:r w:rsidRPr="00677A36">
        <w:rPr>
          <w:rFonts w:ascii="Times New Roman" w:hAnsi="Times New Roman"/>
          <w:sz w:val="24"/>
          <w:szCs w:val="24"/>
          <w:lang w:bidi="ar-DZ"/>
        </w:rPr>
        <w:br/>
      </w:r>
      <w:r>
        <w:rPr>
          <w:rFonts w:ascii="Times New Roman" w:hAnsi="Times New Roman"/>
          <w:sz w:val="24"/>
          <w:szCs w:val="24"/>
          <w:lang w:bidi="ar-DZ"/>
        </w:rPr>
        <w:t>-</w:t>
      </w:r>
      <w:r w:rsidRPr="00677A36">
        <w:rPr>
          <w:rFonts w:ascii="Times New Roman" w:hAnsi="Times New Roman"/>
          <w:sz w:val="24"/>
          <w:szCs w:val="24"/>
          <w:lang w:bidi="ar-DZ"/>
        </w:rPr>
        <w:t>Les opérations de restauration collective telles que les restaurants ou les hôpitaux.</w:t>
      </w:r>
      <w:r w:rsidRPr="00677A36">
        <w:rPr>
          <w:rFonts w:ascii="Times New Roman" w:hAnsi="Times New Roman"/>
          <w:sz w:val="24"/>
          <w:szCs w:val="24"/>
          <w:lang w:bidi="ar-DZ"/>
        </w:rPr>
        <w:br/>
      </w:r>
      <w:r>
        <w:rPr>
          <w:rFonts w:ascii="Times New Roman" w:hAnsi="Times New Roman"/>
          <w:sz w:val="24"/>
          <w:szCs w:val="24"/>
          <w:lang w:bidi="ar-DZ"/>
        </w:rPr>
        <w:t>-</w:t>
      </w:r>
      <w:r w:rsidRPr="00677A36">
        <w:rPr>
          <w:rFonts w:ascii="Times New Roman" w:hAnsi="Times New Roman"/>
          <w:sz w:val="24"/>
          <w:szCs w:val="24"/>
          <w:lang w:bidi="ar-DZ"/>
        </w:rPr>
        <w:t>Les produits non couverts par les règles biologiques, tels que les cosmétiques ou les produits de pêche et de chasse.</w:t>
      </w:r>
      <w:r w:rsidRPr="00677A36">
        <w:rPr>
          <w:rFonts w:ascii="Times New Roman" w:hAnsi="Times New Roman"/>
          <w:sz w:val="24"/>
          <w:szCs w:val="24"/>
          <w:lang w:bidi="ar-DZ"/>
        </w:rPr>
        <w:br/>
      </w:r>
      <w:r>
        <w:rPr>
          <w:rFonts w:ascii="Times New Roman" w:hAnsi="Times New Roman"/>
          <w:sz w:val="24"/>
          <w:szCs w:val="24"/>
          <w:lang w:bidi="ar-DZ"/>
        </w:rPr>
        <w:t>-</w:t>
      </w:r>
      <w:r w:rsidRPr="00677A36">
        <w:rPr>
          <w:rFonts w:ascii="Times New Roman" w:hAnsi="Times New Roman"/>
          <w:sz w:val="24"/>
          <w:szCs w:val="24"/>
          <w:lang w:bidi="ar-DZ"/>
        </w:rPr>
        <w:t>les produits "en transition" (où les méthodes biologiques viennent d'être introduites, et il peut encore y avoir des substances non biologiques dans le sol ou la chaîne alimentaire).</w:t>
      </w:r>
    </w:p>
    <w:p w:rsidR="00697DE2" w:rsidRPr="00697DE2" w:rsidRDefault="00697DE2" w:rsidP="00D078FF">
      <w:pPr>
        <w:pStyle w:val="Lgende"/>
        <w:spacing w:line="360" w:lineRule="auto"/>
        <w:jc w:val="both"/>
        <w:rPr>
          <w:rFonts w:ascii="Times New Roman" w:eastAsia="Calibri" w:hAnsi="Times New Roman" w:cs="Arial"/>
          <w:i w:val="0"/>
          <w:iCs w:val="0"/>
          <w:color w:val="auto"/>
          <w:kern w:val="3"/>
          <w:sz w:val="24"/>
          <w:szCs w:val="24"/>
          <w:rtl/>
          <w:lang w:bidi="ar-DZ"/>
        </w:rPr>
      </w:pPr>
      <w:bookmarkStart w:id="103" w:name="_Toc230400741"/>
      <w:r w:rsidRPr="00697DE2">
        <w:rPr>
          <w:rFonts w:ascii="Times New Roman" w:eastAsia="Calibri" w:hAnsi="Times New Roman" w:cs="Arial"/>
          <w:b/>
          <w:bCs/>
          <w:i w:val="0"/>
          <w:iCs w:val="0"/>
          <w:color w:val="auto"/>
          <w:kern w:val="3"/>
          <w:sz w:val="24"/>
          <w:szCs w:val="24"/>
          <w:lang w:bidi="ar-DZ"/>
        </w:rPr>
        <w:t xml:space="preserve">Tableau </w:t>
      </w:r>
      <w:r w:rsidR="007B5998" w:rsidRPr="00697DE2">
        <w:rPr>
          <w:rFonts w:ascii="Times New Roman" w:eastAsia="Calibri" w:hAnsi="Times New Roman" w:cs="Arial"/>
          <w:b/>
          <w:bCs/>
          <w:i w:val="0"/>
          <w:iCs w:val="0"/>
          <w:color w:val="auto"/>
          <w:kern w:val="3"/>
          <w:sz w:val="24"/>
          <w:szCs w:val="24"/>
          <w:lang w:bidi="ar-DZ"/>
        </w:rPr>
        <w:fldChar w:fldCharType="begin"/>
      </w:r>
      <w:r w:rsidRPr="00697DE2">
        <w:rPr>
          <w:rFonts w:ascii="Times New Roman" w:eastAsia="Calibri" w:hAnsi="Times New Roman" w:cs="Arial"/>
          <w:b/>
          <w:bCs/>
          <w:i w:val="0"/>
          <w:iCs w:val="0"/>
          <w:color w:val="auto"/>
          <w:kern w:val="3"/>
          <w:sz w:val="24"/>
          <w:szCs w:val="24"/>
          <w:lang w:bidi="ar-DZ"/>
        </w:rPr>
        <w:instrText xml:space="preserve"> SEQ Tableau \* ARABIC </w:instrText>
      </w:r>
      <w:r w:rsidR="007B5998" w:rsidRPr="00697DE2">
        <w:rPr>
          <w:rFonts w:ascii="Times New Roman" w:eastAsia="Calibri" w:hAnsi="Times New Roman" w:cs="Arial"/>
          <w:b/>
          <w:bCs/>
          <w:i w:val="0"/>
          <w:iCs w:val="0"/>
          <w:color w:val="auto"/>
          <w:kern w:val="3"/>
          <w:sz w:val="24"/>
          <w:szCs w:val="24"/>
          <w:lang w:bidi="ar-DZ"/>
        </w:rPr>
        <w:fldChar w:fldCharType="separate"/>
      </w:r>
      <w:r w:rsidR="00515B25">
        <w:rPr>
          <w:rFonts w:ascii="Times New Roman" w:eastAsia="Calibri" w:hAnsi="Times New Roman" w:cs="Arial"/>
          <w:b/>
          <w:bCs/>
          <w:i w:val="0"/>
          <w:iCs w:val="0"/>
          <w:noProof/>
          <w:color w:val="auto"/>
          <w:kern w:val="3"/>
          <w:sz w:val="24"/>
          <w:szCs w:val="24"/>
          <w:lang w:bidi="ar-DZ"/>
        </w:rPr>
        <w:t>3</w:t>
      </w:r>
      <w:r w:rsidR="007B5998" w:rsidRPr="00697DE2">
        <w:rPr>
          <w:rFonts w:ascii="Times New Roman" w:eastAsia="Calibri" w:hAnsi="Times New Roman" w:cs="Arial"/>
          <w:b/>
          <w:bCs/>
          <w:i w:val="0"/>
          <w:iCs w:val="0"/>
          <w:color w:val="auto"/>
          <w:kern w:val="3"/>
          <w:sz w:val="24"/>
          <w:szCs w:val="24"/>
          <w:lang w:bidi="ar-DZ"/>
        </w:rPr>
        <w:fldChar w:fldCharType="end"/>
      </w:r>
      <w:r w:rsidRPr="00697DE2">
        <w:rPr>
          <w:rFonts w:ascii="Times New Roman" w:eastAsia="Calibri" w:hAnsi="Times New Roman" w:cs="Arial"/>
          <w:b/>
          <w:bCs/>
          <w:i w:val="0"/>
          <w:iCs w:val="0"/>
          <w:color w:val="auto"/>
          <w:kern w:val="3"/>
          <w:sz w:val="24"/>
          <w:szCs w:val="24"/>
          <w:lang w:bidi="ar-DZ"/>
        </w:rPr>
        <w:t xml:space="preserve"> :</w:t>
      </w:r>
      <w:r w:rsidRPr="00697DE2">
        <w:rPr>
          <w:rFonts w:ascii="Times New Roman" w:eastAsia="Calibri" w:hAnsi="Times New Roman" w:cs="Arial"/>
          <w:i w:val="0"/>
          <w:iCs w:val="0"/>
          <w:color w:val="auto"/>
          <w:kern w:val="3"/>
          <w:sz w:val="24"/>
          <w:szCs w:val="24"/>
          <w:lang w:bidi="ar-DZ"/>
        </w:rPr>
        <w:t xml:space="preserve"> Exigences techniques et différences concrètes :</w:t>
      </w:r>
      <w:bookmarkEnd w:id="103"/>
    </w:p>
    <w:p w:rsidR="005A638F" w:rsidRDefault="005A638F" w:rsidP="00D078FF">
      <w:pPr>
        <w:spacing w:line="360" w:lineRule="auto"/>
        <w:jc w:val="both"/>
        <w:rPr>
          <w:rFonts w:ascii="Times New Roman" w:hAnsi="Times New Roman"/>
          <w:b/>
          <w:bCs/>
          <w:sz w:val="24"/>
          <w:szCs w:val="24"/>
          <w:lang w:bidi="ar-DZ"/>
        </w:rPr>
      </w:pPr>
      <w:r>
        <w:rPr>
          <w:rFonts w:ascii="Times New Roman" w:hAnsi="Times New Roman"/>
          <w:b/>
          <w:bCs/>
          <w:sz w:val="24"/>
          <w:szCs w:val="24"/>
          <w:lang w:bidi="ar-DZ"/>
        </w:rPr>
        <w:t>-</w:t>
      </w:r>
    </w:p>
    <w:p w:rsidR="00697DE2" w:rsidRDefault="00697DE2" w:rsidP="00D078FF">
      <w:pPr>
        <w:spacing w:line="360" w:lineRule="auto"/>
        <w:jc w:val="both"/>
        <w:rPr>
          <w:rFonts w:ascii="Times New Roman" w:hAnsi="Times New Roman"/>
          <w:b/>
          <w:bCs/>
          <w:sz w:val="24"/>
          <w:szCs w:val="24"/>
          <w:lang w:bidi="ar-DZ"/>
        </w:rPr>
      </w:pPr>
    </w:p>
    <w:p w:rsidR="005A638F" w:rsidRDefault="005A638F" w:rsidP="00D078FF">
      <w:pPr>
        <w:spacing w:line="360" w:lineRule="auto"/>
        <w:jc w:val="both"/>
        <w:rPr>
          <w:rFonts w:ascii="Times New Roman" w:hAnsi="Times New Roman"/>
          <w:b/>
          <w:bCs/>
          <w:sz w:val="24"/>
          <w:szCs w:val="24"/>
          <w:rtl/>
          <w:lang w:bidi="ar-DZ"/>
        </w:rPr>
      </w:pPr>
    </w:p>
    <w:tbl>
      <w:tblPr>
        <w:tblStyle w:val="Grilledutableau"/>
        <w:tblpPr w:leftFromText="141" w:rightFromText="141" w:vertAnchor="page" w:horzAnchor="margin" w:tblpY="2215"/>
        <w:tblW w:w="9464" w:type="dxa"/>
        <w:tblLook w:val="04A0"/>
      </w:tblPr>
      <w:tblGrid>
        <w:gridCol w:w="3652"/>
        <w:gridCol w:w="5812"/>
      </w:tblGrid>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Critère</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Label Bio européen</w:t>
            </w:r>
          </w:p>
        </w:tc>
      </w:tr>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Produits éligibles</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Idem, plus substances de base et nouveaux produits (à compter de 2022)</w:t>
            </w:r>
          </w:p>
        </w:tc>
      </w:tr>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OGM</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Idem, 0,9% maximum toléré fortuitement</w:t>
            </w:r>
          </w:p>
        </w:tc>
      </w:tr>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Ingrédients non bio autorisés</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5% max, exceptions similaires</w:t>
            </w:r>
          </w:p>
        </w:tc>
      </w:tr>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Produits transformés</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Idem</w:t>
            </w:r>
          </w:p>
        </w:tc>
      </w:tr>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Contrôles</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1 audit/ an minimum, renforcé par la DGCCRF, possibles audits inopinés</w:t>
            </w:r>
          </w:p>
        </w:tc>
      </w:tr>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Transparence origine</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Obligation d’indiquer « agriculture UE/non UE »</w:t>
            </w:r>
          </w:p>
        </w:tc>
      </w:tr>
      <w:tr w:rsidR="00981E6F" w:rsidRPr="00697DE2" w:rsidTr="00981E6F">
        <w:trPr>
          <w:trHeight w:val="738"/>
        </w:trPr>
        <w:tc>
          <w:tcPr>
            <w:tcW w:w="3652" w:type="dxa"/>
          </w:tcPr>
          <w:p w:rsidR="00981E6F" w:rsidRPr="00697DE2" w:rsidRDefault="00981E6F" w:rsidP="00981E6F">
            <w:pPr>
              <w:spacing w:line="360" w:lineRule="auto"/>
              <w:jc w:val="both"/>
              <w:rPr>
                <w:rFonts w:ascii="Times New Roman" w:hAnsi="Times New Roman"/>
                <w:b/>
                <w:bCs/>
                <w:sz w:val="24"/>
                <w:szCs w:val="24"/>
                <w:lang w:bidi="ar-DZ"/>
              </w:rPr>
            </w:pPr>
          </w:p>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Communication</w:t>
            </w:r>
          </w:p>
        </w:tc>
        <w:tc>
          <w:tcPr>
            <w:tcW w:w="5812" w:type="dxa"/>
          </w:tcPr>
          <w:p w:rsidR="00981E6F" w:rsidRPr="00697DE2" w:rsidRDefault="00981E6F" w:rsidP="00981E6F">
            <w:pPr>
              <w:spacing w:line="360" w:lineRule="auto"/>
              <w:jc w:val="both"/>
              <w:rPr>
                <w:rFonts w:ascii="Times New Roman" w:hAnsi="Times New Roman"/>
                <w:b/>
                <w:bCs/>
                <w:sz w:val="24"/>
                <w:szCs w:val="24"/>
                <w:lang w:bidi="ar-DZ"/>
              </w:rPr>
            </w:pPr>
            <w:r w:rsidRPr="00697DE2">
              <w:rPr>
                <w:rFonts w:ascii="Times New Roman" w:hAnsi="Times New Roman"/>
                <w:b/>
                <w:bCs/>
                <w:sz w:val="24"/>
                <w:szCs w:val="24"/>
                <w:lang w:bidi="ar-DZ"/>
              </w:rPr>
              <w:t>Apposable partout en Europe, obligatoire sur emballage</w:t>
            </w:r>
          </w:p>
        </w:tc>
      </w:tr>
    </w:tbl>
    <w:p w:rsidR="00981E6F" w:rsidRDefault="00981E6F" w:rsidP="00D078FF">
      <w:pPr>
        <w:spacing w:line="360" w:lineRule="auto"/>
        <w:jc w:val="both"/>
        <w:rPr>
          <w:rFonts w:ascii="Times New Roman" w:hAnsi="Times New Roman"/>
          <w:b/>
          <w:bCs/>
          <w:sz w:val="24"/>
          <w:szCs w:val="24"/>
          <w:lang w:bidi="ar-DZ"/>
        </w:rPr>
      </w:pPr>
    </w:p>
    <w:p w:rsidR="005A638F" w:rsidRDefault="005A638F" w:rsidP="00D078FF">
      <w:pPr>
        <w:spacing w:line="360" w:lineRule="auto"/>
        <w:jc w:val="both"/>
        <w:rPr>
          <w:rFonts w:ascii="Times New Roman" w:hAnsi="Times New Roman"/>
          <w:b/>
          <w:bCs/>
          <w:sz w:val="24"/>
          <w:szCs w:val="24"/>
          <w:lang w:bidi="ar-DZ"/>
        </w:rPr>
      </w:pPr>
    </w:p>
    <w:p w:rsidR="005A638F" w:rsidRPr="007C3D9F" w:rsidRDefault="005A638F" w:rsidP="00D078FF">
      <w:pPr>
        <w:spacing w:line="360" w:lineRule="auto"/>
        <w:jc w:val="both"/>
        <w:rPr>
          <w:rFonts w:asciiTheme="majorBidi" w:hAnsiTheme="majorBidi" w:cstheme="majorBidi"/>
        </w:rPr>
      </w:pPr>
      <w:r>
        <w:rPr>
          <w:rFonts w:ascii="Times New Roman" w:hAnsi="Times New Roman"/>
          <w:b/>
          <w:bCs/>
          <w:sz w:val="24"/>
          <w:szCs w:val="24"/>
          <w:lang w:bidi="ar-DZ"/>
        </w:rPr>
        <w:t>Source :</w:t>
      </w:r>
      <w:r w:rsidRPr="007C3D9F">
        <w:rPr>
          <w:rFonts w:asciiTheme="majorBidi" w:hAnsiTheme="majorBidi" w:cstheme="majorBidi"/>
        </w:rPr>
        <w:t>Agrocert, « AB ou Eurofeuille : Ce qui distingue vraiment le label Bio français du label européen », [en ligne], 30 avril 2025, disponible sur : </w:t>
      </w:r>
      <w:hyperlink r:id="rId35" w:tgtFrame="_blank" w:history="1">
        <w:r w:rsidRPr="007C3D9F">
          <w:rPr>
            <w:rStyle w:val="Lienhypertexte"/>
            <w:rFonts w:asciiTheme="majorBidi" w:hAnsiTheme="majorBidi" w:cstheme="majorBidi"/>
          </w:rPr>
          <w:t>https://www.agrocert.fr/difference-label-agriculture-biologique-bio-europeen.html</w:t>
        </w:r>
      </w:hyperlink>
      <w:r w:rsidRPr="007C3D9F">
        <w:rPr>
          <w:rFonts w:asciiTheme="majorBidi" w:hAnsiTheme="majorBidi" w:cstheme="majorBidi"/>
        </w:rPr>
        <w:t> (consulté le 30 avril 2026).</w:t>
      </w:r>
    </w:p>
    <w:p w:rsidR="005A638F" w:rsidRPr="00303F99" w:rsidRDefault="005A638F" w:rsidP="00D078FF">
      <w:pPr>
        <w:spacing w:line="360" w:lineRule="auto"/>
        <w:jc w:val="both"/>
        <w:rPr>
          <w:rFonts w:ascii="Times New Roman" w:hAnsi="Times New Roman"/>
          <w:b/>
          <w:bCs/>
          <w:sz w:val="24"/>
          <w:szCs w:val="24"/>
          <w:rtl/>
          <w:lang w:bidi="ar-DZ"/>
        </w:rPr>
      </w:pPr>
      <w:r>
        <w:rPr>
          <w:rFonts w:ascii="Times New Roman" w:hAnsi="Times New Roman"/>
          <w:b/>
          <w:bCs/>
          <w:sz w:val="24"/>
          <w:szCs w:val="24"/>
          <w:lang w:bidi="ar-DZ"/>
        </w:rPr>
        <w:t>-</w:t>
      </w:r>
      <w:r w:rsidRPr="00303F99">
        <w:rPr>
          <w:rFonts w:ascii="Times New Roman" w:hAnsi="Times New Roman"/>
          <w:b/>
          <w:bCs/>
          <w:sz w:val="24"/>
          <w:szCs w:val="24"/>
          <w:lang w:bidi="ar-DZ"/>
        </w:rPr>
        <w:t>Le label AB (Agriculture Biologique)</w:t>
      </w:r>
    </w:p>
    <w:p w:rsidR="005A638F" w:rsidRDefault="005A638F" w:rsidP="00D078FF">
      <w:pPr>
        <w:spacing w:line="360" w:lineRule="auto"/>
        <w:ind w:firstLine="567"/>
        <w:jc w:val="both"/>
        <w:rPr>
          <w:rFonts w:ascii="Times New Roman" w:hAnsi="Times New Roman"/>
          <w:sz w:val="24"/>
          <w:szCs w:val="24"/>
          <w:lang w:bidi="ar-DZ"/>
        </w:rPr>
      </w:pPr>
      <w:r w:rsidRPr="00303F99">
        <w:rPr>
          <w:rFonts w:ascii="Times New Roman" w:hAnsi="Times New Roman"/>
          <w:sz w:val="24"/>
          <w:szCs w:val="24"/>
          <w:lang w:bidi="ar-DZ"/>
        </w:rPr>
        <w:t xml:space="preserve"> Est le label national français de qualité pour les produits biologiques, lancé en 1985 et géré par l'organisme gouvernemental INAO. Ce logo est considéré comme une marque française distinctive appartenant au ministère français de l'Agriculture, et sa validité est limitée au territoire français uniquement. L'utilisation du logo est autorisée de manière facultative sur les produits biologiques certifiés selon les spécifications françaises, et il aide les consommateurs français à identifier facilement les produits biologiques. De plus, il est </w:t>
      </w:r>
      <w:r w:rsidRPr="00303F99">
        <w:rPr>
          <w:rFonts w:ascii="Times New Roman" w:hAnsi="Times New Roman"/>
          <w:sz w:val="24"/>
          <w:szCs w:val="24"/>
          <w:lang w:bidi="ar-DZ"/>
        </w:rPr>
        <w:lastRenderedPageBreak/>
        <w:t>presque obligatoirement demandé par les distributeurs français pour garantir la conformité des produits aux normes nationales.</w:t>
      </w:r>
      <w:r>
        <w:rPr>
          <w:rStyle w:val="Appelnotedebasdep"/>
          <w:rFonts w:ascii="Times New Roman" w:hAnsi="Times New Roman"/>
          <w:sz w:val="24"/>
          <w:szCs w:val="24"/>
          <w:lang w:bidi="ar-DZ"/>
        </w:rPr>
        <w:footnoteReference w:id="94"/>
      </w:r>
    </w:p>
    <w:p w:rsidR="005A638F" w:rsidRPr="00697DE2" w:rsidRDefault="00697DE2" w:rsidP="00D078FF">
      <w:pPr>
        <w:pStyle w:val="Lgende"/>
        <w:spacing w:line="360" w:lineRule="auto"/>
        <w:jc w:val="both"/>
        <w:rPr>
          <w:rFonts w:asciiTheme="majorBidi" w:hAnsiTheme="majorBidi" w:cstheme="majorBidi"/>
          <w:i w:val="0"/>
          <w:iCs w:val="0"/>
          <w:sz w:val="24"/>
          <w:szCs w:val="24"/>
          <w:lang w:bidi="ar-DZ"/>
        </w:rPr>
      </w:pPr>
      <w:bookmarkStart w:id="104" w:name="_Toc230399440"/>
      <w:r w:rsidRPr="00697DE2">
        <w:rPr>
          <w:rFonts w:asciiTheme="majorBidi" w:hAnsiTheme="majorBidi" w:cstheme="majorBidi"/>
          <w:b/>
          <w:bCs/>
          <w:i w:val="0"/>
          <w:iCs w:val="0"/>
          <w:color w:val="auto"/>
          <w:sz w:val="24"/>
          <w:szCs w:val="24"/>
        </w:rPr>
        <w:t xml:space="preserve">Figure </w:t>
      </w:r>
      <w:r w:rsidR="007B5998" w:rsidRPr="00697DE2">
        <w:rPr>
          <w:rFonts w:asciiTheme="majorBidi" w:hAnsiTheme="majorBidi" w:cstheme="majorBidi"/>
          <w:b/>
          <w:bCs/>
          <w:i w:val="0"/>
          <w:iCs w:val="0"/>
          <w:color w:val="auto"/>
          <w:sz w:val="24"/>
          <w:szCs w:val="24"/>
        </w:rPr>
        <w:fldChar w:fldCharType="begin"/>
      </w:r>
      <w:r w:rsidRPr="00697DE2">
        <w:rPr>
          <w:rFonts w:asciiTheme="majorBidi" w:hAnsiTheme="majorBidi" w:cstheme="majorBidi"/>
          <w:b/>
          <w:bCs/>
          <w:i w:val="0"/>
          <w:iCs w:val="0"/>
          <w:color w:val="auto"/>
          <w:sz w:val="24"/>
          <w:szCs w:val="24"/>
        </w:rPr>
        <w:instrText xml:space="preserve"> SEQ Figure \* ARABIC </w:instrText>
      </w:r>
      <w:r w:rsidR="007B5998" w:rsidRPr="00697DE2">
        <w:rPr>
          <w:rFonts w:asciiTheme="majorBidi" w:hAnsiTheme="majorBidi" w:cstheme="majorBidi"/>
          <w:b/>
          <w:bCs/>
          <w:i w:val="0"/>
          <w:iCs w:val="0"/>
          <w:color w:val="auto"/>
          <w:sz w:val="24"/>
          <w:szCs w:val="24"/>
        </w:rPr>
        <w:fldChar w:fldCharType="separate"/>
      </w:r>
      <w:r w:rsidR="00515B25">
        <w:rPr>
          <w:rFonts w:asciiTheme="majorBidi" w:hAnsiTheme="majorBidi" w:cstheme="majorBidi"/>
          <w:b/>
          <w:bCs/>
          <w:i w:val="0"/>
          <w:iCs w:val="0"/>
          <w:noProof/>
          <w:color w:val="auto"/>
          <w:sz w:val="24"/>
          <w:szCs w:val="24"/>
        </w:rPr>
        <w:t>4</w:t>
      </w:r>
      <w:r w:rsidR="007B5998" w:rsidRPr="00697DE2">
        <w:rPr>
          <w:rFonts w:asciiTheme="majorBidi" w:hAnsiTheme="majorBidi" w:cstheme="majorBidi"/>
          <w:b/>
          <w:bCs/>
          <w:i w:val="0"/>
          <w:iCs w:val="0"/>
          <w:color w:val="auto"/>
          <w:sz w:val="24"/>
          <w:szCs w:val="24"/>
        </w:rPr>
        <w:fldChar w:fldCharType="end"/>
      </w:r>
      <w:r w:rsidRPr="00697DE2">
        <w:rPr>
          <w:rFonts w:asciiTheme="majorBidi" w:hAnsiTheme="majorBidi" w:cstheme="majorBidi"/>
          <w:b/>
          <w:bCs/>
          <w:i w:val="0"/>
          <w:iCs w:val="0"/>
          <w:color w:val="auto"/>
          <w:sz w:val="24"/>
          <w:szCs w:val="24"/>
        </w:rPr>
        <w:t xml:space="preserve"> :</w:t>
      </w:r>
      <w:r w:rsidRPr="00697DE2">
        <w:rPr>
          <w:rFonts w:asciiTheme="majorBidi" w:hAnsiTheme="majorBidi" w:cstheme="majorBidi"/>
          <w:i w:val="0"/>
          <w:iCs w:val="0"/>
          <w:color w:val="auto"/>
          <w:sz w:val="24"/>
          <w:szCs w:val="24"/>
        </w:rPr>
        <w:t xml:space="preserve"> le logo AB bio</w:t>
      </w:r>
      <w:r w:rsidR="005A638F">
        <w:rPr>
          <w:noProof/>
          <w:lang w:eastAsia="fr-FR"/>
        </w:rPr>
        <w:drawing>
          <wp:anchor distT="0" distB="0" distL="114300" distR="114300" simplePos="0" relativeHeight="251712512" behindDoc="0" locked="0" layoutInCell="1" allowOverlap="1">
            <wp:simplePos x="0" y="0"/>
            <wp:positionH relativeFrom="margin">
              <wp:posOffset>1732496</wp:posOffset>
            </wp:positionH>
            <wp:positionV relativeFrom="paragraph">
              <wp:posOffset>339294</wp:posOffset>
            </wp:positionV>
            <wp:extent cx="2362835" cy="1319530"/>
            <wp:effectExtent l="0" t="0" r="0" b="0"/>
            <wp:wrapTopAndBottom/>
            <wp:docPr id="1861728923" name="Image 3" descr="Les règles d'utilisation des logos liés à l'agriculture biologique | IN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s règles d'utilisation des logos liés à l'agriculture biologique | INAO"/>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2835" cy="1319530"/>
                    </a:xfrm>
                    <a:prstGeom prst="rect">
                      <a:avLst/>
                    </a:prstGeom>
                    <a:noFill/>
                    <a:ln>
                      <a:noFill/>
                    </a:ln>
                  </pic:spPr>
                </pic:pic>
              </a:graphicData>
            </a:graphic>
          </wp:anchor>
        </w:drawing>
      </w:r>
      <w:bookmarkEnd w:id="104"/>
    </w:p>
    <w:p w:rsidR="005A638F" w:rsidRDefault="005A638F" w:rsidP="00D078FF">
      <w:pPr>
        <w:spacing w:line="360" w:lineRule="auto"/>
        <w:jc w:val="both"/>
        <w:rPr>
          <w:rFonts w:ascii="Times New Roman" w:hAnsi="Times New Roman"/>
          <w:b/>
          <w:bCs/>
          <w:sz w:val="20"/>
          <w:szCs w:val="20"/>
          <w:lang w:bidi="ar-DZ"/>
        </w:rPr>
      </w:pPr>
      <w:r>
        <w:rPr>
          <w:rFonts w:ascii="Times New Roman" w:hAnsi="Times New Roman"/>
          <w:b/>
          <w:bCs/>
          <w:sz w:val="20"/>
          <w:szCs w:val="20"/>
          <w:lang w:bidi="ar-DZ"/>
        </w:rPr>
        <w:t>Source :</w:t>
      </w:r>
      <w:r w:rsidRPr="00D12168">
        <w:rPr>
          <w:rFonts w:ascii="Times New Roman" w:hAnsi="Times New Roman"/>
          <w:b/>
          <w:bCs/>
          <w:sz w:val="20"/>
          <w:szCs w:val="20"/>
          <w:lang w:bidi="ar-DZ"/>
        </w:rPr>
        <w:t>Ministère de l'Agriculture et de la Souveraineté alimentaire (France), « La certification en agriculture biologique », [en ligne], s.d., disponible sur : </w:t>
      </w:r>
      <w:hyperlink r:id="rId37" w:tgtFrame="_blank" w:history="1">
        <w:r w:rsidRPr="00D12168">
          <w:rPr>
            <w:rStyle w:val="Lienhypertexte"/>
            <w:rFonts w:ascii="Times New Roman" w:hAnsi="Times New Roman"/>
            <w:b/>
            <w:bCs/>
            <w:sz w:val="20"/>
            <w:szCs w:val="20"/>
            <w:lang w:bidi="ar-DZ"/>
          </w:rPr>
          <w:t>https://agriculture.gouv.fr/la-certification-en-agriculture-biologique</w:t>
        </w:r>
      </w:hyperlink>
      <w:r w:rsidRPr="00D12168">
        <w:rPr>
          <w:rFonts w:ascii="Times New Roman" w:hAnsi="Times New Roman"/>
          <w:b/>
          <w:bCs/>
          <w:sz w:val="20"/>
          <w:szCs w:val="20"/>
          <w:lang w:bidi="ar-DZ"/>
        </w:rPr>
        <w:t> (consulté le 30 avril 2026).</w:t>
      </w:r>
    </w:p>
    <w:p w:rsidR="007C3D9F" w:rsidRDefault="00D078FF" w:rsidP="00D078FF">
      <w:pPr>
        <w:spacing w:after="0" w:line="360" w:lineRule="auto"/>
        <w:jc w:val="both"/>
        <w:rPr>
          <w:rFonts w:ascii="Times New Roman" w:hAnsi="Times New Roman"/>
          <w:sz w:val="24"/>
          <w:szCs w:val="24"/>
          <w:lang w:bidi="ar-DZ"/>
        </w:rPr>
      </w:pPr>
      <w:r w:rsidRPr="00697DE2">
        <w:rPr>
          <w:rFonts w:ascii="Times New Roman" w:hAnsi="Times New Roman"/>
          <w:b/>
          <w:bCs/>
          <w:sz w:val="24"/>
          <w:szCs w:val="24"/>
          <w:lang w:bidi="ar-DZ"/>
        </w:rPr>
        <w:t xml:space="preserve">Tableau </w:t>
      </w:r>
      <w:r w:rsidR="007B5998" w:rsidRPr="00697DE2">
        <w:rPr>
          <w:rFonts w:ascii="Times New Roman" w:hAnsi="Times New Roman"/>
          <w:b/>
          <w:bCs/>
          <w:sz w:val="24"/>
          <w:szCs w:val="24"/>
          <w:lang w:bidi="ar-DZ"/>
        </w:rPr>
        <w:fldChar w:fldCharType="begin"/>
      </w:r>
      <w:r w:rsidRPr="00697DE2">
        <w:rPr>
          <w:rFonts w:ascii="Times New Roman" w:hAnsi="Times New Roman"/>
          <w:b/>
          <w:bCs/>
          <w:sz w:val="24"/>
          <w:szCs w:val="24"/>
          <w:lang w:bidi="ar-DZ"/>
        </w:rPr>
        <w:instrText xml:space="preserve"> SEQ Tableau \* ARABIC </w:instrText>
      </w:r>
      <w:r w:rsidR="007B5998" w:rsidRPr="00697DE2">
        <w:rPr>
          <w:rFonts w:ascii="Times New Roman" w:hAnsi="Times New Roman"/>
          <w:b/>
          <w:bCs/>
          <w:sz w:val="24"/>
          <w:szCs w:val="24"/>
          <w:lang w:bidi="ar-DZ"/>
        </w:rPr>
        <w:fldChar w:fldCharType="separate"/>
      </w:r>
      <w:r w:rsidR="00515B25">
        <w:rPr>
          <w:rFonts w:ascii="Times New Roman" w:hAnsi="Times New Roman"/>
          <w:b/>
          <w:bCs/>
          <w:noProof/>
          <w:sz w:val="24"/>
          <w:szCs w:val="24"/>
          <w:lang w:bidi="ar-DZ"/>
        </w:rPr>
        <w:t>4</w:t>
      </w:r>
      <w:r w:rsidR="007B5998" w:rsidRPr="00697DE2">
        <w:rPr>
          <w:rFonts w:ascii="Times New Roman" w:hAnsi="Times New Roman"/>
          <w:b/>
          <w:bCs/>
          <w:sz w:val="24"/>
          <w:szCs w:val="24"/>
          <w:lang w:bidi="ar-DZ"/>
        </w:rPr>
        <w:fldChar w:fldCharType="end"/>
      </w:r>
      <w:r w:rsidRPr="00697DE2">
        <w:rPr>
          <w:rFonts w:ascii="Times New Roman" w:hAnsi="Times New Roman"/>
          <w:b/>
          <w:bCs/>
          <w:sz w:val="24"/>
          <w:szCs w:val="24"/>
          <w:lang w:bidi="ar-DZ"/>
        </w:rPr>
        <w:t xml:space="preserve"> :</w:t>
      </w:r>
      <w:r w:rsidRPr="00697DE2">
        <w:rPr>
          <w:rFonts w:ascii="Times New Roman" w:hAnsi="Times New Roman"/>
          <w:sz w:val="24"/>
          <w:szCs w:val="24"/>
          <w:lang w:bidi="ar-DZ"/>
        </w:rPr>
        <w:t xml:space="preserve"> Exigences techniques et différences concrètes :</w:t>
      </w:r>
    </w:p>
    <w:tbl>
      <w:tblPr>
        <w:tblStyle w:val="Grilledutableau"/>
        <w:tblpPr w:leftFromText="141" w:rightFromText="141" w:vertAnchor="page" w:horzAnchor="page" w:tblpX="960" w:tblpY="7630"/>
        <w:tblW w:w="9747" w:type="dxa"/>
        <w:tblLook w:val="04A0"/>
      </w:tblPr>
      <w:tblGrid>
        <w:gridCol w:w="3823"/>
        <w:gridCol w:w="5924"/>
      </w:tblGrid>
      <w:tr w:rsidR="00981E6F" w:rsidTr="00981E6F">
        <w:trPr>
          <w:trHeight w:val="698"/>
        </w:trPr>
        <w:tc>
          <w:tcPr>
            <w:tcW w:w="3823" w:type="dxa"/>
            <w:vAlign w:val="center"/>
          </w:tcPr>
          <w:p w:rsidR="00981E6F" w:rsidRPr="00C81D92" w:rsidRDefault="00981E6F" w:rsidP="00981E6F">
            <w:pPr>
              <w:rPr>
                <w:rFonts w:asciiTheme="majorBidi" w:hAnsiTheme="majorBidi" w:cstheme="majorBidi"/>
                <w:b/>
                <w:bCs/>
                <w:color w:val="212529"/>
                <w:spacing w:val="30"/>
                <w:sz w:val="24"/>
                <w:szCs w:val="24"/>
              </w:rPr>
            </w:pPr>
            <w:bookmarkStart w:id="105" w:name="_Toc230400742"/>
            <w:r w:rsidRPr="00303F99">
              <w:rPr>
                <w:rFonts w:asciiTheme="majorBidi" w:hAnsiTheme="majorBidi" w:cstheme="majorBidi"/>
                <w:b/>
                <w:bCs/>
                <w:color w:val="212529"/>
                <w:spacing w:val="30"/>
                <w:sz w:val="24"/>
                <w:szCs w:val="24"/>
              </w:rPr>
              <w:t>Critère</w:t>
            </w:r>
          </w:p>
        </w:tc>
        <w:tc>
          <w:tcPr>
            <w:tcW w:w="5924" w:type="dxa"/>
            <w:vAlign w:val="center"/>
          </w:tcPr>
          <w:p w:rsidR="00981E6F" w:rsidRDefault="00981E6F" w:rsidP="00981E6F">
            <w:pPr>
              <w:rPr>
                <w:rFonts w:ascii="Times New Roman" w:hAnsi="Times New Roman"/>
                <w:b/>
                <w:bCs/>
                <w:sz w:val="24"/>
                <w:szCs w:val="24"/>
                <w:lang w:bidi="ar-DZ"/>
              </w:rPr>
            </w:pPr>
            <w:r w:rsidRPr="00303F99">
              <w:rPr>
                <w:rFonts w:ascii="Times New Roman" w:hAnsi="Times New Roman"/>
                <w:b/>
                <w:bCs/>
                <w:sz w:val="24"/>
                <w:szCs w:val="24"/>
                <w:lang w:bidi="ar-DZ"/>
              </w:rPr>
              <w:t>Label AB (France)</w:t>
            </w:r>
          </w:p>
        </w:tc>
      </w:tr>
      <w:tr w:rsidR="00981E6F" w:rsidTr="00981E6F">
        <w:trPr>
          <w:trHeight w:val="554"/>
        </w:trPr>
        <w:tc>
          <w:tcPr>
            <w:tcW w:w="3823" w:type="dxa"/>
          </w:tcPr>
          <w:p w:rsidR="00981E6F" w:rsidRDefault="00981E6F" w:rsidP="00981E6F">
            <w:pPr>
              <w:rPr>
                <w:rFonts w:ascii="Times New Roman" w:hAnsi="Times New Roman"/>
                <w:sz w:val="24"/>
                <w:szCs w:val="24"/>
                <w:rtl/>
                <w:lang w:bidi="ar-DZ"/>
              </w:rPr>
            </w:pPr>
          </w:p>
          <w:p w:rsidR="00981E6F" w:rsidRPr="00303F99" w:rsidRDefault="00981E6F" w:rsidP="00981E6F">
            <w:pPr>
              <w:rPr>
                <w:rFonts w:ascii="Times New Roman" w:hAnsi="Times New Roman"/>
                <w:sz w:val="24"/>
                <w:szCs w:val="24"/>
                <w:lang w:bidi="ar-DZ"/>
              </w:rPr>
            </w:pPr>
            <w:r w:rsidRPr="00303F99">
              <w:rPr>
                <w:rFonts w:ascii="Times New Roman" w:hAnsi="Times New Roman"/>
                <w:sz w:val="24"/>
                <w:szCs w:val="24"/>
                <w:lang w:bidi="ar-DZ"/>
              </w:rPr>
              <w:t>Produits éligibles</w:t>
            </w:r>
          </w:p>
        </w:tc>
        <w:tc>
          <w:tcPr>
            <w:tcW w:w="5924" w:type="dxa"/>
          </w:tcPr>
          <w:p w:rsidR="00981E6F" w:rsidRDefault="00981E6F" w:rsidP="00981E6F">
            <w:pPr>
              <w:rPr>
                <w:rFonts w:ascii="Times New Roman" w:hAnsi="Times New Roman"/>
                <w:sz w:val="24"/>
                <w:szCs w:val="24"/>
                <w:rtl/>
                <w:lang w:bidi="ar-DZ"/>
              </w:rPr>
            </w:pPr>
          </w:p>
          <w:p w:rsidR="00981E6F" w:rsidRPr="00303F99" w:rsidRDefault="00981E6F" w:rsidP="00981E6F">
            <w:pPr>
              <w:rPr>
                <w:rFonts w:ascii="Times New Roman" w:hAnsi="Times New Roman"/>
                <w:sz w:val="24"/>
                <w:szCs w:val="24"/>
                <w:lang w:bidi="ar-DZ"/>
              </w:rPr>
            </w:pPr>
            <w:r w:rsidRPr="00303F99">
              <w:rPr>
                <w:rFonts w:ascii="Times New Roman" w:hAnsi="Times New Roman"/>
                <w:sz w:val="24"/>
                <w:szCs w:val="24"/>
                <w:lang w:bidi="ar-DZ"/>
              </w:rPr>
              <w:t>Agroalimentaires, vins, certains textiles</w:t>
            </w:r>
          </w:p>
        </w:tc>
      </w:tr>
      <w:tr w:rsidR="00981E6F" w:rsidTr="00981E6F">
        <w:trPr>
          <w:trHeight w:val="553"/>
        </w:trPr>
        <w:tc>
          <w:tcPr>
            <w:tcW w:w="3823" w:type="dxa"/>
          </w:tcPr>
          <w:p w:rsidR="00981E6F" w:rsidRPr="00981E6F" w:rsidRDefault="00981E6F" w:rsidP="00981E6F">
            <w:pPr>
              <w:rPr>
                <w:rFonts w:ascii="Times New Roman" w:hAnsi="Times New Roman"/>
                <w:sz w:val="2"/>
                <w:szCs w:val="2"/>
                <w:rtl/>
                <w:lang w:bidi="ar-DZ"/>
              </w:rPr>
            </w:pPr>
          </w:p>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OGM</w:t>
            </w:r>
          </w:p>
        </w:tc>
        <w:tc>
          <w:tcPr>
            <w:tcW w:w="5924" w:type="dxa"/>
          </w:tcPr>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Exclusion stricte (&lt;0,9% OGM fortuit possible selon UE)</w:t>
            </w:r>
          </w:p>
        </w:tc>
      </w:tr>
      <w:tr w:rsidR="00981E6F" w:rsidTr="00981E6F">
        <w:trPr>
          <w:trHeight w:val="561"/>
        </w:trPr>
        <w:tc>
          <w:tcPr>
            <w:tcW w:w="3823" w:type="dxa"/>
          </w:tcPr>
          <w:p w:rsidR="00981E6F" w:rsidRDefault="00981E6F" w:rsidP="00981E6F">
            <w:pPr>
              <w:rPr>
                <w:rFonts w:ascii="Times New Roman" w:hAnsi="Times New Roman"/>
                <w:sz w:val="24"/>
                <w:szCs w:val="24"/>
                <w:rtl/>
                <w:lang w:bidi="ar-DZ"/>
              </w:rPr>
            </w:pPr>
          </w:p>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Ingrédients non bio autorisés</w:t>
            </w:r>
          </w:p>
        </w:tc>
        <w:tc>
          <w:tcPr>
            <w:tcW w:w="5924" w:type="dxa"/>
          </w:tcPr>
          <w:p w:rsidR="00981E6F" w:rsidRDefault="00981E6F" w:rsidP="00981E6F">
            <w:pPr>
              <w:rPr>
                <w:rFonts w:ascii="Times New Roman" w:hAnsi="Times New Roman"/>
                <w:sz w:val="24"/>
                <w:szCs w:val="24"/>
                <w:rtl/>
                <w:lang w:bidi="ar-DZ"/>
              </w:rPr>
            </w:pPr>
          </w:p>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5% max, mais certaines exceptions</w:t>
            </w:r>
          </w:p>
        </w:tc>
      </w:tr>
      <w:tr w:rsidR="00981E6F" w:rsidTr="00981E6F">
        <w:trPr>
          <w:trHeight w:val="690"/>
        </w:trPr>
        <w:tc>
          <w:tcPr>
            <w:tcW w:w="3823" w:type="dxa"/>
          </w:tcPr>
          <w:p w:rsidR="00981E6F" w:rsidRDefault="00981E6F" w:rsidP="00981E6F">
            <w:pPr>
              <w:rPr>
                <w:rFonts w:ascii="Times New Roman" w:hAnsi="Times New Roman"/>
                <w:sz w:val="24"/>
                <w:szCs w:val="24"/>
                <w:rtl/>
                <w:lang w:bidi="ar-DZ"/>
              </w:rPr>
            </w:pPr>
          </w:p>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Produits transformés</w:t>
            </w:r>
          </w:p>
        </w:tc>
        <w:tc>
          <w:tcPr>
            <w:tcW w:w="5924" w:type="dxa"/>
          </w:tcPr>
          <w:p w:rsidR="00981E6F" w:rsidRPr="00266151" w:rsidRDefault="00981E6F" w:rsidP="00981E6F">
            <w:pPr>
              <w:rPr>
                <w:rFonts w:asciiTheme="majorBidi" w:hAnsiTheme="majorBidi" w:cstheme="majorBidi"/>
                <w:color w:val="212529"/>
                <w:spacing w:val="15"/>
                <w:sz w:val="24"/>
                <w:szCs w:val="24"/>
              </w:rPr>
            </w:pPr>
            <w:r w:rsidRPr="00266151">
              <w:rPr>
                <w:rFonts w:asciiTheme="majorBidi" w:hAnsiTheme="majorBidi" w:cstheme="majorBidi"/>
                <w:color w:val="212529"/>
                <w:spacing w:val="15"/>
                <w:sz w:val="21"/>
                <w:szCs w:val="21"/>
              </w:rPr>
              <w:br/>
            </w:r>
            <w:r w:rsidRPr="00266151">
              <w:rPr>
                <w:rFonts w:asciiTheme="majorBidi" w:hAnsiTheme="majorBidi" w:cstheme="majorBidi"/>
                <w:color w:val="212529"/>
                <w:spacing w:val="15"/>
                <w:sz w:val="24"/>
                <w:szCs w:val="24"/>
              </w:rPr>
              <w:t>Au moins 95% d’ingrédients agricoles bio</w:t>
            </w:r>
          </w:p>
          <w:p w:rsidR="00981E6F" w:rsidRDefault="00981E6F" w:rsidP="00981E6F">
            <w:pPr>
              <w:rPr>
                <w:rFonts w:ascii="Times New Roman" w:hAnsi="Times New Roman"/>
                <w:b/>
                <w:bCs/>
                <w:sz w:val="24"/>
                <w:szCs w:val="24"/>
                <w:lang w:bidi="ar-DZ"/>
              </w:rPr>
            </w:pPr>
          </w:p>
        </w:tc>
      </w:tr>
      <w:tr w:rsidR="00981E6F" w:rsidTr="00981E6F">
        <w:trPr>
          <w:trHeight w:val="599"/>
        </w:trPr>
        <w:tc>
          <w:tcPr>
            <w:tcW w:w="3823" w:type="dxa"/>
          </w:tcPr>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Contrôles</w:t>
            </w:r>
          </w:p>
        </w:tc>
        <w:tc>
          <w:tcPr>
            <w:tcW w:w="5924" w:type="dxa"/>
          </w:tcPr>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1 audit/ an minimum, renforcé par la DGCCRF, possibles audits inopinés</w:t>
            </w:r>
          </w:p>
        </w:tc>
      </w:tr>
      <w:tr w:rsidR="00981E6F" w:rsidTr="00981E6F">
        <w:trPr>
          <w:trHeight w:val="475"/>
        </w:trPr>
        <w:tc>
          <w:tcPr>
            <w:tcW w:w="3823" w:type="dxa"/>
          </w:tcPr>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Transparence origine</w:t>
            </w:r>
          </w:p>
        </w:tc>
        <w:tc>
          <w:tcPr>
            <w:tcW w:w="5924" w:type="dxa"/>
          </w:tcPr>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Origine protégée, obligatoire si AB seul</w:t>
            </w:r>
          </w:p>
        </w:tc>
      </w:tr>
      <w:tr w:rsidR="00981E6F" w:rsidTr="00981E6F">
        <w:trPr>
          <w:trHeight w:val="643"/>
        </w:trPr>
        <w:tc>
          <w:tcPr>
            <w:tcW w:w="3823" w:type="dxa"/>
          </w:tcPr>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Communication</w:t>
            </w:r>
          </w:p>
        </w:tc>
        <w:tc>
          <w:tcPr>
            <w:tcW w:w="5924" w:type="dxa"/>
          </w:tcPr>
          <w:p w:rsidR="00981E6F" w:rsidRPr="00266151" w:rsidRDefault="00981E6F" w:rsidP="00981E6F">
            <w:pPr>
              <w:rPr>
                <w:rFonts w:ascii="Times New Roman" w:hAnsi="Times New Roman"/>
                <w:sz w:val="24"/>
                <w:szCs w:val="24"/>
                <w:lang w:bidi="ar-DZ"/>
              </w:rPr>
            </w:pPr>
            <w:r w:rsidRPr="00266151">
              <w:rPr>
                <w:rFonts w:ascii="Times New Roman" w:hAnsi="Times New Roman"/>
                <w:sz w:val="24"/>
                <w:szCs w:val="24"/>
                <w:lang w:bidi="ar-DZ"/>
              </w:rPr>
              <w:t>Réservée au marché français, très connue des consommateurs</w:t>
            </w:r>
          </w:p>
        </w:tc>
      </w:tr>
      <w:bookmarkEnd w:id="105"/>
    </w:tbl>
    <w:p w:rsidR="00981E6F" w:rsidRPr="00981E6F" w:rsidRDefault="00981E6F" w:rsidP="00D078FF">
      <w:pPr>
        <w:spacing w:line="360" w:lineRule="auto"/>
        <w:jc w:val="both"/>
        <w:rPr>
          <w:rFonts w:ascii="Times New Roman" w:hAnsi="Times New Roman"/>
          <w:b/>
          <w:bCs/>
          <w:sz w:val="8"/>
          <w:szCs w:val="8"/>
          <w:rtl/>
          <w:lang w:bidi="ar-DZ"/>
        </w:rPr>
      </w:pPr>
    </w:p>
    <w:p w:rsidR="005A638F" w:rsidRPr="007C3D9F" w:rsidRDefault="005A638F" w:rsidP="00D078FF">
      <w:pPr>
        <w:spacing w:line="360" w:lineRule="auto"/>
        <w:jc w:val="both"/>
        <w:rPr>
          <w:rFonts w:ascii="Times New Roman" w:hAnsi="Times New Roman"/>
          <w:sz w:val="20"/>
          <w:szCs w:val="20"/>
          <w:lang w:bidi="ar-DZ"/>
        </w:rPr>
      </w:pPr>
      <w:r>
        <w:rPr>
          <w:rFonts w:ascii="Times New Roman" w:hAnsi="Times New Roman"/>
          <w:b/>
          <w:bCs/>
          <w:sz w:val="20"/>
          <w:szCs w:val="20"/>
          <w:lang w:bidi="ar-DZ"/>
        </w:rPr>
        <w:t>Source :</w:t>
      </w:r>
      <w:r w:rsidRPr="007C3D9F">
        <w:rPr>
          <w:rFonts w:ascii="Times New Roman" w:hAnsi="Times New Roman"/>
          <w:sz w:val="20"/>
          <w:szCs w:val="20"/>
          <w:lang w:bidi="ar-DZ"/>
        </w:rPr>
        <w:t>Agrocert, « AB ou Eurofeuille : Ce qui distingue vraiment le label Bio français du label européen », [en ligne], 30 avril 2025, disponible sur : </w:t>
      </w:r>
      <w:hyperlink r:id="rId38" w:tgtFrame="_blank" w:history="1">
        <w:r w:rsidRPr="007C3D9F">
          <w:rPr>
            <w:rStyle w:val="Lienhypertexte"/>
            <w:rFonts w:ascii="Times New Roman" w:hAnsi="Times New Roman"/>
            <w:sz w:val="20"/>
            <w:szCs w:val="20"/>
            <w:lang w:bidi="ar-DZ"/>
          </w:rPr>
          <w:t>https://www.agrocert.fr/difference-label-agriculture-biologique-bio-europeen.html</w:t>
        </w:r>
      </w:hyperlink>
      <w:r w:rsidRPr="007C3D9F">
        <w:rPr>
          <w:rFonts w:ascii="Times New Roman" w:hAnsi="Times New Roman"/>
          <w:sz w:val="20"/>
          <w:szCs w:val="20"/>
          <w:lang w:bidi="ar-DZ"/>
        </w:rPr>
        <w:t> (consulté le 30 avril 2026).</w:t>
      </w:r>
    </w:p>
    <w:p w:rsidR="000F6529" w:rsidRDefault="00C81D92" w:rsidP="00D078FF">
      <w:pPr>
        <w:pStyle w:val="Titre3"/>
        <w:spacing w:before="0" w:after="0" w:line="360" w:lineRule="auto"/>
        <w:jc w:val="both"/>
        <w:rPr>
          <w:rFonts w:asciiTheme="majorBidi" w:hAnsiTheme="majorBidi" w:cstheme="majorBidi"/>
          <w:b/>
          <w:bCs/>
          <w:color w:val="auto"/>
          <w:sz w:val="24"/>
          <w:szCs w:val="24"/>
        </w:rPr>
      </w:pPr>
      <w:bookmarkStart w:id="106" w:name="_Toc230558645"/>
      <w:bookmarkStart w:id="107" w:name="_Toc230900279"/>
      <w:r w:rsidRPr="00C81D92">
        <w:rPr>
          <w:rFonts w:asciiTheme="majorBidi" w:hAnsiTheme="majorBidi" w:cstheme="majorBidi"/>
          <w:b/>
          <w:bCs/>
          <w:color w:val="auto"/>
          <w:sz w:val="24"/>
          <w:szCs w:val="24"/>
        </w:rPr>
        <w:lastRenderedPageBreak/>
        <w:t xml:space="preserve">3. </w:t>
      </w:r>
      <w:r w:rsidR="005A638F" w:rsidRPr="00C81D92">
        <w:rPr>
          <w:rFonts w:asciiTheme="majorBidi" w:hAnsiTheme="majorBidi" w:cstheme="majorBidi"/>
          <w:b/>
          <w:bCs/>
          <w:color w:val="auto"/>
          <w:sz w:val="24"/>
          <w:szCs w:val="24"/>
        </w:rPr>
        <w:t>La réalité du marché des produits biologiques et les transformations du comportement du consommateur saine.</w:t>
      </w:r>
      <w:bookmarkEnd w:id="106"/>
      <w:bookmarkEnd w:id="107"/>
    </w:p>
    <w:p w:rsidR="005A638F" w:rsidRPr="000F6529" w:rsidRDefault="000F6529" w:rsidP="00D078FF">
      <w:pPr>
        <w:pStyle w:val="Titre3"/>
        <w:spacing w:before="0" w:after="0" w:line="360" w:lineRule="auto"/>
        <w:jc w:val="both"/>
        <w:rPr>
          <w:rFonts w:asciiTheme="majorBidi" w:hAnsiTheme="majorBidi" w:cstheme="majorBidi"/>
          <w:b/>
          <w:bCs/>
          <w:color w:val="auto"/>
          <w:sz w:val="24"/>
          <w:szCs w:val="24"/>
        </w:rPr>
      </w:pPr>
      <w:bookmarkStart w:id="108" w:name="_Toc230558646"/>
      <w:bookmarkStart w:id="109" w:name="_Toc230900280"/>
      <w:r>
        <w:rPr>
          <w:rFonts w:ascii="Times New Roman" w:hAnsi="Times New Roman" w:hint="cs"/>
          <w:color w:val="auto"/>
          <w:sz w:val="24"/>
          <w:szCs w:val="24"/>
          <w:rtl/>
          <w:lang w:bidi="ar-DZ"/>
        </w:rPr>
        <w:t>.</w:t>
      </w:r>
      <w:r w:rsidRPr="000F6529">
        <w:rPr>
          <w:rFonts w:ascii="Times New Roman" w:hAnsi="Times New Roman" w:hint="cs"/>
          <w:b/>
          <w:bCs/>
          <w:color w:val="auto"/>
          <w:sz w:val="24"/>
          <w:szCs w:val="24"/>
          <w:rtl/>
          <w:lang w:bidi="ar-DZ"/>
        </w:rPr>
        <w:t>3.1</w:t>
      </w:r>
      <w:r w:rsidR="005A638F" w:rsidRPr="000F6529">
        <w:rPr>
          <w:rFonts w:ascii="Times New Roman" w:hAnsi="Times New Roman"/>
          <w:b/>
          <w:bCs/>
          <w:color w:val="auto"/>
          <w:sz w:val="24"/>
          <w:szCs w:val="24"/>
          <w:lang w:bidi="ar-DZ"/>
        </w:rPr>
        <w:t xml:space="preserve">Taille du marché et croissance </w:t>
      </w:r>
      <w:r w:rsidRPr="000F6529">
        <w:rPr>
          <w:rFonts w:ascii="Times New Roman" w:hAnsi="Times New Roman"/>
          <w:b/>
          <w:bCs/>
          <w:color w:val="auto"/>
          <w:sz w:val="24"/>
          <w:szCs w:val="24"/>
          <w:lang w:bidi="ar-DZ"/>
        </w:rPr>
        <w:t>mondiale:</w:t>
      </w:r>
      <w:bookmarkEnd w:id="108"/>
      <w:bookmarkEnd w:id="109"/>
    </w:p>
    <w:p w:rsidR="00C81D92" w:rsidRPr="00C81D92" w:rsidRDefault="00C81D92" w:rsidP="00D078FF">
      <w:pPr>
        <w:pStyle w:val="Lgende"/>
        <w:spacing w:after="0" w:line="360" w:lineRule="auto"/>
        <w:jc w:val="both"/>
        <w:rPr>
          <w:rFonts w:asciiTheme="majorBidi" w:hAnsiTheme="majorBidi" w:cstheme="majorBidi"/>
          <w:i w:val="0"/>
          <w:iCs w:val="0"/>
          <w:color w:val="auto"/>
          <w:sz w:val="24"/>
          <w:szCs w:val="24"/>
        </w:rPr>
      </w:pPr>
      <w:bookmarkStart w:id="110" w:name="_Toc230399441"/>
      <w:r w:rsidRPr="00C81D92">
        <w:rPr>
          <w:rFonts w:asciiTheme="majorBidi" w:hAnsiTheme="majorBidi" w:cstheme="majorBidi"/>
          <w:b/>
          <w:bCs/>
          <w:i w:val="0"/>
          <w:iCs w:val="0"/>
          <w:color w:val="auto"/>
          <w:sz w:val="24"/>
          <w:szCs w:val="24"/>
        </w:rPr>
        <w:t xml:space="preserve">Figure </w:t>
      </w:r>
      <w:r w:rsidR="007B5998" w:rsidRPr="00C81D92">
        <w:rPr>
          <w:rFonts w:asciiTheme="majorBidi" w:hAnsiTheme="majorBidi" w:cstheme="majorBidi"/>
          <w:b/>
          <w:bCs/>
          <w:i w:val="0"/>
          <w:iCs w:val="0"/>
          <w:color w:val="auto"/>
          <w:sz w:val="24"/>
          <w:szCs w:val="24"/>
        </w:rPr>
        <w:fldChar w:fldCharType="begin"/>
      </w:r>
      <w:r w:rsidRPr="00C81D92">
        <w:rPr>
          <w:rFonts w:asciiTheme="majorBidi" w:hAnsiTheme="majorBidi" w:cstheme="majorBidi"/>
          <w:b/>
          <w:bCs/>
          <w:i w:val="0"/>
          <w:iCs w:val="0"/>
          <w:color w:val="auto"/>
          <w:sz w:val="24"/>
          <w:szCs w:val="24"/>
        </w:rPr>
        <w:instrText xml:space="preserve"> SEQ Figure \* ARABIC </w:instrText>
      </w:r>
      <w:r w:rsidR="007B5998" w:rsidRPr="00C81D92">
        <w:rPr>
          <w:rFonts w:asciiTheme="majorBidi" w:hAnsiTheme="majorBidi" w:cstheme="majorBidi"/>
          <w:b/>
          <w:bCs/>
          <w:i w:val="0"/>
          <w:iCs w:val="0"/>
          <w:color w:val="auto"/>
          <w:sz w:val="24"/>
          <w:szCs w:val="24"/>
        </w:rPr>
        <w:fldChar w:fldCharType="separate"/>
      </w:r>
      <w:r w:rsidR="00515B25">
        <w:rPr>
          <w:rFonts w:asciiTheme="majorBidi" w:hAnsiTheme="majorBidi" w:cstheme="majorBidi"/>
          <w:b/>
          <w:bCs/>
          <w:i w:val="0"/>
          <w:iCs w:val="0"/>
          <w:noProof/>
          <w:color w:val="auto"/>
          <w:sz w:val="24"/>
          <w:szCs w:val="24"/>
        </w:rPr>
        <w:t>5</w:t>
      </w:r>
      <w:r w:rsidR="007B5998" w:rsidRPr="00C81D92">
        <w:rPr>
          <w:rFonts w:asciiTheme="majorBidi" w:hAnsiTheme="majorBidi" w:cstheme="majorBidi"/>
          <w:b/>
          <w:bCs/>
          <w:i w:val="0"/>
          <w:iCs w:val="0"/>
          <w:color w:val="auto"/>
          <w:sz w:val="24"/>
          <w:szCs w:val="24"/>
        </w:rPr>
        <w:fldChar w:fldCharType="end"/>
      </w:r>
      <w:r w:rsidRPr="00C81D92">
        <w:rPr>
          <w:rFonts w:asciiTheme="majorBidi" w:hAnsiTheme="majorBidi" w:cstheme="majorBidi"/>
          <w:b/>
          <w:bCs/>
          <w:i w:val="0"/>
          <w:iCs w:val="0"/>
          <w:color w:val="auto"/>
          <w:sz w:val="24"/>
          <w:szCs w:val="24"/>
        </w:rPr>
        <w:t xml:space="preserve"> :</w:t>
      </w:r>
      <w:r w:rsidRPr="00C81D92">
        <w:rPr>
          <w:rFonts w:asciiTheme="majorBidi" w:hAnsiTheme="majorBidi" w:cstheme="majorBidi"/>
          <w:i w:val="0"/>
          <w:iCs w:val="0"/>
          <w:color w:val="auto"/>
          <w:sz w:val="24"/>
          <w:szCs w:val="24"/>
        </w:rPr>
        <w:t xml:space="preserve"> Marché des produits biologiques</w:t>
      </w:r>
      <w:bookmarkEnd w:id="110"/>
    </w:p>
    <w:p w:rsidR="00C81D92" w:rsidRDefault="005A638F" w:rsidP="00D078FF">
      <w:pPr>
        <w:spacing w:line="360" w:lineRule="auto"/>
        <w:jc w:val="both"/>
      </w:pPr>
      <w:r>
        <w:rPr>
          <w:noProof/>
          <w:lang w:eastAsia="fr-FR"/>
        </w:rPr>
        <w:drawing>
          <wp:inline distT="0" distB="0" distL="0" distR="0">
            <wp:extent cx="5822830" cy="2889849"/>
            <wp:effectExtent l="0" t="0" r="6985" b="6350"/>
            <wp:docPr id="1931458989" name="Image 1" descr="سوق الأغذية العضوية"/>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rcRect/>
                    <a:stretch>
                      <a:fillRect/>
                    </a:stretch>
                  </pic:blipFill>
                  <pic:spPr>
                    <a:xfrm>
                      <a:off x="0" y="0"/>
                      <a:ext cx="5822830" cy="2889849"/>
                    </a:xfrm>
                    <a:prstGeom prst="rect">
                      <a:avLst/>
                    </a:prstGeom>
                    <a:noFill/>
                    <a:ln>
                      <a:noFill/>
                      <a:prstDash/>
                    </a:ln>
                  </pic:spPr>
                </pic:pic>
              </a:graphicData>
            </a:graphic>
          </wp:inline>
        </w:drawing>
      </w:r>
    </w:p>
    <w:p w:rsidR="005A638F" w:rsidRPr="009C6B8F" w:rsidRDefault="007B5998" w:rsidP="00D078FF">
      <w:pPr>
        <w:spacing w:line="360" w:lineRule="auto"/>
        <w:jc w:val="both"/>
        <w:rPr>
          <w:rFonts w:asciiTheme="majorBidi" w:hAnsiTheme="majorBidi" w:cstheme="majorBidi"/>
          <w:sz w:val="20"/>
          <w:szCs w:val="20"/>
          <w:lang w:bidi="ar-DZ"/>
        </w:rPr>
      </w:pPr>
      <w:hyperlink r:id="rId40" w:tgtFrame="_blank" w:history="1">
        <w:r w:rsidR="005A638F" w:rsidRPr="001C08B7">
          <w:rPr>
            <w:rStyle w:val="Lienhypertexte"/>
            <w:rFonts w:asciiTheme="majorBidi" w:hAnsiTheme="majorBidi" w:cstheme="majorBidi"/>
            <w:b/>
            <w:bCs/>
            <w:sz w:val="20"/>
            <w:szCs w:val="20"/>
            <w:lang w:val="en-US"/>
          </w:rPr>
          <w:t>ResearchAndMarkets.com</w:t>
        </w:r>
      </w:hyperlink>
      <w:r w:rsidR="005A638F" w:rsidRPr="001C08B7">
        <w:rPr>
          <w:rFonts w:asciiTheme="majorBidi" w:hAnsiTheme="majorBidi" w:cstheme="majorBidi"/>
          <w:sz w:val="20"/>
          <w:szCs w:val="20"/>
          <w:lang w:val="en-US"/>
        </w:rPr>
        <w:t xml:space="preserve">, *Organic food market report 2025-2034: Global industry growth, competitive landscape, opportunities, and challenges* [en ligne]. </w:t>
      </w:r>
      <w:r w:rsidR="005A638F" w:rsidRPr="009C6B8F">
        <w:rPr>
          <w:rFonts w:asciiTheme="majorBidi" w:hAnsiTheme="majorBidi" w:cstheme="majorBidi"/>
          <w:sz w:val="20"/>
          <w:szCs w:val="20"/>
        </w:rPr>
        <w:t>(2025, 13 juin), Disponible sur : </w:t>
      </w:r>
      <w:hyperlink r:id="rId41" w:tgtFrame="_blank" w:history="1">
        <w:r w:rsidR="005A638F" w:rsidRPr="009C6B8F">
          <w:rPr>
            <w:rStyle w:val="Lienhypertexte"/>
            <w:rFonts w:asciiTheme="majorBidi" w:hAnsiTheme="majorBidi" w:cstheme="majorBidi"/>
            <w:sz w:val="20"/>
            <w:szCs w:val="20"/>
          </w:rPr>
          <w:t>https://uk.finance.yahoo.com/news/organic-food-market-report-2025-100800326.html</w:t>
        </w:r>
      </w:hyperlink>
      <w:r w:rsidR="005A638F" w:rsidRPr="009C6B8F">
        <w:rPr>
          <w:rFonts w:asciiTheme="majorBidi" w:hAnsiTheme="majorBidi" w:cstheme="majorBidi"/>
          <w:sz w:val="20"/>
          <w:szCs w:val="20"/>
        </w:rPr>
        <w:t> (Consulté le 30 avril 2026).</w:t>
      </w:r>
    </w:p>
    <w:p w:rsidR="005A638F" w:rsidRDefault="005A638F" w:rsidP="00D078FF">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D’après les études que la société “Research and Markets” a réalisées et qu’elle a annoncées pour la mi-2025, la valeur du marché des aliments biologiques au niveau mondial était de l’ordre de 286,4 milliards de dollars américains en 2025. Ce marché pourrait continuer sa progression, à un rythme rapide, puisqu’il pourrait atteindre 1,05 trillion de dollars et même le dépasser d’ici 2034, soit un taux de croissance annuel de 15,5% entre 2025 et 2034. Cette orientation semble tout de même le fait de la plus grande prise de conscience des consommateurs vis-à-vis des bénéfices des régimes alimentaires sains mais respectueux de l’environnement ainsi que des avancées techniques des étiquetages garantissant la transparence, mais l’écart souvent notable du coût par rapport aux régimes alimentaires “classiques” semble toujours poser problème à de nombreux consommateurs.</w:t>
      </w:r>
      <w:r>
        <w:rPr>
          <w:rStyle w:val="Appelnotedebasdep"/>
          <w:rFonts w:ascii="Times New Roman" w:hAnsi="Times New Roman" w:cs="Times New Roman"/>
          <w:sz w:val="24"/>
          <w:szCs w:val="24"/>
          <w:lang w:bidi="ar-DZ"/>
        </w:rPr>
        <w:footnoteReference w:id="95"/>
      </w:r>
    </w:p>
    <w:p w:rsidR="005A638F" w:rsidRDefault="005A638F" w:rsidP="00D078FF">
      <w:pPr>
        <w:spacing w:line="360" w:lineRule="auto"/>
        <w:ind w:firstLine="567"/>
        <w:jc w:val="both"/>
        <w:rPr>
          <w:rFonts w:asciiTheme="majorBidi" w:hAnsiTheme="majorBidi" w:cstheme="majorBidi"/>
          <w:sz w:val="24"/>
          <w:szCs w:val="24"/>
        </w:rPr>
      </w:pPr>
    </w:p>
    <w:p w:rsidR="005A638F" w:rsidRPr="004D4D51" w:rsidRDefault="005A638F" w:rsidP="00D078FF">
      <w:pPr>
        <w:spacing w:line="360" w:lineRule="auto"/>
        <w:ind w:firstLine="567"/>
        <w:jc w:val="both"/>
        <w:rPr>
          <w:rFonts w:asciiTheme="majorBidi" w:hAnsiTheme="majorBidi" w:cstheme="majorBidi"/>
          <w:sz w:val="24"/>
          <w:szCs w:val="24"/>
        </w:rPr>
      </w:pPr>
      <w:r w:rsidRPr="004D4D51">
        <w:rPr>
          <w:rFonts w:asciiTheme="majorBidi" w:hAnsiTheme="majorBidi" w:cstheme="majorBidi"/>
          <w:sz w:val="24"/>
          <w:szCs w:val="24"/>
        </w:rPr>
        <w:lastRenderedPageBreak/>
        <w:t>Cette expansion reflète une évolution des préférences des consommateurs vers des produits à forte valeur ajoutée environnementale.</w:t>
      </w:r>
    </w:p>
    <w:p w:rsidR="005A638F" w:rsidRPr="007E41F0" w:rsidRDefault="000F6529" w:rsidP="00D078FF">
      <w:pPr>
        <w:pStyle w:val="Titre4"/>
        <w:spacing w:line="360" w:lineRule="auto"/>
        <w:jc w:val="both"/>
        <w:rPr>
          <w:rFonts w:ascii="Times New Roman" w:hAnsi="Times New Roman"/>
          <w:b/>
          <w:bCs/>
          <w:i w:val="0"/>
          <w:iCs w:val="0"/>
          <w:color w:val="auto"/>
          <w:sz w:val="24"/>
          <w:szCs w:val="24"/>
        </w:rPr>
      </w:pPr>
      <w:bookmarkStart w:id="111" w:name="_Toc230558647"/>
      <w:bookmarkStart w:id="112" w:name="_Toc230900281"/>
      <w:r w:rsidRPr="007E41F0">
        <w:rPr>
          <w:rFonts w:ascii="Times New Roman" w:hAnsi="Times New Roman"/>
          <w:b/>
          <w:bCs/>
          <w:i w:val="0"/>
          <w:iCs w:val="0"/>
          <w:color w:val="auto"/>
          <w:sz w:val="24"/>
          <w:szCs w:val="24"/>
          <w:lang w:bidi="ar-DZ"/>
        </w:rPr>
        <w:t>3.2. </w:t>
      </w:r>
      <w:r w:rsidR="005A638F" w:rsidRPr="007E41F0">
        <w:rPr>
          <w:rFonts w:ascii="Times New Roman" w:hAnsi="Times New Roman"/>
          <w:b/>
          <w:bCs/>
          <w:i w:val="0"/>
          <w:iCs w:val="0"/>
          <w:color w:val="auto"/>
          <w:sz w:val="24"/>
          <w:szCs w:val="24"/>
          <w:lang w:bidi="ar-DZ"/>
        </w:rPr>
        <w:t>La répartition géographique du marché mondial des produits biologiques :</w:t>
      </w:r>
      <w:bookmarkEnd w:id="111"/>
      <w:bookmarkEnd w:id="112"/>
    </w:p>
    <w:p w:rsidR="005A638F" w:rsidRDefault="005A638F" w:rsidP="00D078FF">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Les données rendues publiques par le cabinet "Fortune Business Insights" montrent une inégalité dans la part de marché des diverses zones géographiques dans le marché mondial des denrées alimentaires biologiques : en 2025, la zone Europe représente le premier marché mondial avec une part de marché 13,08% de la consommation représentée quant à elle par une valeur estimée à 99,86 milliards de dollars américains, valeur qui atteindrait 113,08 milliards de dollars d’ici 2026. Le marché alimentaire bio européen prend sa position de leader sur le marché mondial du fait d’une montée des préoccupations environnementales et du bien être animal ainsi que par le soutien des gouvernements à l’agriculture durable ayant conduit à une consommation importante des fruits et légumes bio, c’est précisément le cas en France comme en Allemagne ; il faut savoir que 17 % de la consommation biologique totale en France représente les fruits et les légumes bio, alors que le marché allemand est prévu d’atteindre 35,12 milliards de dollars d’ici 2026 et les fruits et légumes bio représenteraient 4,82 milliards de dollars. Enfin la Grande-Bretagne pourrait atteindre un marché de 6,44 milliards de dollars.</w:t>
      </w:r>
      <w:r>
        <w:rPr>
          <w:rStyle w:val="Appelnotedebasdep"/>
          <w:rFonts w:ascii="Times New Roman" w:hAnsi="Times New Roman" w:cs="Times New Roman"/>
          <w:sz w:val="24"/>
          <w:szCs w:val="24"/>
          <w:lang w:bidi="ar-DZ"/>
        </w:rPr>
        <w:footnoteReference w:id="96"/>
      </w:r>
    </w:p>
    <w:p w:rsidR="005A638F" w:rsidRDefault="005A638F" w:rsidP="00D078FF">
      <w:pPr>
        <w:spacing w:line="360" w:lineRule="auto"/>
        <w:ind w:firstLine="567"/>
        <w:jc w:val="both"/>
        <w:rPr>
          <w:rFonts w:ascii="Times New Roman" w:hAnsi="Times New Roman" w:cs="Times New Roman"/>
          <w:sz w:val="24"/>
          <w:szCs w:val="24"/>
          <w:lang w:bidi="ar-DZ"/>
        </w:rPr>
      </w:pPr>
      <w:r w:rsidRPr="004D1DB2">
        <w:rPr>
          <w:rFonts w:ascii="Times New Roman" w:hAnsi="Times New Roman" w:cs="Times New Roman"/>
          <w:sz w:val="24"/>
          <w:szCs w:val="24"/>
          <w:lang w:bidi="ar-DZ"/>
        </w:rPr>
        <w:t xml:space="preserve">Aux États-Unis, le marché des produits certifiés biologiques a généré 76,6 milliards de dollars en 2025, soit une progression de 6,8 % sur un an. Cette hausse est deux fois supérieure à celle du marché alimentaire classique, qui n’a augmenté que de 3,4 %. Les aliments bio représentent à eux seuls 70,1 milliards de dollars, ce qui correspond à 6,1 % des dépenses alimentaires totales du pays. Les projections annoncent une croissance annuelle moyenne de 5,6 % au cours des cinq prochaines années, avec un seuil des 100 milliards de dollars attendu d’ici 2030. Cet essor s’explique avant tout par un souci grandissant des consommateurs pour leur santé et pour l’environnement, ainsi que par une demande toujours plus forte pour des aliments exempts de pesticides et d’intrants chimiques. Les fruits et légumes frais dominent </w:t>
      </w:r>
    </w:p>
    <w:p w:rsidR="005A638F" w:rsidRDefault="005A638F" w:rsidP="00D078FF">
      <w:pPr>
        <w:spacing w:line="360" w:lineRule="auto"/>
        <w:jc w:val="both"/>
        <w:rPr>
          <w:rFonts w:ascii="Times New Roman" w:hAnsi="Times New Roman" w:cs="Times New Roman"/>
          <w:sz w:val="24"/>
          <w:szCs w:val="24"/>
          <w:lang w:bidi="ar-DZ"/>
        </w:rPr>
      </w:pPr>
      <w:r w:rsidRPr="004D1DB2">
        <w:rPr>
          <w:rFonts w:ascii="Times New Roman" w:hAnsi="Times New Roman" w:cs="Times New Roman"/>
          <w:sz w:val="24"/>
          <w:szCs w:val="24"/>
          <w:lang w:bidi="ar-DZ"/>
        </w:rPr>
        <w:t>ce marché (22,7 milliards de dollars), tandis que la viande bovine biologique enregistre l’une des plus fortes hausses (+44,3 %).</w:t>
      </w:r>
      <w:r>
        <w:rPr>
          <w:rStyle w:val="Appelnotedebasdep"/>
          <w:rFonts w:ascii="Times New Roman" w:hAnsi="Times New Roman" w:cs="Times New Roman"/>
          <w:sz w:val="24"/>
          <w:szCs w:val="24"/>
          <w:lang w:bidi="ar-DZ"/>
        </w:rPr>
        <w:footnoteReference w:id="97"/>
      </w:r>
    </w:p>
    <w:p w:rsidR="005A638F" w:rsidRDefault="005A638F" w:rsidP="00D078FF">
      <w:pPr>
        <w:spacing w:line="360" w:lineRule="auto"/>
        <w:ind w:firstLine="567"/>
        <w:jc w:val="both"/>
        <w:rPr>
          <w:rFonts w:ascii="Times New Roman" w:hAnsi="Times New Roman" w:cs="Times New Roman"/>
          <w:sz w:val="24"/>
          <w:szCs w:val="24"/>
          <w:lang w:bidi="ar-DZ"/>
        </w:rPr>
      </w:pPr>
      <w:r w:rsidRPr="00E7152D">
        <w:rPr>
          <w:rFonts w:ascii="Times New Roman" w:hAnsi="Times New Roman" w:cs="Times New Roman"/>
          <w:sz w:val="24"/>
          <w:szCs w:val="24"/>
          <w:lang w:bidi="ar-DZ"/>
        </w:rPr>
        <w:lastRenderedPageBreak/>
        <w:t>L'Asie-Pacifique se positionne comme une région clé sur le marché mondial des aliments biologiques. En 2025, sa part de marché atteint 16,51 % du total mondial, pour une valeur estimée à 70,87 milliards de dollars. Cette dynamique devrait s'accélérer fortement dans les années à venir, avec une projection à 250,95 milliards de dollars d'ici 2034, soit un taux de croissance annuel composé de 15,15 % sur la période 2026-2034. Cette progression exceptionnelle, parmi les plus rapides au monde, s'explique par une sensibilisation croissante des consommateurs à la santé, une hausse des niveaux de revenus, une offre élargie de produits biologiques dans les circuits de distribution, ainsi que par la multiplication des investissements d'entreprises internationales. La Chine domine nettement la région : sa valeur de marché devrait atteindre 100,65 milliards de dollars d'ici 2034, confirmant sa place de leader incontesté.</w:t>
      </w:r>
      <w:r>
        <w:rPr>
          <w:rStyle w:val="Appelnotedebasdep"/>
          <w:rFonts w:ascii="Times New Roman" w:hAnsi="Times New Roman" w:cs="Times New Roman"/>
          <w:sz w:val="24"/>
          <w:szCs w:val="24"/>
          <w:lang w:bidi="ar-DZ"/>
        </w:rPr>
        <w:footnoteReference w:id="98"/>
      </w:r>
    </w:p>
    <w:p w:rsidR="005A638F" w:rsidRDefault="005A638F" w:rsidP="00D078FF">
      <w:pPr>
        <w:spacing w:line="360" w:lineRule="auto"/>
        <w:ind w:firstLine="567"/>
        <w:jc w:val="both"/>
        <w:rPr>
          <w:rFonts w:ascii="Times New Roman" w:hAnsi="Times New Roman" w:cs="Times New Roman"/>
          <w:sz w:val="24"/>
          <w:szCs w:val="24"/>
          <w:lang w:bidi="ar-DZ"/>
        </w:rPr>
      </w:pPr>
      <w:r>
        <w:rPr>
          <w:rFonts w:ascii="Times New Roman" w:hAnsi="Times New Roman" w:cs="Times New Roman"/>
          <w:sz w:val="24"/>
          <w:szCs w:val="24"/>
          <w:lang w:bidi="ar-DZ"/>
        </w:rPr>
        <w:t>Les autres régions connaissent quant à elles une croissance continue, mais d’ampleur moyenne. À l’instar de l’Amérique latine qui devrait atteindre une part de marché de 11,27 % en 2025 pour une valeur de 6,45 milliards de dollars, portée par le développement de l’agriculture biologique au Brésil et en Argentine. Le Moyen Orient-Afrique réalise pour sa part le plus petit segment du marché, avec une part de 10,41 % et un montant de 2,45 milliards de dollars, en 2025, évoluant vers la consommation d’aliments naturels et non traités. La valeur de ces deux régions devrait atteindre respectivement 7,18 milliards et 2,70 milliards de dollars en 2026.</w:t>
      </w:r>
      <w:r>
        <w:rPr>
          <w:rStyle w:val="Appelnotedebasdep"/>
          <w:rFonts w:ascii="Times New Roman" w:hAnsi="Times New Roman" w:cs="Times New Roman"/>
          <w:sz w:val="24"/>
          <w:szCs w:val="24"/>
          <w:lang w:bidi="ar-DZ"/>
        </w:rPr>
        <w:footnoteReference w:id="99"/>
      </w:r>
    </w:p>
    <w:p w:rsidR="005A638F" w:rsidRPr="007E41F0" w:rsidRDefault="000F6529" w:rsidP="00D078FF">
      <w:pPr>
        <w:pStyle w:val="Titre4"/>
        <w:spacing w:line="360" w:lineRule="auto"/>
        <w:jc w:val="both"/>
        <w:rPr>
          <w:rFonts w:ascii="Times New Roman" w:hAnsi="Times New Roman"/>
          <w:b/>
          <w:bCs/>
          <w:i w:val="0"/>
          <w:iCs w:val="0"/>
          <w:color w:val="auto"/>
          <w:sz w:val="24"/>
          <w:szCs w:val="24"/>
          <w:lang w:bidi="ar-DZ"/>
        </w:rPr>
      </w:pPr>
      <w:bookmarkStart w:id="113" w:name="_Toc230558648"/>
      <w:bookmarkStart w:id="114" w:name="_Toc230900282"/>
      <w:r w:rsidRPr="007E41F0">
        <w:rPr>
          <w:rFonts w:ascii="Times New Roman" w:hAnsi="Times New Roman"/>
          <w:b/>
          <w:bCs/>
          <w:i w:val="0"/>
          <w:iCs w:val="0"/>
          <w:color w:val="auto"/>
          <w:kern w:val="0"/>
          <w:sz w:val="24"/>
          <w:szCs w:val="24"/>
          <w:lang w:eastAsia="fr-FR"/>
        </w:rPr>
        <w:t>3.3.</w:t>
      </w:r>
      <w:r w:rsidR="005A638F" w:rsidRPr="007E41F0">
        <w:rPr>
          <w:rFonts w:ascii="Times New Roman" w:hAnsi="Times New Roman"/>
          <w:b/>
          <w:bCs/>
          <w:i w:val="0"/>
          <w:iCs w:val="0"/>
          <w:color w:val="auto"/>
          <w:sz w:val="24"/>
          <w:szCs w:val="24"/>
          <w:lang w:bidi="ar-DZ"/>
        </w:rPr>
        <w:t>Motivations pour les produits agricoles biologiques</w:t>
      </w:r>
      <w:bookmarkEnd w:id="113"/>
      <w:bookmarkEnd w:id="114"/>
    </w:p>
    <w:p w:rsidR="005A638F" w:rsidRPr="007E41F0" w:rsidRDefault="000F6529" w:rsidP="00D078FF">
      <w:pPr>
        <w:pStyle w:val="Titre5"/>
        <w:spacing w:line="360" w:lineRule="auto"/>
        <w:jc w:val="both"/>
        <w:rPr>
          <w:rFonts w:ascii="Times New Roman" w:hAnsi="Times New Roman"/>
          <w:b/>
          <w:bCs/>
          <w:color w:val="auto"/>
          <w:sz w:val="24"/>
          <w:szCs w:val="24"/>
          <w:lang w:bidi="ar-DZ"/>
        </w:rPr>
      </w:pPr>
      <w:bookmarkStart w:id="115" w:name="_Toc230558649"/>
      <w:bookmarkStart w:id="116" w:name="_Toc230900283"/>
      <w:r>
        <w:rPr>
          <w:rFonts w:hint="cs"/>
          <w:rtl/>
          <w:lang w:bidi="ar-DZ"/>
        </w:rPr>
        <w:t>.</w:t>
      </w:r>
      <w:r w:rsidRPr="007E41F0">
        <w:rPr>
          <w:rFonts w:ascii="Times New Roman" w:hAnsi="Times New Roman"/>
          <w:b/>
          <w:bCs/>
          <w:color w:val="auto"/>
          <w:sz w:val="24"/>
          <w:szCs w:val="24"/>
          <w:rtl/>
          <w:lang w:bidi="ar-DZ"/>
        </w:rPr>
        <w:t xml:space="preserve">3.3.1 </w:t>
      </w:r>
      <w:r w:rsidR="005A638F" w:rsidRPr="007E41F0">
        <w:rPr>
          <w:rFonts w:ascii="Times New Roman" w:hAnsi="Times New Roman"/>
          <w:b/>
          <w:bCs/>
          <w:color w:val="auto"/>
          <w:sz w:val="24"/>
          <w:szCs w:val="24"/>
          <w:lang w:bidi="ar-DZ"/>
        </w:rPr>
        <w:t>les motivations sanitaires :</w:t>
      </w:r>
      <w:bookmarkEnd w:id="115"/>
      <w:bookmarkEnd w:id="116"/>
    </w:p>
    <w:p w:rsidR="005A638F" w:rsidRDefault="005A638F" w:rsidP="00D078FF">
      <w:pPr>
        <w:spacing w:line="360" w:lineRule="auto"/>
        <w:ind w:firstLine="567"/>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 xml:space="preserve">Les croyances des consommateurs au sujet de la qualité diététique des aliments représentent un facteur modifiable qui impacte leur décision d’achat. Issues de connaissances antérieures, elles constituent un moteur dans la prise de décision. Les consommateurs sont </w:t>
      </w:r>
    </w:p>
    <w:p w:rsidR="005A638F" w:rsidRPr="00485D8B" w:rsidRDefault="005A638F" w:rsidP="00D078FF">
      <w:pPr>
        <w:spacing w:line="360" w:lineRule="auto"/>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désormais de plus en plus sensibilisés aux enjeux de leur alimentation sur leur santé. C’est notamment la conscience sanitaire qui est considérée comme un des déterminants majeurs de la consommation de produits issus de l’agriculture biologique, qui sont perçus comme plus sains car dépourvus de substances chimiques.</w:t>
      </w:r>
    </w:p>
    <w:p w:rsidR="005A638F" w:rsidRPr="00485D8B" w:rsidRDefault="005A638F" w:rsidP="00D078FF">
      <w:pPr>
        <w:spacing w:line="360" w:lineRule="auto"/>
        <w:ind w:firstLine="567"/>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lastRenderedPageBreak/>
        <w:t>Les travaux menés par Iqbal et al. Montrent que l’inquiétude en matière de santé et de sécurité alimentaire est un déterminant positif de l’intention d’acheter des produits provenant de l’agriculture biologique.</w:t>
      </w:r>
    </w:p>
    <w:p w:rsidR="005A638F" w:rsidRPr="0029166C" w:rsidRDefault="005A638F" w:rsidP="00D078FF">
      <w:pPr>
        <w:spacing w:line="360" w:lineRule="auto"/>
        <w:ind w:firstLine="567"/>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Néanmoins, la problématique de l’alimentation saine se réduit mal à une dichotomie saine/ malsains à l’aune des enjeux de santé publique contemporains auxquels les consommateurs de produits issus de l’agriculture biologique ressemblent. Leurs choix sains sont en effet marqués par des caractéristiques relativement communes. En incluant dans le choix des produits en toute connaissance les dimensions cognitives, affectives et pratiques, il apparaît que les choix sains sont pour une très large part déterminés par le capital connaissances nutritionnelles du groupe social dans lequel évolue l’individu, ce qui inscrirait l’attitude de l’objet santé dans les prédispositions individuelles à agir dans le monde social.</w:t>
      </w:r>
      <w:r>
        <w:rPr>
          <w:rStyle w:val="Appelnotedebasdep"/>
          <w:rFonts w:ascii="Times New Roman" w:hAnsi="Times New Roman" w:cs="Times New Roman"/>
          <w:sz w:val="24"/>
          <w:szCs w:val="24"/>
          <w:lang w:bidi="ar-DZ"/>
        </w:rPr>
        <w:footnoteReference w:id="100"/>
      </w:r>
    </w:p>
    <w:p w:rsidR="005A638F" w:rsidRPr="007E41F0" w:rsidRDefault="000F6529" w:rsidP="00D078FF">
      <w:pPr>
        <w:pStyle w:val="Titre5"/>
        <w:spacing w:line="360" w:lineRule="auto"/>
        <w:jc w:val="both"/>
        <w:rPr>
          <w:rFonts w:ascii="Times New Roman" w:hAnsi="Times New Roman"/>
          <w:b/>
          <w:bCs/>
          <w:color w:val="auto"/>
          <w:sz w:val="24"/>
          <w:szCs w:val="24"/>
          <w:lang w:bidi="ar-DZ"/>
        </w:rPr>
      </w:pPr>
      <w:bookmarkStart w:id="117" w:name="_Toc230558650"/>
      <w:bookmarkStart w:id="118" w:name="_Toc230900284"/>
      <w:bookmarkStart w:id="119" w:name="_Hlk226662020"/>
      <w:r>
        <w:rPr>
          <w:rFonts w:hint="cs"/>
          <w:rtl/>
          <w:lang w:bidi="ar-DZ"/>
        </w:rPr>
        <w:t>.</w:t>
      </w:r>
      <w:r w:rsidRPr="007E41F0">
        <w:rPr>
          <w:rFonts w:ascii="Times New Roman" w:hAnsi="Times New Roman"/>
          <w:b/>
          <w:bCs/>
          <w:color w:val="auto"/>
          <w:sz w:val="24"/>
          <w:szCs w:val="24"/>
          <w:rtl/>
          <w:lang w:bidi="ar-DZ"/>
        </w:rPr>
        <w:t>3.3.2</w:t>
      </w:r>
      <w:r w:rsidR="005A638F" w:rsidRPr="007E41F0">
        <w:rPr>
          <w:rFonts w:ascii="Times New Roman" w:hAnsi="Times New Roman"/>
          <w:b/>
          <w:bCs/>
          <w:color w:val="auto"/>
          <w:sz w:val="24"/>
          <w:szCs w:val="24"/>
          <w:lang w:bidi="ar-DZ"/>
        </w:rPr>
        <w:t>Motivation économique</w:t>
      </w:r>
      <w:bookmarkEnd w:id="117"/>
      <w:bookmarkEnd w:id="118"/>
    </w:p>
    <w:p w:rsidR="005A638F" w:rsidRPr="00485D8B" w:rsidRDefault="005A638F" w:rsidP="00D078FF">
      <w:pPr>
        <w:spacing w:line="360" w:lineRule="auto"/>
        <w:ind w:firstLine="567"/>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La considération et la confiance qui mobilisent les consommateurs à l’égard de l’agriculture biologique peuvent avoir des conséquences économiques non négligeables pour les producteurs. Les motivations et préférences des consommateurs dans ce secteur sont décisives pour le développement de l’agriculture biologique.</w:t>
      </w:r>
    </w:p>
    <w:p w:rsidR="005A638F" w:rsidRDefault="005A638F" w:rsidP="00D078FF">
      <w:pPr>
        <w:spacing w:line="360" w:lineRule="auto"/>
        <w:ind w:firstLine="567"/>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La relation économique qui unit les consommateurs et producteurs par le biais des produits biologiques est structurée par une logique de soutien mutuel : d’une part, les produits bio permettent aux agriculteurs tels que ceux des circuits courts de revendiquer des niveaux de rémunérations plus élevés tandis que d’autre part, les biens bio offrent aux consommateurs des aliments plus sains et plus soucieux de l’environnement.</w:t>
      </w:r>
    </w:p>
    <w:p w:rsidR="005A638F" w:rsidRDefault="005A638F" w:rsidP="00D078FF">
      <w:pPr>
        <w:spacing w:line="360" w:lineRule="auto"/>
        <w:ind w:firstLine="567"/>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 xml:space="preserve">Les motivations des consommateurs peuvent donc constituer un levier pour avancer les ventes de produits d’origine biologique et favoriser le développement économique. D’où l’encouragement de la consommation des produits biologiques par la population, important pour avancer et développer le marché biologique. Malgré la cherté des produits biologiques, </w:t>
      </w:r>
    </w:p>
    <w:p w:rsidR="005A638F" w:rsidRDefault="005A638F" w:rsidP="00D078FF">
      <w:pPr>
        <w:spacing w:line="360" w:lineRule="auto"/>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 xml:space="preserve">la grande lacune des producteurs biologiques demeure la méconnaissance concrète des qualités qui différencient les produits biologiques des produits d’autres provenances. Accroître la sensibilisation des consommateurs aux produits d’origine biologique et réguler la </w:t>
      </w:r>
      <w:r w:rsidRPr="00485D8B">
        <w:rPr>
          <w:rFonts w:ascii="Times New Roman" w:hAnsi="Times New Roman" w:cs="Times New Roman"/>
          <w:sz w:val="24"/>
          <w:szCs w:val="24"/>
          <w:lang w:bidi="ar-DZ"/>
        </w:rPr>
        <w:lastRenderedPageBreak/>
        <w:t>demande constituent un levier de mise en œuvre d’une production biologique économiquement et socialement durable.</w:t>
      </w:r>
      <w:r>
        <w:rPr>
          <w:rStyle w:val="Appelnotedebasdep"/>
          <w:rFonts w:ascii="Times New Roman" w:hAnsi="Times New Roman" w:cs="Times New Roman"/>
          <w:sz w:val="24"/>
          <w:szCs w:val="24"/>
          <w:lang w:bidi="ar-DZ"/>
        </w:rPr>
        <w:footnoteReference w:id="101"/>
      </w:r>
    </w:p>
    <w:p w:rsidR="005A638F" w:rsidRDefault="000F6529" w:rsidP="00D078FF">
      <w:pPr>
        <w:pStyle w:val="Titre5"/>
        <w:spacing w:line="360" w:lineRule="auto"/>
        <w:jc w:val="both"/>
        <w:rPr>
          <w:lang w:bidi="ar-DZ"/>
        </w:rPr>
      </w:pPr>
      <w:bookmarkStart w:id="120" w:name="_Toc230558651"/>
      <w:bookmarkStart w:id="121" w:name="_Toc230900285"/>
      <w:bookmarkEnd w:id="119"/>
      <w:r>
        <w:rPr>
          <w:rFonts w:hint="cs"/>
          <w:rtl/>
          <w:lang w:bidi="ar-DZ"/>
        </w:rPr>
        <w:t>.</w:t>
      </w:r>
      <w:r w:rsidRPr="007E41F0">
        <w:rPr>
          <w:rFonts w:ascii="Times New Roman" w:hAnsi="Times New Roman"/>
          <w:b/>
          <w:bCs/>
          <w:color w:val="auto"/>
          <w:sz w:val="24"/>
          <w:szCs w:val="24"/>
          <w:rtl/>
          <w:lang w:bidi="ar-DZ"/>
        </w:rPr>
        <w:t>3.3.3</w:t>
      </w:r>
      <w:r w:rsidR="005A638F" w:rsidRPr="007E41F0">
        <w:rPr>
          <w:rFonts w:ascii="Times New Roman" w:hAnsi="Times New Roman"/>
          <w:b/>
          <w:bCs/>
          <w:color w:val="auto"/>
          <w:sz w:val="24"/>
          <w:szCs w:val="24"/>
          <w:lang w:bidi="ar-DZ"/>
        </w:rPr>
        <w:t>Motivation environnementale</w:t>
      </w:r>
      <w:bookmarkEnd w:id="120"/>
      <w:bookmarkEnd w:id="121"/>
    </w:p>
    <w:p w:rsidR="005A638F" w:rsidRPr="00485D8B" w:rsidRDefault="005A638F" w:rsidP="00D078FF">
      <w:pPr>
        <w:spacing w:line="360" w:lineRule="auto"/>
        <w:ind w:firstLine="567"/>
        <w:jc w:val="both"/>
        <w:rPr>
          <w:rFonts w:ascii="Times New Roman" w:hAnsi="Times New Roman" w:cs="Times New Roman"/>
          <w:sz w:val="24"/>
          <w:szCs w:val="24"/>
          <w:lang w:bidi="ar-DZ"/>
        </w:rPr>
      </w:pPr>
      <w:r w:rsidRPr="00485D8B">
        <w:rPr>
          <w:rFonts w:ascii="Times New Roman" w:hAnsi="Times New Roman" w:cs="Times New Roman"/>
          <w:sz w:val="24"/>
          <w:szCs w:val="24"/>
          <w:lang w:bidi="ar-DZ"/>
        </w:rPr>
        <w:t>La pollution, le déraillement écologique et les maladies se révèlent de réelles menaces pour l’humanité et la planète, créant des angoisses environnementales qui vont jusqu’à modifier les manières d’être ou à faire évoluer vers des comportements de consommation durable. Dans cette situation globale, les consommateurs soucieux de protéger l’environnement font le choix des produits biologiques pour soutenir un modèle de production agricole durable. Le rôle de l’agriculture biologique dans la préservation de la biodiversité participe également fortemenet de leur motivation. L’identité environnementale est fondée sur deux dimensions complémentaires : l’interaction avec la nature et l’identification de soi comme acteur d’un combat collectif pour la protection de l’environnement. Les objectifs de l’agriculture biologique sont : (i) répondre à la problématique environnementale et climatique ; (ii) préserver la biodiversité et les ressources naturelles ; (iii) impliquer des normes élevées ayant trait au bien-être animal. Si les consommateurs de différents pays se considèrent comme des acteurs pour la protection de la planète en achetant des produits biologiques, seuls ceux qui consomment sont réellement engagés dans l’intégration du facteur environnemental dans leurs choix alimentaires.</w:t>
      </w:r>
      <w:r>
        <w:rPr>
          <w:rStyle w:val="Appelnotedebasdep"/>
          <w:rFonts w:ascii="Times New Roman" w:hAnsi="Times New Roman" w:cs="Times New Roman"/>
          <w:sz w:val="24"/>
          <w:szCs w:val="24"/>
          <w:lang w:bidi="ar-DZ"/>
        </w:rPr>
        <w:footnoteReference w:id="102"/>
      </w:r>
    </w:p>
    <w:p w:rsidR="005A638F" w:rsidRPr="000F6529" w:rsidRDefault="000F6529" w:rsidP="00D078FF">
      <w:pPr>
        <w:pStyle w:val="Titre5"/>
        <w:spacing w:line="360" w:lineRule="auto"/>
        <w:jc w:val="both"/>
        <w:rPr>
          <w:lang w:bidi="ar-DZ"/>
        </w:rPr>
      </w:pPr>
      <w:bookmarkStart w:id="122" w:name="_Toc230558652"/>
      <w:bookmarkStart w:id="123" w:name="_Toc230900286"/>
      <w:r>
        <w:rPr>
          <w:rFonts w:hint="cs"/>
          <w:rtl/>
          <w:lang w:bidi="ar-DZ"/>
        </w:rPr>
        <w:t>.</w:t>
      </w:r>
      <w:r w:rsidRPr="007E41F0">
        <w:rPr>
          <w:rFonts w:ascii="Times New Roman" w:hAnsi="Times New Roman"/>
          <w:b/>
          <w:bCs/>
          <w:color w:val="auto"/>
          <w:sz w:val="24"/>
          <w:szCs w:val="24"/>
          <w:rtl/>
          <w:lang w:bidi="ar-DZ"/>
        </w:rPr>
        <w:t>3.3.4</w:t>
      </w:r>
      <w:r w:rsidR="005A638F" w:rsidRPr="007E41F0">
        <w:rPr>
          <w:rFonts w:ascii="Times New Roman" w:hAnsi="Times New Roman"/>
          <w:b/>
          <w:bCs/>
          <w:color w:val="auto"/>
          <w:sz w:val="24"/>
          <w:szCs w:val="24"/>
          <w:lang w:bidi="ar-DZ"/>
        </w:rPr>
        <w:t>Motivation sociale</w:t>
      </w:r>
      <w:bookmarkEnd w:id="122"/>
      <w:bookmarkEnd w:id="123"/>
    </w:p>
    <w:p w:rsidR="005A638F" w:rsidRDefault="005A638F" w:rsidP="00D078FF">
      <w:pPr>
        <w:spacing w:line="360" w:lineRule="auto"/>
        <w:ind w:firstLine="567"/>
        <w:jc w:val="both"/>
        <w:rPr>
          <w:rFonts w:ascii="Times New Roman" w:hAnsi="Times New Roman" w:cs="Times New Roman"/>
          <w:sz w:val="24"/>
          <w:szCs w:val="24"/>
          <w:lang w:bidi="ar-DZ"/>
        </w:rPr>
      </w:pPr>
      <w:r w:rsidRPr="00D30F66">
        <w:rPr>
          <w:rFonts w:ascii="Times New Roman" w:hAnsi="Times New Roman" w:cs="Times New Roman"/>
          <w:sz w:val="24"/>
          <w:szCs w:val="24"/>
          <w:lang w:bidi="ar-DZ"/>
        </w:rPr>
        <w:t xml:space="preserve">Les attributs d’un produit alimentaire correspondent à ses caractéristiques, qu’elles soient observables ou perçues. Les attributs tangibles renvoient à ses propriétés physiques, à commencer par sa qualité, mais ceux-ci sont soumis à une interprétation fondamentalement subjective. Les résultats sont plus abstraits : il s’agit des coûts ou des bénéfices perçus attachés à tel ou tel attribut. On peut donc distinguer des résultats fonctionnels tangibles, d’une part, et, d’autre part, des résultats psychosociaux, relevant d’une approche plus </w:t>
      </w:r>
    </w:p>
    <w:p w:rsidR="005A638F" w:rsidRDefault="005A638F" w:rsidP="00AA6044">
      <w:pPr>
        <w:spacing w:line="360" w:lineRule="auto"/>
        <w:ind w:firstLine="567"/>
        <w:jc w:val="both"/>
        <w:rPr>
          <w:rFonts w:ascii="Times New Roman" w:hAnsi="Times New Roman" w:cs="Times New Roman"/>
          <w:sz w:val="24"/>
          <w:szCs w:val="24"/>
          <w:lang w:bidi="ar-DZ"/>
        </w:rPr>
      </w:pPr>
      <w:r w:rsidRPr="00D30F66">
        <w:rPr>
          <w:rFonts w:ascii="Times New Roman" w:hAnsi="Times New Roman" w:cs="Times New Roman"/>
          <w:sz w:val="24"/>
          <w:szCs w:val="24"/>
          <w:lang w:bidi="ar-DZ"/>
        </w:rPr>
        <w:t>abstraite. Ceux-ci peuvent avoir une dimension psychologique par exemple : « Que ressens-je en consommant des aliments issus de l’agriculture biologique ? » ou sociale par exemple : « Que pensent les autres de ma consommation d’aliments biologiques ? ».</w:t>
      </w:r>
    </w:p>
    <w:p w:rsidR="005A638F" w:rsidRDefault="005A638F" w:rsidP="00D078FF">
      <w:pPr>
        <w:spacing w:line="360" w:lineRule="auto"/>
        <w:ind w:firstLine="567"/>
        <w:jc w:val="both"/>
        <w:rPr>
          <w:rFonts w:ascii="Times New Roman" w:hAnsi="Times New Roman" w:cs="Times New Roman"/>
          <w:sz w:val="24"/>
          <w:szCs w:val="24"/>
          <w:lang w:bidi="ar-DZ"/>
        </w:rPr>
      </w:pPr>
      <w:r w:rsidRPr="00D30F66">
        <w:rPr>
          <w:rFonts w:ascii="Times New Roman" w:hAnsi="Times New Roman" w:cs="Times New Roman"/>
          <w:sz w:val="24"/>
          <w:szCs w:val="24"/>
          <w:lang w:bidi="ar-DZ"/>
        </w:rPr>
        <w:t xml:space="preserve">Les préférences alimentaires sont un phénomène social qui intéresse les consommateurs et qui est révélateur de certains modes de vie. On pourrait penser que l’achat est, dans une </w:t>
      </w:r>
      <w:r w:rsidRPr="00D30F66">
        <w:rPr>
          <w:rFonts w:ascii="Times New Roman" w:hAnsi="Times New Roman" w:cs="Times New Roman"/>
          <w:sz w:val="24"/>
          <w:szCs w:val="24"/>
          <w:lang w:bidi="ar-DZ"/>
        </w:rPr>
        <w:lastRenderedPageBreak/>
        <w:t>certaine mesure, lié à une image d’identité que l’on tente de faire advenir. Ainsi, certains points communs pourraient être perçus dans les systèmes de croyances des consommateurs de produits biologiques. De plus, la consommation de produits bio permettrait à certains consommateurs de se distinguer des autres, tout en soutenant leur formulation sur l’identité et le statut social des autres . Tout cela fait écho aux travaux de Puska , portant sur la consommation des aliments bio, qui montre l’existence d’un lien entre la consommation de bio et des valeurs liées à la collectivité comme l’universalisme, l’altruisme, la tradition, la conformité ou la sécurité.</w:t>
      </w:r>
    </w:p>
    <w:p w:rsidR="005A638F" w:rsidRDefault="005A638F" w:rsidP="00D078FF">
      <w:pPr>
        <w:spacing w:line="360" w:lineRule="auto"/>
        <w:ind w:firstLine="567"/>
        <w:jc w:val="both"/>
        <w:rPr>
          <w:rFonts w:ascii="Times New Roman" w:hAnsi="Times New Roman" w:cs="Times New Roman"/>
          <w:sz w:val="24"/>
          <w:szCs w:val="24"/>
          <w:lang w:bidi="ar-DZ"/>
        </w:rPr>
      </w:pPr>
      <w:r w:rsidRPr="00F60FC9">
        <w:rPr>
          <w:rFonts w:ascii="Times New Roman" w:hAnsi="Times New Roman" w:cs="Times New Roman"/>
          <w:sz w:val="24"/>
          <w:szCs w:val="24"/>
          <w:lang w:bidi="ar-DZ"/>
        </w:rPr>
        <w:t>Bien que les motivations soient étudiées selon diverses catégories, elles interagissent en fait de manière très étroite. Ainsi, un consommateur poussé par le souhait d’une alimentation correcte pourrait être prêt à payer un prix plus élevé pour des produits biologiques. Il se fait donc que la motivation santé devient un facteur déterminant de motivation économique. Mais, la possibilité d’accepter de payer plus cher permet à l’individu de se donner l’image d’un consommateur éclairé, et cela contribue à façonner non seulement son identité sociale, mais également son expression de soi. Ce mode d’interaction évoque une structure multidimensionnelle, dynamique et corrélée, qui s’avère le propre de nombreuses motivations dans la description de cette diversité typologique.</w:t>
      </w:r>
      <w:r>
        <w:rPr>
          <w:rStyle w:val="Appelnotedebasdep"/>
          <w:rFonts w:ascii="Times New Roman" w:hAnsi="Times New Roman" w:cs="Times New Roman"/>
          <w:sz w:val="24"/>
          <w:szCs w:val="24"/>
          <w:lang w:bidi="ar-DZ"/>
        </w:rPr>
        <w:footnoteReference w:id="103"/>
      </w:r>
      <w:r>
        <w:rPr>
          <w:rFonts w:ascii="Times New Roman" w:hAnsi="Times New Roman" w:cs="Times New Roman"/>
          <w:sz w:val="24"/>
          <w:szCs w:val="24"/>
          <w:lang w:bidi="ar-DZ"/>
        </w:rPr>
        <w:t>.</w:t>
      </w:r>
    </w:p>
    <w:p w:rsidR="005A638F" w:rsidRPr="007E41F0" w:rsidRDefault="005A638F" w:rsidP="00D078FF">
      <w:pPr>
        <w:pStyle w:val="Titre4"/>
        <w:spacing w:line="360" w:lineRule="auto"/>
        <w:jc w:val="both"/>
        <w:rPr>
          <w:rFonts w:ascii="Times New Roman" w:hAnsi="Times New Roman"/>
          <w:b/>
          <w:bCs/>
          <w:i w:val="0"/>
          <w:iCs w:val="0"/>
          <w:color w:val="auto"/>
          <w:sz w:val="24"/>
          <w:szCs w:val="24"/>
          <w:rtl/>
        </w:rPr>
      </w:pPr>
      <w:r w:rsidRPr="007E41F0">
        <w:rPr>
          <w:rFonts w:ascii="Times New Roman" w:hAnsi="Times New Roman"/>
          <w:b/>
          <w:bCs/>
          <w:i w:val="0"/>
          <w:iCs w:val="0"/>
          <w:color w:val="auto"/>
          <w:sz w:val="24"/>
          <w:szCs w:val="24"/>
        </w:rPr>
        <w:t> </w:t>
      </w:r>
      <w:bookmarkStart w:id="124" w:name="_Toc230558653"/>
      <w:bookmarkStart w:id="125" w:name="_Toc230900287"/>
      <w:r w:rsidR="000F6529" w:rsidRPr="007E41F0">
        <w:rPr>
          <w:rFonts w:ascii="Times New Roman" w:hAnsi="Times New Roman"/>
          <w:b/>
          <w:bCs/>
          <w:i w:val="0"/>
          <w:iCs w:val="0"/>
          <w:color w:val="auto"/>
          <w:sz w:val="24"/>
          <w:szCs w:val="24"/>
        </w:rPr>
        <w:t>3.4. </w:t>
      </w:r>
      <w:r w:rsidRPr="007E41F0">
        <w:rPr>
          <w:rFonts w:ascii="Times New Roman" w:hAnsi="Times New Roman"/>
          <w:b/>
          <w:bCs/>
          <w:i w:val="0"/>
          <w:iCs w:val="0"/>
          <w:color w:val="auto"/>
          <w:sz w:val="24"/>
          <w:szCs w:val="24"/>
        </w:rPr>
        <w:t>Aperçu du marché local : l'agriculture biologique en Algérie</w:t>
      </w:r>
      <w:bookmarkEnd w:id="124"/>
      <w:bookmarkEnd w:id="125"/>
    </w:p>
    <w:p w:rsidR="005A638F" w:rsidRPr="003E3D63" w:rsidRDefault="005A638F" w:rsidP="00D078FF">
      <w:pPr>
        <w:spacing w:line="360" w:lineRule="auto"/>
        <w:ind w:firstLine="567"/>
        <w:jc w:val="both"/>
        <w:rPr>
          <w:rFonts w:asciiTheme="majorBidi" w:hAnsiTheme="majorBidi" w:cstheme="majorBidi"/>
          <w:sz w:val="24"/>
          <w:szCs w:val="24"/>
        </w:rPr>
      </w:pPr>
      <w:r w:rsidRPr="003E3D63">
        <w:rPr>
          <w:rFonts w:asciiTheme="majorBidi" w:hAnsiTheme="majorBidi" w:cstheme="majorBidi"/>
          <w:sz w:val="24"/>
          <w:szCs w:val="24"/>
        </w:rPr>
        <w:t>En 2010 et dans un échantillon mondial de 160 pays, l’Algérie se classait 125 ème et 10ème dans un échantillon correspondant de 12 pays arabes en superficie des terres arables qui étaient alors de 623 hectares (avec une superficie moyenne des exploitations agricoles d’environ 8 hectares).</w:t>
      </w:r>
    </w:p>
    <w:p w:rsidR="005A638F" w:rsidRPr="003E3D63" w:rsidRDefault="005A638F" w:rsidP="00AA6044">
      <w:pPr>
        <w:spacing w:line="360" w:lineRule="auto"/>
        <w:ind w:firstLine="567"/>
        <w:jc w:val="both"/>
        <w:rPr>
          <w:rFonts w:asciiTheme="majorBidi" w:hAnsiTheme="majorBidi" w:cstheme="majorBidi"/>
          <w:sz w:val="24"/>
          <w:szCs w:val="24"/>
        </w:rPr>
      </w:pPr>
      <w:r w:rsidRPr="003E3D63">
        <w:rPr>
          <w:rFonts w:asciiTheme="majorBidi" w:hAnsiTheme="majorBidi" w:cstheme="majorBidi"/>
          <w:sz w:val="24"/>
          <w:szCs w:val="24"/>
        </w:rPr>
        <w:t>En 2014, le classement de l’Algérie dégringole à la 130ème place mondiale (de 157 pays) et à la 11ème place arabe (de 13 pays arabes), alors qu’elle a pourtant légèrement augmenté sa superficie cultivée à 700 hectares. Cette situation de recul a été notamment provoquée par l’essor d’autres pays (le Maroc, entre autres) dans l’extension de leurs surfaces agricoles biologiques, de telle sorte que, malgré l’augmentation absolue de cette superficie pour l’Algérie, son classement relatif est en fait détérioré.</w:t>
      </w:r>
    </w:p>
    <w:p w:rsidR="005A638F" w:rsidRPr="00080CA7" w:rsidRDefault="005A638F" w:rsidP="00D078FF">
      <w:pPr>
        <w:spacing w:line="360" w:lineRule="auto"/>
        <w:ind w:firstLine="567"/>
        <w:jc w:val="both"/>
        <w:rPr>
          <w:rFonts w:asciiTheme="majorBidi" w:hAnsiTheme="majorBidi" w:cstheme="majorBidi"/>
          <w:sz w:val="24"/>
          <w:szCs w:val="24"/>
        </w:rPr>
      </w:pPr>
      <w:r w:rsidRPr="003E3D63">
        <w:rPr>
          <w:rFonts w:asciiTheme="majorBidi" w:hAnsiTheme="majorBidi" w:cstheme="majorBidi"/>
          <w:sz w:val="24"/>
          <w:szCs w:val="24"/>
        </w:rPr>
        <w:t xml:space="preserve">En 2015, en revanche, il est évident qu’il s’agit d’un tournant qualitatif avec un doublement de la superficie des terres bio à 1400 hectares, soit 100 % d’augmentation par </w:t>
      </w:r>
      <w:r w:rsidRPr="003E3D63">
        <w:rPr>
          <w:rFonts w:asciiTheme="majorBidi" w:hAnsiTheme="majorBidi" w:cstheme="majorBidi"/>
          <w:sz w:val="24"/>
          <w:szCs w:val="24"/>
        </w:rPr>
        <w:lastRenderedPageBreak/>
        <w:t>rapport à 2014. Ce bond procure, du fait d’un classement sous-estimé et de l’extension de 700 à 1400 hectares, un retournement au niveau des classements, puisque l’Algérie occupe alors la 126 ème place mondiale et la 10ème place arabe, ce qui est le signe d’un intérêt croissant pour ce secteur</w:t>
      </w:r>
    </w:p>
    <w:p w:rsidR="005A638F" w:rsidRDefault="005A638F" w:rsidP="00D078FF">
      <w:pPr>
        <w:spacing w:line="360" w:lineRule="auto"/>
        <w:ind w:firstLine="567"/>
        <w:jc w:val="both"/>
        <w:rPr>
          <w:rFonts w:asciiTheme="majorBidi" w:hAnsiTheme="majorBidi" w:cstheme="majorBidi"/>
          <w:sz w:val="24"/>
          <w:szCs w:val="24"/>
        </w:rPr>
      </w:pPr>
      <w:r w:rsidRPr="003E3D63">
        <w:rPr>
          <w:rFonts w:asciiTheme="majorBidi" w:hAnsiTheme="majorBidi" w:cstheme="majorBidi"/>
          <w:sz w:val="24"/>
          <w:szCs w:val="24"/>
        </w:rPr>
        <w:t>En ce qui concerne la structure du marché, ces surfaces sont majoritairement réparties à des productions spécifiques. Les chiffres relevés en 2015 ont montré que le secteur des dattes couvre 502 hectares (496 hectares certifiés et 6 hectares en conversion), puis viennent les oliviers avec 418 hectares, et ensuite les vignes (raisin) avec 205 hectares. On note que le marché local demeure restreint, la majeure partie de la production (a fortiori des dattes) étant exportée au lieu d’approvisionner le marché local.</w:t>
      </w:r>
      <w:r>
        <w:rPr>
          <w:rStyle w:val="Appelnotedebasdep"/>
          <w:rFonts w:asciiTheme="majorBidi" w:hAnsiTheme="majorBidi" w:cstheme="majorBidi"/>
          <w:sz w:val="24"/>
          <w:szCs w:val="24"/>
        </w:rPr>
        <w:footnoteReference w:id="104"/>
      </w:r>
    </w:p>
    <w:p w:rsidR="005A638F" w:rsidRDefault="00C81D92" w:rsidP="00D078FF">
      <w:pPr>
        <w:pStyle w:val="Lgende"/>
        <w:spacing w:after="0" w:line="360" w:lineRule="auto"/>
        <w:jc w:val="both"/>
        <w:rPr>
          <w:rFonts w:asciiTheme="majorBidi" w:eastAsia="Calibri" w:hAnsiTheme="majorBidi" w:cstheme="majorBidi"/>
          <w:i w:val="0"/>
          <w:iCs w:val="0"/>
          <w:color w:val="auto"/>
          <w:kern w:val="3"/>
          <w:sz w:val="24"/>
          <w:szCs w:val="24"/>
          <w:lang w:bidi="ar-DZ"/>
        </w:rPr>
      </w:pPr>
      <w:bookmarkStart w:id="126" w:name="_Toc230400743"/>
      <w:r w:rsidRPr="00C81D92">
        <w:rPr>
          <w:rFonts w:asciiTheme="majorBidi" w:eastAsia="Calibri" w:hAnsiTheme="majorBidi" w:cstheme="majorBidi"/>
          <w:b/>
          <w:bCs/>
          <w:i w:val="0"/>
          <w:iCs w:val="0"/>
          <w:color w:val="auto"/>
          <w:kern w:val="3"/>
          <w:sz w:val="24"/>
          <w:szCs w:val="24"/>
          <w:lang w:bidi="ar-DZ"/>
        </w:rPr>
        <w:t xml:space="preserve">Tableau </w:t>
      </w:r>
      <w:r w:rsidR="007B5998" w:rsidRPr="00C81D92">
        <w:rPr>
          <w:rFonts w:asciiTheme="majorBidi" w:eastAsia="Calibri" w:hAnsiTheme="majorBidi" w:cstheme="majorBidi"/>
          <w:b/>
          <w:bCs/>
          <w:i w:val="0"/>
          <w:iCs w:val="0"/>
          <w:color w:val="auto"/>
          <w:kern w:val="3"/>
          <w:sz w:val="24"/>
          <w:szCs w:val="24"/>
          <w:lang w:bidi="ar-DZ"/>
        </w:rPr>
        <w:fldChar w:fldCharType="begin"/>
      </w:r>
      <w:r w:rsidRPr="00C81D92">
        <w:rPr>
          <w:rFonts w:asciiTheme="majorBidi" w:eastAsia="Calibri" w:hAnsiTheme="majorBidi" w:cstheme="majorBidi"/>
          <w:b/>
          <w:bCs/>
          <w:i w:val="0"/>
          <w:iCs w:val="0"/>
          <w:color w:val="auto"/>
          <w:kern w:val="3"/>
          <w:sz w:val="24"/>
          <w:szCs w:val="24"/>
          <w:lang w:bidi="ar-DZ"/>
        </w:rPr>
        <w:instrText xml:space="preserve"> SEQ Tableau \* ARABIC </w:instrText>
      </w:r>
      <w:r w:rsidR="007B5998" w:rsidRPr="00C81D92">
        <w:rPr>
          <w:rFonts w:asciiTheme="majorBidi" w:eastAsia="Calibri" w:hAnsiTheme="majorBidi" w:cstheme="majorBidi"/>
          <w:b/>
          <w:bCs/>
          <w:i w:val="0"/>
          <w:iCs w:val="0"/>
          <w:color w:val="auto"/>
          <w:kern w:val="3"/>
          <w:sz w:val="24"/>
          <w:szCs w:val="24"/>
          <w:lang w:bidi="ar-DZ"/>
        </w:rPr>
        <w:fldChar w:fldCharType="separate"/>
      </w:r>
      <w:r w:rsidR="00515B25">
        <w:rPr>
          <w:rFonts w:asciiTheme="majorBidi" w:eastAsia="Calibri" w:hAnsiTheme="majorBidi" w:cstheme="majorBidi"/>
          <w:b/>
          <w:bCs/>
          <w:i w:val="0"/>
          <w:iCs w:val="0"/>
          <w:noProof/>
          <w:color w:val="auto"/>
          <w:kern w:val="3"/>
          <w:sz w:val="24"/>
          <w:szCs w:val="24"/>
          <w:lang w:bidi="ar-DZ"/>
        </w:rPr>
        <w:t>5</w:t>
      </w:r>
      <w:r w:rsidR="007B5998" w:rsidRPr="00C81D92">
        <w:rPr>
          <w:rFonts w:asciiTheme="majorBidi" w:eastAsia="Calibri" w:hAnsiTheme="majorBidi" w:cstheme="majorBidi"/>
          <w:b/>
          <w:bCs/>
          <w:i w:val="0"/>
          <w:iCs w:val="0"/>
          <w:color w:val="auto"/>
          <w:kern w:val="3"/>
          <w:sz w:val="24"/>
          <w:szCs w:val="24"/>
          <w:lang w:bidi="ar-DZ"/>
        </w:rPr>
        <w:fldChar w:fldCharType="end"/>
      </w:r>
      <w:r w:rsidRPr="00C81D92">
        <w:rPr>
          <w:rFonts w:asciiTheme="majorBidi" w:eastAsia="Calibri" w:hAnsiTheme="majorBidi" w:cstheme="majorBidi"/>
          <w:b/>
          <w:bCs/>
          <w:i w:val="0"/>
          <w:iCs w:val="0"/>
          <w:color w:val="auto"/>
          <w:kern w:val="3"/>
          <w:sz w:val="24"/>
          <w:szCs w:val="24"/>
          <w:lang w:bidi="ar-DZ"/>
        </w:rPr>
        <w:t xml:space="preserve"> : </w:t>
      </w:r>
      <w:r w:rsidRPr="00C81D92">
        <w:rPr>
          <w:rFonts w:asciiTheme="majorBidi" w:eastAsia="Calibri" w:hAnsiTheme="majorBidi" w:cstheme="majorBidi"/>
          <w:i w:val="0"/>
          <w:iCs w:val="0"/>
          <w:color w:val="auto"/>
          <w:kern w:val="3"/>
          <w:sz w:val="24"/>
          <w:szCs w:val="24"/>
          <w:lang w:bidi="ar-DZ"/>
        </w:rPr>
        <w:t>Évolution des superficies de terres aptes à la production biologique en Algérie (2010-2015)</w:t>
      </w:r>
      <w:bookmarkEnd w:id="126"/>
    </w:p>
    <w:p w:rsidR="007C3D9F" w:rsidRPr="007C3D9F" w:rsidRDefault="007C3D9F" w:rsidP="007C3D9F">
      <w:pPr>
        <w:rPr>
          <w:lang w:bidi="ar-DZ"/>
        </w:rPr>
      </w:pPr>
    </w:p>
    <w:tbl>
      <w:tblPr>
        <w:tblStyle w:val="Grilledutableau"/>
        <w:tblpPr w:leftFromText="141" w:rightFromText="141" w:vertAnchor="text" w:horzAnchor="margin" w:tblpY="-50"/>
        <w:tblW w:w="9927" w:type="dxa"/>
        <w:tblLook w:val="04A0"/>
      </w:tblPr>
      <w:tblGrid>
        <w:gridCol w:w="959"/>
        <w:gridCol w:w="1559"/>
        <w:gridCol w:w="1418"/>
        <w:gridCol w:w="1559"/>
        <w:gridCol w:w="4432"/>
      </w:tblGrid>
      <w:tr w:rsidR="003557FE" w:rsidTr="007A677E">
        <w:trPr>
          <w:trHeight w:val="880"/>
        </w:trPr>
        <w:tc>
          <w:tcPr>
            <w:tcW w:w="959" w:type="dxa"/>
          </w:tcPr>
          <w:p w:rsidR="003557FE" w:rsidRDefault="003557FE" w:rsidP="00D078FF">
            <w:pPr>
              <w:spacing w:line="360" w:lineRule="auto"/>
              <w:jc w:val="both"/>
              <w:rPr>
                <w:rFonts w:asciiTheme="majorBidi" w:hAnsiTheme="majorBidi" w:cstheme="majorBidi"/>
                <w:b/>
                <w:bCs/>
                <w:sz w:val="24"/>
                <w:szCs w:val="24"/>
                <w:rtl/>
              </w:rPr>
            </w:pPr>
          </w:p>
          <w:p w:rsidR="003557FE" w:rsidRPr="003E3D63" w:rsidRDefault="003557FE" w:rsidP="00D078FF">
            <w:pPr>
              <w:spacing w:line="360" w:lineRule="auto"/>
              <w:jc w:val="both"/>
              <w:rPr>
                <w:rFonts w:asciiTheme="majorBidi" w:hAnsiTheme="majorBidi" w:cstheme="majorBidi"/>
                <w:b/>
                <w:bCs/>
                <w:sz w:val="24"/>
                <w:szCs w:val="24"/>
              </w:rPr>
            </w:pPr>
            <w:r w:rsidRPr="003E3D63">
              <w:rPr>
                <w:rFonts w:asciiTheme="majorBidi" w:hAnsiTheme="majorBidi" w:cstheme="majorBidi"/>
                <w:b/>
                <w:bCs/>
                <w:sz w:val="24"/>
                <w:szCs w:val="24"/>
              </w:rPr>
              <w:t>Année</w:t>
            </w:r>
          </w:p>
        </w:tc>
        <w:tc>
          <w:tcPr>
            <w:tcW w:w="1559" w:type="dxa"/>
          </w:tcPr>
          <w:p w:rsidR="003557FE" w:rsidRPr="008B4CE6" w:rsidRDefault="003557FE" w:rsidP="00D078FF">
            <w:pPr>
              <w:spacing w:line="360" w:lineRule="auto"/>
              <w:jc w:val="both"/>
              <w:rPr>
                <w:rFonts w:asciiTheme="majorBidi" w:hAnsiTheme="majorBidi" w:cstheme="majorBidi"/>
                <w:b/>
                <w:bCs/>
                <w:sz w:val="24"/>
                <w:szCs w:val="24"/>
              </w:rPr>
            </w:pPr>
            <w:r w:rsidRPr="008B4CE6">
              <w:rPr>
                <w:rFonts w:asciiTheme="majorBidi" w:hAnsiTheme="majorBidi" w:cstheme="majorBidi"/>
                <w:b/>
                <w:bCs/>
                <w:sz w:val="24"/>
                <w:szCs w:val="24"/>
              </w:rPr>
              <w:t>Superficie (hectares)</w:t>
            </w:r>
          </w:p>
        </w:tc>
        <w:tc>
          <w:tcPr>
            <w:tcW w:w="1418" w:type="dxa"/>
          </w:tcPr>
          <w:p w:rsidR="003557FE" w:rsidRDefault="003557FE" w:rsidP="00D078FF">
            <w:pPr>
              <w:spacing w:line="360" w:lineRule="auto"/>
              <w:jc w:val="both"/>
              <w:rPr>
                <w:rFonts w:asciiTheme="majorBidi" w:hAnsiTheme="majorBidi" w:cstheme="majorBidi"/>
                <w:b/>
                <w:bCs/>
                <w:sz w:val="24"/>
                <w:szCs w:val="24"/>
                <w:rtl/>
              </w:rPr>
            </w:pPr>
          </w:p>
          <w:p w:rsidR="003557FE" w:rsidRPr="008B4CE6" w:rsidRDefault="003557FE" w:rsidP="00D078FF">
            <w:pPr>
              <w:spacing w:line="360" w:lineRule="auto"/>
              <w:jc w:val="both"/>
              <w:rPr>
                <w:rFonts w:asciiTheme="majorBidi" w:hAnsiTheme="majorBidi" w:cstheme="majorBidi"/>
                <w:b/>
                <w:bCs/>
                <w:sz w:val="24"/>
                <w:szCs w:val="24"/>
              </w:rPr>
            </w:pPr>
            <w:r w:rsidRPr="008B4CE6">
              <w:rPr>
                <w:rFonts w:asciiTheme="majorBidi" w:hAnsiTheme="majorBidi" w:cstheme="majorBidi"/>
                <w:b/>
                <w:bCs/>
                <w:sz w:val="24"/>
                <w:szCs w:val="24"/>
              </w:rPr>
              <w:t>Rang mondial</w:t>
            </w:r>
          </w:p>
        </w:tc>
        <w:tc>
          <w:tcPr>
            <w:tcW w:w="1559" w:type="dxa"/>
          </w:tcPr>
          <w:p w:rsidR="003557FE" w:rsidRDefault="003557FE" w:rsidP="00D078FF">
            <w:pPr>
              <w:spacing w:line="360" w:lineRule="auto"/>
              <w:jc w:val="both"/>
              <w:rPr>
                <w:rFonts w:asciiTheme="majorBidi" w:hAnsiTheme="majorBidi" w:cstheme="majorBidi"/>
                <w:b/>
                <w:bCs/>
                <w:sz w:val="24"/>
                <w:szCs w:val="24"/>
                <w:rtl/>
              </w:rPr>
            </w:pPr>
          </w:p>
          <w:p w:rsidR="003557FE" w:rsidRPr="008B4CE6" w:rsidRDefault="003557FE" w:rsidP="00D078FF">
            <w:pPr>
              <w:spacing w:line="360" w:lineRule="auto"/>
              <w:jc w:val="both"/>
              <w:rPr>
                <w:rFonts w:asciiTheme="majorBidi" w:hAnsiTheme="majorBidi" w:cstheme="majorBidi"/>
                <w:b/>
                <w:bCs/>
                <w:sz w:val="24"/>
                <w:szCs w:val="24"/>
              </w:rPr>
            </w:pPr>
            <w:r w:rsidRPr="008B4CE6">
              <w:rPr>
                <w:rFonts w:asciiTheme="majorBidi" w:hAnsiTheme="majorBidi" w:cstheme="majorBidi"/>
                <w:b/>
                <w:bCs/>
                <w:sz w:val="24"/>
                <w:szCs w:val="24"/>
              </w:rPr>
              <w:t>Rang arabe</w:t>
            </w:r>
          </w:p>
        </w:tc>
        <w:tc>
          <w:tcPr>
            <w:tcW w:w="4432" w:type="dxa"/>
          </w:tcPr>
          <w:p w:rsidR="003557FE" w:rsidRDefault="003557FE" w:rsidP="00D078FF">
            <w:pPr>
              <w:spacing w:line="360" w:lineRule="auto"/>
              <w:jc w:val="both"/>
              <w:rPr>
                <w:rFonts w:asciiTheme="majorBidi" w:hAnsiTheme="majorBidi" w:cstheme="majorBidi"/>
                <w:b/>
                <w:bCs/>
                <w:sz w:val="24"/>
                <w:szCs w:val="24"/>
                <w:rtl/>
              </w:rPr>
            </w:pPr>
          </w:p>
          <w:p w:rsidR="003557FE" w:rsidRPr="008B4CE6" w:rsidRDefault="003557FE" w:rsidP="00D078FF">
            <w:pPr>
              <w:spacing w:line="360" w:lineRule="auto"/>
              <w:jc w:val="both"/>
              <w:rPr>
                <w:rFonts w:asciiTheme="majorBidi" w:hAnsiTheme="majorBidi" w:cstheme="majorBidi"/>
                <w:b/>
                <w:bCs/>
                <w:sz w:val="24"/>
                <w:szCs w:val="24"/>
              </w:rPr>
            </w:pPr>
            <w:r w:rsidRPr="008B4CE6">
              <w:rPr>
                <w:rFonts w:asciiTheme="majorBidi" w:hAnsiTheme="majorBidi" w:cstheme="majorBidi"/>
                <w:b/>
                <w:bCs/>
                <w:sz w:val="24"/>
                <w:szCs w:val="24"/>
              </w:rPr>
              <w:t>Observations</w:t>
            </w:r>
          </w:p>
        </w:tc>
      </w:tr>
      <w:tr w:rsidR="003557FE" w:rsidTr="007A677E">
        <w:trPr>
          <w:trHeight w:val="568"/>
        </w:trPr>
        <w:tc>
          <w:tcPr>
            <w:tcW w:w="959" w:type="dxa"/>
          </w:tcPr>
          <w:p w:rsidR="003557FE" w:rsidRPr="007A677E" w:rsidRDefault="003557FE" w:rsidP="00D078FF">
            <w:pPr>
              <w:spacing w:line="360" w:lineRule="auto"/>
              <w:jc w:val="both"/>
              <w:rPr>
                <w:rFonts w:asciiTheme="majorBidi" w:hAnsiTheme="majorBidi" w:cstheme="majorBidi"/>
                <w:sz w:val="2"/>
                <w:szCs w:val="2"/>
                <w:rtl/>
              </w:rPr>
            </w:pPr>
          </w:p>
          <w:p w:rsidR="003557FE" w:rsidRPr="008B4CE6" w:rsidRDefault="003557FE" w:rsidP="00D078FF">
            <w:pPr>
              <w:spacing w:line="360" w:lineRule="auto"/>
              <w:jc w:val="both"/>
              <w:rPr>
                <w:rFonts w:asciiTheme="majorBidi" w:hAnsiTheme="majorBidi" w:cstheme="majorBidi"/>
              </w:rPr>
            </w:pPr>
            <w:r w:rsidRPr="008B4CE6">
              <w:rPr>
                <w:rFonts w:asciiTheme="majorBidi" w:hAnsiTheme="majorBidi" w:cstheme="majorBidi"/>
              </w:rPr>
              <w:t>2010</w:t>
            </w:r>
          </w:p>
        </w:tc>
        <w:tc>
          <w:tcPr>
            <w:tcW w:w="1559" w:type="dxa"/>
          </w:tcPr>
          <w:p w:rsidR="003557FE" w:rsidRPr="007A677E" w:rsidRDefault="003557FE" w:rsidP="00D078FF">
            <w:pPr>
              <w:spacing w:line="360" w:lineRule="auto"/>
              <w:jc w:val="both"/>
              <w:rPr>
                <w:sz w:val="2"/>
                <w:szCs w:val="2"/>
                <w:rtl/>
              </w:rPr>
            </w:pPr>
          </w:p>
          <w:p w:rsidR="003557FE" w:rsidRDefault="003557FE" w:rsidP="00D078FF">
            <w:pPr>
              <w:spacing w:line="360" w:lineRule="auto"/>
              <w:jc w:val="both"/>
            </w:pPr>
            <w:r w:rsidRPr="008B4CE6">
              <w:t>623</w:t>
            </w:r>
          </w:p>
        </w:tc>
        <w:tc>
          <w:tcPr>
            <w:tcW w:w="1418" w:type="dxa"/>
          </w:tcPr>
          <w:p w:rsidR="003557FE" w:rsidRPr="007A677E" w:rsidRDefault="003557FE" w:rsidP="00D078FF">
            <w:pPr>
              <w:spacing w:line="360" w:lineRule="auto"/>
              <w:jc w:val="both"/>
              <w:rPr>
                <w:rFonts w:asciiTheme="majorBidi" w:hAnsiTheme="majorBidi" w:cstheme="majorBidi"/>
                <w:sz w:val="2"/>
                <w:szCs w:val="2"/>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125 sur 160</w:t>
            </w:r>
          </w:p>
        </w:tc>
        <w:tc>
          <w:tcPr>
            <w:tcW w:w="1559" w:type="dxa"/>
          </w:tcPr>
          <w:p w:rsidR="003557FE" w:rsidRPr="007A677E" w:rsidRDefault="003557FE" w:rsidP="00D078FF">
            <w:pPr>
              <w:spacing w:line="360" w:lineRule="auto"/>
              <w:jc w:val="both"/>
              <w:rPr>
                <w:rFonts w:asciiTheme="majorBidi" w:hAnsiTheme="majorBidi" w:cstheme="majorBidi"/>
                <w:sz w:val="6"/>
                <w:szCs w:val="6"/>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10 sur 12</w:t>
            </w:r>
          </w:p>
        </w:tc>
        <w:tc>
          <w:tcPr>
            <w:tcW w:w="4432" w:type="dxa"/>
          </w:tcPr>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Superficie moyenne par exploitation : 8 ha</w:t>
            </w:r>
          </w:p>
        </w:tc>
      </w:tr>
      <w:tr w:rsidR="003557FE" w:rsidTr="007A677E">
        <w:trPr>
          <w:trHeight w:val="880"/>
        </w:trPr>
        <w:tc>
          <w:tcPr>
            <w:tcW w:w="959" w:type="dxa"/>
          </w:tcPr>
          <w:p w:rsidR="003557FE" w:rsidRDefault="003557FE" w:rsidP="00D078FF">
            <w:pPr>
              <w:spacing w:line="360" w:lineRule="auto"/>
              <w:jc w:val="both"/>
              <w:rPr>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2014</w:t>
            </w:r>
          </w:p>
        </w:tc>
        <w:tc>
          <w:tcPr>
            <w:tcW w:w="1559" w:type="dxa"/>
          </w:tcPr>
          <w:p w:rsidR="003557FE" w:rsidRDefault="003557FE" w:rsidP="00D078FF">
            <w:pPr>
              <w:spacing w:line="360" w:lineRule="auto"/>
              <w:jc w:val="both"/>
              <w:rPr>
                <w:rtl/>
              </w:rPr>
            </w:pPr>
          </w:p>
          <w:p w:rsidR="003557FE" w:rsidRDefault="003557FE" w:rsidP="00D078FF">
            <w:pPr>
              <w:spacing w:line="360" w:lineRule="auto"/>
              <w:jc w:val="both"/>
            </w:pPr>
            <w:r w:rsidRPr="008B4CE6">
              <w:t>700</w:t>
            </w:r>
          </w:p>
        </w:tc>
        <w:tc>
          <w:tcPr>
            <w:tcW w:w="1418" w:type="dxa"/>
          </w:tcPr>
          <w:p w:rsidR="003557FE" w:rsidRDefault="003557FE" w:rsidP="00D078FF">
            <w:pPr>
              <w:spacing w:line="360" w:lineRule="auto"/>
              <w:jc w:val="both"/>
              <w:rPr>
                <w:rFonts w:asciiTheme="majorBidi" w:hAnsiTheme="majorBidi" w:cstheme="majorBidi"/>
                <w:sz w:val="24"/>
                <w:szCs w:val="24"/>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130 sur 157</w:t>
            </w:r>
          </w:p>
        </w:tc>
        <w:tc>
          <w:tcPr>
            <w:tcW w:w="1559" w:type="dxa"/>
          </w:tcPr>
          <w:p w:rsidR="003557FE" w:rsidRDefault="003557FE" w:rsidP="00D078FF">
            <w:pPr>
              <w:spacing w:line="360" w:lineRule="auto"/>
              <w:jc w:val="both"/>
              <w:rPr>
                <w:rFonts w:asciiTheme="majorBidi" w:hAnsiTheme="majorBidi" w:cstheme="majorBidi"/>
                <w:sz w:val="24"/>
                <w:szCs w:val="24"/>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11 sur 13</w:t>
            </w:r>
          </w:p>
        </w:tc>
        <w:tc>
          <w:tcPr>
            <w:tcW w:w="4432" w:type="dxa"/>
          </w:tcPr>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Stagnation du développement et recul du classement</w:t>
            </w:r>
          </w:p>
        </w:tc>
      </w:tr>
      <w:tr w:rsidR="003557FE" w:rsidTr="007A677E">
        <w:trPr>
          <w:trHeight w:val="834"/>
        </w:trPr>
        <w:tc>
          <w:tcPr>
            <w:tcW w:w="959" w:type="dxa"/>
          </w:tcPr>
          <w:p w:rsidR="003557FE" w:rsidRDefault="003557FE" w:rsidP="00D078FF">
            <w:pPr>
              <w:spacing w:line="360" w:lineRule="auto"/>
              <w:jc w:val="both"/>
              <w:rPr>
                <w:rFonts w:asciiTheme="majorBidi" w:hAnsiTheme="majorBidi" w:cstheme="majorBidi"/>
                <w:sz w:val="24"/>
                <w:szCs w:val="24"/>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2015</w:t>
            </w:r>
          </w:p>
        </w:tc>
        <w:tc>
          <w:tcPr>
            <w:tcW w:w="1559" w:type="dxa"/>
          </w:tcPr>
          <w:p w:rsidR="003557FE" w:rsidRDefault="003557FE" w:rsidP="00D078FF">
            <w:pPr>
              <w:spacing w:line="360" w:lineRule="auto"/>
              <w:jc w:val="both"/>
              <w:rPr>
                <w:rtl/>
              </w:rPr>
            </w:pPr>
          </w:p>
          <w:p w:rsidR="003557FE" w:rsidRDefault="003557FE" w:rsidP="00D078FF">
            <w:pPr>
              <w:spacing w:line="360" w:lineRule="auto"/>
              <w:jc w:val="both"/>
            </w:pPr>
            <w:r w:rsidRPr="008B4CE6">
              <w:t>1</w:t>
            </w:r>
            <w:r>
              <w:t> </w:t>
            </w:r>
            <w:r w:rsidRPr="008B4CE6">
              <w:t>400</w:t>
            </w:r>
          </w:p>
        </w:tc>
        <w:tc>
          <w:tcPr>
            <w:tcW w:w="1418" w:type="dxa"/>
          </w:tcPr>
          <w:p w:rsidR="003557FE" w:rsidRDefault="003557FE" w:rsidP="00D078FF">
            <w:pPr>
              <w:spacing w:line="360" w:lineRule="auto"/>
              <w:jc w:val="both"/>
              <w:rPr>
                <w:rFonts w:asciiTheme="majorBidi" w:hAnsiTheme="majorBidi" w:cstheme="majorBidi"/>
                <w:sz w:val="24"/>
                <w:szCs w:val="24"/>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126 sur 157</w:t>
            </w:r>
          </w:p>
        </w:tc>
        <w:tc>
          <w:tcPr>
            <w:tcW w:w="1559" w:type="dxa"/>
          </w:tcPr>
          <w:p w:rsidR="003557FE" w:rsidRDefault="003557FE" w:rsidP="00D078FF">
            <w:pPr>
              <w:spacing w:line="360" w:lineRule="auto"/>
              <w:jc w:val="both"/>
              <w:rPr>
                <w:rFonts w:asciiTheme="majorBidi" w:hAnsiTheme="majorBidi" w:cstheme="majorBidi"/>
                <w:sz w:val="24"/>
                <w:szCs w:val="24"/>
                <w:rtl/>
              </w:rPr>
            </w:pPr>
          </w:p>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10 sur 13</w:t>
            </w:r>
          </w:p>
        </w:tc>
        <w:tc>
          <w:tcPr>
            <w:tcW w:w="4432" w:type="dxa"/>
          </w:tcPr>
          <w:p w:rsidR="003557FE" w:rsidRPr="008B4CE6" w:rsidRDefault="003557FE" w:rsidP="00D078FF">
            <w:pPr>
              <w:spacing w:line="360" w:lineRule="auto"/>
              <w:jc w:val="both"/>
              <w:rPr>
                <w:rFonts w:asciiTheme="majorBidi" w:hAnsiTheme="majorBidi" w:cstheme="majorBidi"/>
                <w:sz w:val="24"/>
                <w:szCs w:val="24"/>
              </w:rPr>
            </w:pPr>
            <w:r w:rsidRPr="008B4CE6">
              <w:rPr>
                <w:rFonts w:asciiTheme="majorBidi" w:hAnsiTheme="majorBidi" w:cstheme="majorBidi"/>
                <w:sz w:val="24"/>
                <w:szCs w:val="24"/>
              </w:rPr>
              <w:t>Doublement de la superficie (+100% par rapport à 2014)</w:t>
            </w:r>
          </w:p>
        </w:tc>
      </w:tr>
    </w:tbl>
    <w:p w:rsidR="00C81D92" w:rsidRPr="007C3D9F" w:rsidRDefault="005A638F" w:rsidP="00D078FF">
      <w:pPr>
        <w:pStyle w:val="Lgende"/>
        <w:spacing w:line="360" w:lineRule="auto"/>
        <w:jc w:val="both"/>
        <w:rPr>
          <w:rFonts w:asciiTheme="majorBidi" w:hAnsiTheme="majorBidi" w:cstheme="majorBidi"/>
          <w:i w:val="0"/>
          <w:iCs w:val="0"/>
          <w:color w:val="auto"/>
          <w:sz w:val="20"/>
          <w:szCs w:val="20"/>
        </w:rPr>
      </w:pPr>
      <w:r w:rsidRPr="007C3D9F">
        <w:rPr>
          <w:rFonts w:asciiTheme="majorBidi" w:hAnsiTheme="majorBidi" w:cstheme="majorBidi"/>
          <w:b/>
          <w:bCs/>
          <w:color w:val="auto"/>
          <w:sz w:val="20"/>
          <w:szCs w:val="20"/>
        </w:rPr>
        <w:t>Source :</w:t>
      </w:r>
      <w:r w:rsidRPr="007C3D9F">
        <w:rPr>
          <w:rFonts w:asciiTheme="majorBidi" w:hAnsiTheme="majorBidi" w:cstheme="majorBidi"/>
          <w:i w:val="0"/>
          <w:iCs w:val="0"/>
          <w:color w:val="auto"/>
          <w:sz w:val="20"/>
          <w:szCs w:val="20"/>
        </w:rPr>
        <w:t xml:space="preserve">élaboré par nous-mêmes a la basede </w:t>
      </w:r>
      <w:r w:rsidRPr="007C3D9F">
        <w:rPr>
          <w:rFonts w:asciiTheme="majorBidi" w:hAnsiTheme="majorBidi" w:cstheme="majorBidi"/>
          <w:b/>
          <w:bCs/>
          <w:i w:val="0"/>
          <w:iCs w:val="0"/>
          <w:color w:val="auto"/>
          <w:sz w:val="20"/>
          <w:szCs w:val="20"/>
        </w:rPr>
        <w:t>Aïchoune Sabrina, Chélik Abdeljalil et Mohsen Zoubeida</w:t>
      </w:r>
      <w:r w:rsidRPr="007C3D9F">
        <w:rPr>
          <w:rFonts w:asciiTheme="majorBidi" w:hAnsiTheme="majorBidi" w:cstheme="majorBidi"/>
          <w:i w:val="0"/>
          <w:iCs w:val="0"/>
          <w:color w:val="auto"/>
          <w:sz w:val="20"/>
          <w:szCs w:val="20"/>
        </w:rPr>
        <w:t>, « L'agriculture biologique comme outil pour une agriculture durable en Algérie », 7ème Colloque International : Économies de la production agricole dans le contexte des spécificités des zones agricoles en Algérie et dans les pays arabes, Université Chahid Hama Lakhder, El Oued, Algérie, 2019, p. 647.</w:t>
      </w:r>
    </w:p>
    <w:p w:rsidR="007A677E" w:rsidRDefault="007A677E" w:rsidP="00D078FF">
      <w:pPr>
        <w:pStyle w:val="Lgende"/>
        <w:spacing w:line="360" w:lineRule="auto"/>
        <w:jc w:val="both"/>
        <w:rPr>
          <w:rFonts w:asciiTheme="majorBidi" w:hAnsiTheme="majorBidi" w:cstheme="majorBidi"/>
          <w:sz w:val="24"/>
          <w:szCs w:val="24"/>
          <w:rtl/>
        </w:rPr>
      </w:pPr>
    </w:p>
    <w:p w:rsidR="007A677E" w:rsidRDefault="007A677E" w:rsidP="00D078FF">
      <w:pPr>
        <w:pStyle w:val="Lgende"/>
        <w:spacing w:line="360" w:lineRule="auto"/>
        <w:jc w:val="both"/>
        <w:rPr>
          <w:rFonts w:asciiTheme="majorBidi" w:hAnsiTheme="majorBidi" w:cstheme="majorBidi"/>
          <w:sz w:val="24"/>
          <w:szCs w:val="24"/>
          <w:rtl/>
        </w:rPr>
      </w:pPr>
    </w:p>
    <w:p w:rsidR="005A638F" w:rsidRPr="00C81D92" w:rsidRDefault="005A638F" w:rsidP="00D078FF">
      <w:pPr>
        <w:pStyle w:val="Lgende"/>
        <w:spacing w:line="360" w:lineRule="auto"/>
        <w:jc w:val="both"/>
        <w:rPr>
          <w:rFonts w:asciiTheme="majorBidi" w:eastAsia="Calibri" w:hAnsiTheme="majorBidi" w:cstheme="majorBidi"/>
          <w:b/>
          <w:bCs/>
          <w:i w:val="0"/>
          <w:iCs w:val="0"/>
          <w:color w:val="auto"/>
          <w:kern w:val="3"/>
          <w:sz w:val="24"/>
          <w:szCs w:val="24"/>
        </w:rPr>
      </w:pPr>
      <w:r w:rsidRPr="00FE14D1">
        <w:rPr>
          <w:rFonts w:asciiTheme="majorBidi" w:hAnsiTheme="majorBidi" w:cstheme="majorBidi"/>
          <w:sz w:val="24"/>
          <w:szCs w:val="24"/>
        </w:rPr>
        <w:lastRenderedPageBreak/>
        <w:br/>
      </w:r>
      <w:bookmarkStart w:id="127" w:name="_Toc230400744"/>
      <w:r w:rsidR="00C81D92" w:rsidRPr="00C81D92">
        <w:rPr>
          <w:rFonts w:asciiTheme="majorBidi" w:eastAsia="Calibri" w:hAnsiTheme="majorBidi" w:cstheme="majorBidi"/>
          <w:b/>
          <w:bCs/>
          <w:i w:val="0"/>
          <w:iCs w:val="0"/>
          <w:color w:val="auto"/>
          <w:kern w:val="3"/>
          <w:sz w:val="24"/>
          <w:szCs w:val="24"/>
        </w:rPr>
        <w:t xml:space="preserve">Tableau </w:t>
      </w:r>
      <w:r w:rsidR="007B5998" w:rsidRPr="00C81D92">
        <w:rPr>
          <w:rFonts w:asciiTheme="majorBidi" w:eastAsia="Calibri" w:hAnsiTheme="majorBidi" w:cstheme="majorBidi"/>
          <w:b/>
          <w:bCs/>
          <w:i w:val="0"/>
          <w:iCs w:val="0"/>
          <w:color w:val="auto"/>
          <w:kern w:val="3"/>
          <w:sz w:val="24"/>
          <w:szCs w:val="24"/>
        </w:rPr>
        <w:fldChar w:fldCharType="begin"/>
      </w:r>
      <w:r w:rsidR="00C81D92" w:rsidRPr="00C81D92">
        <w:rPr>
          <w:rFonts w:asciiTheme="majorBidi" w:eastAsia="Calibri" w:hAnsiTheme="majorBidi" w:cstheme="majorBidi"/>
          <w:b/>
          <w:bCs/>
          <w:i w:val="0"/>
          <w:iCs w:val="0"/>
          <w:color w:val="auto"/>
          <w:kern w:val="3"/>
          <w:sz w:val="24"/>
          <w:szCs w:val="24"/>
        </w:rPr>
        <w:instrText xml:space="preserve"> SEQ Tableau \* ARABIC </w:instrText>
      </w:r>
      <w:r w:rsidR="007B5998" w:rsidRPr="00C81D92">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6</w:t>
      </w:r>
      <w:r w:rsidR="007B5998" w:rsidRPr="00C81D92">
        <w:rPr>
          <w:rFonts w:asciiTheme="majorBidi" w:eastAsia="Calibri" w:hAnsiTheme="majorBidi" w:cstheme="majorBidi"/>
          <w:b/>
          <w:bCs/>
          <w:i w:val="0"/>
          <w:iCs w:val="0"/>
          <w:color w:val="auto"/>
          <w:kern w:val="3"/>
          <w:sz w:val="24"/>
          <w:szCs w:val="24"/>
        </w:rPr>
        <w:fldChar w:fldCharType="end"/>
      </w:r>
      <w:r w:rsidR="00C81D92" w:rsidRPr="00C81D92">
        <w:rPr>
          <w:rFonts w:asciiTheme="majorBidi" w:eastAsia="Calibri" w:hAnsiTheme="majorBidi" w:cstheme="majorBidi"/>
          <w:b/>
          <w:bCs/>
          <w:i w:val="0"/>
          <w:iCs w:val="0"/>
          <w:color w:val="auto"/>
          <w:kern w:val="3"/>
          <w:sz w:val="24"/>
          <w:szCs w:val="24"/>
        </w:rPr>
        <w:t xml:space="preserve"> : </w:t>
      </w:r>
      <w:r w:rsidR="00C81D92" w:rsidRPr="00C81D92">
        <w:rPr>
          <w:rFonts w:asciiTheme="majorBidi" w:eastAsia="Calibri" w:hAnsiTheme="majorBidi" w:cstheme="majorBidi"/>
          <w:i w:val="0"/>
          <w:iCs w:val="0"/>
          <w:color w:val="auto"/>
          <w:kern w:val="3"/>
          <w:sz w:val="24"/>
          <w:szCs w:val="24"/>
        </w:rPr>
        <w:t>Structure du marché – Répartition des superficies biologiques par produit (2015)</w:t>
      </w:r>
      <w:bookmarkEnd w:id="127"/>
    </w:p>
    <w:tbl>
      <w:tblPr>
        <w:tblStyle w:val="Grilledutableau"/>
        <w:tblpPr w:leftFromText="141" w:rightFromText="141" w:vertAnchor="text" w:horzAnchor="margin" w:tblpY="216"/>
        <w:tblW w:w="8926" w:type="dxa"/>
        <w:tblLook w:val="04A0"/>
      </w:tblPr>
      <w:tblGrid>
        <w:gridCol w:w="1668"/>
        <w:gridCol w:w="2319"/>
        <w:gridCol w:w="1851"/>
        <w:gridCol w:w="3088"/>
      </w:tblGrid>
      <w:tr w:rsidR="00EA0836" w:rsidTr="007A677E">
        <w:trPr>
          <w:trHeight w:val="780"/>
        </w:trPr>
        <w:tc>
          <w:tcPr>
            <w:tcW w:w="1668" w:type="dxa"/>
            <w:vAlign w:val="center"/>
          </w:tcPr>
          <w:p w:rsidR="00CD023B" w:rsidRPr="000204D1" w:rsidRDefault="00CD023B" w:rsidP="00D078FF">
            <w:pPr>
              <w:spacing w:line="360" w:lineRule="auto"/>
              <w:ind w:right="35"/>
              <w:jc w:val="both"/>
              <w:rPr>
                <w:rFonts w:asciiTheme="majorBidi" w:hAnsiTheme="majorBidi" w:cstheme="majorBidi"/>
                <w:b/>
                <w:bCs/>
                <w:sz w:val="24"/>
                <w:szCs w:val="24"/>
              </w:rPr>
            </w:pPr>
            <w:r w:rsidRPr="000204D1">
              <w:rPr>
                <w:rFonts w:asciiTheme="majorBidi" w:hAnsiTheme="majorBidi" w:cstheme="majorBidi"/>
                <w:b/>
                <w:bCs/>
                <w:sz w:val="24"/>
                <w:szCs w:val="24"/>
              </w:rPr>
              <w:t>Produit</w:t>
            </w:r>
          </w:p>
        </w:tc>
        <w:tc>
          <w:tcPr>
            <w:tcW w:w="2319" w:type="dxa"/>
            <w:vAlign w:val="center"/>
          </w:tcPr>
          <w:p w:rsidR="00CD023B" w:rsidRPr="00ED3652" w:rsidRDefault="00CD023B" w:rsidP="00D078FF">
            <w:pPr>
              <w:spacing w:line="360" w:lineRule="auto"/>
              <w:jc w:val="both"/>
              <w:rPr>
                <w:rFonts w:asciiTheme="majorBidi" w:hAnsiTheme="majorBidi" w:cstheme="majorBidi"/>
                <w:sz w:val="24"/>
                <w:szCs w:val="24"/>
              </w:rPr>
            </w:pPr>
            <w:r w:rsidRPr="00ED3652">
              <w:rPr>
                <w:rFonts w:asciiTheme="majorBidi" w:hAnsiTheme="majorBidi" w:cstheme="majorBidi"/>
                <w:sz w:val="24"/>
                <w:szCs w:val="24"/>
              </w:rPr>
              <w:t>Superficie(hectares)</w:t>
            </w:r>
          </w:p>
        </w:tc>
        <w:tc>
          <w:tcPr>
            <w:tcW w:w="1851" w:type="dxa"/>
            <w:vAlign w:val="center"/>
          </w:tcPr>
          <w:p w:rsidR="00CD023B" w:rsidRPr="00ED3652" w:rsidRDefault="00CD023B" w:rsidP="00D078FF">
            <w:pPr>
              <w:spacing w:line="360" w:lineRule="auto"/>
              <w:jc w:val="both"/>
              <w:rPr>
                <w:rFonts w:asciiTheme="majorBidi" w:hAnsiTheme="majorBidi" w:cstheme="majorBidi"/>
                <w:sz w:val="24"/>
                <w:szCs w:val="24"/>
              </w:rPr>
            </w:pPr>
            <w:r w:rsidRPr="00ED3652">
              <w:rPr>
                <w:rFonts w:asciiTheme="majorBidi" w:hAnsiTheme="majorBidi" w:cstheme="majorBidi"/>
                <w:sz w:val="24"/>
                <w:szCs w:val="24"/>
              </w:rPr>
              <w:t>Part estimée de la superficie totale (1 400 ha)</w:t>
            </w:r>
          </w:p>
        </w:tc>
        <w:tc>
          <w:tcPr>
            <w:tcW w:w="3088" w:type="dxa"/>
            <w:vAlign w:val="center"/>
          </w:tcPr>
          <w:p w:rsidR="00CD023B" w:rsidRPr="00ED3652" w:rsidRDefault="00CD023B" w:rsidP="00D078FF">
            <w:pPr>
              <w:spacing w:line="360" w:lineRule="auto"/>
              <w:jc w:val="both"/>
              <w:rPr>
                <w:rFonts w:asciiTheme="majorBidi" w:hAnsiTheme="majorBidi" w:cstheme="majorBidi"/>
                <w:sz w:val="24"/>
                <w:szCs w:val="24"/>
              </w:rPr>
            </w:pPr>
            <w:r w:rsidRPr="00ED3652">
              <w:rPr>
                <w:rFonts w:asciiTheme="majorBidi" w:hAnsiTheme="majorBidi" w:cstheme="majorBidi"/>
                <w:sz w:val="24"/>
                <w:szCs w:val="24"/>
              </w:rPr>
              <w:t>Observations</w:t>
            </w:r>
          </w:p>
        </w:tc>
      </w:tr>
      <w:tr w:rsidR="00EA0836" w:rsidTr="007A677E">
        <w:trPr>
          <w:trHeight w:val="740"/>
        </w:trPr>
        <w:tc>
          <w:tcPr>
            <w:tcW w:w="1668" w:type="dxa"/>
            <w:vAlign w:val="center"/>
          </w:tcPr>
          <w:p w:rsidR="00CD023B" w:rsidRPr="00ED3652" w:rsidRDefault="00CD023B" w:rsidP="00D078FF">
            <w:pPr>
              <w:spacing w:line="360" w:lineRule="auto"/>
              <w:ind w:right="35"/>
              <w:jc w:val="both"/>
              <w:rPr>
                <w:rFonts w:asciiTheme="majorBidi" w:hAnsiTheme="majorBidi" w:cstheme="majorBidi"/>
                <w:sz w:val="24"/>
                <w:szCs w:val="24"/>
              </w:rPr>
            </w:pPr>
            <w:r w:rsidRPr="00ED3652">
              <w:rPr>
                <w:rFonts w:asciiTheme="majorBidi" w:hAnsiTheme="majorBidi" w:cstheme="majorBidi"/>
                <w:b/>
                <w:bCs/>
                <w:sz w:val="24"/>
                <w:szCs w:val="24"/>
              </w:rPr>
              <w:t>Dattes</w:t>
            </w:r>
          </w:p>
        </w:tc>
        <w:tc>
          <w:tcPr>
            <w:tcW w:w="2319" w:type="dxa"/>
            <w:vAlign w:val="center"/>
          </w:tcPr>
          <w:p w:rsidR="00CD023B" w:rsidRDefault="00CD023B" w:rsidP="00D078FF">
            <w:pPr>
              <w:spacing w:line="360" w:lineRule="auto"/>
              <w:jc w:val="both"/>
              <w:rPr>
                <w:rFonts w:asciiTheme="majorBidi" w:hAnsiTheme="majorBidi" w:cstheme="majorBidi"/>
                <w:sz w:val="24"/>
                <w:szCs w:val="24"/>
              </w:rPr>
            </w:pPr>
          </w:p>
          <w:p w:rsidR="00CD023B" w:rsidRPr="00ED3652" w:rsidRDefault="00CD023B" w:rsidP="00D078FF">
            <w:pPr>
              <w:spacing w:line="360" w:lineRule="auto"/>
              <w:jc w:val="both"/>
              <w:rPr>
                <w:rFonts w:asciiTheme="majorBidi" w:hAnsiTheme="majorBidi" w:cstheme="majorBidi"/>
                <w:sz w:val="24"/>
                <w:szCs w:val="24"/>
              </w:rPr>
            </w:pPr>
            <w:r w:rsidRPr="00ED3652">
              <w:rPr>
                <w:rFonts w:asciiTheme="majorBidi" w:hAnsiTheme="majorBidi" w:cstheme="majorBidi"/>
                <w:sz w:val="24"/>
                <w:szCs w:val="24"/>
              </w:rPr>
              <w:t>502</w:t>
            </w:r>
          </w:p>
        </w:tc>
        <w:tc>
          <w:tcPr>
            <w:tcW w:w="1851" w:type="dxa"/>
            <w:vAlign w:val="center"/>
          </w:tcPr>
          <w:p w:rsidR="00CD023B" w:rsidRDefault="00CD023B" w:rsidP="00D078FF">
            <w:pPr>
              <w:spacing w:line="360" w:lineRule="auto"/>
              <w:jc w:val="both"/>
              <w:rPr>
                <w:rFonts w:asciiTheme="majorBidi" w:hAnsiTheme="majorBidi" w:cstheme="majorBidi"/>
                <w:sz w:val="24"/>
                <w:szCs w:val="24"/>
              </w:rPr>
            </w:pPr>
          </w:p>
          <w:p w:rsidR="00CD023B" w:rsidRPr="00ED3652" w:rsidRDefault="00CD023B" w:rsidP="00D078FF">
            <w:pPr>
              <w:spacing w:line="360" w:lineRule="auto"/>
              <w:jc w:val="both"/>
              <w:rPr>
                <w:rFonts w:asciiTheme="majorBidi" w:hAnsiTheme="majorBidi" w:cstheme="majorBidi"/>
                <w:sz w:val="24"/>
                <w:szCs w:val="24"/>
              </w:rPr>
            </w:pPr>
            <w:r w:rsidRPr="00ED3652">
              <w:rPr>
                <w:rFonts w:asciiTheme="majorBidi" w:hAnsiTheme="majorBidi" w:cstheme="majorBidi"/>
                <w:sz w:val="24"/>
                <w:szCs w:val="24"/>
              </w:rPr>
              <w:t>~35,9%</w:t>
            </w:r>
          </w:p>
        </w:tc>
        <w:tc>
          <w:tcPr>
            <w:tcW w:w="3088" w:type="dxa"/>
            <w:vAlign w:val="center"/>
          </w:tcPr>
          <w:p w:rsidR="00CD023B" w:rsidRPr="00ED3652" w:rsidRDefault="00CD023B" w:rsidP="00D078FF">
            <w:pPr>
              <w:spacing w:line="360" w:lineRule="auto"/>
              <w:jc w:val="both"/>
              <w:rPr>
                <w:rFonts w:asciiTheme="majorBidi" w:hAnsiTheme="majorBidi" w:cstheme="majorBidi"/>
                <w:sz w:val="24"/>
                <w:szCs w:val="24"/>
              </w:rPr>
            </w:pPr>
            <w:r w:rsidRPr="00ED3652">
              <w:rPr>
                <w:rFonts w:asciiTheme="majorBidi" w:hAnsiTheme="majorBidi" w:cstheme="majorBidi"/>
                <w:sz w:val="24"/>
                <w:szCs w:val="24"/>
              </w:rPr>
              <w:t>Dont 496 ha certifiés + 6 ha en conversion</w:t>
            </w:r>
          </w:p>
        </w:tc>
      </w:tr>
      <w:tr w:rsidR="00EA0836" w:rsidTr="007A677E">
        <w:trPr>
          <w:trHeight w:val="780"/>
        </w:trPr>
        <w:tc>
          <w:tcPr>
            <w:tcW w:w="1668" w:type="dxa"/>
            <w:vAlign w:val="center"/>
          </w:tcPr>
          <w:p w:rsidR="00CD023B" w:rsidRPr="00ED3652" w:rsidRDefault="00CD023B" w:rsidP="00D078FF">
            <w:pPr>
              <w:spacing w:line="360" w:lineRule="auto"/>
              <w:ind w:right="35"/>
              <w:jc w:val="both"/>
              <w:rPr>
                <w:rFonts w:asciiTheme="majorBidi" w:hAnsiTheme="majorBidi" w:cstheme="majorBidi"/>
                <w:sz w:val="24"/>
                <w:szCs w:val="24"/>
              </w:rPr>
            </w:pPr>
            <w:r w:rsidRPr="00ED3652">
              <w:rPr>
                <w:rFonts w:asciiTheme="majorBidi" w:hAnsiTheme="majorBidi" w:cstheme="majorBidi"/>
                <w:b/>
                <w:bCs/>
                <w:sz w:val="24"/>
                <w:szCs w:val="24"/>
              </w:rPr>
              <w:t>Oliviers</w:t>
            </w:r>
          </w:p>
        </w:tc>
        <w:tc>
          <w:tcPr>
            <w:tcW w:w="2319" w:type="dxa"/>
            <w:vAlign w:val="center"/>
          </w:tcPr>
          <w:p w:rsidR="00CD023B" w:rsidRDefault="00CD023B" w:rsidP="00D078FF">
            <w:pPr>
              <w:spacing w:line="360" w:lineRule="auto"/>
              <w:jc w:val="both"/>
              <w:rPr>
                <w:rFonts w:asciiTheme="majorBidi" w:hAnsiTheme="majorBidi" w:cstheme="majorBidi"/>
                <w:sz w:val="24"/>
                <w:szCs w:val="24"/>
              </w:rPr>
            </w:pPr>
          </w:p>
          <w:p w:rsidR="00CD023B" w:rsidRPr="00ED3652" w:rsidRDefault="00CD023B" w:rsidP="00D078FF">
            <w:pPr>
              <w:spacing w:line="360" w:lineRule="auto"/>
              <w:jc w:val="both"/>
              <w:rPr>
                <w:rFonts w:asciiTheme="majorBidi" w:hAnsiTheme="majorBidi" w:cstheme="majorBidi"/>
                <w:sz w:val="24"/>
                <w:szCs w:val="24"/>
              </w:rPr>
            </w:pPr>
            <w:r w:rsidRPr="00ED3652">
              <w:rPr>
                <w:rFonts w:asciiTheme="majorBidi" w:hAnsiTheme="majorBidi" w:cstheme="majorBidi"/>
                <w:sz w:val="24"/>
                <w:szCs w:val="24"/>
              </w:rPr>
              <w:t>418</w:t>
            </w:r>
          </w:p>
        </w:tc>
        <w:tc>
          <w:tcPr>
            <w:tcW w:w="1851" w:type="dxa"/>
            <w:vAlign w:val="center"/>
          </w:tcPr>
          <w:p w:rsidR="00CD023B" w:rsidRDefault="00CD023B" w:rsidP="00D078FF">
            <w:pPr>
              <w:spacing w:line="360" w:lineRule="auto"/>
              <w:jc w:val="both"/>
              <w:rPr>
                <w:rFonts w:asciiTheme="majorBidi" w:hAnsiTheme="majorBidi" w:cstheme="majorBidi"/>
                <w:sz w:val="24"/>
                <w:szCs w:val="24"/>
              </w:rPr>
            </w:pPr>
          </w:p>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~29,9%</w:t>
            </w:r>
          </w:p>
        </w:tc>
        <w:tc>
          <w:tcPr>
            <w:tcW w:w="3088" w:type="dxa"/>
            <w:vAlign w:val="center"/>
          </w:tcPr>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Inclut l'huile d'olive et l'huile de table</w:t>
            </w:r>
          </w:p>
        </w:tc>
      </w:tr>
      <w:tr w:rsidR="00EA0836" w:rsidTr="007A677E">
        <w:trPr>
          <w:trHeight w:val="740"/>
        </w:trPr>
        <w:tc>
          <w:tcPr>
            <w:tcW w:w="1668" w:type="dxa"/>
            <w:vAlign w:val="center"/>
          </w:tcPr>
          <w:p w:rsidR="00CD023B" w:rsidRPr="00ED3652" w:rsidRDefault="00CD023B" w:rsidP="00D078FF">
            <w:pPr>
              <w:spacing w:line="360" w:lineRule="auto"/>
              <w:ind w:right="35"/>
              <w:jc w:val="both"/>
              <w:rPr>
                <w:rFonts w:asciiTheme="majorBidi" w:hAnsiTheme="majorBidi" w:cstheme="majorBidi"/>
                <w:sz w:val="24"/>
                <w:szCs w:val="24"/>
              </w:rPr>
            </w:pPr>
            <w:r w:rsidRPr="00ED3652">
              <w:rPr>
                <w:rFonts w:asciiTheme="majorBidi" w:hAnsiTheme="majorBidi" w:cstheme="majorBidi"/>
                <w:b/>
                <w:bCs/>
                <w:sz w:val="24"/>
                <w:szCs w:val="24"/>
              </w:rPr>
              <w:t>Vignes (raisin)</w:t>
            </w:r>
          </w:p>
        </w:tc>
        <w:tc>
          <w:tcPr>
            <w:tcW w:w="2319" w:type="dxa"/>
            <w:vAlign w:val="center"/>
          </w:tcPr>
          <w:p w:rsidR="00CD023B" w:rsidRDefault="00CD023B" w:rsidP="00D078FF">
            <w:pPr>
              <w:spacing w:line="360" w:lineRule="auto"/>
              <w:jc w:val="both"/>
              <w:rPr>
                <w:rFonts w:asciiTheme="majorBidi" w:hAnsiTheme="majorBidi" w:cstheme="majorBidi"/>
                <w:sz w:val="24"/>
                <w:szCs w:val="24"/>
              </w:rPr>
            </w:pPr>
          </w:p>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205</w:t>
            </w:r>
          </w:p>
        </w:tc>
        <w:tc>
          <w:tcPr>
            <w:tcW w:w="1851" w:type="dxa"/>
            <w:vAlign w:val="center"/>
          </w:tcPr>
          <w:p w:rsidR="00CD023B" w:rsidRDefault="00CD023B" w:rsidP="00D078FF">
            <w:pPr>
              <w:spacing w:line="360" w:lineRule="auto"/>
              <w:jc w:val="both"/>
              <w:rPr>
                <w:rFonts w:asciiTheme="majorBidi" w:hAnsiTheme="majorBidi" w:cstheme="majorBidi"/>
                <w:sz w:val="24"/>
                <w:szCs w:val="24"/>
              </w:rPr>
            </w:pPr>
          </w:p>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~14,6%</w:t>
            </w:r>
          </w:p>
        </w:tc>
        <w:tc>
          <w:tcPr>
            <w:tcW w:w="3088" w:type="dxa"/>
            <w:vAlign w:val="center"/>
          </w:tcPr>
          <w:p w:rsidR="00CD023B" w:rsidRDefault="00CD023B" w:rsidP="00D078FF">
            <w:pPr>
              <w:spacing w:line="360" w:lineRule="auto"/>
              <w:jc w:val="both"/>
              <w:rPr>
                <w:rFonts w:asciiTheme="majorBidi" w:hAnsiTheme="majorBidi" w:cstheme="majorBidi"/>
                <w:sz w:val="24"/>
                <w:szCs w:val="24"/>
              </w:rPr>
            </w:pPr>
          </w:p>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Filière émergente</w:t>
            </w:r>
          </w:p>
        </w:tc>
      </w:tr>
      <w:tr w:rsidR="00EA0836" w:rsidTr="007A677E">
        <w:trPr>
          <w:trHeight w:val="740"/>
        </w:trPr>
        <w:tc>
          <w:tcPr>
            <w:tcW w:w="1668" w:type="dxa"/>
            <w:vAlign w:val="center"/>
          </w:tcPr>
          <w:p w:rsidR="00CD023B" w:rsidRPr="00ED3652" w:rsidRDefault="00CD023B" w:rsidP="00D078FF">
            <w:pPr>
              <w:spacing w:line="360" w:lineRule="auto"/>
              <w:ind w:right="35"/>
              <w:jc w:val="both"/>
              <w:rPr>
                <w:rFonts w:asciiTheme="majorBidi" w:hAnsiTheme="majorBidi" w:cstheme="majorBidi"/>
                <w:sz w:val="24"/>
                <w:szCs w:val="24"/>
              </w:rPr>
            </w:pPr>
            <w:r w:rsidRPr="00ED3652">
              <w:rPr>
                <w:rFonts w:asciiTheme="majorBidi" w:hAnsiTheme="majorBidi" w:cstheme="majorBidi"/>
                <w:b/>
                <w:bCs/>
                <w:sz w:val="24"/>
                <w:szCs w:val="24"/>
              </w:rPr>
              <w:t>Autres produits</w:t>
            </w:r>
          </w:p>
        </w:tc>
        <w:tc>
          <w:tcPr>
            <w:tcW w:w="2319" w:type="dxa"/>
            <w:vAlign w:val="center"/>
          </w:tcPr>
          <w:p w:rsidR="00CD023B" w:rsidRDefault="00CD023B" w:rsidP="00D078FF">
            <w:pPr>
              <w:spacing w:line="360" w:lineRule="auto"/>
              <w:jc w:val="both"/>
              <w:rPr>
                <w:rFonts w:asciiTheme="majorBidi" w:hAnsiTheme="majorBidi" w:cstheme="majorBidi"/>
                <w:sz w:val="24"/>
                <w:szCs w:val="24"/>
              </w:rPr>
            </w:pPr>
          </w:p>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275</w:t>
            </w:r>
          </w:p>
        </w:tc>
        <w:tc>
          <w:tcPr>
            <w:tcW w:w="1851" w:type="dxa"/>
            <w:vAlign w:val="center"/>
          </w:tcPr>
          <w:p w:rsidR="00CD023B" w:rsidRDefault="00CD023B" w:rsidP="00D078FF">
            <w:pPr>
              <w:spacing w:line="360" w:lineRule="auto"/>
              <w:jc w:val="both"/>
              <w:rPr>
                <w:rFonts w:asciiTheme="majorBidi" w:hAnsiTheme="majorBidi" w:cstheme="majorBidi"/>
                <w:sz w:val="24"/>
                <w:szCs w:val="24"/>
              </w:rPr>
            </w:pPr>
          </w:p>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~19,6%</w:t>
            </w:r>
          </w:p>
        </w:tc>
        <w:tc>
          <w:tcPr>
            <w:tcW w:w="3088" w:type="dxa"/>
            <w:vAlign w:val="center"/>
          </w:tcPr>
          <w:p w:rsidR="00CD023B" w:rsidRPr="0041427B" w:rsidRDefault="00CD023B" w:rsidP="00D078FF">
            <w:pPr>
              <w:spacing w:line="360" w:lineRule="auto"/>
              <w:jc w:val="both"/>
              <w:rPr>
                <w:rFonts w:asciiTheme="majorBidi" w:hAnsiTheme="majorBidi" w:cstheme="majorBidi"/>
                <w:sz w:val="24"/>
                <w:szCs w:val="24"/>
              </w:rPr>
            </w:pPr>
            <w:r w:rsidRPr="0041427B">
              <w:rPr>
                <w:rFonts w:asciiTheme="majorBidi" w:hAnsiTheme="majorBidi" w:cstheme="majorBidi"/>
                <w:sz w:val="24"/>
                <w:szCs w:val="24"/>
              </w:rPr>
              <w:t>Fruits tropicaux et subtropicaux (banane, avocat, mangue, etc.) et plantes médicinales et aromatiques</w:t>
            </w:r>
          </w:p>
        </w:tc>
      </w:tr>
    </w:tbl>
    <w:p w:rsidR="00CD023B" w:rsidRDefault="00CD023B" w:rsidP="00D078FF">
      <w:pPr>
        <w:spacing w:line="360" w:lineRule="auto"/>
        <w:jc w:val="both"/>
        <w:rPr>
          <w:rFonts w:asciiTheme="majorBidi" w:hAnsiTheme="majorBidi" w:cstheme="majorBidi"/>
          <w:b/>
          <w:bCs/>
          <w:sz w:val="24"/>
          <w:szCs w:val="24"/>
        </w:rPr>
      </w:pPr>
    </w:p>
    <w:p w:rsidR="005A638F" w:rsidRPr="00973615" w:rsidRDefault="005A638F" w:rsidP="007C3D9F">
      <w:pPr>
        <w:spacing w:line="360" w:lineRule="auto"/>
        <w:jc w:val="both"/>
      </w:pPr>
      <w:r w:rsidRPr="007C3D9F">
        <w:rPr>
          <w:rFonts w:asciiTheme="majorBidi" w:hAnsiTheme="majorBidi" w:cstheme="majorBidi"/>
          <w:b/>
          <w:bCs/>
          <w:sz w:val="20"/>
          <w:szCs w:val="20"/>
        </w:rPr>
        <w:t xml:space="preserve">Source: </w:t>
      </w:r>
      <w:r w:rsidRPr="00973615">
        <w:rPr>
          <w:rFonts w:asciiTheme="majorBidi" w:hAnsiTheme="majorBidi" w:cstheme="majorBidi"/>
          <w:sz w:val="20"/>
          <w:szCs w:val="20"/>
        </w:rPr>
        <w:t>élaboré par nous-mêmes a la basede</w:t>
      </w:r>
      <w:r w:rsidRPr="00973615">
        <w:rPr>
          <w:rFonts w:asciiTheme="majorBidi" w:hAnsiTheme="majorBidi" w:cstheme="majorBidi"/>
          <w:b/>
          <w:bCs/>
          <w:sz w:val="20"/>
          <w:szCs w:val="20"/>
        </w:rPr>
        <w:t>Aïchoune Sabrina, Chélik Abdeljalil et Mohsen Zoubeida</w:t>
      </w:r>
      <w:r w:rsidRPr="00973615">
        <w:rPr>
          <w:rFonts w:asciiTheme="majorBidi" w:hAnsiTheme="majorBidi" w:cstheme="majorBidi"/>
          <w:sz w:val="20"/>
          <w:szCs w:val="20"/>
        </w:rPr>
        <w:t>, « L'agriculture biologique comme outil pour une agriculture durable en Algérie », 7ème Colloque International : Économies de la production agricole dans le contexte des spécificités des zones agricoles en Algérie et dans les pays arabes, Université Chahid Hama Lakhder, El Oued, Algérie, 2019, p. 647.</w:t>
      </w:r>
    </w:p>
    <w:p w:rsidR="005A638F" w:rsidRPr="007E41F0" w:rsidRDefault="000F6529" w:rsidP="00D078FF">
      <w:pPr>
        <w:pStyle w:val="Titre5"/>
        <w:spacing w:line="360" w:lineRule="auto"/>
        <w:jc w:val="both"/>
        <w:rPr>
          <w:rFonts w:ascii="Times New Roman" w:hAnsi="Times New Roman"/>
          <w:b/>
          <w:bCs/>
          <w:color w:val="auto"/>
          <w:sz w:val="24"/>
          <w:szCs w:val="24"/>
          <w:rtl/>
          <w:lang w:bidi="ar-DZ"/>
        </w:rPr>
      </w:pPr>
      <w:bookmarkStart w:id="128" w:name="_Toc230558654"/>
      <w:bookmarkStart w:id="129" w:name="_Toc230900288"/>
      <w:r w:rsidRPr="007E41F0">
        <w:rPr>
          <w:rFonts w:ascii="Times New Roman" w:hAnsi="Times New Roman"/>
          <w:b/>
          <w:bCs/>
          <w:color w:val="auto"/>
          <w:sz w:val="24"/>
          <w:szCs w:val="24"/>
          <w:lang w:bidi="ar-DZ"/>
        </w:rPr>
        <w:t>3.5.</w:t>
      </w:r>
      <w:r w:rsidR="005A638F" w:rsidRPr="007E41F0">
        <w:rPr>
          <w:rFonts w:ascii="Times New Roman" w:hAnsi="Times New Roman"/>
          <w:b/>
          <w:bCs/>
          <w:color w:val="auto"/>
          <w:sz w:val="24"/>
          <w:szCs w:val="24"/>
          <w:lang w:bidi="ar-DZ"/>
        </w:rPr>
        <w:t>La demande locale et le comportement des consommateurs :</w:t>
      </w:r>
      <w:bookmarkEnd w:id="128"/>
      <w:bookmarkEnd w:id="129"/>
    </w:p>
    <w:p w:rsidR="005A638F" w:rsidRDefault="005A638F" w:rsidP="00D078FF">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w:t>
      </w:r>
      <w:r w:rsidRPr="00F62F55">
        <w:rPr>
          <w:rFonts w:asciiTheme="majorBidi" w:hAnsiTheme="majorBidi" w:cstheme="majorBidi"/>
          <w:b/>
          <w:bCs/>
          <w:sz w:val="24"/>
          <w:szCs w:val="24"/>
          <w:lang w:bidi="ar-DZ"/>
        </w:rPr>
        <w:t>Conscience sanitaire croissante</w:t>
      </w:r>
      <w:r>
        <w:rPr>
          <w:rFonts w:asciiTheme="majorBidi" w:hAnsiTheme="majorBidi" w:cstheme="majorBidi"/>
          <w:b/>
          <w:bCs/>
          <w:sz w:val="24"/>
          <w:szCs w:val="24"/>
          <w:lang w:bidi="ar-DZ"/>
        </w:rPr>
        <w:t> :</w:t>
      </w:r>
    </w:p>
    <w:p w:rsidR="005A638F" w:rsidRDefault="005A638F" w:rsidP="00D078FF">
      <w:pPr>
        <w:spacing w:line="360" w:lineRule="auto"/>
        <w:ind w:firstLine="567"/>
        <w:jc w:val="both"/>
        <w:rPr>
          <w:rFonts w:asciiTheme="majorBidi" w:hAnsiTheme="majorBidi" w:cstheme="majorBidi"/>
          <w:sz w:val="24"/>
          <w:szCs w:val="24"/>
          <w:lang w:bidi="ar-DZ"/>
        </w:rPr>
      </w:pPr>
      <w:r w:rsidRPr="00F62F55">
        <w:rPr>
          <w:rFonts w:asciiTheme="majorBidi" w:hAnsiTheme="majorBidi" w:cstheme="majorBidi"/>
          <w:sz w:val="24"/>
          <w:szCs w:val="24"/>
          <w:lang w:bidi="ar-DZ"/>
        </w:rPr>
        <w:t xml:space="preserve">Les goûts des consommateurs se portent plus nettement vers des produits considérés comme plus sains et plus authentiques. Le miel et les produits à taux réduits en sucre, en </w:t>
      </w:r>
    </w:p>
    <w:p w:rsidR="003557FE" w:rsidRDefault="005A638F" w:rsidP="00D078FF">
      <w:pPr>
        <w:spacing w:line="360" w:lineRule="auto"/>
        <w:ind w:firstLine="567"/>
        <w:jc w:val="both"/>
        <w:rPr>
          <w:rFonts w:asciiTheme="majorBidi" w:hAnsiTheme="majorBidi" w:cstheme="majorBidi"/>
          <w:sz w:val="24"/>
          <w:szCs w:val="24"/>
          <w:lang w:bidi="ar-DZ"/>
        </w:rPr>
      </w:pPr>
      <w:r w:rsidRPr="00F62F55">
        <w:rPr>
          <w:rFonts w:asciiTheme="majorBidi" w:hAnsiTheme="majorBidi" w:cstheme="majorBidi"/>
          <w:sz w:val="24"/>
          <w:szCs w:val="24"/>
          <w:lang w:bidi="ar-DZ"/>
        </w:rPr>
        <w:t xml:space="preserve">matière grasse ou enrichis nutritionnellement (ex. produits bio, sans gluten, etc.). Sur le terrain des plats préparés, s’amplifie la demande de produits dits « fonctionnels », faisant </w:t>
      </w:r>
    </w:p>
    <w:p w:rsidR="005A638F" w:rsidRPr="00F62F55" w:rsidRDefault="005A638F" w:rsidP="00D078FF">
      <w:pPr>
        <w:spacing w:line="360" w:lineRule="auto"/>
        <w:ind w:firstLine="567"/>
        <w:jc w:val="both"/>
        <w:rPr>
          <w:rFonts w:asciiTheme="majorBidi" w:hAnsiTheme="majorBidi" w:cstheme="majorBidi"/>
          <w:sz w:val="24"/>
          <w:szCs w:val="24"/>
          <w:lang w:bidi="ar-DZ"/>
        </w:rPr>
      </w:pPr>
      <w:r w:rsidRPr="00F62F55">
        <w:rPr>
          <w:rFonts w:asciiTheme="majorBidi" w:hAnsiTheme="majorBidi" w:cstheme="majorBidi"/>
          <w:sz w:val="24"/>
          <w:szCs w:val="24"/>
          <w:lang w:bidi="ar-DZ"/>
        </w:rPr>
        <w:t>l’objet d’une attention croissante, en matière de sauces et condiments, envers les noms des ingrédients et aux usages.</w:t>
      </w:r>
      <w:r>
        <w:rPr>
          <w:rStyle w:val="Appelnotedebasdep"/>
          <w:rFonts w:asciiTheme="majorBidi" w:hAnsiTheme="majorBidi" w:cstheme="majorBidi"/>
          <w:sz w:val="24"/>
          <w:szCs w:val="24"/>
          <w:lang w:bidi="ar-DZ"/>
        </w:rPr>
        <w:footnoteReference w:id="105"/>
      </w:r>
    </w:p>
    <w:p w:rsidR="005A638F" w:rsidRPr="00F62F55" w:rsidRDefault="005A638F" w:rsidP="00D078FF">
      <w:pPr>
        <w:spacing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w:t>
      </w:r>
      <w:r w:rsidRPr="00F62F55">
        <w:rPr>
          <w:rFonts w:asciiTheme="majorBidi" w:hAnsiTheme="majorBidi" w:cstheme="majorBidi"/>
          <w:b/>
          <w:bCs/>
          <w:sz w:val="24"/>
          <w:szCs w:val="24"/>
          <w:lang w:bidi="ar-DZ"/>
        </w:rPr>
        <w:t>Une forte sensibilité aux prix dans un contexte inflationniste</w:t>
      </w:r>
    </w:p>
    <w:p w:rsidR="005A638F" w:rsidRDefault="005A638F" w:rsidP="00D078FF">
      <w:pPr>
        <w:spacing w:line="360" w:lineRule="auto"/>
        <w:ind w:firstLine="567"/>
        <w:jc w:val="both"/>
        <w:rPr>
          <w:rFonts w:asciiTheme="majorBidi" w:hAnsiTheme="majorBidi" w:cstheme="majorBidi"/>
          <w:sz w:val="24"/>
          <w:szCs w:val="24"/>
          <w:lang w:bidi="ar-DZ"/>
        </w:rPr>
      </w:pPr>
      <w:r w:rsidRPr="008A60FC">
        <w:rPr>
          <w:rFonts w:asciiTheme="majorBidi" w:hAnsiTheme="majorBidi" w:cstheme="majorBidi"/>
          <w:sz w:val="24"/>
          <w:szCs w:val="24"/>
          <w:lang w:bidi="ar-DZ"/>
        </w:rPr>
        <w:t>Malgré l’accroissement de la valeur du marché à l’échelle globale, la montée des prix et l’augmentation du coût de la vie restent des freins à l’accroissement des quantités achetées. Pour une grande partie de la population, plus notamment les ménages aux revenus intermédiaires et les habitants de zones rurales, le prix demeure le premier critère de choix. Cette réalité explique que certains segments se cantonnent à des créneaux de spécialité, à l’image des plats cuisinés importés. Elle peut aussi éclairer le fait qu’aliments de première nécessité tels que le pain traditionnel ou condiments de base occupent encore une place centrale dans le panier de la ménagère.</w:t>
      </w:r>
      <w:r>
        <w:rPr>
          <w:rStyle w:val="Appelnotedebasdep"/>
          <w:rFonts w:asciiTheme="majorBidi" w:hAnsiTheme="majorBidi" w:cstheme="majorBidi"/>
          <w:sz w:val="24"/>
          <w:szCs w:val="24"/>
          <w:lang w:bidi="ar-DZ"/>
        </w:rPr>
        <w:footnoteReference w:id="106"/>
      </w:r>
    </w:p>
    <w:p w:rsidR="005A638F" w:rsidRDefault="005A638F" w:rsidP="00D078FF">
      <w:pPr>
        <w:spacing w:line="360" w:lineRule="auto"/>
        <w:jc w:val="both"/>
        <w:rPr>
          <w:rFonts w:asciiTheme="majorBidi" w:hAnsiTheme="majorBidi" w:cstheme="majorBidi"/>
          <w:b/>
          <w:bCs/>
          <w:sz w:val="24"/>
          <w:szCs w:val="24"/>
          <w:lang w:bidi="ar-DZ"/>
        </w:rPr>
      </w:pPr>
      <w:r>
        <w:rPr>
          <w:rFonts w:asciiTheme="majorBidi" w:hAnsiTheme="majorBidi" w:cstheme="majorBidi"/>
          <w:sz w:val="24"/>
          <w:szCs w:val="24"/>
          <w:lang w:bidi="ar-DZ"/>
        </w:rPr>
        <w:t>-</w:t>
      </w:r>
      <w:r w:rsidRPr="008A60FC">
        <w:rPr>
          <w:rFonts w:asciiTheme="majorBidi" w:hAnsiTheme="majorBidi" w:cstheme="majorBidi"/>
          <w:b/>
          <w:bCs/>
          <w:sz w:val="24"/>
          <w:szCs w:val="24"/>
          <w:lang w:bidi="ar-DZ"/>
        </w:rPr>
        <w:t>Toujours le poids de la tradition</w:t>
      </w:r>
      <w:r>
        <w:rPr>
          <w:rFonts w:asciiTheme="majorBidi" w:hAnsiTheme="majorBidi" w:cstheme="majorBidi"/>
          <w:b/>
          <w:bCs/>
          <w:sz w:val="24"/>
          <w:szCs w:val="24"/>
          <w:lang w:bidi="ar-DZ"/>
        </w:rPr>
        <w:t> :</w:t>
      </w:r>
    </w:p>
    <w:p w:rsidR="005A638F" w:rsidRDefault="005A638F" w:rsidP="00D078FF">
      <w:pPr>
        <w:spacing w:line="360" w:lineRule="auto"/>
        <w:ind w:firstLine="567"/>
        <w:jc w:val="both"/>
        <w:rPr>
          <w:rFonts w:asciiTheme="majorBidi" w:hAnsiTheme="majorBidi" w:cstheme="majorBidi"/>
          <w:sz w:val="24"/>
          <w:szCs w:val="24"/>
          <w:rtl/>
          <w:lang w:bidi="ar-DZ"/>
        </w:rPr>
      </w:pPr>
      <w:r w:rsidRPr="008A60FC">
        <w:rPr>
          <w:rFonts w:asciiTheme="majorBidi" w:hAnsiTheme="majorBidi" w:cstheme="majorBidi"/>
          <w:sz w:val="24"/>
          <w:szCs w:val="24"/>
          <w:lang w:bidi="ar-DZ"/>
        </w:rPr>
        <w:t>En dépit de l’éclosion de nouvelles pratiques alimentaires, les traditions culinaires anciennes ­sont toujours très présentes dans les habitudes. Le pain « maison » se montre par exemple très attachant dans le quotidien. Les confitures et conserves faites maison sont un frein pour plusieurs catégories de produits industriels. Les soupes, dans le même temps, peinent à trouver leur place sur le marché du fait des conditions climatiques et des spécificités des comportements alimentaires locaux. Si ces pratiques culinaires traditionnelles peuvent parfois bloquer le développement de certaines niches, elles cohabitent pourtant avec des formats de produits plus modernes.</w:t>
      </w:r>
      <w:r>
        <w:rPr>
          <w:rStyle w:val="Appelnotedebasdep"/>
          <w:rFonts w:asciiTheme="majorBidi" w:hAnsiTheme="majorBidi" w:cstheme="majorBidi"/>
          <w:sz w:val="24"/>
          <w:szCs w:val="24"/>
          <w:lang w:bidi="ar-DZ"/>
        </w:rPr>
        <w:footnoteReference w:id="107"/>
      </w:r>
    </w:p>
    <w:p w:rsidR="005A638F" w:rsidRPr="007E41F0" w:rsidRDefault="000F6529" w:rsidP="00D078FF">
      <w:pPr>
        <w:pStyle w:val="Titre4"/>
        <w:spacing w:line="360" w:lineRule="auto"/>
        <w:jc w:val="both"/>
        <w:rPr>
          <w:rFonts w:ascii="Times New Roman" w:hAnsi="Times New Roman"/>
          <w:b/>
          <w:bCs/>
          <w:i w:val="0"/>
          <w:iCs w:val="0"/>
          <w:color w:val="auto"/>
          <w:sz w:val="24"/>
          <w:szCs w:val="24"/>
          <w:rtl/>
          <w:lang w:bidi="ar-DZ"/>
        </w:rPr>
      </w:pPr>
      <w:bookmarkStart w:id="130" w:name="_Toc230558655"/>
      <w:bookmarkStart w:id="131" w:name="_Toc230900289"/>
      <w:r w:rsidRPr="007E41F0">
        <w:rPr>
          <w:rFonts w:ascii="Times New Roman" w:hAnsi="Times New Roman"/>
          <w:b/>
          <w:bCs/>
          <w:i w:val="0"/>
          <w:iCs w:val="0"/>
          <w:color w:val="auto"/>
          <w:sz w:val="24"/>
          <w:szCs w:val="24"/>
          <w:lang w:bidi="ar-DZ"/>
        </w:rPr>
        <w:t>3.6. </w:t>
      </w:r>
      <w:r w:rsidR="005A638F" w:rsidRPr="007E41F0">
        <w:rPr>
          <w:rFonts w:ascii="Times New Roman" w:hAnsi="Times New Roman"/>
          <w:b/>
          <w:bCs/>
          <w:i w:val="0"/>
          <w:iCs w:val="0"/>
          <w:color w:val="auto"/>
          <w:sz w:val="24"/>
          <w:szCs w:val="24"/>
          <w:lang w:bidi="ar-DZ"/>
        </w:rPr>
        <w:t>État actuel du secteur bio en Algérie: Offre et Demande</w:t>
      </w:r>
      <w:bookmarkEnd w:id="130"/>
      <w:bookmarkEnd w:id="131"/>
    </w:p>
    <w:p w:rsidR="005A638F" w:rsidRPr="007C3D9F" w:rsidRDefault="005A638F" w:rsidP="007C3D9F">
      <w:pPr>
        <w:spacing w:line="360" w:lineRule="auto"/>
        <w:ind w:firstLine="567"/>
        <w:jc w:val="both"/>
        <w:rPr>
          <w:rFonts w:asciiTheme="majorBidi" w:hAnsiTheme="majorBidi" w:cstheme="majorBidi"/>
          <w:sz w:val="24"/>
          <w:szCs w:val="24"/>
          <w:lang w:bidi="ar-DZ"/>
        </w:rPr>
      </w:pPr>
      <w:r w:rsidRPr="00D12F4F">
        <w:rPr>
          <w:rFonts w:asciiTheme="majorBidi" w:hAnsiTheme="majorBidi" w:cstheme="majorBidi"/>
          <w:sz w:val="24"/>
          <w:szCs w:val="24"/>
          <w:lang w:bidi="ar-DZ"/>
        </w:rPr>
        <w:t xml:space="preserve">l'agriculture biologique en Algérie se caractérise par un retard flagrant par rapport aux pays voisins du Maghreb, notamment la Tunisie et le Maroc. À cette époque, les surfaces cultivées en bio ne dépassaient pas 623 hectares, pour seulement 81 exploitations certifiées, soit moins de 0,01 % de la superficie agricole utile du pays. Les principales productions biologiques se limitaient essentiellement aux dattes (30 % des surfaces), à l'olive de table (33 %), à l'huile d'olive (14 %) et à la viticulture (23 %), avec une destination quasi exclusive vers le marché européen. Les auteurs soulignent que le marché intérieur était alors inexistant, les consommateurs urbains privilégiant avant tout des produits accessibles financièrement. Plusieurs freins structurels entravaient le développement du secteur : l'absence d'une stratégie nationale cohérente en faveur du bio, un cadre réglementaire récent et incomplet, l'inexistence d'organismes locaux de certification (les exploitants recourant à 97 % à Ecocert), un manque </w:t>
      </w:r>
      <w:r w:rsidRPr="00D12F4F">
        <w:rPr>
          <w:rFonts w:asciiTheme="majorBidi" w:hAnsiTheme="majorBidi" w:cstheme="majorBidi"/>
          <w:sz w:val="24"/>
          <w:szCs w:val="24"/>
          <w:lang w:bidi="ar-DZ"/>
        </w:rPr>
        <w:lastRenderedPageBreak/>
        <w:t>de coordination entre les institutions de recherche et de vulgarisation, ainsi que des procédures administratives complexes. Néanmoins, les auteurs identifient des atouts potentiels importants : la proximité du marché européen, la disponibilité d'un potentiel agricole traditionnel important pouvant faire l'objet d'une conversion rapide, et la compatibilité des pratiques ancestrales avec les exigences de l'agriculture biologique.</w:t>
      </w:r>
      <w:r>
        <w:rPr>
          <w:rStyle w:val="Appelnotedebasdep"/>
          <w:rFonts w:asciiTheme="majorBidi" w:hAnsiTheme="majorBidi" w:cstheme="majorBidi"/>
          <w:sz w:val="24"/>
          <w:szCs w:val="24"/>
          <w:lang w:bidi="ar-DZ"/>
        </w:rPr>
        <w:footnoteReference w:id="108"/>
      </w:r>
    </w:p>
    <w:p w:rsidR="005A638F" w:rsidRPr="007E41F0" w:rsidRDefault="003A2573" w:rsidP="00D078FF">
      <w:pPr>
        <w:pStyle w:val="Titre4"/>
        <w:spacing w:line="360" w:lineRule="auto"/>
        <w:jc w:val="both"/>
        <w:rPr>
          <w:rFonts w:ascii="Times New Roman" w:hAnsi="Times New Roman"/>
          <w:b/>
          <w:bCs/>
          <w:i w:val="0"/>
          <w:iCs w:val="0"/>
          <w:color w:val="auto"/>
          <w:sz w:val="24"/>
          <w:szCs w:val="24"/>
        </w:rPr>
      </w:pPr>
      <w:bookmarkStart w:id="132" w:name="_Toc230558656"/>
      <w:bookmarkStart w:id="133" w:name="_Toc230900290"/>
      <w:r w:rsidRPr="007E41F0">
        <w:rPr>
          <w:rFonts w:ascii="Times New Roman" w:hAnsi="Times New Roman"/>
          <w:b/>
          <w:bCs/>
          <w:i w:val="0"/>
          <w:iCs w:val="0"/>
          <w:color w:val="auto"/>
          <w:sz w:val="24"/>
          <w:szCs w:val="24"/>
        </w:rPr>
        <w:t>3.7. </w:t>
      </w:r>
      <w:r w:rsidR="005A638F" w:rsidRPr="007E41F0">
        <w:rPr>
          <w:rFonts w:ascii="Times New Roman" w:hAnsi="Times New Roman"/>
          <w:b/>
          <w:bCs/>
          <w:i w:val="0"/>
          <w:iCs w:val="0"/>
          <w:color w:val="auto"/>
          <w:sz w:val="24"/>
          <w:szCs w:val="24"/>
        </w:rPr>
        <w:t>Défis du Marché Bio en Algérie :</w:t>
      </w:r>
      <w:bookmarkEnd w:id="132"/>
      <w:bookmarkEnd w:id="133"/>
    </w:p>
    <w:p w:rsidR="005A638F" w:rsidRPr="00C0593E" w:rsidRDefault="005A638F" w:rsidP="00D078FF">
      <w:pPr>
        <w:spacing w:line="360" w:lineRule="auto"/>
        <w:jc w:val="both"/>
        <w:rPr>
          <w:rFonts w:asciiTheme="majorBidi" w:hAnsiTheme="majorBidi" w:cstheme="majorBidi"/>
          <w:sz w:val="24"/>
          <w:szCs w:val="24"/>
        </w:rPr>
      </w:pPr>
      <w:r w:rsidRPr="00C0593E">
        <w:rPr>
          <w:rFonts w:asciiTheme="majorBidi" w:hAnsiTheme="majorBidi" w:cstheme="majorBidi"/>
          <w:sz w:val="24"/>
          <w:szCs w:val="24"/>
        </w:rPr>
        <w:t xml:space="preserve">Bien qu’en Algérie l’on observe un intérêt croissant pour les produits biologiques, le développement de ce domaine se heurte à plusieurs difficultés majeures : </w:t>
      </w:r>
      <w:r>
        <w:rPr>
          <w:rStyle w:val="Appelnotedebasdep"/>
          <w:rFonts w:asciiTheme="majorBidi" w:hAnsiTheme="majorBidi" w:cstheme="majorBidi"/>
          <w:sz w:val="24"/>
          <w:szCs w:val="24"/>
        </w:rPr>
        <w:footnoteReference w:id="109"/>
      </w:r>
    </w:p>
    <w:p w:rsidR="005A638F" w:rsidRPr="00C0593E" w:rsidRDefault="005A638F" w:rsidP="00D078FF">
      <w:pPr>
        <w:spacing w:line="360" w:lineRule="auto"/>
        <w:jc w:val="both"/>
        <w:rPr>
          <w:rFonts w:asciiTheme="majorBidi" w:hAnsiTheme="majorBidi" w:cstheme="majorBidi"/>
          <w:b/>
          <w:bCs/>
          <w:sz w:val="24"/>
          <w:szCs w:val="24"/>
        </w:rPr>
      </w:pPr>
      <w:r w:rsidRPr="00C0593E">
        <w:rPr>
          <w:rFonts w:asciiTheme="majorBidi" w:hAnsiTheme="majorBidi" w:cstheme="majorBidi"/>
          <w:b/>
          <w:bCs/>
          <w:sz w:val="24"/>
          <w:szCs w:val="24"/>
        </w:rPr>
        <w:t>1. Absence de certifications et cadre réglementaire flou</w:t>
      </w:r>
    </w:p>
    <w:p w:rsidR="005A638F" w:rsidRDefault="005A638F" w:rsidP="00D078FF">
      <w:pPr>
        <w:spacing w:line="360" w:lineRule="auto"/>
        <w:ind w:firstLine="567"/>
        <w:jc w:val="both"/>
        <w:rPr>
          <w:rFonts w:asciiTheme="majorBidi" w:hAnsiTheme="majorBidi" w:cstheme="majorBidi"/>
          <w:sz w:val="24"/>
          <w:szCs w:val="24"/>
        </w:rPr>
      </w:pPr>
      <w:r w:rsidRPr="00C0593E">
        <w:rPr>
          <w:rFonts w:asciiTheme="majorBidi" w:hAnsiTheme="majorBidi" w:cstheme="majorBidi"/>
          <w:sz w:val="24"/>
          <w:szCs w:val="24"/>
        </w:rPr>
        <w:t>Alors que dans l’Union européenne, les labels (AB, Eurofeuille) sont bien établis, en Algérie, il n’existe pas de cadre législatif unifié qui permette de garantir l’authenticité des produits biologiques. Cette absence limite la confiance des consommateurs et les perspectives d’exportation.</w:t>
      </w:r>
    </w:p>
    <w:p w:rsidR="005A638F" w:rsidRPr="00C0593E" w:rsidRDefault="005A638F" w:rsidP="00D078FF">
      <w:pPr>
        <w:spacing w:line="360" w:lineRule="auto"/>
        <w:jc w:val="both"/>
        <w:rPr>
          <w:rFonts w:asciiTheme="majorBidi" w:hAnsiTheme="majorBidi" w:cstheme="majorBidi"/>
          <w:b/>
          <w:bCs/>
          <w:sz w:val="24"/>
          <w:szCs w:val="24"/>
        </w:rPr>
      </w:pPr>
      <w:r w:rsidRPr="00C0593E">
        <w:rPr>
          <w:rFonts w:asciiTheme="majorBidi" w:hAnsiTheme="majorBidi" w:cstheme="majorBidi"/>
          <w:b/>
          <w:bCs/>
          <w:sz w:val="24"/>
          <w:szCs w:val="24"/>
        </w:rPr>
        <w:t>2. Tarifs élevés et faibles soutiens institutionnels</w:t>
      </w:r>
    </w:p>
    <w:p w:rsidR="005A638F" w:rsidRDefault="005A638F" w:rsidP="00D078FF">
      <w:pPr>
        <w:spacing w:line="360" w:lineRule="auto"/>
        <w:ind w:firstLine="567"/>
        <w:jc w:val="both"/>
        <w:rPr>
          <w:rFonts w:asciiTheme="majorBidi" w:hAnsiTheme="majorBidi" w:cstheme="majorBidi"/>
          <w:sz w:val="24"/>
          <w:szCs w:val="24"/>
        </w:rPr>
      </w:pPr>
      <w:r w:rsidRPr="00C0593E">
        <w:rPr>
          <w:rFonts w:asciiTheme="majorBidi" w:hAnsiTheme="majorBidi" w:cstheme="majorBidi"/>
          <w:sz w:val="24"/>
          <w:szCs w:val="24"/>
        </w:rPr>
        <w:t xml:space="preserve">Les produits bio sont en mesure d’attirer des tarifs en moyenne 40 à 60 % plus élevés que des produits conventionnels, ce qui s’explique par l’absence de subventions qui leur sontassociées (d’où des rendements généralement moindres), de tels écarts de prix se rencontrant du reste dans d’autres pays européens </w:t>
      </w:r>
      <w:r>
        <w:rPr>
          <w:rFonts w:asciiTheme="majorBidi" w:hAnsiTheme="majorBidi" w:cstheme="majorBidi"/>
          <w:sz w:val="24"/>
          <w:szCs w:val="24"/>
        </w:rPr>
        <w:t>.</w:t>
      </w:r>
    </w:p>
    <w:p w:rsidR="005A638F" w:rsidRDefault="005A638F" w:rsidP="00D078FF">
      <w:pPr>
        <w:spacing w:line="360" w:lineRule="auto"/>
        <w:jc w:val="both"/>
        <w:rPr>
          <w:rFonts w:asciiTheme="majorBidi" w:hAnsiTheme="majorBidi" w:cstheme="majorBidi"/>
          <w:b/>
          <w:bCs/>
          <w:sz w:val="24"/>
          <w:szCs w:val="24"/>
        </w:rPr>
      </w:pPr>
      <w:r w:rsidRPr="00376010">
        <w:rPr>
          <w:rFonts w:asciiTheme="majorBidi" w:hAnsiTheme="majorBidi" w:cstheme="majorBidi"/>
          <w:b/>
          <w:bCs/>
          <w:sz w:val="24"/>
          <w:szCs w:val="24"/>
        </w:rPr>
        <w:t>3. Manque de sensibilisation et confusion chez les consommateurs</w:t>
      </w:r>
    </w:p>
    <w:p w:rsidR="005A638F" w:rsidRDefault="005A638F" w:rsidP="00D078FF">
      <w:pPr>
        <w:spacing w:line="360" w:lineRule="auto"/>
        <w:ind w:firstLine="567"/>
        <w:jc w:val="both"/>
        <w:rPr>
          <w:rFonts w:asciiTheme="majorBidi" w:hAnsiTheme="majorBidi" w:cstheme="majorBidi"/>
          <w:sz w:val="24"/>
          <w:szCs w:val="24"/>
        </w:rPr>
      </w:pPr>
      <w:r w:rsidRPr="00376010">
        <w:rPr>
          <w:rFonts w:asciiTheme="majorBidi" w:hAnsiTheme="majorBidi" w:cstheme="majorBidi"/>
          <w:sz w:val="24"/>
          <w:szCs w:val="24"/>
        </w:rPr>
        <w:t>D’après une étude du Centre de Recherche en Économie Appliquée pour le Développement (CREAD, 2023), 67 % des consommateurs ne savent pas faire la différence entre un produit véritablement biologique et un produit issu d’une agriculture raisonnée, moins standardisée.</w:t>
      </w:r>
    </w:p>
    <w:p w:rsidR="005A638F" w:rsidRDefault="005A638F" w:rsidP="00D078FF">
      <w:pPr>
        <w:spacing w:line="360" w:lineRule="auto"/>
        <w:jc w:val="both"/>
        <w:rPr>
          <w:rFonts w:asciiTheme="majorBidi" w:hAnsiTheme="majorBidi" w:cstheme="majorBidi"/>
          <w:b/>
          <w:bCs/>
          <w:sz w:val="24"/>
          <w:szCs w:val="24"/>
        </w:rPr>
      </w:pPr>
      <w:r w:rsidRPr="00376010">
        <w:rPr>
          <w:rFonts w:asciiTheme="majorBidi" w:hAnsiTheme="majorBidi" w:cstheme="majorBidi"/>
          <w:b/>
          <w:bCs/>
          <w:sz w:val="24"/>
          <w:szCs w:val="24"/>
        </w:rPr>
        <w:t>4. Problèmes de distribution et faible disponibilité</w:t>
      </w:r>
    </w:p>
    <w:p w:rsidR="005A638F" w:rsidRPr="00376010" w:rsidRDefault="005A638F" w:rsidP="00D078FF">
      <w:pPr>
        <w:spacing w:line="360" w:lineRule="auto"/>
        <w:ind w:firstLine="567"/>
        <w:jc w:val="both"/>
        <w:rPr>
          <w:rFonts w:asciiTheme="majorBidi" w:hAnsiTheme="majorBidi" w:cstheme="majorBidi"/>
          <w:sz w:val="24"/>
          <w:szCs w:val="24"/>
        </w:rPr>
      </w:pPr>
      <w:r w:rsidRPr="00376010">
        <w:rPr>
          <w:rFonts w:asciiTheme="majorBidi" w:hAnsiTheme="majorBidi" w:cstheme="majorBidi"/>
          <w:sz w:val="24"/>
          <w:szCs w:val="24"/>
        </w:rPr>
        <w:t>À la différence de</w:t>
      </w:r>
      <w:r>
        <w:rPr>
          <w:rFonts w:asciiTheme="majorBidi" w:hAnsiTheme="majorBidi" w:cstheme="majorBidi"/>
          <w:sz w:val="24"/>
          <w:szCs w:val="24"/>
        </w:rPr>
        <w:t xml:space="preserve">s marchés </w:t>
      </w:r>
      <w:r w:rsidRPr="00376010">
        <w:rPr>
          <w:rFonts w:asciiTheme="majorBidi" w:hAnsiTheme="majorBidi" w:cstheme="majorBidi"/>
          <w:sz w:val="24"/>
          <w:szCs w:val="24"/>
        </w:rPr>
        <w:t>européen</w:t>
      </w:r>
      <w:r>
        <w:rPr>
          <w:rFonts w:asciiTheme="majorBidi" w:hAnsiTheme="majorBidi" w:cstheme="majorBidi"/>
          <w:sz w:val="24"/>
          <w:szCs w:val="24"/>
        </w:rPr>
        <w:t>s,</w:t>
      </w:r>
      <w:r w:rsidRPr="00376010">
        <w:rPr>
          <w:rFonts w:asciiTheme="majorBidi" w:hAnsiTheme="majorBidi" w:cstheme="majorBidi"/>
          <w:sz w:val="24"/>
          <w:szCs w:val="24"/>
        </w:rPr>
        <w:t xml:space="preserve"> l’Algérie ne se distingue par un grand nombre de grandes surfaces de vente de produits bio. On doit davantage se contenter de </w:t>
      </w:r>
      <w:r w:rsidRPr="00376010">
        <w:rPr>
          <w:rFonts w:asciiTheme="majorBidi" w:hAnsiTheme="majorBidi" w:cstheme="majorBidi"/>
          <w:sz w:val="24"/>
          <w:szCs w:val="24"/>
        </w:rPr>
        <w:lastRenderedPageBreak/>
        <w:t>l’approvisionnement dans des épiceries spécialisées, lors de marchés occasionnels ou dans le cadre du circuit direct de vente chez le producteur, ce qui rend cette offre peu accessible.</w:t>
      </w:r>
    </w:p>
    <w:p w:rsidR="005A638F" w:rsidRPr="006231FA" w:rsidRDefault="003A2573" w:rsidP="00D078FF">
      <w:pPr>
        <w:pStyle w:val="Titre4"/>
        <w:spacing w:line="360" w:lineRule="auto"/>
        <w:jc w:val="both"/>
        <w:rPr>
          <w:rFonts w:ascii="Times New Roman" w:hAnsi="Times New Roman"/>
          <w:b/>
          <w:bCs/>
          <w:i w:val="0"/>
          <w:iCs w:val="0"/>
          <w:color w:val="auto"/>
          <w:sz w:val="24"/>
          <w:szCs w:val="24"/>
        </w:rPr>
      </w:pPr>
      <w:bookmarkStart w:id="134" w:name="_Toc230558657"/>
      <w:bookmarkStart w:id="135" w:name="_Toc230900291"/>
      <w:r w:rsidRPr="006231FA">
        <w:rPr>
          <w:rFonts w:ascii="Times New Roman" w:hAnsi="Times New Roman"/>
          <w:b/>
          <w:bCs/>
          <w:i w:val="0"/>
          <w:iCs w:val="0"/>
          <w:color w:val="auto"/>
          <w:sz w:val="24"/>
          <w:szCs w:val="24"/>
        </w:rPr>
        <w:t>3.8.</w:t>
      </w:r>
      <w:r w:rsidR="005A638F" w:rsidRPr="006231FA">
        <w:rPr>
          <w:rFonts w:ascii="Times New Roman" w:hAnsi="Times New Roman"/>
          <w:b/>
          <w:bCs/>
          <w:i w:val="0"/>
          <w:iCs w:val="0"/>
          <w:color w:val="auto"/>
          <w:sz w:val="24"/>
          <w:szCs w:val="24"/>
        </w:rPr>
        <w:t>Facteurs influençant l’achat de produits bio :</w:t>
      </w:r>
      <w:bookmarkEnd w:id="134"/>
      <w:bookmarkEnd w:id="135"/>
    </w:p>
    <w:p w:rsidR="005A638F" w:rsidRPr="000308B4" w:rsidRDefault="005A638F" w:rsidP="00D078FF">
      <w:pPr>
        <w:spacing w:line="360" w:lineRule="auto"/>
        <w:ind w:firstLine="567"/>
        <w:jc w:val="both"/>
        <w:rPr>
          <w:rFonts w:asciiTheme="majorBidi" w:hAnsiTheme="majorBidi" w:cstheme="majorBidi"/>
          <w:sz w:val="24"/>
          <w:szCs w:val="24"/>
        </w:rPr>
      </w:pPr>
      <w:r w:rsidRPr="000308B4">
        <w:rPr>
          <w:rFonts w:asciiTheme="majorBidi" w:hAnsiTheme="majorBidi" w:cstheme="majorBidi"/>
          <w:sz w:val="24"/>
          <w:szCs w:val="24"/>
        </w:rPr>
        <w:t>Le comportement des consommateurs faces au bio est conditionné par de multiples facteurs, au sein d’un système dont les différentes catégories sont interdépendantes.</w:t>
      </w:r>
    </w:p>
    <w:p w:rsidR="005A638F" w:rsidRDefault="005A638F" w:rsidP="00D078FF">
      <w:pPr>
        <w:spacing w:line="360" w:lineRule="auto"/>
        <w:jc w:val="both"/>
        <w:rPr>
          <w:rFonts w:asciiTheme="majorBidi" w:hAnsiTheme="majorBidi" w:cstheme="majorBidi"/>
          <w:sz w:val="24"/>
          <w:szCs w:val="24"/>
        </w:rPr>
      </w:pPr>
      <w:r w:rsidRPr="000308B4">
        <w:rPr>
          <w:rFonts w:asciiTheme="majorBidi" w:hAnsiTheme="majorBidi" w:cstheme="majorBidi"/>
          <w:b/>
          <w:bCs/>
          <w:sz w:val="24"/>
          <w:szCs w:val="24"/>
        </w:rPr>
        <w:t>Les facteurs psychologiques</w:t>
      </w:r>
    </w:p>
    <w:p w:rsidR="005A638F" w:rsidRDefault="005A638F" w:rsidP="007A677E">
      <w:pPr>
        <w:spacing w:after="0" w:line="360" w:lineRule="auto"/>
        <w:ind w:firstLine="567"/>
        <w:jc w:val="both"/>
        <w:rPr>
          <w:rFonts w:asciiTheme="majorBidi" w:hAnsiTheme="majorBidi" w:cstheme="majorBidi"/>
          <w:sz w:val="24"/>
          <w:szCs w:val="24"/>
        </w:rPr>
      </w:pPr>
      <w:r w:rsidRPr="000308B4">
        <w:rPr>
          <w:rFonts w:asciiTheme="majorBidi" w:hAnsiTheme="majorBidi" w:cstheme="majorBidi"/>
          <w:sz w:val="24"/>
          <w:szCs w:val="24"/>
        </w:rPr>
        <w:t>qui sous-tendent les attitudes individuelles font référence à un système de croyances. Un consommateur qui a en tête l’intérêt pour sa santé et l’environnement qu’il y a à consommer des produits bio sera plus enclin à les privilégier, ce qui renvoie ici à la question de la qualité intrinsèque dans le sens où le goût,la sécurité alimentaire, le respect de l’environnement sont des éléments constitutifs de la qualité revendiquée des produits bio, pour autant qu’telle soit bien perçue. En ce sens, la qualité pourrait être appréhendée, à la suite de Cicia Del Giudice et Scarpa , comme un modèle de l’hétérogénéité des choix des consommateurs, en termes d’hierarchisation du choix, car la qualité perçue notamment est un élément fondamental d’ordonnancement des différents choix.</w:t>
      </w:r>
      <w:r>
        <w:rPr>
          <w:rStyle w:val="Appelnotedebasdep"/>
          <w:rFonts w:asciiTheme="majorBidi" w:hAnsiTheme="majorBidi" w:cstheme="majorBidi"/>
          <w:sz w:val="24"/>
          <w:szCs w:val="24"/>
        </w:rPr>
        <w:footnoteReference w:id="110"/>
      </w:r>
    </w:p>
    <w:p w:rsidR="005A638F" w:rsidRPr="000308B4" w:rsidRDefault="005A638F" w:rsidP="007A677E">
      <w:pPr>
        <w:spacing w:after="0" w:line="360" w:lineRule="auto"/>
        <w:jc w:val="both"/>
        <w:rPr>
          <w:rFonts w:asciiTheme="majorBidi" w:hAnsiTheme="majorBidi" w:cstheme="majorBidi"/>
          <w:b/>
          <w:bCs/>
          <w:sz w:val="24"/>
          <w:szCs w:val="24"/>
        </w:rPr>
      </w:pPr>
      <w:r w:rsidRPr="000308B4">
        <w:rPr>
          <w:rFonts w:asciiTheme="majorBidi" w:hAnsiTheme="majorBidi" w:cstheme="majorBidi"/>
          <w:b/>
          <w:bCs/>
          <w:sz w:val="24"/>
          <w:szCs w:val="24"/>
        </w:rPr>
        <w:t>Les facteurs économiques</w:t>
      </w:r>
    </w:p>
    <w:p w:rsidR="005A638F" w:rsidRPr="000308B4" w:rsidRDefault="005A638F" w:rsidP="007A677E">
      <w:pPr>
        <w:spacing w:after="0" w:line="360" w:lineRule="auto"/>
        <w:ind w:firstLine="567"/>
        <w:jc w:val="both"/>
        <w:rPr>
          <w:rFonts w:asciiTheme="majorBidi" w:hAnsiTheme="majorBidi" w:cstheme="majorBidi"/>
          <w:sz w:val="24"/>
          <w:szCs w:val="24"/>
        </w:rPr>
      </w:pPr>
      <w:r w:rsidRPr="000308B4">
        <w:rPr>
          <w:rFonts w:asciiTheme="majorBidi" w:hAnsiTheme="majorBidi" w:cstheme="majorBidi"/>
          <w:sz w:val="24"/>
          <w:szCs w:val="24"/>
        </w:rPr>
        <w:t>Parmi les freins à l’adoption des produits biologiques, les facteurs économiques apparaissent comme le principal frein. Le prix des produits bio trop élevé et les difficultés d’accès sont souvent présentés comme des freins majeurs. Cependant, le recours à des stratégies marketing appropriées peut permettre de surmonter ces freins en valorisant les économies d’une politique de prévention sur le long terme (prévention des maladies, diminution des coûts de traitement), mais aussi en faveur du soutien à la production locale.</w:t>
      </w:r>
      <w:r>
        <w:rPr>
          <w:rStyle w:val="Appelnotedebasdep"/>
          <w:rFonts w:asciiTheme="majorBidi" w:hAnsiTheme="majorBidi" w:cstheme="majorBidi"/>
          <w:sz w:val="24"/>
          <w:szCs w:val="24"/>
        </w:rPr>
        <w:footnoteReference w:id="111"/>
      </w:r>
    </w:p>
    <w:p w:rsidR="005A638F" w:rsidRDefault="005A638F" w:rsidP="007A677E">
      <w:pPr>
        <w:spacing w:after="0" w:line="360" w:lineRule="auto"/>
        <w:jc w:val="both"/>
        <w:rPr>
          <w:rFonts w:asciiTheme="majorBidi" w:hAnsiTheme="majorBidi" w:cstheme="majorBidi"/>
          <w:b/>
          <w:bCs/>
          <w:sz w:val="24"/>
          <w:szCs w:val="24"/>
        </w:rPr>
      </w:pPr>
      <w:r w:rsidRPr="000308B4">
        <w:rPr>
          <w:rFonts w:asciiTheme="majorBidi" w:hAnsiTheme="majorBidi" w:cstheme="majorBidi"/>
          <w:b/>
          <w:bCs/>
          <w:sz w:val="24"/>
          <w:szCs w:val="24"/>
        </w:rPr>
        <w:t>Les facteurs socioculturels</w:t>
      </w:r>
      <w:r>
        <w:rPr>
          <w:rFonts w:asciiTheme="majorBidi" w:hAnsiTheme="majorBidi" w:cstheme="majorBidi"/>
          <w:b/>
          <w:bCs/>
          <w:sz w:val="24"/>
          <w:szCs w:val="24"/>
        </w:rPr>
        <w:t> :</w:t>
      </w:r>
    </w:p>
    <w:p w:rsidR="005A638F" w:rsidRDefault="005A638F" w:rsidP="007A677E">
      <w:pPr>
        <w:spacing w:after="0" w:line="360" w:lineRule="auto"/>
        <w:ind w:firstLine="567"/>
        <w:jc w:val="both"/>
        <w:rPr>
          <w:rFonts w:asciiTheme="majorBidi" w:hAnsiTheme="majorBidi" w:cstheme="majorBidi"/>
          <w:sz w:val="24"/>
          <w:szCs w:val="24"/>
        </w:rPr>
      </w:pPr>
      <w:r w:rsidRPr="000308B4">
        <w:rPr>
          <w:rFonts w:asciiTheme="majorBidi" w:hAnsiTheme="majorBidi" w:cstheme="majorBidi"/>
          <w:sz w:val="24"/>
          <w:szCs w:val="24"/>
        </w:rPr>
        <w:t>influencent  les comportements alimentaires, les habitudes alimentaires, la pression sociale et les traditions étant déterminantes dans les comportements d’achats. Un individu évoluant dans un environnement valorisant des pratiques de consommation responsable sera donc plus enclin à consommer des produits bio</w:t>
      </w:r>
      <w:r>
        <w:rPr>
          <w:rFonts w:asciiTheme="majorBidi" w:hAnsiTheme="majorBidi" w:cstheme="majorBidi"/>
          <w:sz w:val="24"/>
          <w:szCs w:val="24"/>
        </w:rPr>
        <w:t xml:space="preserve"> .</w:t>
      </w:r>
    </w:p>
    <w:p w:rsidR="005A638F" w:rsidRDefault="005A638F" w:rsidP="007A677E">
      <w:pPr>
        <w:spacing w:after="0" w:line="360" w:lineRule="auto"/>
        <w:ind w:firstLine="567"/>
        <w:jc w:val="both"/>
        <w:rPr>
          <w:rFonts w:asciiTheme="majorBidi" w:hAnsiTheme="majorBidi" w:cstheme="majorBidi"/>
          <w:sz w:val="24"/>
          <w:szCs w:val="24"/>
          <w:rtl/>
        </w:rPr>
      </w:pPr>
      <w:r w:rsidRPr="006314C5">
        <w:rPr>
          <w:rFonts w:asciiTheme="majorBidi" w:hAnsiTheme="majorBidi" w:cstheme="majorBidi"/>
          <w:sz w:val="24"/>
          <w:szCs w:val="24"/>
        </w:rPr>
        <w:t xml:space="preserve">Toujours en Algérie, ces variables prennent une tournure particulière. Le budget restreint d’une grande partie des consommateurs devient un parcours d’obstacles pour l’accessibilité des produits biologiques. Sur un plan complémentaire, la faible confiance des </w:t>
      </w:r>
      <w:r w:rsidRPr="006314C5">
        <w:rPr>
          <w:rFonts w:asciiTheme="majorBidi" w:hAnsiTheme="majorBidi" w:cstheme="majorBidi"/>
          <w:sz w:val="24"/>
          <w:szCs w:val="24"/>
        </w:rPr>
        <w:lastRenderedPageBreak/>
        <w:t>consommateurs dans le bien-fondé des labels de biologiques sur les produits, et, avec lui, un peu de méfiance envers les normes semblent contribuer au problème.</w:t>
      </w:r>
      <w:r>
        <w:rPr>
          <w:rStyle w:val="Appelnotedebasdep"/>
          <w:rFonts w:asciiTheme="majorBidi" w:hAnsiTheme="majorBidi" w:cstheme="majorBidi"/>
          <w:sz w:val="24"/>
          <w:szCs w:val="24"/>
        </w:rPr>
        <w:footnoteReference w:id="112"/>
      </w:r>
    </w:p>
    <w:p w:rsidR="005A638F" w:rsidRPr="006231FA" w:rsidRDefault="003A2573" w:rsidP="007A677E">
      <w:pPr>
        <w:pStyle w:val="Titre4"/>
        <w:spacing w:after="0" w:line="360" w:lineRule="auto"/>
        <w:jc w:val="both"/>
        <w:rPr>
          <w:rFonts w:ascii="Times New Roman" w:hAnsi="Times New Roman"/>
          <w:b/>
          <w:bCs/>
          <w:i w:val="0"/>
          <w:iCs w:val="0"/>
          <w:color w:val="auto"/>
          <w:sz w:val="24"/>
          <w:szCs w:val="24"/>
          <w:rtl/>
        </w:rPr>
      </w:pPr>
      <w:bookmarkStart w:id="136" w:name="_Toc230558658"/>
      <w:bookmarkStart w:id="137" w:name="_Toc230900292"/>
      <w:r w:rsidRPr="006231FA">
        <w:rPr>
          <w:rFonts w:ascii="Times New Roman" w:hAnsi="Times New Roman"/>
          <w:b/>
          <w:bCs/>
          <w:i w:val="0"/>
          <w:iCs w:val="0"/>
          <w:color w:val="auto"/>
          <w:sz w:val="24"/>
          <w:szCs w:val="24"/>
        </w:rPr>
        <w:t>3.9.</w:t>
      </w:r>
      <w:r w:rsidR="005A638F" w:rsidRPr="006231FA">
        <w:rPr>
          <w:rFonts w:ascii="Times New Roman" w:hAnsi="Times New Roman"/>
          <w:b/>
          <w:bCs/>
          <w:i w:val="0"/>
          <w:iCs w:val="0"/>
          <w:color w:val="auto"/>
          <w:sz w:val="24"/>
          <w:szCs w:val="24"/>
        </w:rPr>
        <w:t>Perspectives du marché biologique en Algérie</w:t>
      </w:r>
      <w:bookmarkEnd w:id="136"/>
      <w:bookmarkEnd w:id="137"/>
    </w:p>
    <w:p w:rsidR="005A638F" w:rsidRPr="00FB3C8C" w:rsidRDefault="005A638F" w:rsidP="007A677E">
      <w:pPr>
        <w:spacing w:after="0" w:line="360" w:lineRule="auto"/>
        <w:ind w:firstLine="567"/>
        <w:jc w:val="both"/>
        <w:rPr>
          <w:rFonts w:asciiTheme="majorBidi" w:hAnsiTheme="majorBidi" w:cstheme="majorBidi"/>
          <w:sz w:val="24"/>
          <w:szCs w:val="24"/>
        </w:rPr>
      </w:pPr>
      <w:r w:rsidRPr="00FB3C8C">
        <w:rPr>
          <w:rFonts w:asciiTheme="majorBidi" w:hAnsiTheme="majorBidi" w:cstheme="majorBidi"/>
          <w:sz w:val="24"/>
          <w:szCs w:val="24"/>
        </w:rPr>
        <w:t>En tenant compte de la réalité du secteur biologique en Algérie, nous pouvons dire que malgré l’exiguïté des superficies cultivées par rapport aux pays arabes leaders tels l’Égypte, les études spécifiques, nommément, des opportunités réelles d’investir pour développer ce secteur. Parmi ces opportunités, peuvent être citées : l’un des principaux atouts de l’Algérie pour produire des cultures stratégiques, les dattes, les olives, les plantes médicinales et aromatiquessuffisamment disponibles pour accéder aux marchés mondiaux ; l’exploitation potentielle des zones naturelles et rurales en tant qu’espaces biologiques ; l’orientation vers certaines plantes négligées dont la capacité de développement dans un environnement aride est affirmée par des variétés de figuier de Barbarie dont l’huile peut dépasser le prix de 1000 dollars le litre ; le développement possible de la transformation agricole biologique et l’intégration de l’agriculture biologique dans les activités de tourisme écologique et agricole.</w:t>
      </w:r>
    </w:p>
    <w:p w:rsidR="005A638F" w:rsidRDefault="005A638F" w:rsidP="007A677E">
      <w:pPr>
        <w:spacing w:after="0" w:line="360" w:lineRule="auto"/>
        <w:ind w:firstLine="567"/>
        <w:jc w:val="both"/>
        <w:rPr>
          <w:rFonts w:asciiTheme="majorBidi" w:hAnsiTheme="majorBidi" w:cstheme="majorBidi"/>
          <w:sz w:val="24"/>
          <w:szCs w:val="24"/>
        </w:rPr>
      </w:pPr>
      <w:r w:rsidRPr="00FB3C8C">
        <w:rPr>
          <w:rFonts w:asciiTheme="majorBidi" w:hAnsiTheme="majorBidi" w:cstheme="majorBidi"/>
          <w:sz w:val="24"/>
          <w:szCs w:val="24"/>
        </w:rPr>
        <w:t>Cependant, l’exploitation de ces perspectives reste conditionnée par le dépassement d’un certain nombre de défis structurels qui freinent le développement du secteur, parmi lesquels : l’absence de marchés locaux et d’une vision claire pour le marketing extérieur, le manque d’informations marketing nécessaires pour le travail des agriculteurs et des producteurs (etc.), les coûts importants de certification et de qualifications exigées pour intégrer les marchés internationaux, ainsi que la faible participation aux foires agricoles mondiales et des foires arabes (etc.). La surrection de ces obstacles, en injectant un investissement sérieux dans les opportunités existantes, devrait permettre à l’Algérie de transformer le secteur de l’agriculture biologique en un pilier de son économie nationale, ainsi que générer la sécurité alimentaire durable.</w:t>
      </w:r>
      <w:r>
        <w:rPr>
          <w:rStyle w:val="Appelnotedebasdep"/>
          <w:rFonts w:asciiTheme="majorBidi" w:hAnsiTheme="majorBidi" w:cstheme="majorBidi"/>
          <w:sz w:val="24"/>
          <w:szCs w:val="24"/>
        </w:rPr>
        <w:footnoteReference w:id="113"/>
      </w:r>
    </w:p>
    <w:p w:rsidR="005A638F" w:rsidRPr="007A5154" w:rsidRDefault="005A638F" w:rsidP="007A677E">
      <w:pPr>
        <w:spacing w:after="0" w:line="360" w:lineRule="auto"/>
        <w:ind w:firstLine="567"/>
        <w:jc w:val="both"/>
        <w:rPr>
          <w:rFonts w:asciiTheme="majorBidi" w:hAnsiTheme="majorBidi" w:cstheme="majorBidi"/>
          <w:sz w:val="24"/>
          <w:szCs w:val="24"/>
        </w:rPr>
      </w:pPr>
      <w:r w:rsidRPr="007A5154">
        <w:rPr>
          <w:rFonts w:asciiTheme="majorBidi" w:hAnsiTheme="majorBidi" w:cstheme="majorBidi"/>
          <w:sz w:val="24"/>
          <w:szCs w:val="24"/>
        </w:rPr>
        <w:t>En définitive, les produits biologiques s’inscrivent dans une dynamique multidimensionnelle à la fois économique, environnementale et sociale, dont le développement dépend étroitement des cadres réglementaires, des stratégies de certification et des comportements des consommateurs.</w:t>
      </w:r>
      <w:r>
        <w:rPr>
          <w:rFonts w:asciiTheme="majorBidi" w:hAnsiTheme="majorBidi" w:cstheme="majorBidi"/>
          <w:sz w:val="24"/>
          <w:szCs w:val="24"/>
        </w:rPr>
        <w:t>.</w:t>
      </w:r>
    </w:p>
    <w:p w:rsidR="00D078FF" w:rsidRDefault="00D078FF" w:rsidP="00D078FF">
      <w:pPr>
        <w:spacing w:line="360" w:lineRule="auto"/>
        <w:jc w:val="both"/>
        <w:rPr>
          <w:rFonts w:asciiTheme="majorBidi" w:hAnsiTheme="majorBidi" w:cstheme="majorBidi"/>
          <w:b/>
          <w:bCs/>
          <w:sz w:val="24"/>
          <w:szCs w:val="24"/>
        </w:rPr>
      </w:pPr>
    </w:p>
    <w:p w:rsidR="005A638F" w:rsidRDefault="005A638F" w:rsidP="00D078FF">
      <w:pPr>
        <w:spacing w:line="360" w:lineRule="auto"/>
        <w:jc w:val="both"/>
        <w:rPr>
          <w:rFonts w:asciiTheme="majorBidi" w:hAnsiTheme="majorBidi" w:cstheme="majorBidi"/>
          <w:b/>
          <w:bCs/>
          <w:sz w:val="24"/>
          <w:szCs w:val="24"/>
        </w:rPr>
      </w:pPr>
      <w:r w:rsidRPr="00BE5BD4">
        <w:rPr>
          <w:rFonts w:asciiTheme="majorBidi" w:hAnsiTheme="majorBidi" w:cstheme="majorBidi"/>
          <w:b/>
          <w:bCs/>
          <w:sz w:val="24"/>
          <w:szCs w:val="24"/>
        </w:rPr>
        <w:t>Conclusion :</w:t>
      </w:r>
    </w:p>
    <w:p w:rsidR="005A638F" w:rsidRDefault="005A638F" w:rsidP="00D078FF">
      <w:pPr>
        <w:spacing w:line="360" w:lineRule="auto"/>
        <w:ind w:firstLine="567"/>
        <w:jc w:val="both"/>
        <w:rPr>
          <w:rFonts w:asciiTheme="majorBidi" w:hAnsiTheme="majorBidi" w:cstheme="majorBidi"/>
          <w:sz w:val="24"/>
          <w:szCs w:val="24"/>
        </w:rPr>
      </w:pPr>
      <w:r w:rsidRPr="00044601">
        <w:rPr>
          <w:rFonts w:asciiTheme="majorBidi" w:hAnsiTheme="majorBidi" w:cstheme="majorBidi"/>
          <w:sz w:val="24"/>
          <w:szCs w:val="24"/>
        </w:rPr>
        <w:lastRenderedPageBreak/>
        <w:t>Pour conclure, ce chapitre a permis d’opérer un voyage dans le temps des concepts marketing en montrant tout d’abord l’émergence et le développement du marketing traditionnel à partir de sa focalisation sur des enjeux de performance commerciale et de satisfaction du consommateur à l’émergence du marketing biologique où les enjeux deviennent englober les dimensions environnementales, sanitaires et sociales. Il s’agit bien alors d’une profonde mutation de la demande des consommateurs qui tient pour beaucoup à une forte perception des risques au regard des enjeux de durabilité, de sécurité alimentaire et de préservation des ressources naturelles.</w:t>
      </w:r>
    </w:p>
    <w:p w:rsidR="005A638F" w:rsidRDefault="005A638F" w:rsidP="00D078FF">
      <w:pPr>
        <w:spacing w:line="360" w:lineRule="auto"/>
        <w:ind w:firstLine="567"/>
        <w:jc w:val="both"/>
        <w:rPr>
          <w:rFonts w:asciiTheme="majorBidi" w:hAnsiTheme="majorBidi" w:cstheme="majorBidi"/>
          <w:sz w:val="24"/>
          <w:szCs w:val="24"/>
        </w:rPr>
      </w:pPr>
      <w:r w:rsidRPr="00044601">
        <w:rPr>
          <w:rFonts w:asciiTheme="majorBidi" w:hAnsiTheme="majorBidi" w:cstheme="majorBidi"/>
          <w:sz w:val="24"/>
          <w:szCs w:val="24"/>
        </w:rPr>
        <w:t>Il a même été possible, au sein de l’enquête, de distinguer clairement marketing vert et marketing biologique, le premier étant une démarche mondiale vers la réduction des impacts environnementaux des activités économiques, le second étant une stratégie de valorisation des produits issus de l’agriculture biologique dans le cadre d’un respect des normes de production, de transformation et de commercialisation les plus strictes. On comprend ici que le marketing biologique est une forme sectorielle de marketing durable, sur la base d’une confiance du consommateur fondée sur la transparence et la qualité.</w:t>
      </w:r>
    </w:p>
    <w:p w:rsidR="005A638F" w:rsidRPr="00044601" w:rsidRDefault="005A638F" w:rsidP="00D078FF">
      <w:pPr>
        <w:spacing w:line="360" w:lineRule="auto"/>
        <w:ind w:firstLine="567"/>
        <w:jc w:val="both"/>
        <w:rPr>
          <w:rFonts w:asciiTheme="majorBidi" w:hAnsiTheme="majorBidi" w:cstheme="majorBidi"/>
          <w:sz w:val="24"/>
          <w:szCs w:val="24"/>
        </w:rPr>
      </w:pPr>
      <w:r w:rsidRPr="00044601">
        <w:rPr>
          <w:rFonts w:asciiTheme="majorBidi" w:hAnsiTheme="majorBidi" w:cstheme="majorBidi"/>
          <w:sz w:val="24"/>
          <w:szCs w:val="24"/>
        </w:rPr>
        <w:t>Une analyse de la composition du mix marketing des produits biologiques fait aussi apparaître que le produit, le prix, la distribution et la communication doivent se conformer à certaines exigences que l’on peut établir à partir de la nature même des produits biologiques. Ainsi, le respect des contraintes de certification, de traçabilité du produit, de stockage et d’information impose des stratégies appropriées de la part des entreprises afin de garantir la sincérité du produit, et d’en renforcer la crédibilité sur le marché.</w:t>
      </w:r>
    </w:p>
    <w:p w:rsidR="0076672F" w:rsidRDefault="005A638F" w:rsidP="00D078FF">
      <w:pPr>
        <w:spacing w:line="360" w:lineRule="auto"/>
        <w:ind w:firstLine="567"/>
        <w:jc w:val="both"/>
        <w:rPr>
          <w:rFonts w:asciiTheme="majorBidi" w:hAnsiTheme="majorBidi" w:cstheme="majorBidi"/>
          <w:sz w:val="24"/>
          <w:szCs w:val="24"/>
        </w:rPr>
        <w:sectPr w:rsidR="0076672F" w:rsidSect="00EA0836">
          <w:headerReference w:type="default" r:id="rId42"/>
          <w:headerReference w:type="first" r:id="rId43"/>
          <w:footerReference w:type="first" r:id="rId44"/>
          <w:footnotePr>
            <w:numRestart w:val="eachPage"/>
          </w:footnotePr>
          <w:pgSz w:w="11906" w:h="16838"/>
          <w:pgMar w:top="1417" w:right="1417" w:bottom="1417" w:left="1417" w:header="737" w:footer="720" w:gutter="0"/>
          <w:pgBorders w:display="firstPage" w:offsetFrom="page">
            <w:top w:val="tornPaperBlack" w:sz="31" w:space="24" w:color="000000" w:themeColor="text1"/>
            <w:left w:val="tornPaperBlack" w:sz="31" w:space="24" w:color="000000" w:themeColor="text1"/>
            <w:bottom w:val="tornPaperBlack" w:sz="31" w:space="24" w:color="000000" w:themeColor="text1"/>
            <w:right w:val="tornPaperBlack" w:sz="31" w:space="24" w:color="000000" w:themeColor="text1"/>
          </w:pgBorders>
          <w:cols w:space="720"/>
          <w:titlePg/>
          <w:docGrid w:linePitch="299"/>
        </w:sectPr>
      </w:pPr>
      <w:r w:rsidRPr="00044601">
        <w:rPr>
          <w:rFonts w:asciiTheme="majorBidi" w:hAnsiTheme="majorBidi" w:cstheme="majorBidi"/>
          <w:sz w:val="24"/>
          <w:szCs w:val="24"/>
        </w:rPr>
        <w:t>Ce chapitre a également mis en exergue l’importance des normes, des systèmes de certification et de l’étiquetage biologique dans la structuration du marché des produits biologiques. En effet, ils apparaissent comme des dispositifs qui ont pour fonction de protéger le consommateur d’un côté, du mensonge de l’autre, pour entraîner la confiance envers les produits labellisés organisés au sein du secteur certifié biologique, intégrant ainsi le marketing biologique dans une démarche stratégique du développement de la performance économique au respect des enjeux environnementaux et au bien-être du consommateur.</w:t>
      </w:r>
    </w:p>
    <w:p w:rsidR="005A638F" w:rsidRPr="00044601" w:rsidRDefault="005A638F" w:rsidP="00D078FF">
      <w:pPr>
        <w:spacing w:line="360" w:lineRule="auto"/>
        <w:ind w:firstLine="567"/>
        <w:jc w:val="both"/>
        <w:rPr>
          <w:rFonts w:asciiTheme="majorBidi" w:hAnsiTheme="majorBidi" w:cstheme="majorBidi"/>
          <w:sz w:val="24"/>
          <w:szCs w:val="24"/>
        </w:rPr>
      </w:pPr>
    </w:p>
    <w:p w:rsidR="005A638F" w:rsidRDefault="005A638F" w:rsidP="00D078FF">
      <w:pPr>
        <w:spacing w:line="360" w:lineRule="auto"/>
        <w:jc w:val="both"/>
      </w:pPr>
    </w:p>
    <w:p w:rsidR="005A638F" w:rsidRDefault="005A638F" w:rsidP="00D078FF">
      <w:pPr>
        <w:spacing w:line="360" w:lineRule="auto"/>
        <w:jc w:val="both"/>
        <w:rPr>
          <w:rFonts w:ascii="Times New Roman" w:hAnsi="Times New Roman" w:cs="Times New Roman"/>
          <w:sz w:val="24"/>
          <w:szCs w:val="24"/>
          <w:rtl/>
          <w:lang w:bidi="ar-DZ"/>
        </w:rPr>
      </w:pPr>
    </w:p>
    <w:p w:rsidR="005A638F" w:rsidRDefault="005A638F" w:rsidP="00D078FF">
      <w:pPr>
        <w:spacing w:line="360" w:lineRule="auto"/>
        <w:jc w:val="both"/>
        <w:rPr>
          <w:rFonts w:ascii="Times New Roman" w:hAnsi="Times New Roman" w:cs="Times New Roman"/>
          <w:sz w:val="24"/>
          <w:szCs w:val="24"/>
          <w:lang w:bidi="ar-DZ"/>
        </w:rPr>
      </w:pPr>
    </w:p>
    <w:p w:rsidR="005A638F" w:rsidRDefault="005A638F" w:rsidP="00D078FF">
      <w:pPr>
        <w:spacing w:line="360" w:lineRule="auto"/>
        <w:jc w:val="both"/>
        <w:rPr>
          <w:rFonts w:ascii="Times New Roman" w:hAnsi="Times New Roman" w:cs="Times New Roman"/>
          <w:sz w:val="24"/>
          <w:szCs w:val="24"/>
          <w:lang w:bidi="ar-DZ"/>
        </w:rPr>
      </w:pPr>
    </w:p>
    <w:p w:rsidR="005A638F" w:rsidRPr="00B42C55" w:rsidRDefault="005A638F" w:rsidP="00D078FF">
      <w:pPr>
        <w:spacing w:line="360" w:lineRule="auto"/>
        <w:jc w:val="both"/>
        <w:rPr>
          <w:rFonts w:ascii="Times New Roman" w:hAnsi="Times New Roman" w:cs="Times New Roman"/>
          <w:b/>
          <w:bCs/>
          <w:sz w:val="24"/>
          <w:szCs w:val="24"/>
          <w:lang w:bidi="ar-DZ"/>
        </w:rPr>
      </w:pPr>
    </w:p>
    <w:p w:rsidR="005A638F" w:rsidRPr="00B42C55" w:rsidRDefault="005A638F" w:rsidP="00D078FF">
      <w:pPr>
        <w:spacing w:line="360" w:lineRule="auto"/>
        <w:jc w:val="both"/>
        <w:rPr>
          <w:rFonts w:ascii="Times New Roman" w:hAnsi="Times New Roman" w:cs="Times New Roman"/>
          <w:b/>
          <w:bCs/>
          <w:sz w:val="24"/>
          <w:szCs w:val="24"/>
          <w:lang w:bidi="ar-DZ"/>
        </w:rPr>
      </w:pPr>
    </w:p>
    <w:p w:rsidR="005A638F" w:rsidRDefault="005A638F" w:rsidP="00D078FF">
      <w:pPr>
        <w:spacing w:line="360" w:lineRule="auto"/>
        <w:jc w:val="both"/>
      </w:pPr>
    </w:p>
    <w:p w:rsidR="005A638F" w:rsidRDefault="007B5998" w:rsidP="00D078FF">
      <w:pPr>
        <w:spacing w:line="360" w:lineRule="auto"/>
        <w:jc w:val="both"/>
      </w:pPr>
      <w:r w:rsidRPr="007B5998">
        <w:rPr>
          <w:noProof/>
          <w:sz w:val="28"/>
          <w:szCs w:val="28"/>
          <w:lang w:eastAsia="fr-FR"/>
        </w:rPr>
        <w:pict>
          <v:shape id="_x0000_s1046" type="#_x0000_t98" style="position:absolute;left:0;text-align:left;margin-left:-21.5pt;margin-top:261.2pt;width:459.4pt;height:293pt;z-index:251714560;visibility:visible;mso-position-horizontal-relative:margin;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" filled="f" strokecolor="#09101d [484]" strokeweight="2.25pt">
            <v:stroke joinstyle="miter"/>
            <v:shadow on="t" type="perspective" color="black" opacity="26214f" offset="0,0" matrix="66847f,,,66847f"/>
            <v:textbox>
              <w:txbxContent>
                <w:p w:rsidR="00B54D3C" w:rsidRPr="00E52A17" w:rsidRDefault="00B54D3C" w:rsidP="00E52A17">
                  <w:pPr>
                    <w:pStyle w:val="Titre1"/>
                    <w:rPr>
                      <w:rFonts w:asciiTheme="majorBidi" w:hAnsiTheme="majorBidi" w:cstheme="majorBidi"/>
                      <w:color w:val="000000" w:themeColor="text1"/>
                      <w:sz w:val="52"/>
                      <w:szCs w:val="52"/>
                    </w:rPr>
                  </w:pPr>
                  <w:bookmarkStart w:id="138" w:name="_Toc230900293"/>
                  <w:bookmarkStart w:id="139" w:name="_Toc230900920"/>
                  <w:r w:rsidRPr="00E52A17">
                    <w:rPr>
                      <w:rFonts w:asciiTheme="majorBidi" w:hAnsiTheme="majorBidi" w:cstheme="majorBidi"/>
                      <w:color w:val="000000" w:themeColor="text1"/>
                      <w:sz w:val="52"/>
                      <w:szCs w:val="52"/>
                    </w:rPr>
                    <w:t xml:space="preserve">Chapitre </w:t>
                  </w:r>
                  <w:r w:rsidRPr="00E52A17">
                    <w:rPr>
                      <w:rFonts w:asciiTheme="majorBidi" w:hAnsiTheme="majorBidi" w:cstheme="majorBidi"/>
                      <w:b/>
                      <w:bCs/>
                      <w:color w:val="000000" w:themeColor="text1"/>
                      <w:sz w:val="52"/>
                      <w:szCs w:val="52"/>
                    </w:rPr>
                    <w:t>II :</w:t>
                  </w:r>
                  <w:r w:rsidRPr="00E52A17">
                    <w:rPr>
                      <w:rFonts w:asciiTheme="majorBidi" w:hAnsiTheme="majorBidi" w:cstheme="majorBidi"/>
                      <w:color w:val="000000" w:themeColor="text1"/>
                    </w:rPr>
                    <w:t>Le rôle stratégique du marketing dans le renforcement de la sécurité sanitaire des aliments</w:t>
                  </w:r>
                  <w:bookmarkEnd w:id="138"/>
                  <w:bookmarkEnd w:id="139"/>
                </w:p>
              </w:txbxContent>
            </v:textbox>
            <w10:wrap anchorx="margin" anchory="page"/>
          </v:shape>
        </w:pict>
      </w:r>
    </w:p>
    <w:p w:rsidR="005A638F" w:rsidRPr="0022379D" w:rsidRDefault="005A638F" w:rsidP="00D078FF">
      <w:pPr>
        <w:spacing w:line="360" w:lineRule="auto"/>
        <w:jc w:val="both"/>
        <w:rPr>
          <w:rFonts w:asciiTheme="majorBidi" w:hAnsiTheme="majorBidi" w:cstheme="majorBidi"/>
          <w:sz w:val="24"/>
          <w:szCs w:val="24"/>
          <w:rtl/>
          <w:lang w:bidi="ar-DZ"/>
        </w:rPr>
      </w:pPr>
    </w:p>
    <w:p w:rsidR="005A638F" w:rsidRDefault="005A638F" w:rsidP="00D078FF">
      <w:pPr>
        <w:spacing w:line="360" w:lineRule="auto"/>
        <w:jc w:val="both"/>
        <w:rPr>
          <w:rFonts w:asciiTheme="majorBidi" w:hAnsiTheme="majorBidi" w:cstheme="majorBidi"/>
          <w:sz w:val="28"/>
          <w:szCs w:val="28"/>
          <w:rtl/>
        </w:rPr>
      </w:pPr>
    </w:p>
    <w:p w:rsidR="005A638F" w:rsidRDefault="005A638F" w:rsidP="00D078FF">
      <w:pPr>
        <w:spacing w:line="360" w:lineRule="auto"/>
        <w:jc w:val="both"/>
      </w:pPr>
    </w:p>
    <w:p w:rsidR="00607D3F" w:rsidRDefault="00607D3F" w:rsidP="00D078FF">
      <w:pPr>
        <w:spacing w:line="360" w:lineRule="auto"/>
        <w:jc w:val="both"/>
        <w:rPr>
          <w:rFonts w:asciiTheme="majorBidi" w:hAnsiTheme="majorBidi" w:cstheme="majorBidi"/>
          <w:b/>
          <w:bCs/>
          <w:sz w:val="28"/>
          <w:szCs w:val="28"/>
        </w:rPr>
      </w:pPr>
    </w:p>
    <w:p w:rsidR="00A10685" w:rsidRPr="00A10685" w:rsidRDefault="00A10685" w:rsidP="00D078FF">
      <w:pPr>
        <w:spacing w:line="360" w:lineRule="auto"/>
        <w:jc w:val="both"/>
        <w:rPr>
          <w:rFonts w:asciiTheme="majorBidi" w:hAnsiTheme="majorBidi" w:cstheme="majorBidi"/>
          <w:sz w:val="28"/>
          <w:szCs w:val="28"/>
        </w:rPr>
      </w:pPr>
    </w:p>
    <w:p w:rsidR="00A10685" w:rsidRPr="00A10685" w:rsidRDefault="00A10685" w:rsidP="00D078FF">
      <w:pPr>
        <w:spacing w:line="360" w:lineRule="auto"/>
        <w:jc w:val="both"/>
        <w:rPr>
          <w:rFonts w:asciiTheme="majorBidi" w:hAnsiTheme="majorBidi" w:cstheme="majorBidi"/>
          <w:sz w:val="28"/>
          <w:szCs w:val="28"/>
        </w:rPr>
      </w:pPr>
    </w:p>
    <w:p w:rsidR="00A10685" w:rsidRPr="00A10685" w:rsidRDefault="00A10685" w:rsidP="00D078FF">
      <w:pPr>
        <w:spacing w:line="360" w:lineRule="auto"/>
        <w:jc w:val="both"/>
        <w:rPr>
          <w:rFonts w:asciiTheme="majorBidi" w:hAnsiTheme="majorBidi" w:cstheme="majorBidi"/>
          <w:sz w:val="28"/>
          <w:szCs w:val="28"/>
        </w:rPr>
      </w:pPr>
    </w:p>
    <w:p w:rsidR="00A10685" w:rsidRPr="00A10685" w:rsidRDefault="00A10685" w:rsidP="00D078FF">
      <w:pPr>
        <w:spacing w:line="360" w:lineRule="auto"/>
        <w:jc w:val="both"/>
        <w:rPr>
          <w:rFonts w:asciiTheme="majorBidi" w:hAnsiTheme="majorBidi" w:cstheme="majorBidi"/>
          <w:sz w:val="28"/>
          <w:szCs w:val="28"/>
        </w:rPr>
      </w:pPr>
    </w:p>
    <w:p w:rsidR="00A10685" w:rsidRPr="00A10685" w:rsidRDefault="00A10685" w:rsidP="00D078FF">
      <w:pPr>
        <w:spacing w:line="360" w:lineRule="auto"/>
        <w:jc w:val="both"/>
        <w:rPr>
          <w:rFonts w:asciiTheme="majorBidi" w:hAnsiTheme="majorBidi" w:cstheme="majorBidi"/>
          <w:sz w:val="28"/>
          <w:szCs w:val="28"/>
        </w:rPr>
      </w:pPr>
    </w:p>
    <w:p w:rsidR="00A10685" w:rsidRPr="00A10685" w:rsidRDefault="001D5B0C" w:rsidP="00D078FF">
      <w:pPr>
        <w:spacing w:line="360" w:lineRule="auto"/>
        <w:jc w:val="both"/>
        <w:rPr>
          <w:rFonts w:asciiTheme="majorBidi" w:hAnsiTheme="majorBidi" w:cstheme="majorBidi"/>
          <w:sz w:val="28"/>
          <w:szCs w:val="28"/>
        </w:rPr>
      </w:pPr>
      <w:r w:rsidRPr="001D5B0C">
        <w:rPr>
          <w:b/>
          <w:bCs/>
          <w:noProof/>
          <w:lang w:eastAsia="fr-FR"/>
        </w:rPr>
        <w:drawing>
          <wp:inline distT="0" distB="0" distL="0" distR="0">
            <wp:extent cx="4401820" cy="1605280"/>
            <wp:effectExtent l="0" t="0" r="0" b="0"/>
            <wp:docPr id="186556229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1820" cy="1605280"/>
                    </a:xfrm>
                    <a:prstGeom prst="rect">
                      <a:avLst/>
                    </a:prstGeom>
                    <a:noFill/>
                    <a:ln>
                      <a:noFill/>
                    </a:ln>
                  </pic:spPr>
                </pic:pic>
              </a:graphicData>
            </a:graphic>
          </wp:inline>
        </w:drawing>
      </w:r>
    </w:p>
    <w:p w:rsidR="00F57DD8" w:rsidRPr="00F57DD8" w:rsidRDefault="00F57DD8" w:rsidP="00D078FF">
      <w:pPr>
        <w:spacing w:before="100" w:beforeAutospacing="1" w:after="100" w:afterAutospacing="1" w:line="360" w:lineRule="auto"/>
        <w:jc w:val="both"/>
        <w:rPr>
          <w:rFonts w:ascii="Times New Roman" w:eastAsia="Times New Roman" w:hAnsi="Times New Roman" w:cs="Times New Roman"/>
          <w:b/>
          <w:bCs/>
          <w:sz w:val="24"/>
          <w:szCs w:val="24"/>
          <w:lang w:eastAsia="fr-FR"/>
        </w:rPr>
      </w:pPr>
      <w:r w:rsidRPr="00F57DD8">
        <w:rPr>
          <w:rFonts w:ascii="Times New Roman" w:eastAsia="Times New Roman" w:hAnsi="Times New Roman" w:cs="Times New Roman"/>
          <w:b/>
          <w:bCs/>
          <w:sz w:val="24"/>
          <w:szCs w:val="24"/>
          <w:lang w:eastAsia="fr-FR"/>
        </w:rPr>
        <w:lastRenderedPageBreak/>
        <w:t xml:space="preserve">Introduction :    </w:t>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Bien que le premier chapitre ait permis d’établir le socle conceptuel et opérationnel du marketing des produits biologiques – depuis son émergence par rapport aux limites du marketing traditionnel, en passant par la définition rigoureuse des dimensions de son mix-marketing (produit, prix, distribution et communication) et à la prise en compte des systèmes de certification et d’étiquetage –, il est désormais opportun d’explorer une dimension plus cruciale qui est celle du rôle que peut jouer le marketing des produits biologiques dans le renforcement de la sécurité sanitaire des aliments. </w:t>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En effet, les attentes des consommateurs ont considérablement évolué ces dernières années. Si elles sont largement </w:t>
      </w:r>
      <w:r w:rsidR="00995269">
        <w:rPr>
          <w:rFonts w:ascii="Times New Roman" w:eastAsia="Times New Roman" w:hAnsi="Times New Roman" w:cs="Times New Roman"/>
          <w:sz w:val="24"/>
          <w:szCs w:val="24"/>
          <w:lang w:eastAsia="fr-FR"/>
        </w:rPr>
        <w:t>au départ limité</w:t>
      </w:r>
      <w:r>
        <w:rPr>
          <w:rFonts w:ascii="Times New Roman" w:eastAsia="Times New Roman" w:hAnsi="Times New Roman" w:cs="Times New Roman"/>
          <w:sz w:val="24"/>
          <w:szCs w:val="24"/>
          <w:lang w:eastAsia="fr-FR"/>
        </w:rPr>
        <w:t xml:space="preserve"> à la satisfaction des besoins ou à la performance commerciale des produits, elles intègrent désormais aussi des exigences de plus en plus fortes relatives à la qualité sanitaire, à la transparence et à la protection contre les risques alimentaires. Les diverses crises sanitaires intervenues dans le secteur agroalimentaire – contaminations, résidus de pesticides, fraudes alimentaires, etc. – ont durablement entamé la confiance des consommateurs vis-à-vis des opérateurs de la chaîne alimentaire. Dans ce contexte, au-delà de sa seule fonction commerciale, le marketing devient aussi dispositif d’information, de prévention et de sécurité sanitaire.</w:t>
      </w:r>
    </w:p>
    <w:p w:rsidR="00995269" w:rsidRDefault="00F57DD8" w:rsidP="00995269">
      <w:pPr>
        <w:spacing w:before="100" w:beforeAutospacing="1" w:after="100" w:afterAutospacing="1" w:line="360" w:lineRule="auto"/>
        <w:jc w:val="both"/>
        <w:rPr>
          <w:rFonts w:ascii="Times New Roman" w:eastAsia="Times New Roman" w:hAnsi="Times New Roman" w:cs="Times New Roman"/>
          <w:sz w:val="24"/>
          <w:szCs w:val="24"/>
          <w:rtl/>
          <w:lang w:eastAsia="fr-FR"/>
        </w:rPr>
      </w:pPr>
      <w:r>
        <w:rPr>
          <w:rFonts w:ascii="Times New Roman" w:eastAsia="Times New Roman" w:hAnsi="Times New Roman" w:cs="Times New Roman"/>
          <w:sz w:val="24"/>
          <w:szCs w:val="24"/>
          <w:lang w:eastAsia="fr-FR"/>
        </w:rPr>
        <w:t xml:space="preserve">      C’est pourquoi ce chapitre a pour ambition de montrer comment le marketing contribue à renforcer la crédibilité sanitaire des produits bio, en montrant en quoi il dépasse le cadre de la promotion des qualités supposées des produits en participant à la mise en forme de dispositifs favorisant la transparence, le contrôle et la gestion des risques alimentaires. Dans cette optique, le premier temps sera consacré à redéfinir la sécurité sanitaire des aliments par rapport à la sécurité alimentaire au sens large, auquel elle correspond plus précisément ; les risques biologiques d’origine alimentaire, les risques chimiques liés à l’utilisation des pesticides en agriculture, les risques physiques sont les principaux enjeux liés à la sécurité sanitaire des aliments, tout comme les nombreux cadres réglementaires, nationaux et internationaux, dans lesquels se trouvent ancrés les dispositifs de sécurité sanitaire. Un second temps de ce chapitre sera consacré aux principaux outils marketing garantissant la sécurité sanitaire des aliments : l’étiquetage comme outil d’information et de transparence, les mécanismes de traçabilité permettant le suivi des produits de la ferme à l’assiette, et la communication marketing comme outil de sensibilisation et de gestion des crises sanitaires</w:t>
      </w:r>
    </w:p>
    <w:p w:rsidR="00F57DD8" w:rsidRDefault="00F57DD8" w:rsidP="00995269">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Ce chapitre vise donc à faire la démonstration d’un marketing de nature stratégique, dans le cadre de la mise en œuvre d’un système alimentaire plus sûr, moins opaque, plus sécuritaire et confiant pour les consommateurs</w:t>
      </w:r>
    </w:p>
    <w:p w:rsidR="00F57DD8" w:rsidRDefault="00F57DD8" w:rsidP="00D078FF">
      <w:pPr>
        <w:pStyle w:val="Titre2"/>
        <w:spacing w:before="0" w:after="0" w:line="360" w:lineRule="auto"/>
        <w:jc w:val="both"/>
        <w:rPr>
          <w:rFonts w:asciiTheme="majorBidi" w:hAnsiTheme="majorBidi" w:cstheme="majorBidi"/>
          <w:color w:val="000000" w:themeColor="text1"/>
          <w:sz w:val="28"/>
          <w:szCs w:val="28"/>
          <w:lang w:eastAsia="fr-FR"/>
        </w:rPr>
      </w:pPr>
      <w:bookmarkStart w:id="140" w:name="_Toc230558660"/>
      <w:bookmarkStart w:id="141" w:name="_Toc230900294"/>
      <w:bookmarkStart w:id="142" w:name="_Toc230900921"/>
      <w:r w:rsidRPr="007C3D9F">
        <w:rPr>
          <w:rFonts w:asciiTheme="majorBidi" w:hAnsiTheme="majorBidi" w:cstheme="majorBidi"/>
          <w:b/>
          <w:bCs/>
          <w:color w:val="000000" w:themeColor="text1"/>
          <w:sz w:val="28"/>
          <w:szCs w:val="28"/>
          <w:lang w:eastAsia="fr-FR"/>
        </w:rPr>
        <w:t xml:space="preserve">Section </w:t>
      </w:r>
      <w:r w:rsidR="00AA6044" w:rsidRPr="007C3D9F">
        <w:rPr>
          <w:rFonts w:asciiTheme="majorBidi" w:hAnsiTheme="majorBidi" w:cstheme="majorBidi"/>
          <w:b/>
          <w:bCs/>
          <w:color w:val="000000" w:themeColor="text1"/>
          <w:sz w:val="28"/>
          <w:szCs w:val="28"/>
          <w:lang w:eastAsia="fr-FR"/>
        </w:rPr>
        <w:t>0</w:t>
      </w:r>
      <w:r w:rsidRPr="007C3D9F">
        <w:rPr>
          <w:rFonts w:asciiTheme="majorBidi" w:hAnsiTheme="majorBidi" w:cstheme="majorBidi"/>
          <w:b/>
          <w:bCs/>
          <w:color w:val="000000" w:themeColor="text1"/>
          <w:sz w:val="28"/>
          <w:szCs w:val="28"/>
          <w:lang w:eastAsia="fr-FR"/>
        </w:rPr>
        <w:t xml:space="preserve">1 : </w:t>
      </w:r>
      <w:r w:rsidRPr="007C3D9F">
        <w:rPr>
          <w:rFonts w:asciiTheme="majorBidi" w:hAnsiTheme="majorBidi" w:cstheme="majorBidi"/>
          <w:color w:val="000000" w:themeColor="text1"/>
          <w:sz w:val="28"/>
          <w:szCs w:val="28"/>
          <w:lang w:eastAsia="fr-FR"/>
        </w:rPr>
        <w:t>Approche de la sécurité sanitaire des aliments</w:t>
      </w:r>
      <w:bookmarkEnd w:id="140"/>
      <w:bookmarkEnd w:id="141"/>
      <w:bookmarkEnd w:id="142"/>
    </w:p>
    <w:p w:rsidR="00734009" w:rsidRPr="00734009" w:rsidRDefault="00734009" w:rsidP="00734009">
      <w:pPr>
        <w:suppressAutoHyphens w:val="0"/>
        <w:autoSpaceDN/>
        <w:spacing w:after="0" w:line="360" w:lineRule="auto"/>
        <w:textAlignment w:val="auto"/>
        <w:rPr>
          <w:rFonts w:ascii="Times New Roman" w:eastAsia="Times New Roman" w:hAnsi="Times New Roman" w:cs="Times New Roman"/>
          <w:kern w:val="0"/>
          <w:sz w:val="24"/>
          <w:szCs w:val="24"/>
          <w:lang w:eastAsia="fr-FR"/>
        </w:rPr>
      </w:pPr>
      <w:r w:rsidRPr="00734009">
        <w:rPr>
          <w:rFonts w:ascii="Times New Roman" w:eastAsia="Times New Roman" w:hAnsi="Times New Roman" w:cs="Times New Roman"/>
          <w:kern w:val="0"/>
          <w:sz w:val="24"/>
          <w:szCs w:val="24"/>
          <w:lang w:eastAsia="fr-FR"/>
        </w:rPr>
        <w:t>La sécurité sanitaire des aliments représente un pilier fondamental de la santé publique et de la protection des consommateurs. Face à l'évolution des modes de production, de transform</w:t>
      </w:r>
      <w:r w:rsidRPr="00734009">
        <w:rPr>
          <w:rFonts w:ascii="Times New Roman" w:eastAsia="Times New Roman" w:hAnsi="Times New Roman" w:cs="Times New Roman"/>
          <w:kern w:val="0"/>
          <w:sz w:val="24"/>
          <w:szCs w:val="24"/>
          <w:lang w:eastAsia="fr-FR"/>
        </w:rPr>
        <w:t>a</w:t>
      </w:r>
      <w:r w:rsidRPr="00734009">
        <w:rPr>
          <w:rFonts w:ascii="Times New Roman" w:eastAsia="Times New Roman" w:hAnsi="Times New Roman" w:cs="Times New Roman"/>
          <w:kern w:val="0"/>
          <w:sz w:val="24"/>
          <w:szCs w:val="24"/>
          <w:lang w:eastAsia="fr-FR"/>
        </w:rPr>
        <w:t>tion et de distribution des denrées alimentaires, la maîtrise des risques sanitaires est devenue une priorité pour les autorités publiques, les entreprises et les consommateurs. Cette section vise à présenter les fondements de la sécurité sanitaire des aliments, en abordant son concept, ses principaux enjeux, les risques alimentaires ainsi que les mécanismes de prévention et de contrôle mis en œuvre pour garantir des aliments sûrs et conformes aux normes de qualité.</w:t>
      </w:r>
    </w:p>
    <w:p w:rsidR="00F57DD8" w:rsidRPr="00CD023B" w:rsidRDefault="00F57DD8" w:rsidP="00D078CC">
      <w:pPr>
        <w:pStyle w:val="Titre3"/>
        <w:numPr>
          <w:ilvl w:val="0"/>
          <w:numId w:val="38"/>
        </w:numPr>
        <w:spacing w:before="0" w:after="0" w:line="360" w:lineRule="auto"/>
        <w:ind w:left="284" w:hanging="284"/>
        <w:jc w:val="both"/>
        <w:rPr>
          <w:rFonts w:asciiTheme="majorBidi" w:hAnsiTheme="majorBidi" w:cstheme="majorBidi"/>
          <w:b/>
          <w:bCs/>
          <w:color w:val="000000" w:themeColor="text1"/>
          <w:sz w:val="24"/>
          <w:szCs w:val="24"/>
        </w:rPr>
      </w:pPr>
      <w:bookmarkStart w:id="143" w:name="_Toc230558661"/>
      <w:bookmarkStart w:id="144" w:name="_Toc230900295"/>
      <w:r w:rsidRPr="00CD023B">
        <w:rPr>
          <w:rFonts w:asciiTheme="majorBidi" w:hAnsiTheme="majorBidi" w:cstheme="majorBidi"/>
          <w:b/>
          <w:bCs/>
          <w:color w:val="000000" w:themeColor="text1"/>
          <w:sz w:val="24"/>
          <w:szCs w:val="24"/>
          <w:lang w:eastAsia="fr-FR"/>
        </w:rPr>
        <w:t>Concept de sécurité sanitaire et distinction avec la sécurité alimentaire</w:t>
      </w:r>
      <w:bookmarkEnd w:id="143"/>
      <w:bookmarkEnd w:id="144"/>
    </w:p>
    <w:p w:rsidR="00CD023B" w:rsidRPr="006231FA" w:rsidRDefault="00851107" w:rsidP="00D078FF">
      <w:pPr>
        <w:pStyle w:val="Titre4"/>
        <w:spacing w:line="360" w:lineRule="auto"/>
        <w:jc w:val="both"/>
        <w:rPr>
          <w:rFonts w:ascii="Times New Roman" w:hAnsi="Times New Roman"/>
          <w:b/>
          <w:bCs/>
          <w:i w:val="0"/>
          <w:iCs w:val="0"/>
          <w:color w:val="auto"/>
          <w:sz w:val="24"/>
          <w:szCs w:val="24"/>
        </w:rPr>
      </w:pPr>
      <w:bookmarkStart w:id="145" w:name="_Toc230558662"/>
      <w:bookmarkStart w:id="146" w:name="_Toc230900296"/>
      <w:r w:rsidRPr="006231FA">
        <w:rPr>
          <w:rFonts w:ascii="Times New Roman" w:hAnsi="Times New Roman"/>
          <w:b/>
          <w:bCs/>
          <w:i w:val="0"/>
          <w:iCs w:val="0"/>
          <w:color w:val="auto"/>
          <w:sz w:val="24"/>
          <w:szCs w:val="24"/>
        </w:rPr>
        <w:t>1.1.</w:t>
      </w:r>
      <w:r w:rsidR="00F57DD8" w:rsidRPr="006231FA">
        <w:rPr>
          <w:rFonts w:ascii="Times New Roman" w:hAnsi="Times New Roman"/>
          <w:b/>
          <w:bCs/>
          <w:i w:val="0"/>
          <w:iCs w:val="0"/>
          <w:color w:val="auto"/>
          <w:sz w:val="24"/>
          <w:szCs w:val="24"/>
        </w:rPr>
        <w:t>Définition de la sécurité alimentaire</w:t>
      </w:r>
      <w:bookmarkEnd w:id="145"/>
      <w:bookmarkEnd w:id="146"/>
    </w:p>
    <w:p w:rsidR="00F57DD8" w:rsidRPr="00CD023B" w:rsidRDefault="00F57DD8" w:rsidP="00D078FF">
      <w:pPr>
        <w:spacing w:line="360" w:lineRule="auto"/>
        <w:jc w:val="both"/>
        <w:rPr>
          <w:sz w:val="24"/>
          <w:szCs w:val="24"/>
        </w:rPr>
      </w:pPr>
      <w:r>
        <w:rPr>
          <w:rFonts w:ascii="Times New Roman" w:eastAsia="Times New Roman" w:hAnsi="Times New Roman" w:cs="Times New Roman"/>
          <w:sz w:val="24"/>
          <w:szCs w:val="24"/>
          <w:lang w:eastAsia="fr-FR"/>
        </w:rPr>
        <w:t>La notion de sécurité alimentaire a connu une évolution progressive à travers les contributions de plusieurs organisations internationales et chercheurs. Dans une première approche, les Nations Unies (1975) définissent la sécurité alimentaire comme la capacité de garantir un approvisionnement continu en denrées alimentaires de base, dans un contexte de stabilité des prix.</w:t>
      </w:r>
      <w:r>
        <w:rPr>
          <w:rStyle w:val="Appelnotedebasdep"/>
          <w:rFonts w:ascii="Times New Roman" w:hAnsi="Times New Roman"/>
          <w:sz w:val="24"/>
          <w:szCs w:val="24"/>
          <w:lang w:eastAsia="fr-FR"/>
        </w:rPr>
        <w:footnoteReference w:id="114"/>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Par la suite, cette définition a été enrichie par des approches intégrant davantage les dimensions économiques et sociales.</w:t>
      </w:r>
      <w:r>
        <w:rPr>
          <w:rStyle w:val="Appelnotedebasdep"/>
          <w:rFonts w:ascii="Times New Roman" w:hAnsi="Times New Roman"/>
          <w:sz w:val="24"/>
          <w:szCs w:val="24"/>
          <w:lang w:eastAsia="fr-FR"/>
        </w:rPr>
        <w:footnoteReference w:id="115"/>
      </w:r>
      <w:r>
        <w:rPr>
          <w:rFonts w:ascii="Times New Roman" w:eastAsia="Times New Roman" w:hAnsi="Times New Roman" w:cs="Times New Roman"/>
          <w:sz w:val="24"/>
          <w:szCs w:val="24"/>
          <w:lang w:eastAsia="fr-FR"/>
        </w:rPr>
        <w:t xml:space="preserve"> Ainsi, Siamwalla et Valdés (1980) mettent l’accent sur la capacité à atteindre des niveaux satisfaisants de consommation alimentaire</w:t>
      </w:r>
      <w:r>
        <w:rPr>
          <w:rStyle w:val="Appelnotedebasdep"/>
          <w:rFonts w:ascii="Times New Roman" w:hAnsi="Times New Roman"/>
          <w:sz w:val="24"/>
          <w:szCs w:val="24"/>
          <w:lang w:eastAsia="fr-FR"/>
        </w:rPr>
        <w:footnoteReference w:id="116"/>
      </w:r>
      <w:r>
        <w:rPr>
          <w:rFonts w:ascii="Times New Roman" w:eastAsia="Times New Roman" w:hAnsi="Times New Roman" w:cs="Times New Roman"/>
          <w:sz w:val="24"/>
          <w:szCs w:val="24"/>
          <w:lang w:eastAsia="fr-FR"/>
        </w:rPr>
        <w:t>, tandis que Valdés et Konandreas (1981) soulignent l’importance des ressources financières nécessaires pour assurer les importations alimentaires.</w:t>
      </w:r>
    </w:p>
    <w:p w:rsidR="00F57DD8" w:rsidRDefault="00F57DD8" w:rsidP="007A677E">
      <w:pPr>
        <w:spacing w:before="100" w:beforeAutospacing="1" w:after="100" w:afterAutospacing="1" w:line="360" w:lineRule="auto"/>
        <w:jc w:val="both"/>
        <w:rPr>
          <w:rFonts w:ascii="Times New Roman" w:eastAsia="Times New Roman" w:hAnsi="Times New Roman" w:cs="Times New Roman"/>
          <w:sz w:val="24"/>
          <w:szCs w:val="24"/>
          <w:rtl/>
          <w:lang w:eastAsia="fr-FR" w:bidi="ar-DZ"/>
        </w:rPr>
      </w:pPr>
      <w:r>
        <w:rPr>
          <w:rFonts w:ascii="Times New Roman" w:eastAsia="Times New Roman" w:hAnsi="Times New Roman" w:cs="Times New Roman"/>
          <w:sz w:val="24"/>
          <w:szCs w:val="24"/>
          <w:lang w:eastAsia="fr-FR"/>
        </w:rPr>
        <w:t xml:space="preserve">        Dans une perspective plus globale, l’Organisation</w:t>
      </w:r>
      <w:r>
        <w:rPr>
          <w:rFonts w:asciiTheme="majorBidi" w:hAnsiTheme="majorBidi" w:cstheme="majorBidi"/>
          <w:sz w:val="24"/>
          <w:szCs w:val="24"/>
        </w:rPr>
        <w:t xml:space="preserve"> des Nations Unies pour l’alimentation et l’agriculture (FAO </w:t>
      </w:r>
      <w:r>
        <w:rPr>
          <w:rFonts w:ascii="Times New Roman" w:eastAsia="Times New Roman" w:hAnsi="Times New Roman" w:cs="Times New Roman"/>
          <w:sz w:val="24"/>
          <w:szCs w:val="24"/>
          <w:lang w:eastAsia="fr-FR"/>
        </w:rPr>
        <w:t xml:space="preserve">1983) introduit une définition fondée sur l’accès universel, en affirmant que tous les individus doivent disposer, à tout moment, d’un accès physique et économique à </w:t>
      </w:r>
      <w:r>
        <w:rPr>
          <w:rFonts w:ascii="Times New Roman" w:eastAsia="Times New Roman" w:hAnsi="Times New Roman" w:cs="Times New Roman"/>
          <w:sz w:val="24"/>
          <w:szCs w:val="24"/>
          <w:lang w:eastAsia="fr-FR"/>
        </w:rPr>
        <w:lastRenderedPageBreak/>
        <w:t xml:space="preserve">une alimentation suffisante et adéquate. Cette approche est renforcée par Reutlinger (1985) et la </w:t>
      </w:r>
      <w:r>
        <w:rPr>
          <w:rFonts w:asciiTheme="majorBidi" w:hAnsiTheme="majorBidi" w:cstheme="majorBidi"/>
          <w:sz w:val="24"/>
          <w:szCs w:val="24"/>
        </w:rPr>
        <w:t>Banque mondiale (World Bank</w:t>
      </w:r>
      <w:r>
        <w:rPr>
          <w:rFonts w:ascii="Times New Roman" w:eastAsia="Times New Roman" w:hAnsi="Times New Roman" w:cs="Times New Roman"/>
          <w:sz w:val="24"/>
          <w:szCs w:val="24"/>
          <w:lang w:eastAsia="fr-FR"/>
        </w:rPr>
        <w:t xml:space="preserve"> 1986), qui insistent sur la nécessité de garantir une alimentation permettant de mener une vie active et saine.</w:t>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Enfin, Maxwell (1987) propose une vision systémique en considérant que la sécurité alimentaire est atteinte lorsque le système alimentaire fonctionne sans risque de pénurie. Cette conception est complétée par le </w:t>
      </w:r>
      <w:r>
        <w:rPr>
          <w:rFonts w:asciiTheme="majorBidi" w:hAnsiTheme="majorBidi" w:cstheme="majorBidi"/>
          <w:sz w:val="24"/>
          <w:szCs w:val="24"/>
        </w:rPr>
        <w:t>programme alimentaire mondial</w:t>
      </w:r>
      <w:r>
        <w:rPr>
          <w:rFonts w:ascii="Times New Roman" w:eastAsia="Times New Roman" w:hAnsi="Times New Roman" w:cs="Times New Roman"/>
          <w:sz w:val="24"/>
          <w:szCs w:val="24"/>
          <w:lang w:eastAsia="fr-FR"/>
        </w:rPr>
        <w:t>(1989), qui adopte une approche normative centrée sur l’accès permanent, tant au niveau national qu’au niveau des ménages, à une alimentation suffisante, nutritive et durable.</w:t>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Ainsi, la sécurité alimentaire apparaît comme un concept multidimensionnel, reposant à la fois sur la disponibilité, l’accès, la stabilité et l’utilisation adéquate des ressources alimentaires.</w:t>
      </w:r>
      <w:r>
        <w:rPr>
          <w:rStyle w:val="Appelnotedebasdep"/>
          <w:rFonts w:ascii="Times New Roman" w:hAnsi="Times New Roman"/>
          <w:sz w:val="24"/>
          <w:szCs w:val="24"/>
          <w:lang w:eastAsia="fr-FR"/>
        </w:rPr>
        <w:footnoteReference w:id="117"/>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Le concept de sécurité alimentaire repose sur quatre dimensions fondamentales, communément appelées « piliers », qui permettent d’en appréhender le caractère multidimensionnel. Selon la Food and Agriculture Organization, ces dimensions sont les suivantes :</w:t>
      </w:r>
      <w:r>
        <w:rPr>
          <w:rStyle w:val="Appelnotedebasdep"/>
          <w:rFonts w:ascii="Times New Roman" w:hAnsi="Times New Roman"/>
          <w:sz w:val="24"/>
          <w:szCs w:val="24"/>
          <w:lang w:eastAsia="fr-FR"/>
        </w:rPr>
        <w:footnoteReference w:id="118"/>
      </w:r>
    </w:p>
    <w:p w:rsidR="00F57DD8" w:rsidRDefault="00F57DD8" w:rsidP="00D078FF">
      <w:pPr>
        <w:numPr>
          <w:ilvl w:val="0"/>
          <w:numId w:val="4"/>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Disponibilité</w:t>
      </w:r>
      <w:r>
        <w:rPr>
          <w:rFonts w:ascii="Times New Roman" w:eastAsia="Times New Roman" w:hAnsi="Times New Roman" w:cs="Times New Roman"/>
          <w:sz w:val="24"/>
          <w:szCs w:val="24"/>
          <w:lang w:eastAsia="fr-FR"/>
        </w:rPr>
        <w:t xml:space="preserve"> : elle renvoie à l’existence en quantité suffisante de denrées alimentaires de qualité appropriée, issues de la production nationale, des importations ou de l’aide alime</w:t>
      </w:r>
      <w:r>
        <w:rPr>
          <w:rFonts w:ascii="Times New Roman" w:eastAsia="Times New Roman" w:hAnsi="Times New Roman" w:cs="Times New Roman"/>
          <w:sz w:val="24"/>
          <w:szCs w:val="24"/>
          <w:lang w:eastAsia="fr-FR"/>
        </w:rPr>
        <w:t>n</w:t>
      </w:r>
      <w:r>
        <w:rPr>
          <w:rFonts w:ascii="Times New Roman" w:eastAsia="Times New Roman" w:hAnsi="Times New Roman" w:cs="Times New Roman"/>
          <w:sz w:val="24"/>
          <w:szCs w:val="24"/>
          <w:lang w:eastAsia="fr-FR"/>
        </w:rPr>
        <w:t>taire. Dans le cas des produits biologiques, cette dimension reste parfois limitée en raison de contraintes de production et de rendements, ce qui influence les stratégies marketing axées sur la valorisation de la rareté et de la qualité.</w:t>
      </w:r>
    </w:p>
    <w:p w:rsidR="00F57DD8" w:rsidRDefault="00F57DD8" w:rsidP="00D078FF">
      <w:pPr>
        <w:numPr>
          <w:ilvl w:val="0"/>
          <w:numId w:val="4"/>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Accès</w:t>
      </w:r>
      <w:r>
        <w:rPr>
          <w:rFonts w:ascii="Times New Roman" w:eastAsia="Times New Roman" w:hAnsi="Times New Roman" w:cs="Times New Roman"/>
          <w:sz w:val="24"/>
          <w:szCs w:val="24"/>
          <w:lang w:eastAsia="fr-FR"/>
        </w:rPr>
        <w:t xml:space="preserve"> : elle suppose que chaque individu dispose des ressources économiques et ph</w:t>
      </w:r>
      <w:r>
        <w:rPr>
          <w:rFonts w:ascii="Times New Roman" w:eastAsia="Times New Roman" w:hAnsi="Times New Roman" w:cs="Times New Roman"/>
          <w:sz w:val="24"/>
          <w:szCs w:val="24"/>
          <w:lang w:eastAsia="fr-FR"/>
        </w:rPr>
        <w:t>y</w:t>
      </w:r>
      <w:r>
        <w:rPr>
          <w:rFonts w:ascii="Times New Roman" w:eastAsia="Times New Roman" w:hAnsi="Times New Roman" w:cs="Times New Roman"/>
          <w:sz w:val="24"/>
          <w:szCs w:val="24"/>
          <w:lang w:eastAsia="fr-FR"/>
        </w:rPr>
        <w:t>siques nécessaires pour se procurer une alimentation adéquate. Les produits biologiques étant souvent plus coûteux, le marketing joue ici un rôle essentiel en justifiant le prix par des arguments liés à la qualité, à la santé et à l’environnement, tout en ciblant des se</w:t>
      </w:r>
      <w:r>
        <w:rPr>
          <w:rFonts w:ascii="Times New Roman" w:eastAsia="Times New Roman" w:hAnsi="Times New Roman" w:cs="Times New Roman"/>
          <w:sz w:val="24"/>
          <w:szCs w:val="24"/>
          <w:lang w:eastAsia="fr-FR"/>
        </w:rPr>
        <w:t>g</w:t>
      </w:r>
      <w:r>
        <w:rPr>
          <w:rFonts w:ascii="Times New Roman" w:eastAsia="Times New Roman" w:hAnsi="Times New Roman" w:cs="Times New Roman"/>
          <w:sz w:val="24"/>
          <w:szCs w:val="24"/>
          <w:lang w:eastAsia="fr-FR"/>
        </w:rPr>
        <w:t>ments spécifiques de consommateurs.</w:t>
      </w:r>
    </w:p>
    <w:p w:rsidR="00F13C9A" w:rsidRPr="007A677E" w:rsidRDefault="00F57DD8" w:rsidP="007A677E">
      <w:pPr>
        <w:numPr>
          <w:ilvl w:val="0"/>
          <w:numId w:val="4"/>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Stabilité</w:t>
      </w:r>
      <w:r>
        <w:rPr>
          <w:rFonts w:ascii="Times New Roman" w:eastAsia="Times New Roman" w:hAnsi="Times New Roman" w:cs="Times New Roman"/>
          <w:sz w:val="24"/>
          <w:szCs w:val="24"/>
          <w:lang w:eastAsia="fr-FR"/>
        </w:rPr>
        <w:t xml:space="preserve"> : elle vise à garantir la continuité de l’accès et de la disponibilité des aliments dans le temps, y compris en situation de crise. Le marketing des produits biologiques peut </w:t>
      </w:r>
    </w:p>
    <w:p w:rsidR="00F57DD8" w:rsidRDefault="00F57DD8" w:rsidP="00D078FF">
      <w:pPr>
        <w:numPr>
          <w:ilvl w:val="0"/>
          <w:numId w:val="4"/>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renforcer cette dimension en mettant en avant des systèmes de production durables et rés</w:t>
      </w:r>
      <w:r>
        <w:rPr>
          <w:rFonts w:ascii="Times New Roman" w:eastAsia="Times New Roman" w:hAnsi="Times New Roman" w:cs="Times New Roman"/>
          <w:sz w:val="24"/>
          <w:szCs w:val="24"/>
          <w:lang w:eastAsia="fr-FR"/>
        </w:rPr>
        <w:t>i</w:t>
      </w:r>
      <w:r>
        <w:rPr>
          <w:rFonts w:ascii="Times New Roman" w:eastAsia="Times New Roman" w:hAnsi="Times New Roman" w:cs="Times New Roman"/>
          <w:sz w:val="24"/>
          <w:szCs w:val="24"/>
          <w:lang w:eastAsia="fr-FR"/>
        </w:rPr>
        <w:t>lients, capables de répondre aux préoccupations croissantes liées à la sécurité alimentaire à long terme.</w:t>
      </w:r>
    </w:p>
    <w:p w:rsidR="00F57DD8" w:rsidRDefault="00F57DD8" w:rsidP="00D078FF">
      <w:pPr>
        <w:pStyle w:val="Paragraphedeliste"/>
        <w:numPr>
          <w:ilvl w:val="0"/>
          <w:numId w:val="4"/>
        </w:numPr>
        <w:suppressAutoHyphens w:val="0"/>
        <w:autoSpaceDN/>
        <w:spacing w:before="100" w:beforeAutospacing="1" w:after="100" w:afterAutospacing="1" w:line="360" w:lineRule="auto"/>
        <w:contextualSpacing/>
        <w:jc w:val="both"/>
        <w:textAlignment w:val="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Utilisation</w:t>
      </w:r>
      <w:r>
        <w:rPr>
          <w:rFonts w:ascii="Times New Roman" w:eastAsia="Times New Roman" w:hAnsi="Times New Roman" w:cs="Times New Roman"/>
          <w:sz w:val="24"/>
          <w:szCs w:val="24"/>
          <w:lang w:eastAsia="fr-FR"/>
        </w:rPr>
        <w:t xml:space="preserve"> : elle concerne les conditions d’hygiène, de santé et de nutrition permettant une assimilation adéquate des aliments. Dans ce cadre, le marketing bio insiste sur l’innocuité, la qualité nutritionnelle et l’absence de substances chimiques, contribuant ai</w:t>
      </w:r>
      <w:r>
        <w:rPr>
          <w:rFonts w:ascii="Times New Roman" w:eastAsia="Times New Roman" w:hAnsi="Times New Roman" w:cs="Times New Roman"/>
          <w:sz w:val="24"/>
          <w:szCs w:val="24"/>
          <w:lang w:eastAsia="fr-FR"/>
        </w:rPr>
        <w:t>n</w:t>
      </w:r>
      <w:r>
        <w:rPr>
          <w:rFonts w:ascii="Times New Roman" w:eastAsia="Times New Roman" w:hAnsi="Times New Roman" w:cs="Times New Roman"/>
          <w:sz w:val="24"/>
          <w:szCs w:val="24"/>
          <w:lang w:eastAsia="fr-FR"/>
        </w:rPr>
        <w:t>si à influencer positivement les perceptions des consommateurs.</w:t>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Sous cet angle analytique, l’intégration du marketing des produits biologiques à ces quatre dimensions illustre bien son rôle dans la construction de la valeur perçue et de la confiance . On peut perdre cependant tout ou partie de ces liens dans certaines situations où sont promus abusivement les bénéfices sanitaires tels que les politiques marketing ne font plus de distinction claire entre le bio et le conventionnel, influençant de biais la décision d’achat des consommateurs.</w:t>
      </w:r>
    </w:p>
    <w:p w:rsidR="00F57DD8" w:rsidRPr="006231FA" w:rsidRDefault="00851107" w:rsidP="00D078FF">
      <w:pPr>
        <w:pStyle w:val="Titre4"/>
        <w:jc w:val="both"/>
        <w:rPr>
          <w:rFonts w:ascii="Times New Roman" w:hAnsi="Times New Roman"/>
          <w:b/>
          <w:bCs/>
          <w:i w:val="0"/>
          <w:iCs w:val="0"/>
          <w:color w:val="auto"/>
          <w:sz w:val="24"/>
          <w:szCs w:val="24"/>
        </w:rPr>
      </w:pPr>
      <w:bookmarkStart w:id="147" w:name="_Toc230558663"/>
      <w:bookmarkStart w:id="148" w:name="_Toc230900297"/>
      <w:r w:rsidRPr="006231FA">
        <w:rPr>
          <w:rFonts w:ascii="Times New Roman" w:hAnsi="Times New Roman"/>
          <w:b/>
          <w:bCs/>
          <w:i w:val="0"/>
          <w:iCs w:val="0"/>
          <w:color w:val="auto"/>
          <w:sz w:val="24"/>
          <w:szCs w:val="24"/>
        </w:rPr>
        <w:t>1.2. </w:t>
      </w:r>
      <w:r w:rsidR="00F57DD8" w:rsidRPr="006231FA">
        <w:rPr>
          <w:rFonts w:ascii="Times New Roman" w:hAnsi="Times New Roman"/>
          <w:b/>
          <w:bCs/>
          <w:i w:val="0"/>
          <w:iCs w:val="0"/>
          <w:color w:val="auto"/>
          <w:sz w:val="24"/>
          <w:szCs w:val="24"/>
        </w:rPr>
        <w:t>Définition de la sécurité sanitaire des aliments</w:t>
      </w:r>
      <w:bookmarkEnd w:id="147"/>
      <w:bookmarkEnd w:id="148"/>
    </w:p>
    <w:p w:rsidR="00F57DD8" w:rsidRDefault="00F57DD8" w:rsidP="00D078FF">
      <w:pPr>
        <w:pStyle w:val="NormalWeb"/>
        <w:spacing w:line="360" w:lineRule="auto"/>
        <w:jc w:val="both"/>
        <w:rPr>
          <w:rFonts w:asciiTheme="majorBidi" w:hAnsiTheme="majorBidi" w:cstheme="majorBidi"/>
        </w:rPr>
      </w:pPr>
      <w:r>
        <w:rPr>
          <w:rFonts w:asciiTheme="majorBidi" w:hAnsiTheme="majorBidi" w:cstheme="majorBidi"/>
        </w:rPr>
        <w:t xml:space="preserve">    Ce qui fait partie du concept de sécurité sanitaire des aliments, d’une part, inclut la sécurité alimentaire, c’est-à-dire que tout le monde, de tout temps – tout le monde à même les moyens matériels, économiques, sociaux ou physiques d’accéder à une alimentation suffisante, saine et nutritive, conforme aux besoins nutritionnels et aux préférences alimentaires des personnes pour conduire une vie active et saine </w:t>
      </w:r>
      <w:r>
        <w:rPr>
          <w:rStyle w:val="Appelnotedebasdep"/>
          <w:rFonts w:asciiTheme="majorBidi" w:hAnsiTheme="majorBidi" w:cstheme="majorBidi"/>
        </w:rPr>
        <w:footnoteReference w:id="119"/>
      </w:r>
      <w:r>
        <w:rPr>
          <w:rFonts w:asciiTheme="majorBidi" w:hAnsiTheme="majorBidi" w:cstheme="majorBidi"/>
        </w:rPr>
        <w:t>selon la définition promue par le Comité de la sécurité alimentaire mondiale au cours de la session de 1996. En revanche, ses composantes comme l’hygiène et l’innocuité des diverses productions alimentaires qui sont celles de la sécurité sanitaire s’articulent autour des règles, et de bonnes pratiques en matière de manipulation des produits au cours de la chaîne alimentaire.</w:t>
      </w:r>
      <w:r>
        <w:rPr>
          <w:rStyle w:val="Appelnotedebasdep"/>
          <w:rFonts w:asciiTheme="majorBidi" w:hAnsiTheme="majorBidi" w:cstheme="majorBidi"/>
        </w:rPr>
        <w:footnoteReference w:id="120"/>
      </w:r>
    </w:p>
    <w:p w:rsidR="00F13C9A" w:rsidRDefault="00F57DD8" w:rsidP="007A677E">
      <w:pPr>
        <w:pStyle w:val="NormalWeb"/>
        <w:spacing w:line="360" w:lineRule="auto"/>
        <w:jc w:val="both"/>
        <w:rPr>
          <w:rtl/>
          <w:lang w:bidi="ar-DZ"/>
        </w:rPr>
      </w:pPr>
      <w:r>
        <w:t xml:space="preserve">     La sécurité sanitaire des aliments est le résultat d’une maîtrise des dangers d’origine al</w:t>
      </w:r>
      <w:r>
        <w:t>i</w:t>
      </w:r>
      <w:r>
        <w:t xml:space="preserve">mentaire, envisagés au moment même de la consommation. Ces dangers peuvent intervenir à </w:t>
      </w:r>
    </w:p>
    <w:p w:rsidR="00F13C9A" w:rsidRDefault="00F57DD8" w:rsidP="00D078FF">
      <w:pPr>
        <w:pStyle w:val="NormalWeb"/>
        <w:spacing w:line="360" w:lineRule="auto"/>
        <w:jc w:val="both"/>
      </w:pPr>
      <w:r>
        <w:t xml:space="preserve">différents stades de la chaîne alimentaire justifiant ainsi de procéder à un contrôle à chaque étape de la production et de la distribution. De ce fait, la sécurité des aliments repose sur une </w:t>
      </w:r>
    </w:p>
    <w:p w:rsidR="00F57DD8" w:rsidRDefault="00F57DD8" w:rsidP="00D078FF">
      <w:pPr>
        <w:pStyle w:val="NormalWeb"/>
        <w:spacing w:line="360" w:lineRule="auto"/>
        <w:jc w:val="both"/>
      </w:pPr>
      <w:r>
        <w:lastRenderedPageBreak/>
        <w:t>approche intégrée et collective de tous les acteurs de la chaîne alimentaire, à savoir tous les producteurs primaires, les industries agroalimentaires, les opérateurs de transport et de sto</w:t>
      </w:r>
      <w:r>
        <w:t>c</w:t>
      </w:r>
      <w:r>
        <w:t>kage, les distributeurs et établissements de restauration. Tous les acteurs concernés avec les services et organisations qui les accompagnent, portent une responsabilité collective pour g</w:t>
      </w:r>
      <w:r>
        <w:t>a</w:t>
      </w:r>
      <w:r>
        <w:t>rantir la sécurité et la sûreté des denrées alimentaires.</w:t>
      </w:r>
      <w:r>
        <w:rPr>
          <w:rStyle w:val="Appelnotedebasdep"/>
        </w:rPr>
        <w:footnoteReference w:id="121"/>
      </w:r>
    </w:p>
    <w:p w:rsidR="00F57DD8" w:rsidRDefault="00F57DD8" w:rsidP="00D078FF">
      <w:pPr>
        <w:pStyle w:val="NormalWeb"/>
        <w:spacing w:line="360" w:lineRule="auto"/>
        <w:jc w:val="both"/>
      </w:pPr>
      <w:r>
        <w:t xml:space="preserve">     La sécurité sanitaire des aliments a pour objectif essentiel de répondre à l’un des enjeux majeurs de santé publique, celui de garantir l’accès des populations à une alimentation sans risques. Elle constitue également un axe majeur de la protection de la santé tout en ayant d</w:t>
      </w:r>
      <w:r>
        <w:t>i</w:t>
      </w:r>
      <w:r>
        <w:t>rectement ou indirectement des impacts sur plusieurs dimensions du développement socio</w:t>
      </w:r>
      <w:r>
        <w:t>é</w:t>
      </w:r>
      <w:r>
        <w:t>conomique à savoir les conditions de vie, les pratiques professionnelles, les échanges co</w:t>
      </w:r>
      <w:r>
        <w:t>m</w:t>
      </w:r>
      <w:r>
        <w:t>merciaux et la performance des territoires sur le plan économique.</w:t>
      </w:r>
      <w:r>
        <w:rPr>
          <w:rStyle w:val="Appelnotedebasdep"/>
        </w:rPr>
        <w:footnoteReference w:id="122"/>
      </w:r>
    </w:p>
    <w:p w:rsidR="00F57DD8" w:rsidRDefault="00F57DD8" w:rsidP="00D078FF">
      <w:pPr>
        <w:pStyle w:val="NormalWeb"/>
        <w:spacing w:line="360" w:lineRule="auto"/>
        <w:jc w:val="both"/>
      </w:pPr>
      <w:r>
        <w:t xml:space="preserve">       Cela dit, cette finalité ne saurait être ramenée à une simple logique de protection sanitaire de l’alimentation, mais doit s’entendre dans le cadre d’une approche plus large de gouve</w:t>
      </w:r>
      <w:r>
        <w:t>r</w:t>
      </w:r>
      <w:r>
        <w:t>nance des systèmes alimentaires, où la sécurité des aliments est un paramètre de développ</w:t>
      </w:r>
      <w:r>
        <w:t>e</w:t>
      </w:r>
      <w:r>
        <w:t>ment et de justice sociale, qui renforce en ce sens le droit fondamental des individus à une alimentation sûre, tout en dénonçant les inégalités d’accès à ce droit, liées à des situations économiques et institutionnelles.</w:t>
      </w:r>
    </w:p>
    <w:p w:rsidR="00F57DD8" w:rsidRPr="006231FA" w:rsidRDefault="00851107" w:rsidP="00D078FF">
      <w:pPr>
        <w:pStyle w:val="Titre4"/>
        <w:jc w:val="both"/>
        <w:rPr>
          <w:rFonts w:ascii="Times New Roman" w:hAnsi="Times New Roman"/>
          <w:b/>
          <w:bCs/>
          <w:i w:val="0"/>
          <w:iCs w:val="0"/>
          <w:color w:val="auto"/>
          <w:sz w:val="24"/>
          <w:szCs w:val="24"/>
        </w:rPr>
      </w:pPr>
      <w:bookmarkStart w:id="149" w:name="_Toc230558664"/>
      <w:bookmarkStart w:id="150" w:name="_Toc230900298"/>
      <w:r w:rsidRPr="006231FA">
        <w:rPr>
          <w:rFonts w:ascii="Times New Roman" w:hAnsi="Times New Roman"/>
          <w:b/>
          <w:bCs/>
          <w:i w:val="0"/>
          <w:iCs w:val="0"/>
          <w:color w:val="auto"/>
          <w:sz w:val="24"/>
          <w:szCs w:val="24"/>
        </w:rPr>
        <w:t>1.3. </w:t>
      </w:r>
      <w:r w:rsidR="00F57DD8" w:rsidRPr="006231FA">
        <w:rPr>
          <w:rFonts w:ascii="Times New Roman" w:hAnsi="Times New Roman"/>
          <w:b/>
          <w:bCs/>
          <w:i w:val="0"/>
          <w:iCs w:val="0"/>
          <w:color w:val="auto"/>
          <w:sz w:val="24"/>
          <w:szCs w:val="24"/>
        </w:rPr>
        <w:t>La différence entre la sécurité sanitaire des aliments et la sécurité alimentaire</w:t>
      </w:r>
      <w:bookmarkEnd w:id="149"/>
      <w:bookmarkEnd w:id="150"/>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sécurité alimentaire et la sécurité sanitaire des aliments sont deux notions à la fois très proches et très différentes. La sécurité alimentaire est caractérisée par l’aptitude des populations à disposer en tout temps et à tout endroit d’un accès physique, social et économique à une alimentation, qui doit être suffisante, sûre et nutritive, permettant de mener une vie active et saine. Elle est extrêmement dépendante des politiques publiques mises en œuvre par l’État en matière de disponibilité, de stabilité, d’accessibilité et d’adéquation d’utilisation des ressources alimentaires, qui devront découler d’une stratégie de développement agricole et économique adéquate .</w:t>
      </w:r>
      <w:r>
        <w:rPr>
          <w:rStyle w:val="Appelnotedebasdep"/>
          <w:rFonts w:ascii="Times New Roman" w:hAnsi="Times New Roman"/>
          <w:sz w:val="24"/>
          <w:szCs w:val="24"/>
          <w:lang w:eastAsia="fr-FR"/>
        </w:rPr>
        <w:footnoteReference w:id="123"/>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       En revanche, </w:t>
      </w:r>
      <w:r>
        <w:rPr>
          <w:rFonts w:asciiTheme="majorBidi" w:hAnsiTheme="majorBidi" w:cstheme="majorBidi"/>
          <w:color w:val="000000" w:themeColor="text1"/>
          <w:sz w:val="24"/>
          <w:szCs w:val="24"/>
          <w:shd w:val="clear" w:color="auto" w:fill="FFFFFF"/>
        </w:rPr>
        <w:t xml:space="preserve">ce n’est pas la sécurité des aliments qui </w:t>
      </w:r>
      <w:r>
        <w:rPr>
          <w:rStyle w:val="diff-highlight"/>
          <w:rFonts w:asciiTheme="majorBidi" w:hAnsiTheme="majorBidi" w:cstheme="majorBidi"/>
          <w:color w:val="000000" w:themeColor="text1"/>
          <w:sz w:val="24"/>
          <w:szCs w:val="24"/>
          <w:shd w:val="clear" w:color="auto" w:fill="FFFFFF"/>
        </w:rPr>
        <w:t>atrait</w:t>
      </w:r>
      <w:r>
        <w:rPr>
          <w:rFonts w:asciiTheme="majorBidi" w:hAnsiTheme="majorBidi" w:cstheme="majorBidi"/>
          <w:color w:val="000000" w:themeColor="text1"/>
          <w:sz w:val="24"/>
          <w:szCs w:val="24"/>
          <w:shd w:val="clear" w:color="auto" w:fill="FFFFFF"/>
        </w:rPr>
        <w:t xml:space="preserve"> à la qualité et à </w:t>
      </w:r>
      <w:r>
        <w:rPr>
          <w:rStyle w:val="diff-highlight"/>
          <w:rFonts w:asciiTheme="majorBidi" w:hAnsiTheme="majorBidi" w:cstheme="majorBidi"/>
          <w:color w:val="000000" w:themeColor="text1"/>
          <w:sz w:val="24"/>
          <w:szCs w:val="24"/>
          <w:shd w:val="clear" w:color="auto" w:fill="FFFFFF"/>
        </w:rPr>
        <w:t>la sécurit</w:t>
      </w:r>
      <w:r>
        <w:rPr>
          <w:rFonts w:asciiTheme="majorBidi" w:hAnsiTheme="majorBidi" w:cstheme="majorBidi"/>
          <w:color w:val="000000" w:themeColor="text1"/>
          <w:sz w:val="24"/>
          <w:szCs w:val="24"/>
          <w:shd w:val="clear" w:color="auto" w:fill="FFFFFF"/>
        </w:rPr>
        <w:t xml:space="preserve">é alimentaire. Cela </w:t>
      </w:r>
      <w:r>
        <w:rPr>
          <w:rStyle w:val="diff-highlight"/>
          <w:rFonts w:asciiTheme="majorBidi" w:hAnsiTheme="majorBidi" w:cstheme="majorBidi"/>
          <w:color w:val="000000" w:themeColor="text1"/>
          <w:sz w:val="24"/>
          <w:szCs w:val="24"/>
          <w:shd w:val="clear" w:color="auto" w:fill="FFFFFF"/>
        </w:rPr>
        <w:t>signifie,enparticulier,toutes les</w:t>
      </w:r>
      <w:r>
        <w:rPr>
          <w:rFonts w:asciiTheme="majorBidi" w:hAnsiTheme="majorBidi" w:cstheme="majorBidi"/>
          <w:color w:val="000000" w:themeColor="text1"/>
          <w:sz w:val="24"/>
          <w:szCs w:val="24"/>
          <w:shd w:val="clear" w:color="auto" w:fill="FFFFFF"/>
        </w:rPr>
        <w:t xml:space="preserve"> mesures d’hygiène, de réglementation et de bonnes pratiques </w:t>
      </w:r>
      <w:r>
        <w:rPr>
          <w:rStyle w:val="diff-highlight"/>
          <w:rFonts w:asciiTheme="majorBidi" w:hAnsiTheme="majorBidi" w:cstheme="majorBidi"/>
          <w:color w:val="000000" w:themeColor="text1"/>
          <w:sz w:val="24"/>
          <w:szCs w:val="24"/>
          <w:shd w:val="clear" w:color="auto" w:fill="FFFFFF"/>
        </w:rPr>
        <w:t>àpartirdela production au consommateur à l’échelle de</w:t>
      </w:r>
      <w:r>
        <w:rPr>
          <w:rFonts w:asciiTheme="majorBidi" w:hAnsiTheme="majorBidi" w:cstheme="majorBidi"/>
          <w:color w:val="000000" w:themeColor="text1"/>
          <w:sz w:val="24"/>
          <w:szCs w:val="24"/>
          <w:shd w:val="clear" w:color="auto" w:fill="FFFFFF"/>
        </w:rPr>
        <w:t xml:space="preserve"> l’ensemble de la chaîne alimentaire, pour prévenir les dangers </w:t>
      </w:r>
      <w:r>
        <w:rPr>
          <w:rStyle w:val="diff-highlight"/>
          <w:rFonts w:asciiTheme="majorBidi" w:hAnsiTheme="majorBidi" w:cstheme="majorBidi"/>
          <w:color w:val="000000" w:themeColor="text1"/>
          <w:sz w:val="24"/>
          <w:szCs w:val="24"/>
          <w:shd w:val="clear" w:color="auto" w:fill="FFFFFF"/>
        </w:rPr>
        <w:t>pour</w:t>
      </w:r>
      <w:r>
        <w:rPr>
          <w:rFonts w:asciiTheme="majorBidi" w:hAnsiTheme="majorBidi" w:cstheme="majorBidi"/>
          <w:color w:val="000000" w:themeColor="text1"/>
          <w:sz w:val="24"/>
          <w:szCs w:val="24"/>
          <w:shd w:val="clear" w:color="auto" w:fill="FFFFFF"/>
        </w:rPr>
        <w:t xml:space="preserve"> la santé du consommateur.</w:t>
      </w:r>
      <w:r>
        <w:rPr>
          <w:rStyle w:val="Appelnotedebasdep"/>
          <w:rFonts w:ascii="Times New Roman" w:hAnsi="Times New Roman"/>
          <w:sz w:val="24"/>
          <w:szCs w:val="24"/>
          <w:lang w:eastAsia="fr-FR"/>
        </w:rPr>
        <w:footnoteReference w:id="124"/>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heme="majorBidi" w:hAnsiTheme="majorBidi" w:cstheme="majorBidi"/>
          <w:color w:val="000000" w:themeColor="text1"/>
          <w:sz w:val="24"/>
          <w:szCs w:val="24"/>
          <w:shd w:val="clear" w:color="auto" w:fill="FFFFFF"/>
        </w:rPr>
        <w:t xml:space="preserve">    Ainsi, la sécurité alimentaire </w:t>
      </w:r>
      <w:r>
        <w:rPr>
          <w:rStyle w:val="diff-highlight"/>
          <w:rFonts w:asciiTheme="majorBidi" w:hAnsiTheme="majorBidi" w:cstheme="majorBidi"/>
          <w:color w:val="000000" w:themeColor="text1"/>
          <w:sz w:val="24"/>
          <w:szCs w:val="24"/>
          <w:shd w:val="clear" w:color="auto" w:fill="FFFFFF"/>
        </w:rPr>
        <w:t>bien que distincte, se conjugue avec</w:t>
      </w:r>
      <w:r>
        <w:rPr>
          <w:rFonts w:asciiTheme="majorBidi" w:hAnsiTheme="majorBidi" w:cstheme="majorBidi"/>
          <w:color w:val="000000" w:themeColor="text1"/>
          <w:sz w:val="24"/>
          <w:szCs w:val="24"/>
          <w:shd w:val="clear" w:color="auto" w:fill="FFFFFF"/>
        </w:rPr>
        <w:t xml:space="preserve"> la sécurité sanitaire des aliments</w:t>
      </w:r>
      <w:r>
        <w:rPr>
          <w:rStyle w:val="diff-highlight"/>
          <w:rFonts w:asciiTheme="majorBidi" w:hAnsiTheme="majorBidi" w:cstheme="majorBidi"/>
          <w:color w:val="000000" w:themeColor="text1"/>
          <w:sz w:val="24"/>
          <w:szCs w:val="24"/>
          <w:shd w:val="clear" w:color="auto" w:fill="FFFFFF"/>
        </w:rPr>
        <w:t>.La</w:t>
      </w:r>
      <w:r>
        <w:rPr>
          <w:rFonts w:asciiTheme="majorBidi" w:hAnsiTheme="majorBidi" w:cstheme="majorBidi"/>
          <w:color w:val="000000" w:themeColor="text1"/>
          <w:sz w:val="24"/>
          <w:szCs w:val="24"/>
          <w:shd w:val="clear" w:color="auto" w:fill="FFFFFF"/>
        </w:rPr>
        <w:t xml:space="preserve"> complé</w:t>
      </w:r>
      <w:r>
        <w:rPr>
          <w:rStyle w:val="diff-highlight"/>
          <w:rFonts w:asciiTheme="majorBidi" w:hAnsiTheme="majorBidi" w:cstheme="majorBidi"/>
          <w:color w:val="000000" w:themeColor="text1"/>
          <w:sz w:val="24"/>
          <w:szCs w:val="24"/>
          <w:shd w:val="clear" w:color="auto" w:fill="FFFFFF"/>
        </w:rPr>
        <w:t>mentaritéde leur</w:t>
      </w:r>
      <w:r>
        <w:rPr>
          <w:rFonts w:asciiTheme="majorBidi" w:hAnsiTheme="majorBidi" w:cstheme="majorBidi"/>
          <w:color w:val="000000" w:themeColor="text1"/>
          <w:sz w:val="24"/>
          <w:szCs w:val="24"/>
          <w:shd w:val="clear" w:color="auto" w:fill="FFFFFF"/>
        </w:rPr>
        <w:t xml:space="preserve"> articulation est </w:t>
      </w:r>
      <w:r>
        <w:rPr>
          <w:rStyle w:val="diff-highlight"/>
          <w:rFonts w:asciiTheme="majorBidi" w:hAnsiTheme="majorBidi" w:cstheme="majorBidi"/>
          <w:color w:val="000000" w:themeColor="text1"/>
          <w:sz w:val="24"/>
          <w:szCs w:val="24"/>
          <w:shd w:val="clear" w:color="auto" w:fill="FFFFFF"/>
        </w:rPr>
        <w:t>aucœurd’</w:t>
      </w:r>
      <w:r>
        <w:rPr>
          <w:rFonts w:asciiTheme="majorBidi" w:hAnsiTheme="majorBidi" w:cstheme="majorBidi"/>
          <w:color w:val="000000" w:themeColor="text1"/>
          <w:sz w:val="24"/>
          <w:szCs w:val="24"/>
          <w:shd w:val="clear" w:color="auto" w:fill="FFFFFF"/>
        </w:rPr>
        <w:t xml:space="preserve">un système alimentaire </w:t>
      </w:r>
      <w:r>
        <w:rPr>
          <w:rStyle w:val="diff-highlight"/>
          <w:rFonts w:asciiTheme="majorBidi" w:hAnsiTheme="majorBidi" w:cstheme="majorBidi"/>
          <w:color w:val="000000" w:themeColor="text1"/>
          <w:sz w:val="24"/>
          <w:szCs w:val="24"/>
          <w:shd w:val="clear" w:color="auto" w:fill="FFFFFF"/>
        </w:rPr>
        <w:t>pertinent</w:t>
      </w:r>
      <w:r>
        <w:rPr>
          <w:rFonts w:asciiTheme="majorBidi" w:hAnsiTheme="majorBidi" w:cstheme="majorBidi"/>
          <w:color w:val="000000" w:themeColor="text1"/>
          <w:sz w:val="24"/>
          <w:szCs w:val="24"/>
          <w:shd w:val="clear" w:color="auto" w:fill="FFFFFF"/>
        </w:rPr>
        <w:t xml:space="preserve">. </w:t>
      </w:r>
      <w:r>
        <w:rPr>
          <w:rStyle w:val="diff-highlight"/>
          <w:rFonts w:asciiTheme="majorBidi" w:hAnsiTheme="majorBidi" w:cstheme="majorBidi"/>
          <w:color w:val="000000" w:themeColor="text1"/>
          <w:sz w:val="24"/>
          <w:szCs w:val="24"/>
          <w:shd w:val="clear" w:color="auto" w:fill="FFFFFF"/>
        </w:rPr>
        <w:t>Celadoitfaire de</w:t>
      </w:r>
      <w:r>
        <w:rPr>
          <w:rFonts w:asciiTheme="majorBidi" w:hAnsiTheme="majorBidi" w:cstheme="majorBidi"/>
          <w:color w:val="000000" w:themeColor="text1"/>
          <w:sz w:val="24"/>
          <w:szCs w:val="24"/>
          <w:shd w:val="clear" w:color="auto" w:fill="FFFFFF"/>
        </w:rPr>
        <w:t xml:space="preserve"> la sécurité alimentaire une préoccupation multisectorielle </w:t>
      </w:r>
      <w:r>
        <w:rPr>
          <w:rStyle w:val="diff-highlight"/>
          <w:rFonts w:asciiTheme="majorBidi" w:hAnsiTheme="majorBidi" w:cstheme="majorBidi"/>
          <w:color w:val="000000" w:themeColor="text1"/>
          <w:sz w:val="24"/>
          <w:szCs w:val="24"/>
          <w:shd w:val="clear" w:color="auto" w:fill="FFFFFF"/>
        </w:rPr>
        <w:t>mobilisant,notamment,</w:t>
      </w:r>
      <w:r>
        <w:rPr>
          <w:rFonts w:asciiTheme="majorBidi" w:hAnsiTheme="majorBidi" w:cstheme="majorBidi"/>
          <w:color w:val="000000" w:themeColor="text1"/>
          <w:sz w:val="24"/>
          <w:szCs w:val="24"/>
          <w:shd w:val="clear" w:color="auto" w:fill="FFFFFF"/>
        </w:rPr>
        <w:t xml:space="preserve"> autorités publiques, producteurs et consommateurs dans le cadre de l’approche « One Health », visant </w:t>
      </w:r>
      <w:r>
        <w:rPr>
          <w:rStyle w:val="diff-highlight"/>
          <w:rFonts w:asciiTheme="majorBidi" w:hAnsiTheme="majorBidi" w:cstheme="majorBidi"/>
          <w:color w:val="000000" w:themeColor="text1"/>
          <w:sz w:val="24"/>
          <w:szCs w:val="24"/>
          <w:shd w:val="clear" w:color="auto" w:fill="FFFFFF"/>
        </w:rPr>
        <w:t>lafourniturepérenned’aliments</w:t>
      </w:r>
      <w:r>
        <w:rPr>
          <w:rFonts w:asciiTheme="majorBidi" w:hAnsiTheme="majorBidi" w:cstheme="majorBidi"/>
          <w:color w:val="000000" w:themeColor="text1"/>
          <w:sz w:val="24"/>
          <w:szCs w:val="24"/>
          <w:shd w:val="clear" w:color="auto" w:fill="FFFFFF"/>
        </w:rPr>
        <w:t xml:space="preserve"> à </w:t>
      </w:r>
      <w:r>
        <w:rPr>
          <w:rStyle w:val="diff-highlight"/>
          <w:rFonts w:asciiTheme="majorBidi" w:hAnsiTheme="majorBidi" w:cstheme="majorBidi"/>
          <w:color w:val="000000" w:themeColor="text1"/>
          <w:sz w:val="24"/>
          <w:szCs w:val="24"/>
          <w:shd w:val="clear" w:color="auto" w:fill="FFFFFF"/>
        </w:rPr>
        <w:t>lafois</w:t>
      </w:r>
      <w:r>
        <w:rPr>
          <w:rFonts w:asciiTheme="majorBidi" w:hAnsiTheme="majorBidi" w:cstheme="majorBidi"/>
          <w:color w:val="000000" w:themeColor="text1"/>
          <w:sz w:val="24"/>
          <w:szCs w:val="24"/>
          <w:shd w:val="clear" w:color="auto" w:fill="FFFFFF"/>
        </w:rPr>
        <w:t xml:space="preserve"> suffisants, sains et sûrs</w:t>
      </w:r>
      <w:r>
        <w:rPr>
          <w:rStyle w:val="diff-highlight"/>
          <w:rFonts w:asciiTheme="majorBidi" w:hAnsiTheme="majorBidi" w:cstheme="majorBidi"/>
          <w:color w:val="000000" w:themeColor="text1"/>
          <w:sz w:val="24"/>
          <w:szCs w:val="24"/>
          <w:shd w:val="clear" w:color="auto" w:fill="FFFFFF"/>
        </w:rPr>
        <w:t>,enfaveur de</w:t>
      </w:r>
      <w:r>
        <w:rPr>
          <w:rFonts w:asciiTheme="majorBidi" w:hAnsiTheme="majorBidi" w:cstheme="majorBidi"/>
          <w:color w:val="000000" w:themeColor="text1"/>
          <w:sz w:val="24"/>
          <w:szCs w:val="24"/>
          <w:shd w:val="clear" w:color="auto" w:fill="FFFFFF"/>
        </w:rPr>
        <w:t xml:space="preserve"> la santé publique</w:t>
      </w:r>
      <w:r>
        <w:rPr>
          <w:rStyle w:val="diff-highlight"/>
          <w:rFonts w:asciiTheme="majorBidi" w:hAnsiTheme="majorBidi" w:cstheme="majorBidi"/>
          <w:color w:val="000000" w:themeColor="text1"/>
          <w:sz w:val="24"/>
          <w:szCs w:val="24"/>
          <w:shd w:val="clear" w:color="auto" w:fill="FFFFFF"/>
        </w:rPr>
        <w:t>.</w:t>
      </w:r>
      <w:r>
        <w:rPr>
          <w:rStyle w:val="Appelnotedebasdep"/>
          <w:rFonts w:ascii="Times New Roman" w:hAnsi="Times New Roman"/>
          <w:sz w:val="24"/>
          <w:szCs w:val="24"/>
          <w:lang w:eastAsia="fr-FR"/>
        </w:rPr>
        <w:footnoteReference w:id="125"/>
      </w:r>
    </w:p>
    <w:p w:rsidR="000C117E" w:rsidRPr="007A677E" w:rsidRDefault="00F57DD8" w:rsidP="007A677E">
      <w:pPr>
        <w:pStyle w:val="NormalWeb"/>
        <w:spacing w:line="360" w:lineRule="auto"/>
        <w:jc w:val="both"/>
        <w:rPr>
          <w:rFonts w:asciiTheme="majorBidi" w:hAnsiTheme="majorBidi" w:cstheme="majorBidi"/>
          <w:color w:val="000000" w:themeColor="text1"/>
          <w:sz w:val="28"/>
          <w:szCs w:val="28"/>
          <w:rtl/>
          <w:lang w:bidi="ar-DZ"/>
        </w:rPr>
      </w:pPr>
      <w:r>
        <w:rPr>
          <w:rFonts w:asciiTheme="majorBidi" w:hAnsiTheme="majorBidi" w:cstheme="majorBidi"/>
          <w:color w:val="000000" w:themeColor="text1"/>
          <w:shd w:val="clear" w:color="auto" w:fill="FFFFFF"/>
        </w:rPr>
        <w:t xml:space="preserve">     Il leur suffit</w:t>
      </w:r>
      <w:r>
        <w:rPr>
          <w:rStyle w:val="diff-highlight"/>
          <w:rFonts w:asciiTheme="majorBidi" w:hAnsiTheme="majorBidi" w:cstheme="majorBidi"/>
          <w:color w:val="000000" w:themeColor="text1"/>
          <w:shd w:val="clear" w:color="auto" w:fill="FFFFFF"/>
        </w:rPr>
        <w:t xml:space="preserve"> donc</w:t>
      </w:r>
      <w:r>
        <w:rPr>
          <w:rFonts w:asciiTheme="majorBidi" w:hAnsiTheme="majorBidi" w:cstheme="majorBidi"/>
          <w:color w:val="000000" w:themeColor="text1"/>
          <w:shd w:val="clear" w:color="auto" w:fill="FFFFFF"/>
        </w:rPr>
        <w:t xml:space="preserve"> de rappeler que garantir la sécurité alimentaire par la seule disponibilité quantitative des produits ne </w:t>
      </w:r>
      <w:r>
        <w:rPr>
          <w:rStyle w:val="diff-highlight"/>
          <w:rFonts w:asciiTheme="majorBidi" w:hAnsiTheme="majorBidi" w:cstheme="majorBidi"/>
          <w:color w:val="000000" w:themeColor="text1"/>
          <w:shd w:val="clear" w:color="auto" w:fill="FFFFFF"/>
        </w:rPr>
        <w:t>suffit</w:t>
      </w:r>
      <w:r>
        <w:rPr>
          <w:rFonts w:asciiTheme="majorBidi" w:hAnsiTheme="majorBidi" w:cstheme="majorBidi"/>
          <w:color w:val="000000" w:themeColor="text1"/>
          <w:shd w:val="clear" w:color="auto" w:fill="FFFFFF"/>
        </w:rPr>
        <w:t xml:space="preserve"> pas </w:t>
      </w:r>
      <w:r>
        <w:rPr>
          <w:rStyle w:val="diff-highlight"/>
          <w:rFonts w:asciiTheme="majorBidi" w:hAnsiTheme="majorBidi" w:cstheme="majorBidi"/>
          <w:color w:val="000000" w:themeColor="text1"/>
          <w:shd w:val="clear" w:color="auto" w:fill="FFFFFF"/>
        </w:rPr>
        <w:t xml:space="preserve">à </w:t>
      </w:r>
      <w:r>
        <w:rPr>
          <w:rFonts w:asciiTheme="majorBidi" w:hAnsiTheme="majorBidi" w:cstheme="majorBidi"/>
          <w:color w:val="000000" w:themeColor="text1"/>
          <w:shd w:val="clear" w:color="auto" w:fill="FFFFFF"/>
        </w:rPr>
        <w:t>assurer la protection de la santé des populations.</w:t>
      </w:r>
      <w:r>
        <w:rPr>
          <w:rStyle w:val="Appelnotedebasdep"/>
          <w:rFonts w:asciiTheme="majorBidi" w:hAnsiTheme="majorBidi" w:cstheme="majorBidi"/>
          <w:color w:val="000000" w:themeColor="text1"/>
          <w:sz w:val="28"/>
          <w:szCs w:val="28"/>
        </w:rPr>
        <w:footnoteReference w:id="126"/>
      </w:r>
      <w:r>
        <w:rPr>
          <w:rStyle w:val="diff-highlight"/>
          <w:rFonts w:asciiTheme="majorBidi" w:hAnsiTheme="majorBidi" w:cstheme="majorBidi"/>
          <w:color w:val="000000" w:themeColor="text1"/>
          <w:shd w:val="clear" w:color="auto" w:fill="FFFFFF"/>
        </w:rPr>
        <w:t>E</w:t>
      </w:r>
      <w:r>
        <w:rPr>
          <w:rStyle w:val="diff-highlight"/>
          <w:rFonts w:asciiTheme="majorBidi" w:hAnsiTheme="majorBidi" w:cstheme="majorBidi"/>
          <w:color w:val="000000" w:themeColor="text1"/>
          <w:shd w:val="clear" w:color="auto" w:fill="FFFFFF"/>
        </w:rPr>
        <w:t>n</w:t>
      </w:r>
      <w:r>
        <w:rPr>
          <w:rStyle w:val="diff-highlight"/>
          <w:rFonts w:asciiTheme="majorBidi" w:hAnsiTheme="majorBidi" w:cstheme="majorBidi"/>
          <w:color w:val="000000" w:themeColor="text1"/>
          <w:shd w:val="clear" w:color="auto" w:fill="FFFFFF"/>
        </w:rPr>
        <w:t>treautres,ilfautrappeler</w:t>
      </w:r>
      <w:r>
        <w:rPr>
          <w:rFonts w:asciiTheme="majorBidi" w:hAnsiTheme="majorBidi" w:cstheme="majorBidi"/>
          <w:color w:val="000000" w:themeColor="text1"/>
          <w:shd w:val="clear" w:color="auto" w:fill="FFFFFF"/>
        </w:rPr>
        <w:t xml:space="preserve"> qu’un minimum </w:t>
      </w:r>
      <w:r>
        <w:rPr>
          <w:rStyle w:val="diff-highlight"/>
          <w:rFonts w:asciiTheme="majorBidi" w:hAnsiTheme="majorBidi" w:cstheme="majorBidi"/>
          <w:color w:val="000000" w:themeColor="text1"/>
          <w:shd w:val="clear" w:color="auto" w:fill="FFFFFF"/>
        </w:rPr>
        <w:t>deprise en compte de</w:t>
      </w:r>
      <w:r>
        <w:rPr>
          <w:rFonts w:asciiTheme="majorBidi" w:hAnsiTheme="majorBidi" w:cstheme="majorBidi"/>
          <w:color w:val="000000" w:themeColor="text1"/>
          <w:shd w:val="clear" w:color="auto" w:fill="FFFFFF"/>
        </w:rPr>
        <w:t xml:space="preserve"> la sécurité sanitaire des al</w:t>
      </w:r>
      <w:r>
        <w:rPr>
          <w:rFonts w:asciiTheme="majorBidi" w:hAnsiTheme="majorBidi" w:cstheme="majorBidi"/>
          <w:color w:val="000000" w:themeColor="text1"/>
          <w:shd w:val="clear" w:color="auto" w:fill="FFFFFF"/>
        </w:rPr>
        <w:t>i</w:t>
      </w:r>
      <w:r>
        <w:rPr>
          <w:rFonts w:asciiTheme="majorBidi" w:hAnsiTheme="majorBidi" w:cstheme="majorBidi"/>
          <w:color w:val="000000" w:themeColor="text1"/>
          <w:shd w:val="clear" w:color="auto" w:fill="FFFFFF"/>
        </w:rPr>
        <w:t xml:space="preserve">ments, </w:t>
      </w:r>
      <w:r>
        <w:rPr>
          <w:rStyle w:val="diff-highlight"/>
          <w:rFonts w:asciiTheme="majorBidi" w:hAnsiTheme="majorBidi" w:cstheme="majorBidi"/>
          <w:color w:val="000000" w:themeColor="text1"/>
          <w:shd w:val="clear" w:color="auto" w:fill="FFFFFF"/>
        </w:rPr>
        <w:t>de</w:t>
      </w:r>
      <w:r>
        <w:rPr>
          <w:rFonts w:asciiTheme="majorBidi" w:hAnsiTheme="majorBidi" w:cstheme="majorBidi"/>
          <w:color w:val="000000" w:themeColor="text1"/>
          <w:shd w:val="clear" w:color="auto" w:fill="FFFFFF"/>
        </w:rPr>
        <w:t xml:space="preserve"> qualité de ce qui fait l’objet de la consommation</w:t>
      </w:r>
      <w:r>
        <w:rPr>
          <w:rStyle w:val="diff-highlight"/>
          <w:rFonts w:asciiTheme="majorBidi" w:hAnsiTheme="majorBidi" w:cstheme="majorBidi"/>
          <w:color w:val="000000" w:themeColor="text1"/>
          <w:shd w:val="clear" w:color="auto" w:fill="FFFFFF"/>
        </w:rPr>
        <w:t>,</w:t>
      </w:r>
      <w:r>
        <w:rPr>
          <w:rFonts w:asciiTheme="majorBidi" w:hAnsiTheme="majorBidi" w:cstheme="majorBidi"/>
          <w:color w:val="000000" w:themeColor="text1"/>
          <w:shd w:val="clear" w:color="auto" w:fill="FFFFFF"/>
        </w:rPr>
        <w:t xml:space="preserve"> est en amont des risques de santé publique qui peuvent </w:t>
      </w:r>
      <w:r>
        <w:rPr>
          <w:rStyle w:val="diff-highlight"/>
          <w:rFonts w:asciiTheme="majorBidi" w:hAnsiTheme="majorBidi" w:cstheme="majorBidi"/>
          <w:color w:val="000000" w:themeColor="text1"/>
          <w:shd w:val="clear" w:color="auto" w:fill="FFFFFF"/>
        </w:rPr>
        <w:t>s’exposer,</w:t>
      </w:r>
      <w:r>
        <w:rPr>
          <w:rFonts w:asciiTheme="majorBidi" w:hAnsiTheme="majorBidi" w:cstheme="majorBidi"/>
          <w:color w:val="000000" w:themeColor="text1"/>
          <w:shd w:val="clear" w:color="auto" w:fill="FFFFFF"/>
        </w:rPr>
        <w:t xml:space="preserve"> dans le cadre d’</w:t>
      </w:r>
      <w:r>
        <w:rPr>
          <w:rStyle w:val="diff-highlight"/>
          <w:rFonts w:asciiTheme="majorBidi" w:hAnsiTheme="majorBidi" w:cstheme="majorBidi"/>
          <w:color w:val="000000" w:themeColor="text1"/>
          <w:shd w:val="clear" w:color="auto" w:fill="FFFFFF"/>
        </w:rPr>
        <w:t>unrespectscrupuleux</w:t>
      </w:r>
      <w:r>
        <w:rPr>
          <w:rFonts w:asciiTheme="majorBidi" w:hAnsiTheme="majorBidi" w:cstheme="majorBidi"/>
          <w:color w:val="000000" w:themeColor="text1"/>
          <w:shd w:val="clear" w:color="auto" w:fill="FFFFFF"/>
        </w:rPr>
        <w:t xml:space="preserve"> des normes sanitaires </w:t>
      </w:r>
      <w:r>
        <w:rPr>
          <w:rStyle w:val="diff-highlight"/>
          <w:rFonts w:asciiTheme="majorBidi" w:hAnsiTheme="majorBidi" w:cstheme="majorBidi"/>
          <w:color w:val="000000" w:themeColor="text1"/>
          <w:shd w:val="clear" w:color="auto" w:fill="FFFFFF"/>
        </w:rPr>
        <w:t>qu’onpourraitexigerde</w:t>
      </w:r>
      <w:r>
        <w:rPr>
          <w:rFonts w:asciiTheme="majorBidi" w:hAnsiTheme="majorBidi" w:cstheme="majorBidi"/>
          <w:color w:val="000000" w:themeColor="text1"/>
          <w:shd w:val="clear" w:color="auto" w:fill="FFFFFF"/>
        </w:rPr>
        <w:t xml:space="preserve"> la chaîne alimentaire, de la production à la consommation.</w:t>
      </w:r>
      <w:r>
        <w:rPr>
          <w:rStyle w:val="Appelnotedebasdep"/>
          <w:rFonts w:asciiTheme="majorBidi" w:hAnsiTheme="majorBidi" w:cstheme="majorBidi"/>
          <w:color w:val="000000" w:themeColor="text1"/>
          <w:sz w:val="28"/>
          <w:szCs w:val="28"/>
        </w:rPr>
        <w:footnoteReference w:id="127"/>
      </w:r>
    </w:p>
    <w:p w:rsidR="00F57DD8" w:rsidRDefault="00F57DD8" w:rsidP="00D078FF">
      <w:pPr>
        <w:pStyle w:val="NormalWeb"/>
        <w:spacing w:line="360" w:lineRule="auto"/>
        <w:jc w:val="both"/>
      </w:pPr>
      <w:r>
        <w:t xml:space="preserve"> Dans cette perspective, la mise en place d’un contrôle sanitaire renforcé a pour effet de dim</w:t>
      </w:r>
      <w:r>
        <w:t>i</w:t>
      </w:r>
      <w:r>
        <w:t>nuer le risque de contaminations alimentaires et la fréquence des maladies d’origine alime</w:t>
      </w:r>
      <w:r>
        <w:t>n</w:t>
      </w:r>
      <w:r>
        <w:t>taire, alors qu’une amélioration de la qualité de l’alimentation peut dans le même temps pr</w:t>
      </w:r>
      <w:r>
        <w:t>é</w:t>
      </w:r>
      <w:r>
        <w:t>venir indirectement certaines maladies chroniques et certains cancers liés à une exposition prolongée aux substances chimiques et résidus de pesticides. En d’autres termes, la meilleure qualité de l’alimentation contribuerait à réduire les coûts sanitaires en atténuant la charge p</w:t>
      </w:r>
      <w:r>
        <w:t>e</w:t>
      </w:r>
      <w:r>
        <w:t>sant sur les systèmes de santé et la dépense d’hospitalisation.</w:t>
      </w:r>
    </w:p>
    <w:p w:rsidR="00F57DD8" w:rsidRDefault="00F57DD8" w:rsidP="00D078FF">
      <w:pPr>
        <w:pStyle w:val="NormalWeb"/>
        <w:spacing w:line="360" w:lineRule="auto"/>
        <w:jc w:val="both"/>
      </w:pPr>
      <w:r>
        <w:lastRenderedPageBreak/>
        <w:t xml:space="preserve">      Mais l’objectif de produire et de fournir des aliments ne peut être autonome. Tout doit s’accompagner d’un contrôle sanitaire continu sur les aliments à la consommation. En matière de réduction de l’exposition aux intrants chimiques, le choix de produits biologiques pourrait constituer ici une alternative intéressante, pour peu que les normes de certification et de co</w:t>
      </w:r>
      <w:r>
        <w:t>n</w:t>
      </w:r>
      <w:r>
        <w:t>trôle soient scrupuleusement respectées.</w:t>
      </w:r>
    </w:p>
    <w:p w:rsidR="00F57DD8" w:rsidRDefault="00F57DD8" w:rsidP="00D078FF">
      <w:pPr>
        <w:pStyle w:val="NormalWeb"/>
        <w:spacing w:line="360" w:lineRule="auto"/>
        <w:jc w:val="both"/>
      </w:pPr>
      <w:r>
        <w:t>Ainsi, si sécurité alimentaire et sécurité sanitaire des aliments s’avèrent être inextricablement liées, ce qui doit primer, c’est la sécurité sanitaire qui constitue le socle du droit à la prote</w:t>
      </w:r>
      <w:r>
        <w:t>c</w:t>
      </w:r>
      <w:r>
        <w:t>tion de la santé publique et de la prévention des risques sanitaires sur le long terme.</w:t>
      </w:r>
      <w:r>
        <w:rPr>
          <w:rStyle w:val="Appelnotedebasdep"/>
        </w:rPr>
        <w:footnoteReference w:id="128"/>
      </w:r>
    </w:p>
    <w:p w:rsidR="00F57DD8" w:rsidRPr="006231FA" w:rsidRDefault="00851107" w:rsidP="00D078FF">
      <w:pPr>
        <w:pStyle w:val="Titre4"/>
        <w:jc w:val="both"/>
        <w:rPr>
          <w:rFonts w:ascii="Times New Roman" w:hAnsi="Times New Roman"/>
          <w:b/>
          <w:bCs/>
          <w:i w:val="0"/>
          <w:iCs w:val="0"/>
          <w:color w:val="auto"/>
          <w:sz w:val="24"/>
          <w:szCs w:val="24"/>
        </w:rPr>
      </w:pPr>
      <w:bookmarkStart w:id="151" w:name="_Toc230558665"/>
      <w:bookmarkStart w:id="152" w:name="_Toc230900299"/>
      <w:r w:rsidRPr="006231FA">
        <w:rPr>
          <w:rFonts w:ascii="Times New Roman" w:hAnsi="Times New Roman"/>
          <w:b/>
          <w:bCs/>
          <w:i w:val="0"/>
          <w:iCs w:val="0"/>
          <w:color w:val="auto"/>
          <w:sz w:val="24"/>
          <w:szCs w:val="24"/>
        </w:rPr>
        <w:t>1.4. </w:t>
      </w:r>
      <w:r w:rsidR="00F57DD8" w:rsidRPr="006231FA">
        <w:rPr>
          <w:rFonts w:ascii="Times New Roman" w:hAnsi="Times New Roman"/>
          <w:b/>
          <w:bCs/>
          <w:i w:val="0"/>
          <w:iCs w:val="0"/>
          <w:color w:val="auto"/>
          <w:sz w:val="24"/>
          <w:szCs w:val="24"/>
        </w:rPr>
        <w:t xml:space="preserve">Importance de la sécurité sanitaire </w:t>
      </w:r>
      <w:r w:rsidR="00F57DD8" w:rsidRPr="006231FA">
        <w:rPr>
          <w:rFonts w:ascii="Times New Roman" w:hAnsi="Times New Roman"/>
          <w:b/>
          <w:bCs/>
          <w:i w:val="0"/>
          <w:iCs w:val="0"/>
          <w:color w:val="auto"/>
          <w:sz w:val="24"/>
          <w:szCs w:val="24"/>
          <w:lang w:eastAsia="fr-FR"/>
        </w:rPr>
        <w:t>la sécurité sanitaire des aliments</w:t>
      </w:r>
      <w:bookmarkEnd w:id="151"/>
      <w:bookmarkEnd w:id="152"/>
    </w:p>
    <w:p w:rsidR="00F57DD8" w:rsidRDefault="00F57DD8" w:rsidP="00D078FF">
      <w:pPr>
        <w:spacing w:line="360"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 xml:space="preserve">La sécurité sanitaire des aliments constitue un préalable incontournable à la sauvegarde de la santé publique, à la prévention de certaines maladies. </w:t>
      </w:r>
      <w:r>
        <w:rPr>
          <w:rStyle w:val="Appelnotedebasdep"/>
          <w:rFonts w:asciiTheme="majorBidi" w:hAnsiTheme="majorBidi" w:cstheme="majorBidi"/>
          <w:sz w:val="24"/>
          <w:szCs w:val="24"/>
          <w:lang w:eastAsia="fr-FR"/>
        </w:rPr>
        <w:footnoteReference w:id="129"/>
      </w:r>
      <w:r>
        <w:rPr>
          <w:rFonts w:asciiTheme="majorBidi" w:hAnsiTheme="majorBidi" w:cstheme="majorBidi"/>
          <w:sz w:val="24"/>
          <w:szCs w:val="24"/>
          <w:lang w:eastAsia="fr-FR"/>
        </w:rPr>
        <w:t>Chaque année, de nombreuses millions de personnes tombent malades après avoir consommé des aliments devenus impropres à cette consommation. Les catégories vulnérables de la population, comme les nourrissons, les femmes enceintes, les personnes âgées, constituent des cibles souvent spécifiques en raison parfois de la défaillance de la sécurité sanitaire alimentaire. La salubrité alimentaire est alors impérative pour protéger la santé, pour sauver des vies.</w:t>
      </w:r>
    </w:p>
    <w:p w:rsidR="000C117E" w:rsidRDefault="00F57DD8" w:rsidP="00D078FF">
      <w:pPr>
        <w:spacing w:line="360"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 xml:space="preserve">            La sécurité sanitaire des aliments se relie aussi désormais en un soutien à la sécurité alimentaire et à l’aptitude nutritionnelle. Les aliments sains participent à la croissance démographique, à la bonne marche de systèmes alimentaires durables ; à l’inverse les </w:t>
      </w:r>
    </w:p>
    <w:p w:rsidR="00F57DD8" w:rsidRDefault="00F57DD8" w:rsidP="00D078FF">
      <w:pPr>
        <w:spacing w:line="360"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aliments contaminés pénalisent l’état de santé, freinent la croissance économique des régions touchées et compliquent l’application de politiques nutritionnelles.</w:t>
      </w:r>
    </w:p>
    <w:p w:rsidR="00F57DD8" w:rsidRDefault="00F57DD8" w:rsidP="00D078FF">
      <w:pPr>
        <w:spacing w:line="360"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 xml:space="preserve">       En outre, assurance sécurité sanitaire des aliments apparait comme une composante stratégique dans la relance économique et l’ouverture des échanges. Elle constitue un préalable à l’entrée sur les marchés local, régional, international et permet la réalisation de gains substantiels pour les producteurs, les entreprises, les économies nationales respectives. </w:t>
      </w:r>
      <w:r>
        <w:rPr>
          <w:rFonts w:asciiTheme="majorBidi" w:hAnsiTheme="majorBidi" w:cstheme="majorBidi"/>
          <w:sz w:val="24"/>
          <w:szCs w:val="24"/>
          <w:lang w:eastAsia="fr-FR"/>
        </w:rPr>
        <w:lastRenderedPageBreak/>
        <w:t>En apportant la qualité et la fiabilité des produits alimentaires, elle permet la confiance des consommateurs et la compétitivité des agents économiques.</w:t>
      </w:r>
      <w:r>
        <w:rPr>
          <w:rStyle w:val="Appelnotedebasdep"/>
          <w:rFonts w:asciiTheme="majorBidi" w:hAnsiTheme="majorBidi" w:cstheme="majorBidi"/>
          <w:sz w:val="24"/>
          <w:szCs w:val="24"/>
          <w:lang w:eastAsia="fr-FR"/>
        </w:rPr>
        <w:footnoteReference w:id="130"/>
      </w:r>
    </w:p>
    <w:p w:rsidR="00F57DD8" w:rsidRDefault="00F57DD8" w:rsidP="00D078FF">
      <w:pPr>
        <w:spacing w:line="360" w:lineRule="auto"/>
        <w:jc w:val="both"/>
        <w:rPr>
          <w:rFonts w:asciiTheme="majorBidi" w:hAnsiTheme="majorBidi" w:cstheme="majorBidi"/>
          <w:sz w:val="32"/>
          <w:szCs w:val="32"/>
        </w:rPr>
      </w:pPr>
      <w:r>
        <w:rPr>
          <w:rFonts w:asciiTheme="majorBidi" w:hAnsiTheme="majorBidi" w:cstheme="majorBidi"/>
          <w:sz w:val="24"/>
          <w:szCs w:val="24"/>
          <w:lang w:eastAsia="fr-FR"/>
        </w:rPr>
        <w:t xml:space="preserve">       Une approche systémique permet de réfléchir sur les processus, opérations et interactions qui existent dans le secteur des systèmes alimentaire et agricole, mais il peut parfois être opportun de le cantonner à l’approche filière alimentaire. La mise en œuvre d’une sécurité sanitaire adéquate nécessite l’information et la mobilisation des acteurs concernés. On peut faire le choix d’une approche préventive plutôt que curative, et même considérer que traiter à part un problème autour de la sécurité sanitaire peut être source à la fois de risque pour la santé, de gaspillage et de défiance envers les aliments et les autorités, sans omettre des surcoûts éventuels. Il est donc primordial d’implémenter le maintien de principes de prévention tant dans la préparation que dans l’action des programmes de sécurité sanitaire dans le domaine alimentaire.</w:t>
      </w:r>
      <w:r>
        <w:rPr>
          <w:rStyle w:val="Appelnotedebasdep"/>
          <w:rFonts w:asciiTheme="majorBidi" w:hAnsiTheme="majorBidi" w:cstheme="majorBidi"/>
          <w:sz w:val="24"/>
          <w:szCs w:val="24"/>
          <w:lang w:eastAsia="fr-FR"/>
        </w:rPr>
        <w:footnoteReference w:id="131"/>
      </w:r>
    </w:p>
    <w:p w:rsidR="000C117E" w:rsidRDefault="00F57DD8" w:rsidP="007A677E">
      <w:pPr>
        <w:pStyle w:val="NormalWeb"/>
        <w:spacing w:line="360" w:lineRule="auto"/>
        <w:jc w:val="both"/>
        <w:rPr>
          <w:rtl/>
          <w:lang w:bidi="ar-DZ"/>
        </w:rPr>
      </w:pPr>
      <w:r>
        <w:t xml:space="preserve">       La sûreté sanitaire des aliments est un élément clé pour prévenir les crises de sécurité alimentaire, en s’assurant que les aliments distribués ne nuisent pas à la santé humaine. En effet, l’application rigoureuse de la sûreté permet de réduire, voire d’éviter, la survenance d’événements d’ampleur qu’on a pu largement constater au cours de l’histoire récente. On peut ainsi mentionner les crises alimentaires suivantes : plusieurs cas d’encéphalopathies spongiformes bovines (ESB) (maladie de la vache folle) en 1997 ; des contaminations par Listeria, dioxine dans la viande de volaille en 1999 ; fièvre aphteuse et enjeux des OGM, fraudes sur l’origine des viandes (2001-2002) ; le scandale de la teinture rouge Soudan en 2003 ; épidémie de grippe aviaire, 2004 ; apparition de la fièvre catarrhale ovine (Blue Tongue), en 2006 ; lait en </w:t>
      </w:r>
    </w:p>
    <w:p w:rsidR="00F57DD8" w:rsidRDefault="00F57DD8" w:rsidP="00D078FF">
      <w:pPr>
        <w:pStyle w:val="NormalWeb"/>
        <w:spacing w:line="360" w:lineRule="auto"/>
        <w:jc w:val="both"/>
        <w:rPr>
          <w:b/>
          <w:bCs/>
          <w:sz w:val="18"/>
          <w:szCs w:val="18"/>
        </w:rPr>
      </w:pPr>
      <w:r>
        <w:t>poudre contaminé mélamine 2008 ; hépatite A due aux tomates séchées (2009-2010) ; épid</w:t>
      </w:r>
      <w:r>
        <w:t>é</w:t>
      </w:r>
      <w:r>
        <w:t>mie E. coli d’origine diététique (graine germées) 2011.</w:t>
      </w:r>
      <w:r>
        <w:rPr>
          <w:rStyle w:val="Appelnotedebasdep"/>
        </w:rPr>
        <w:footnoteReference w:id="132"/>
      </w:r>
    </w:p>
    <w:p w:rsidR="00F57DD8" w:rsidRDefault="00F57DD8" w:rsidP="00D078FF">
      <w:pPr>
        <w:pStyle w:val="NormalWeb"/>
        <w:spacing w:line="360" w:lineRule="auto"/>
        <w:jc w:val="both"/>
      </w:pPr>
      <w:r>
        <w:t xml:space="preserve">         Dans ce cadre, l’essor des produits biologiques est considéré comme un baromètre de l’évolution des préoccupations relatives à la sécurité sanitaire alimentaire, dans la mesure où ils sont érigés en alternatives pour réduire l’exposition aux pesticides et autres substances </w:t>
      </w:r>
      <w:r>
        <w:lastRenderedPageBreak/>
        <w:t>chimiques, ainsi qu’aux risques pour la santé. Cette tendance interroge néanmoins implicit</w:t>
      </w:r>
      <w:r>
        <w:t>e</w:t>
      </w:r>
      <w:r>
        <w:t>ment l’emprise des opérations marketing de ces produits sur la sécurité sanitaire alimentaire, notamment sur la question du contrôle et de la transparence.</w:t>
      </w:r>
      <w:r>
        <w:rPr>
          <w:rStyle w:val="Appelnotedebasdep"/>
        </w:rPr>
        <w:footnoteReference w:id="133"/>
      </w:r>
    </w:p>
    <w:p w:rsidR="00F57DD8" w:rsidRPr="006231FA" w:rsidRDefault="00851107" w:rsidP="00D078FF">
      <w:pPr>
        <w:pStyle w:val="Titre4"/>
        <w:spacing w:line="360" w:lineRule="auto"/>
        <w:jc w:val="both"/>
        <w:rPr>
          <w:rFonts w:ascii="Times New Roman" w:hAnsi="Times New Roman"/>
          <w:b/>
          <w:bCs/>
          <w:i w:val="0"/>
          <w:iCs w:val="0"/>
          <w:color w:val="auto"/>
          <w:sz w:val="24"/>
          <w:szCs w:val="24"/>
        </w:rPr>
      </w:pPr>
      <w:bookmarkStart w:id="153" w:name="_Toc230558666"/>
      <w:bookmarkStart w:id="154" w:name="_Toc230900300"/>
      <w:r w:rsidRPr="006231FA">
        <w:rPr>
          <w:rFonts w:ascii="Times New Roman" w:hAnsi="Times New Roman"/>
          <w:b/>
          <w:bCs/>
          <w:i w:val="0"/>
          <w:iCs w:val="0"/>
          <w:color w:val="auto"/>
          <w:sz w:val="24"/>
          <w:szCs w:val="24"/>
        </w:rPr>
        <w:t>1.5. </w:t>
      </w:r>
      <w:r w:rsidR="00F57DD8" w:rsidRPr="006231FA">
        <w:rPr>
          <w:rFonts w:ascii="Times New Roman" w:hAnsi="Times New Roman"/>
          <w:b/>
          <w:bCs/>
          <w:i w:val="0"/>
          <w:iCs w:val="0"/>
          <w:color w:val="auto"/>
          <w:sz w:val="24"/>
          <w:szCs w:val="24"/>
        </w:rPr>
        <w:t>Le lien entre les produits biologiques et la sécurité sanitaire des aliments</w:t>
      </w:r>
      <w:bookmarkEnd w:id="153"/>
      <w:bookmarkEnd w:id="154"/>
    </w:p>
    <w:p w:rsidR="00F57DD8" w:rsidRDefault="00F57DD8" w:rsidP="00D078FF">
      <w:pPr>
        <w:pStyle w:val="NormalWeb"/>
        <w:spacing w:line="360" w:lineRule="auto"/>
        <w:jc w:val="both"/>
      </w:pPr>
      <w:r>
        <w:t xml:space="preserve">     Il est souvent question de la relation entre la sécurité alimentaire et les produits biol</w:t>
      </w:r>
      <w:r>
        <w:t>o</w:t>
      </w:r>
      <w:r>
        <w:t xml:space="preserve">giques, qui est basée sur tout d’abord le fait que les produits biologiques se distinguent par une consommation limitée, voire aucune, de pesticides de synthèse, donc un protection contre les résidus chimiques qui peuvent en résulter pour les consommateurs : les produits issus de l’agriculture biologique possèderaient selon Smith-Spangler et al. (2012) en moyenne, 30 % de résidus de pesticides détectables en moins que ceux issus de l’agriculture conventionnelle. </w:t>
      </w:r>
    </w:p>
    <w:p w:rsidR="00F57DD8" w:rsidRDefault="00F57DD8" w:rsidP="00D078FF">
      <w:pPr>
        <w:pStyle w:val="NormalWeb"/>
        <w:spacing w:line="360" w:lineRule="auto"/>
        <w:jc w:val="both"/>
      </w:pPr>
      <w:r>
        <w:t xml:space="preserve">    Ainsi, les produits biologiques sont liés à la sécurité sanitaire des aliments, sur la base des pratiques de production, de transformations et des garanties qu’ils offrent aux consommateurs. </w:t>
      </w:r>
    </w:p>
    <w:p w:rsidR="000C117E" w:rsidRPr="007A677E" w:rsidRDefault="00F57DD8" w:rsidP="007A677E">
      <w:pPr>
        <w:pStyle w:val="NormalWeb"/>
        <w:spacing w:line="360" w:lineRule="auto"/>
        <w:jc w:val="both"/>
        <w:rPr>
          <w:rtl/>
          <w:lang w:bidi="ar-DZ"/>
        </w:rPr>
      </w:pPr>
      <w:r>
        <w:t xml:space="preserve">    En effet, l’agriculture biologique repose sur un système de production qui vise à très fort</w:t>
      </w:r>
      <w:r>
        <w:t>e</w:t>
      </w:r>
      <w:r>
        <w:t>ment réduire l’usage de pesticides de synthèse, d’engrais chimiques, d’additifs artificiels. En théorie, ces pratiques ont pour effet de réduire la probabilité de présence de résidus chimiques dans les denrées alimentaires ; ce qui fait des produits biologiques, des produits que l’on se représente comme étant plus sûrs : toute la certification et le contrôle qui encadrent la produ</w:t>
      </w:r>
      <w:r>
        <w:t>c</w:t>
      </w:r>
      <w:r>
        <w:t>tion et apurent leur traçabilité dans la chaîne alimentaire attestent du risque réduit que l’on court à consommer ses produits.</w:t>
      </w:r>
      <w:r>
        <w:rPr>
          <w:rStyle w:val="Appelnotedebasdep"/>
        </w:rPr>
        <w:footnoteReference w:id="134"/>
      </w:r>
    </w:p>
    <w:p w:rsidR="00F57DD8" w:rsidRDefault="00F57DD8" w:rsidP="00D078FF">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Pour autant, le risque alimentaire ne dépend pas seulement du caractère biologique du mode de production. En effet, il peut également surgir à chaque niveau du système alimentaire, que ce soit par des contaminations organiques, chimiques ou de pathogènes découlant des pratiques de production, de transformation ou de conservation. Par conséquent, la gestion du risque et le contrôle de la sécurité sont toujours d’actualité pour assurer la qualité et la sécurité des aliments destinés à l’alimentation humaine. </w:t>
      </w:r>
      <w:r>
        <w:rPr>
          <w:rStyle w:val="Appelnotedebasdep"/>
          <w:rFonts w:ascii="Times New Roman" w:hAnsi="Times New Roman"/>
          <w:sz w:val="24"/>
          <w:szCs w:val="24"/>
          <w:lang w:eastAsia="fr-FR"/>
        </w:rPr>
        <w:footnoteReference w:id="135"/>
      </w:r>
    </w:p>
    <w:p w:rsidR="00F57DD8" w:rsidRDefault="00F57DD8" w:rsidP="00D078FF">
      <w:pPr>
        <w:pStyle w:val="NormalWeb"/>
        <w:spacing w:line="360" w:lineRule="auto"/>
        <w:jc w:val="both"/>
      </w:pPr>
      <w:r>
        <w:rPr>
          <w:rFonts w:asciiTheme="majorBidi" w:hAnsiTheme="majorBidi" w:cstheme="majorBidi"/>
          <w:sz w:val="28"/>
          <w:szCs w:val="28"/>
        </w:rPr>
        <w:tab/>
      </w:r>
      <w:r>
        <w:t>La relation entre les produits biologiques et la sécurité sanitaire des aliments peut être discutée de manière critique et nuancée. Ces produits offrent certes un certain mérite, en m</w:t>
      </w:r>
      <w:r>
        <w:t>a</w:t>
      </w:r>
      <w:r>
        <w:lastRenderedPageBreak/>
        <w:t>tière de réduction de son exposition aux résidus de pesticides et d’autres substances ch</w:t>
      </w:r>
      <w:r>
        <w:t>i</w:t>
      </w:r>
      <w:r>
        <w:t>miques. En revanche, lier cette production à une sécurité sanitaire certaine n’est pas si év</w:t>
      </w:r>
      <w:r>
        <w:t>i</w:t>
      </w:r>
      <w:r>
        <w:t>dent, puisqu’il est tout aussi important de tenir compte de l’ensemble des risques envis</w:t>
      </w:r>
      <w:r>
        <w:t>a</w:t>
      </w:r>
      <w:r>
        <w:t>geables sur la chaîne alimentaire qui, en plus des conditions de production, relèvent de la m</w:t>
      </w:r>
      <w:r>
        <w:t>i</w:t>
      </w:r>
      <w:r>
        <w:t>crobiologie et des conditions de transformation, de stockage et de distribution.</w:t>
      </w:r>
      <w:r>
        <w:rPr>
          <w:rStyle w:val="Appelnotedebasdep"/>
        </w:rPr>
        <w:footnoteReference w:id="136"/>
      </w:r>
    </w:p>
    <w:p w:rsidR="00F57DD8" w:rsidRDefault="00F57DD8" w:rsidP="007A677E">
      <w:pPr>
        <w:pStyle w:val="NormalWeb"/>
        <w:spacing w:after="0" w:line="360" w:lineRule="auto"/>
        <w:jc w:val="both"/>
      </w:pPr>
      <w:r>
        <w:t xml:space="preserve">       Par ailleurs, l’efficacité réelle des produits biologiques dans le renforcement de la sécurité sanitaire reste conditionnée par la rigueur des systèmes de contrôle et de certification. En l’absence d’un encadrement strict, le recours au label « biologique » peut parfois relever d</w:t>
      </w:r>
      <w:r>
        <w:t>a</w:t>
      </w:r>
      <w:r>
        <w:t>vantage d’un logique marketing que d’une réelle garantie sanitaire, ce qui risque d’altérer la confiance des consommateurs. De plus, le coût souvent élevé de ces produits soulève des e</w:t>
      </w:r>
      <w:r>
        <w:t>n</w:t>
      </w:r>
      <w:r>
        <w:t>jeux d’accessibilité et d’équité, limitant leur consommation à certaines catégories de la pop</w:t>
      </w:r>
      <w:r>
        <w:t>u</w:t>
      </w:r>
      <w:r>
        <w:t>lation.</w:t>
      </w:r>
      <w:r>
        <w:rPr>
          <w:rStyle w:val="Appelnotedebasdep"/>
        </w:rPr>
        <w:footnoteReference w:id="137"/>
      </w:r>
    </w:p>
    <w:p w:rsidR="000C117E" w:rsidRDefault="00F57DD8" w:rsidP="007A677E">
      <w:pPr>
        <w:pStyle w:val="NormalWeb"/>
        <w:spacing w:after="0" w:line="360" w:lineRule="auto"/>
        <w:jc w:val="both"/>
      </w:pPr>
      <w:r w:rsidRPr="006231FA">
        <w:t xml:space="preserve">       Ainsi, si les produits biologiques constituent indéniablement un levier intéressant pour</w:t>
      </w:r>
      <w:r>
        <w:t xml:space="preserve"> améliorer la qualité alimentaire, ils ne sauraient être considérés comme une solution suffisante </w:t>
      </w:r>
    </w:p>
    <w:p w:rsidR="00F57DD8" w:rsidRDefault="00F57DD8" w:rsidP="007A677E">
      <w:pPr>
        <w:pStyle w:val="NormalWeb"/>
        <w:spacing w:after="0" w:line="360" w:lineRule="auto"/>
        <w:jc w:val="both"/>
      </w:pPr>
      <w:r w:rsidRPr="00851107">
        <w:t>à eux seuls. Leur contribution à la sécurité sanitaire des aliments ne peut être pleinement e</w:t>
      </w:r>
      <w:r w:rsidRPr="00851107">
        <w:t>f</w:t>
      </w:r>
      <w:r w:rsidRPr="00851107">
        <w:t>fective que dans le cadre d’une approche globale intégrant le renforcement des contrôles, le respect des normes sanitaires et la sensibilisation des consommateurs</w:t>
      </w:r>
      <w:r>
        <w:t>.</w:t>
      </w:r>
      <w:r>
        <w:rPr>
          <w:rStyle w:val="Appelnotedebasdep"/>
        </w:rPr>
        <w:footnoteReference w:id="138"/>
      </w:r>
    </w:p>
    <w:p w:rsidR="00F57DD8" w:rsidRPr="006231FA" w:rsidRDefault="00851107" w:rsidP="007A677E">
      <w:pPr>
        <w:pStyle w:val="Titre3"/>
        <w:spacing w:after="0" w:line="360" w:lineRule="auto"/>
        <w:jc w:val="both"/>
        <w:rPr>
          <w:rFonts w:ascii="Times New Roman" w:hAnsi="Times New Roman"/>
          <w:b/>
          <w:bCs/>
          <w:color w:val="auto"/>
          <w:sz w:val="24"/>
          <w:szCs w:val="24"/>
        </w:rPr>
      </w:pPr>
      <w:bookmarkStart w:id="155" w:name="_Toc230558667"/>
      <w:bookmarkStart w:id="156" w:name="_Toc230900301"/>
      <w:r w:rsidRPr="006231FA">
        <w:rPr>
          <w:rFonts w:ascii="Times New Roman" w:eastAsiaTheme="minorHAnsi" w:hAnsi="Times New Roman"/>
          <w:b/>
          <w:bCs/>
          <w:color w:val="auto"/>
          <w:kern w:val="2"/>
          <w:sz w:val="24"/>
          <w:szCs w:val="24"/>
        </w:rPr>
        <w:t>2. </w:t>
      </w:r>
      <w:r w:rsidR="00F57DD8" w:rsidRPr="006231FA">
        <w:rPr>
          <w:rFonts w:ascii="Times New Roman" w:hAnsi="Times New Roman"/>
          <w:b/>
          <w:bCs/>
          <w:color w:val="auto"/>
          <w:sz w:val="24"/>
          <w:szCs w:val="24"/>
        </w:rPr>
        <w:t>Analyse des risques alimentaires dans les produits conventionnels et biologiques</w:t>
      </w:r>
      <w:bookmarkEnd w:id="155"/>
      <w:bookmarkEnd w:id="156"/>
    </w:p>
    <w:p w:rsidR="00F57DD8" w:rsidRPr="006231FA" w:rsidRDefault="00851107" w:rsidP="007A677E">
      <w:pPr>
        <w:pStyle w:val="Titre4"/>
        <w:spacing w:after="0" w:line="360" w:lineRule="auto"/>
        <w:jc w:val="both"/>
        <w:rPr>
          <w:rFonts w:ascii="Times New Roman" w:hAnsi="Times New Roman"/>
          <w:b/>
          <w:bCs/>
          <w:i w:val="0"/>
          <w:iCs w:val="0"/>
          <w:color w:val="auto"/>
          <w:sz w:val="24"/>
          <w:szCs w:val="24"/>
        </w:rPr>
      </w:pPr>
      <w:bookmarkStart w:id="157" w:name="_Toc230558668"/>
      <w:bookmarkStart w:id="158" w:name="_Toc230900302"/>
      <w:r w:rsidRPr="006231FA">
        <w:rPr>
          <w:rFonts w:ascii="Times New Roman" w:hAnsi="Times New Roman"/>
          <w:b/>
          <w:bCs/>
          <w:i w:val="0"/>
          <w:iCs w:val="0"/>
          <w:color w:val="auto"/>
          <w:sz w:val="24"/>
          <w:szCs w:val="24"/>
          <w:lang w:eastAsia="fr-FR"/>
        </w:rPr>
        <w:t>2.1.</w:t>
      </w:r>
      <w:r w:rsidR="00F57DD8" w:rsidRPr="006231FA">
        <w:rPr>
          <w:rFonts w:ascii="Times New Roman" w:hAnsi="Times New Roman"/>
          <w:b/>
          <w:bCs/>
          <w:i w:val="0"/>
          <w:iCs w:val="0"/>
          <w:color w:val="auto"/>
          <w:sz w:val="24"/>
          <w:szCs w:val="24"/>
          <w:lang w:eastAsia="fr-FR"/>
        </w:rPr>
        <w:t>Concept de l’analyse des risques alimentaires</w:t>
      </w:r>
      <w:bookmarkEnd w:id="157"/>
      <w:bookmarkEnd w:id="158"/>
    </w:p>
    <w:p w:rsidR="000C117E" w:rsidRPr="000C117E" w:rsidRDefault="00F57DD8" w:rsidP="007A677E">
      <w:pPr>
        <w:spacing w:after="0" w:line="360" w:lineRule="auto"/>
        <w:jc w:val="both"/>
        <w:rPr>
          <w:rFonts w:asciiTheme="majorBidi" w:hAnsiTheme="majorBidi" w:cstheme="majorBidi"/>
          <w:sz w:val="24"/>
          <w:szCs w:val="24"/>
        </w:rPr>
      </w:pPr>
      <w:r w:rsidRPr="000C117E">
        <w:rPr>
          <w:rFonts w:asciiTheme="majorBidi" w:hAnsiTheme="majorBidi" w:cstheme="majorBidi"/>
          <w:b/>
          <w:bCs/>
          <w:sz w:val="24"/>
          <w:szCs w:val="24"/>
        </w:rPr>
        <w:t>Définition de l’analyse des risqu</w:t>
      </w:r>
      <w:r w:rsidR="000C117E" w:rsidRPr="000C117E">
        <w:rPr>
          <w:rFonts w:asciiTheme="majorBidi" w:hAnsiTheme="majorBidi" w:cstheme="majorBidi"/>
          <w:b/>
          <w:bCs/>
          <w:sz w:val="24"/>
          <w:szCs w:val="24"/>
        </w:rPr>
        <w:t>e</w:t>
      </w:r>
      <w:r w:rsidRPr="000C117E">
        <w:rPr>
          <w:rFonts w:asciiTheme="majorBidi" w:hAnsiTheme="majorBidi" w:cstheme="majorBidi"/>
          <w:sz w:val="24"/>
          <w:szCs w:val="24"/>
        </w:rPr>
        <w:t xml:space="preserve">   L’analyse de risque est une démarche scientifique prenant en compte les dangers liés à la santé ou à la sécurité des consommateurs</w:t>
      </w:r>
      <w:r w:rsidRPr="000C117E">
        <w:rPr>
          <w:rStyle w:val="Appelnotedebasdep"/>
          <w:rFonts w:asciiTheme="majorBidi" w:hAnsiTheme="majorBidi" w:cstheme="majorBidi"/>
          <w:sz w:val="24"/>
          <w:szCs w:val="24"/>
        </w:rPr>
        <w:footnoteReference w:id="139"/>
      </w:r>
      <w:r w:rsidRPr="000C117E">
        <w:rPr>
          <w:rFonts w:asciiTheme="majorBidi" w:hAnsiTheme="majorBidi" w:cstheme="majorBidi"/>
          <w:sz w:val="24"/>
          <w:szCs w:val="24"/>
        </w:rPr>
        <w:t>. Elle évalue la probabilité de survenue d’un risque, sa gravité de conséquence afin de permettre aux acteurs d’anticiper les programmes de prévention et/ou de contrôle à mettre en œuvre. Elle concourt à une meilleure élaboration des normes et des politiques publiques en matière de sécurité sanitaire des aliments devant des dangers émergents ou des défaillances dans les systèmes de contrôle.</w:t>
      </w:r>
    </w:p>
    <w:p w:rsidR="000C117E" w:rsidRPr="000C117E" w:rsidRDefault="00F57DD8" w:rsidP="007A677E">
      <w:pPr>
        <w:spacing w:after="0" w:line="360" w:lineRule="auto"/>
        <w:ind w:firstLine="567"/>
        <w:jc w:val="both"/>
        <w:rPr>
          <w:rFonts w:asciiTheme="majorBidi" w:hAnsiTheme="majorBidi" w:cstheme="majorBidi"/>
          <w:sz w:val="24"/>
          <w:szCs w:val="24"/>
        </w:rPr>
      </w:pPr>
      <w:r w:rsidRPr="000C117E">
        <w:rPr>
          <w:rFonts w:asciiTheme="majorBidi" w:hAnsiTheme="majorBidi" w:cstheme="majorBidi"/>
          <w:sz w:val="24"/>
          <w:szCs w:val="24"/>
        </w:rPr>
        <w:lastRenderedPageBreak/>
        <w:t>Les autorités compétentes en matière de sécurité sanitaire des aliments utilisent l’analyse de risque pour disposer d’éléments d’information scientifiques fiables facilitant la prise de décision réglementaire. Elle est perceptrice d’un dispositif pour améliorer la protection de la santé publique et le contrôle des aliments</w:t>
      </w:r>
      <w:r w:rsidR="000C117E" w:rsidRPr="000C117E">
        <w:rPr>
          <w:rFonts w:asciiTheme="majorBidi" w:hAnsiTheme="majorBidi" w:cstheme="majorBidi"/>
          <w:sz w:val="24"/>
          <w:szCs w:val="24"/>
        </w:rPr>
        <w:t xml:space="preserve"> .</w:t>
      </w:r>
    </w:p>
    <w:p w:rsidR="000C117E" w:rsidRPr="000C117E" w:rsidRDefault="00F57DD8" w:rsidP="007A677E">
      <w:pPr>
        <w:spacing w:after="0" w:line="360" w:lineRule="auto"/>
        <w:ind w:firstLine="567"/>
        <w:jc w:val="both"/>
        <w:rPr>
          <w:rFonts w:asciiTheme="majorBidi" w:hAnsiTheme="majorBidi" w:cstheme="majorBidi"/>
          <w:sz w:val="24"/>
          <w:szCs w:val="24"/>
        </w:rPr>
      </w:pPr>
      <w:r w:rsidRPr="000C117E">
        <w:rPr>
          <w:rFonts w:asciiTheme="majorBidi" w:hAnsiTheme="majorBidi" w:cstheme="majorBidi"/>
          <w:sz w:val="24"/>
          <w:szCs w:val="24"/>
        </w:rPr>
        <w:t xml:space="preserve"> À titre d’illustration, dans le domaine de la sécurité sanitaire des aliments, l’analyse des risques peut s’appliquer afin d’évaluer le niveau de danger représenté par la présence d’un contaminant dans le circuit alimentaire. Les résultats obtenus permettent aux autorités publiques de décider quelles mesures adopter pour réduire ou supprimer ce danger.</w:t>
      </w:r>
    </w:p>
    <w:p w:rsidR="000C117E" w:rsidRDefault="00F57DD8" w:rsidP="007A677E">
      <w:pPr>
        <w:spacing w:after="0" w:line="360" w:lineRule="auto"/>
        <w:ind w:firstLine="567"/>
        <w:jc w:val="both"/>
        <w:rPr>
          <w:rFonts w:asciiTheme="majorBidi" w:hAnsiTheme="majorBidi" w:cstheme="majorBidi"/>
          <w:sz w:val="24"/>
          <w:szCs w:val="24"/>
          <w:rtl/>
          <w:lang w:bidi="ar-DZ"/>
        </w:rPr>
      </w:pPr>
      <w:r w:rsidRPr="000C117E">
        <w:rPr>
          <w:rFonts w:asciiTheme="majorBidi" w:hAnsiTheme="majorBidi" w:cstheme="majorBidi"/>
          <w:sz w:val="24"/>
          <w:szCs w:val="24"/>
        </w:rPr>
        <w:t xml:space="preserve"> Une des mesures possibles consiste à fixer ou réviser des limites maximales autorisées pour certaines substances indésirables (contaminants), à intensifier le contrôle par des prises d’échantillons plus fréquentes, à modifier les obligations d’étiquetage, ou encore à diffuser des messages de recommandations à destination de certains groupes de population. En dernier </w:t>
      </w:r>
    </w:p>
    <w:p w:rsidR="00F57DD8" w:rsidRPr="000C117E" w:rsidRDefault="00F57DD8" w:rsidP="007A677E">
      <w:pPr>
        <w:spacing w:after="0" w:line="360" w:lineRule="auto"/>
        <w:jc w:val="both"/>
        <w:rPr>
          <w:rFonts w:asciiTheme="majorBidi" w:hAnsiTheme="majorBidi" w:cstheme="majorBidi"/>
          <w:b/>
          <w:bCs/>
          <w:sz w:val="24"/>
          <w:szCs w:val="24"/>
        </w:rPr>
      </w:pPr>
      <w:r w:rsidRPr="000C117E">
        <w:rPr>
          <w:rFonts w:asciiTheme="majorBidi" w:hAnsiTheme="majorBidi" w:cstheme="majorBidi"/>
          <w:sz w:val="24"/>
          <w:szCs w:val="24"/>
        </w:rPr>
        <w:t>recours, on fait éventuellement le choix d’interdire la mise sur le marché d’un produit ou de prohiber son importation.</w:t>
      </w:r>
      <w:r w:rsidRPr="000C117E">
        <w:rPr>
          <w:rStyle w:val="Appelnotedebasdep"/>
          <w:rFonts w:asciiTheme="majorBidi" w:hAnsiTheme="majorBidi" w:cstheme="majorBidi"/>
          <w:sz w:val="24"/>
          <w:szCs w:val="24"/>
        </w:rPr>
        <w:footnoteReference w:id="140"/>
      </w:r>
    </w:p>
    <w:p w:rsidR="00F57DD8" w:rsidRPr="006231FA" w:rsidRDefault="00851107" w:rsidP="007A677E">
      <w:pPr>
        <w:pStyle w:val="Titre4"/>
        <w:spacing w:after="0" w:line="360" w:lineRule="auto"/>
        <w:jc w:val="both"/>
        <w:rPr>
          <w:rFonts w:ascii="Times New Roman" w:hAnsi="Times New Roman"/>
          <w:b/>
          <w:bCs/>
          <w:i w:val="0"/>
          <w:iCs w:val="0"/>
          <w:color w:val="auto"/>
          <w:sz w:val="24"/>
          <w:szCs w:val="24"/>
        </w:rPr>
      </w:pPr>
      <w:bookmarkStart w:id="159" w:name="_Toc230558669"/>
      <w:bookmarkStart w:id="160" w:name="_Toc230900303"/>
      <w:r w:rsidRPr="006231FA">
        <w:rPr>
          <w:rFonts w:ascii="Times New Roman" w:hAnsi="Times New Roman"/>
          <w:b/>
          <w:bCs/>
          <w:i w:val="0"/>
          <w:iCs w:val="0"/>
          <w:color w:val="auto"/>
          <w:sz w:val="24"/>
          <w:szCs w:val="24"/>
        </w:rPr>
        <w:t>2.2. </w:t>
      </w:r>
      <w:r w:rsidR="00F57DD8" w:rsidRPr="006231FA">
        <w:rPr>
          <w:rFonts w:ascii="Times New Roman" w:hAnsi="Times New Roman"/>
          <w:b/>
          <w:bCs/>
          <w:i w:val="0"/>
          <w:iCs w:val="0"/>
          <w:color w:val="auto"/>
          <w:sz w:val="24"/>
          <w:szCs w:val="24"/>
        </w:rPr>
        <w:t>Les composantes de l’analyse des risques</w:t>
      </w:r>
      <w:bookmarkEnd w:id="159"/>
      <w:bookmarkEnd w:id="160"/>
    </w:p>
    <w:p w:rsidR="00F57DD8" w:rsidRDefault="00F57DD8" w:rsidP="007A677E">
      <w:pPr>
        <w:pStyle w:val="NormalWeb"/>
        <w:spacing w:after="0" w:line="360" w:lineRule="auto"/>
        <w:jc w:val="both"/>
      </w:pPr>
      <w:r>
        <w:t xml:space="preserve">       L’analyse des risques constitue un cadre méthodologique permettant d’évaluer l’efficacité des différentes mesures envisagées pour protéger la santé des consommateurs. Elle favorise également une meilleure allocation des ressources publiques en concentrant les efforts sur les risques les plus importants.</w:t>
      </w:r>
    </w:p>
    <w:p w:rsidR="00F57DD8" w:rsidRDefault="00F57DD8" w:rsidP="007A677E">
      <w:pPr>
        <w:pStyle w:val="NormalWeb"/>
        <w:spacing w:after="0" w:line="360" w:lineRule="auto"/>
        <w:jc w:val="both"/>
      </w:pPr>
      <w:r>
        <w:t>Cette approche repose sur trois composantes principales :</w:t>
      </w:r>
    </w:p>
    <w:p w:rsidR="00F57DD8" w:rsidRDefault="00F57DD8" w:rsidP="007A677E">
      <w:pPr>
        <w:pStyle w:val="NormalWeb"/>
        <w:numPr>
          <w:ilvl w:val="0"/>
          <w:numId w:val="5"/>
        </w:numPr>
        <w:spacing w:before="100" w:beforeAutospacing="1" w:after="0" w:line="360" w:lineRule="auto"/>
        <w:jc w:val="both"/>
      </w:pPr>
      <w:r>
        <w:rPr>
          <w:rStyle w:val="lev"/>
        </w:rPr>
        <w:t>l’évaluation des risques</w:t>
      </w:r>
      <w:r>
        <w:t>, qui consiste à analyser scientifiquement les dangers et leurs effets potentiels sur la santé ;</w:t>
      </w:r>
      <w:r>
        <w:rPr>
          <w:rStyle w:val="Appelnotedebasdep"/>
        </w:rPr>
        <w:footnoteReference w:id="141"/>
      </w:r>
    </w:p>
    <w:p w:rsidR="00F57DD8" w:rsidRDefault="00F57DD8" w:rsidP="007A677E">
      <w:pPr>
        <w:pStyle w:val="NormalWeb"/>
        <w:numPr>
          <w:ilvl w:val="0"/>
          <w:numId w:val="5"/>
        </w:numPr>
        <w:spacing w:before="100" w:beforeAutospacing="1" w:after="0" w:line="360" w:lineRule="auto"/>
        <w:jc w:val="both"/>
      </w:pPr>
      <w:r>
        <w:rPr>
          <w:rStyle w:val="lev"/>
        </w:rPr>
        <w:t>la gestion des risques</w:t>
      </w:r>
      <w:r>
        <w:t>, qui vise à choisir et appliquer les mesures de contrôle les plus a</w:t>
      </w:r>
      <w:r>
        <w:t>p</w:t>
      </w:r>
      <w:r>
        <w:t xml:space="preserve">propriées </w:t>
      </w:r>
      <w:r>
        <w:rPr>
          <w:rStyle w:val="Appelnotedebasdep"/>
        </w:rPr>
        <w:footnoteReference w:id="142"/>
      </w:r>
      <w:r>
        <w:t>;</w:t>
      </w:r>
    </w:p>
    <w:p w:rsidR="00F57DD8" w:rsidRDefault="00F57DD8" w:rsidP="007A677E">
      <w:pPr>
        <w:pStyle w:val="NormalWeb"/>
        <w:numPr>
          <w:ilvl w:val="0"/>
          <w:numId w:val="5"/>
        </w:numPr>
        <w:spacing w:before="100" w:beforeAutospacing="1" w:after="0" w:line="360" w:lineRule="auto"/>
        <w:jc w:val="both"/>
      </w:pPr>
      <w:r>
        <w:rPr>
          <w:rStyle w:val="lev"/>
        </w:rPr>
        <w:t>la communication des risques</w:t>
      </w:r>
      <w:r>
        <w:t>, qui consiste à échanger des informations entre les autor</w:t>
      </w:r>
      <w:r>
        <w:t>i</w:t>
      </w:r>
      <w:r>
        <w:t>tés, les experts et les parties prenantes concernant les risques et les mesures adoptées.</w:t>
      </w:r>
      <w:r>
        <w:rPr>
          <w:rStyle w:val="Appelnotedebasdep"/>
        </w:rPr>
        <w:footnoteReference w:id="143"/>
      </w:r>
    </w:p>
    <w:p w:rsidR="00F57DD8" w:rsidRPr="00851107" w:rsidRDefault="00851107" w:rsidP="007A677E">
      <w:pPr>
        <w:spacing w:before="100" w:beforeAutospacing="1" w:after="0" w:line="360" w:lineRule="auto"/>
        <w:ind w:left="360"/>
        <w:jc w:val="both"/>
        <w:rPr>
          <w:rFonts w:ascii="Times New Roman" w:eastAsia="Times New Roman" w:hAnsi="Times New Roman" w:cs="Times New Roman"/>
          <w:sz w:val="24"/>
          <w:szCs w:val="24"/>
          <w:lang w:eastAsia="fr-FR"/>
        </w:rPr>
      </w:pPr>
      <w:r w:rsidRPr="00851107">
        <w:rPr>
          <w:rFonts w:ascii="Times New Roman" w:eastAsia="Times New Roman" w:hAnsi="Times New Roman" w:cs="Times New Roman"/>
          <w:b/>
          <w:bCs/>
          <w:sz w:val="24"/>
          <w:szCs w:val="24"/>
          <w:lang w:eastAsia="fr-FR"/>
        </w:rPr>
        <w:lastRenderedPageBreak/>
        <w:t>2.3. </w:t>
      </w:r>
      <w:r w:rsidR="00F57DD8" w:rsidRPr="00851107">
        <w:rPr>
          <w:rFonts w:ascii="Times New Roman" w:eastAsia="Times New Roman" w:hAnsi="Times New Roman" w:cs="Times New Roman"/>
          <w:b/>
          <w:bCs/>
          <w:sz w:val="24"/>
          <w:szCs w:val="24"/>
          <w:lang w:eastAsia="fr-FR"/>
        </w:rPr>
        <w:t>Les différents types de risques alimentaires  liés aux produits alimentaires conventionnels</w:t>
      </w:r>
    </w:p>
    <w:p w:rsidR="00F57DD8" w:rsidRDefault="00F57DD8" w:rsidP="007A677E">
      <w:pPr>
        <w:pStyle w:val="NormalWeb"/>
        <w:tabs>
          <w:tab w:val="left" w:pos="1265"/>
        </w:tabs>
        <w:spacing w:after="0" w:line="360" w:lineRule="auto"/>
        <w:ind w:firstLine="567"/>
        <w:jc w:val="both"/>
        <w:rPr>
          <w:rFonts w:asciiTheme="majorBidi" w:hAnsiTheme="majorBidi" w:cstheme="majorBidi"/>
          <w:color w:val="0F1115"/>
        </w:rPr>
      </w:pPr>
      <w:r>
        <w:rPr>
          <w:rFonts w:asciiTheme="majorBidi" w:hAnsiTheme="majorBidi" w:cstheme="majorBidi"/>
          <w:color w:val="0F1115"/>
        </w:rPr>
        <w:t xml:space="preserve">      L'accès à une alimentation saine, sûre et nutritive, en quantité suffisante, constitue un élément essentiel à la préservation de la santé humaine ainsi qu'à la garantie d'une qualité de vie satisfaisante. Néanmoins, les aliments peuvent être exposés à divers types de dangers susceptibles d'induire des pathologies</w:t>
      </w:r>
      <w:r>
        <w:rPr>
          <w:rStyle w:val="Appelnotedebasdep"/>
          <w:rFonts w:asciiTheme="majorBidi" w:hAnsiTheme="majorBidi" w:cstheme="majorBidi"/>
          <w:color w:val="0F1115"/>
        </w:rPr>
        <w:footnoteReference w:id="144"/>
      </w:r>
      <w:r>
        <w:rPr>
          <w:rFonts w:asciiTheme="majorBidi" w:hAnsiTheme="majorBidi" w:cstheme="majorBidi"/>
          <w:color w:val="0F1115"/>
        </w:rPr>
        <w:t>. À cet égard, il est établi que les denrées insalubres contenant des agents pathogènes ou des substances dangereuses sont responsables de plus de deux cents maladies</w:t>
      </w:r>
      <w:r>
        <w:rPr>
          <w:rStyle w:val="Appelnotedebasdep"/>
          <w:rFonts w:asciiTheme="majorBidi" w:hAnsiTheme="majorBidi" w:cstheme="majorBidi"/>
          <w:color w:val="0F1115"/>
        </w:rPr>
        <w:footnoteReference w:id="145"/>
      </w:r>
      <w:r>
        <w:rPr>
          <w:rFonts w:asciiTheme="majorBidi" w:hAnsiTheme="majorBidi" w:cstheme="majorBidi"/>
          <w:color w:val="0F1115"/>
        </w:rPr>
        <w:t xml:space="preserve">, dont la gravité varie de troubles digestifs bénins, tels que la diarrhée, jusqu'à des affections graves, incluant certains cancers. </w:t>
      </w:r>
      <w:r>
        <w:rPr>
          <w:rStyle w:val="Appelnotedebasdep"/>
          <w:rFonts w:asciiTheme="majorBidi" w:hAnsiTheme="majorBidi" w:cstheme="majorBidi"/>
          <w:color w:val="0F1115"/>
        </w:rPr>
        <w:footnoteReference w:id="146"/>
      </w:r>
      <w:r>
        <w:rPr>
          <w:rFonts w:asciiTheme="majorBidi" w:hAnsiTheme="majorBidi" w:cstheme="majorBidi"/>
          <w:color w:val="0F1115"/>
        </w:rPr>
        <w:t>Dans ce contexte, une compréhe</w:t>
      </w:r>
      <w:r>
        <w:rPr>
          <w:rFonts w:asciiTheme="majorBidi" w:hAnsiTheme="majorBidi" w:cstheme="majorBidi"/>
          <w:color w:val="0F1115"/>
        </w:rPr>
        <w:t>n</w:t>
      </w:r>
      <w:r>
        <w:rPr>
          <w:rFonts w:asciiTheme="majorBidi" w:hAnsiTheme="majorBidi" w:cstheme="majorBidi"/>
          <w:color w:val="0F1115"/>
        </w:rPr>
        <w:t>sion approfondie des différents types de risques alimentaires apparaît indispensable pour en prév</w:t>
      </w:r>
      <w:r>
        <w:rPr>
          <w:rFonts w:asciiTheme="majorBidi" w:hAnsiTheme="majorBidi" w:cstheme="majorBidi"/>
          <w:color w:val="0F1115"/>
        </w:rPr>
        <w:t>e</w:t>
      </w:r>
      <w:r>
        <w:rPr>
          <w:rFonts w:asciiTheme="majorBidi" w:hAnsiTheme="majorBidi" w:cstheme="majorBidi"/>
          <w:color w:val="0F1115"/>
        </w:rPr>
        <w:t>nir l'apparition et assurer une protection efficace de la santé des consommateurs.</w:t>
      </w:r>
      <w:r>
        <w:rPr>
          <w:rStyle w:val="Appelnotedebasdep"/>
          <w:rFonts w:asciiTheme="majorBidi" w:hAnsiTheme="majorBidi" w:cstheme="majorBidi"/>
          <w:color w:val="0F1115"/>
        </w:rPr>
        <w:footnoteReference w:id="147"/>
      </w:r>
    </w:p>
    <w:p w:rsidR="00F13C9A" w:rsidRDefault="00F57DD8" w:rsidP="007A677E">
      <w:pPr>
        <w:shd w:val="clear" w:color="auto" w:fill="FFFFFF"/>
        <w:spacing w:before="172" w:after="0" w:line="360" w:lineRule="auto"/>
        <w:ind w:right="473"/>
        <w:jc w:val="both"/>
        <w:rPr>
          <w:rFonts w:asciiTheme="majorBidi" w:eastAsia="Times New Roman" w:hAnsiTheme="majorBidi" w:cstheme="majorBidi"/>
          <w:color w:val="0F1115"/>
          <w:sz w:val="24"/>
          <w:szCs w:val="24"/>
          <w:rtl/>
          <w:lang w:eastAsia="fr-FR" w:bidi="ar-DZ"/>
        </w:rPr>
      </w:pPr>
      <w:r w:rsidRPr="00D30E5E">
        <w:rPr>
          <w:rFonts w:asciiTheme="majorBidi" w:eastAsia="Times New Roman" w:hAnsiTheme="majorBidi" w:cstheme="majorBidi"/>
          <w:color w:val="0F1115"/>
          <w:sz w:val="24"/>
          <w:szCs w:val="24"/>
          <w:lang w:eastAsia="fr-FR"/>
        </w:rPr>
        <w:t xml:space="preserve">      Les risques biologiques comptent parmi les principales causes des maladies d'origine alimentaire. Ils sont généralement associés à la présence de micro-organismes pathogènes capables de se multiplier dans les aliments et de provoquer des infections ou des intoxications alimentaires. </w:t>
      </w:r>
      <w:r w:rsidRPr="00D30E5E">
        <w:rPr>
          <w:rStyle w:val="Appelnotedebasdep"/>
          <w:rFonts w:asciiTheme="majorBidi" w:hAnsiTheme="majorBidi" w:cstheme="majorBidi"/>
          <w:color w:val="0F1115"/>
          <w:sz w:val="24"/>
          <w:szCs w:val="24"/>
          <w:lang w:eastAsia="fr-FR"/>
        </w:rPr>
        <w:footnoteReference w:id="148"/>
      </w:r>
      <w:r w:rsidRPr="00D30E5E">
        <w:rPr>
          <w:rFonts w:asciiTheme="majorBidi" w:eastAsia="Times New Roman" w:hAnsiTheme="majorBidi" w:cstheme="majorBidi"/>
          <w:color w:val="0F1115"/>
          <w:sz w:val="24"/>
          <w:szCs w:val="24"/>
          <w:lang w:eastAsia="fr-FR"/>
        </w:rPr>
        <w:t>Les bactéries constituent l'une des sources les plus fréquentes de contamination. Parmi les agents pathogènes les plus connus figurent Salmonella, Campylobacter et Escherichia coli entérohémorragique, responsables chaque année de millions de cas d'infections alimentaires à l'échelle mondiale. Ces infections se manifestent habituellement par des symptômes tels que fièvre, céphalées, nausées, vomissements, douleurs abdominales et diarrhée. Les flambées de salmonellose sont fréquemment liées à la consommation d'œufs, de volailles ou d'autres produits d'origine animale contaminés. Les infections à Campylobacter résultent principalement de l'ingestion de lait cru, de volaille crue ou insuffisamment cuite, ainsi que d'eau contaminée. Les infections à Escherichia coli entérohémorragique sont quant à elles souvent associées à la consommation de</w:t>
      </w:r>
      <w:r>
        <w:rPr>
          <w:rFonts w:asciiTheme="majorBidi" w:eastAsia="Times New Roman" w:hAnsiTheme="majorBidi" w:cstheme="majorBidi"/>
          <w:color w:val="0F1115"/>
          <w:sz w:val="24"/>
          <w:szCs w:val="24"/>
          <w:lang w:eastAsia="fr-FR"/>
        </w:rPr>
        <w:t xml:space="preserve"> lait </w:t>
      </w:r>
      <w:r>
        <w:rPr>
          <w:rFonts w:asciiTheme="majorBidi" w:eastAsia="Times New Roman" w:hAnsiTheme="majorBidi" w:cstheme="majorBidi"/>
          <w:color w:val="0F1115"/>
          <w:sz w:val="24"/>
          <w:szCs w:val="24"/>
          <w:lang w:eastAsia="fr-FR"/>
        </w:rPr>
        <w:lastRenderedPageBreak/>
        <w:t>non pasteurisé, de viande insuffisamment cuite et de fruits et légumes frais contaminés. Par ailleurs, la bactérie </w:t>
      </w:r>
      <w:r>
        <w:rPr>
          <w:rFonts w:asciiTheme="majorBidi" w:eastAsia="Times New Roman" w:hAnsiTheme="majorBidi" w:cstheme="majorBidi"/>
          <w:i/>
          <w:iCs/>
          <w:color w:val="0F1115"/>
          <w:sz w:val="24"/>
          <w:szCs w:val="24"/>
          <w:lang w:eastAsia="fr-FR"/>
        </w:rPr>
        <w:t>Listeria</w:t>
      </w:r>
      <w:r>
        <w:rPr>
          <w:rFonts w:asciiTheme="majorBidi" w:eastAsia="Times New Roman" w:hAnsiTheme="majorBidi" w:cstheme="majorBidi"/>
          <w:color w:val="0F1115"/>
          <w:sz w:val="24"/>
          <w:szCs w:val="24"/>
          <w:lang w:eastAsia="fr-FR"/>
        </w:rPr>
        <w:t xml:space="preserve"> peut être à l'origine de complications </w:t>
      </w:r>
    </w:p>
    <w:p w:rsidR="00F57DD8" w:rsidRDefault="00F57DD8" w:rsidP="007A677E">
      <w:pPr>
        <w:shd w:val="clear" w:color="auto" w:fill="FFFFFF"/>
        <w:spacing w:before="172" w:after="172" w:line="360" w:lineRule="auto"/>
        <w:ind w:right="473"/>
        <w:jc w:val="both"/>
        <w:rPr>
          <w:rFonts w:asciiTheme="majorBidi" w:eastAsia="Times New Roman" w:hAnsiTheme="majorBidi" w:cstheme="majorBidi"/>
          <w:color w:val="0F1115"/>
          <w:sz w:val="24"/>
          <w:szCs w:val="24"/>
          <w:lang w:eastAsia="fr-FR"/>
        </w:rPr>
      </w:pPr>
      <w:r>
        <w:rPr>
          <w:rFonts w:asciiTheme="majorBidi" w:eastAsia="Times New Roman" w:hAnsiTheme="majorBidi" w:cstheme="majorBidi"/>
          <w:color w:val="0F1115"/>
          <w:sz w:val="24"/>
          <w:szCs w:val="24"/>
          <w:lang w:eastAsia="fr-FR"/>
        </w:rPr>
        <w:t>graves, particulièrement chez les femmes enceintes, les nourrissons et les personnes âgées, pouvant entraîner des fausses couches ou des infections sévères chez les nouveau-nés, et ce, même à des températures de réfrigération.</w:t>
      </w:r>
      <w:r>
        <w:rPr>
          <w:rStyle w:val="Appelnotedebasdep"/>
          <w:rFonts w:asciiTheme="majorBidi" w:hAnsiTheme="majorBidi" w:cstheme="majorBidi"/>
          <w:color w:val="0F1115"/>
          <w:sz w:val="24"/>
          <w:szCs w:val="24"/>
          <w:lang w:eastAsia="fr-FR"/>
        </w:rPr>
        <w:footnoteReference w:id="149"/>
      </w:r>
    </w:p>
    <w:p w:rsidR="00F57DD8" w:rsidRDefault="00F57DD8" w:rsidP="00D078FF">
      <w:pPr>
        <w:shd w:val="clear" w:color="auto" w:fill="FFFFFF"/>
        <w:spacing w:before="172" w:after="172" w:line="360" w:lineRule="auto"/>
        <w:ind w:left="360" w:right="473"/>
        <w:jc w:val="both"/>
        <w:rPr>
          <w:rFonts w:asciiTheme="majorBidi" w:eastAsia="Times New Roman" w:hAnsiTheme="majorBidi" w:cstheme="majorBidi"/>
          <w:color w:val="0F1115"/>
          <w:sz w:val="24"/>
          <w:szCs w:val="24"/>
          <w:lang w:eastAsia="fr-FR"/>
        </w:rPr>
      </w:pPr>
      <w:r>
        <w:rPr>
          <w:rFonts w:asciiTheme="majorBidi" w:eastAsia="Times New Roman" w:hAnsiTheme="majorBidi" w:cstheme="majorBidi"/>
          <w:color w:val="0F1115"/>
          <w:sz w:val="24"/>
          <w:szCs w:val="24"/>
          <w:lang w:eastAsia="fr-FR"/>
        </w:rPr>
        <w:t xml:space="preserve">     Certains virus peuvent également être transmis par l'intermédiaire d'aliments contaminés. Le norovirus constitue l'une des causes les plus fréquentes d'infections alimentaires et provoque généralement des nausées, des vomissements, des douleurs abdominales et une diarrhée aqueuse</w:t>
      </w:r>
      <w:r>
        <w:rPr>
          <w:rStyle w:val="Appelnotedebasdep"/>
          <w:rFonts w:asciiTheme="majorBidi" w:hAnsiTheme="majorBidi" w:cstheme="majorBidi"/>
          <w:color w:val="0F1115"/>
          <w:sz w:val="24"/>
          <w:szCs w:val="24"/>
          <w:lang w:eastAsia="fr-FR"/>
        </w:rPr>
        <w:footnoteReference w:id="150"/>
      </w:r>
      <w:r>
        <w:rPr>
          <w:rFonts w:asciiTheme="majorBidi" w:eastAsia="Times New Roman" w:hAnsiTheme="majorBidi" w:cstheme="majorBidi"/>
          <w:color w:val="0F1115"/>
          <w:sz w:val="24"/>
          <w:szCs w:val="24"/>
          <w:lang w:eastAsia="fr-FR"/>
        </w:rPr>
        <w:t xml:space="preserve">. De même, le virus de l'hépatite A, transmissible par des aliments contaminés tels que les fruits de mer crus ou insuffisamment cuits, peut être à l'origine de maladies hépatiques parfois prolongées. </w:t>
      </w:r>
      <w:r>
        <w:rPr>
          <w:rStyle w:val="Appelnotedebasdep"/>
          <w:rFonts w:asciiTheme="majorBidi" w:hAnsiTheme="majorBidi" w:cstheme="majorBidi"/>
          <w:color w:val="0F1115"/>
          <w:sz w:val="24"/>
          <w:szCs w:val="24"/>
          <w:lang w:eastAsia="fr-FR"/>
        </w:rPr>
        <w:footnoteReference w:id="151"/>
      </w:r>
      <w:r>
        <w:rPr>
          <w:rFonts w:asciiTheme="majorBidi" w:eastAsia="Times New Roman" w:hAnsiTheme="majorBidi" w:cstheme="majorBidi"/>
          <w:color w:val="0F1115"/>
          <w:sz w:val="24"/>
          <w:szCs w:val="24"/>
          <w:lang w:eastAsia="fr-FR"/>
        </w:rPr>
        <w:t xml:space="preserve">Les parasites représentent également un risque biologique non négligeable dans la chaîne alimentaire. </w:t>
      </w:r>
      <w:r>
        <w:rPr>
          <w:rStyle w:val="Appelnotedebasdep"/>
          <w:rFonts w:asciiTheme="majorBidi" w:hAnsiTheme="majorBidi" w:cstheme="majorBidi"/>
          <w:color w:val="0F1115"/>
          <w:sz w:val="24"/>
          <w:szCs w:val="24"/>
          <w:lang w:eastAsia="fr-FR"/>
        </w:rPr>
        <w:footnoteReference w:id="152"/>
      </w:r>
      <w:r>
        <w:rPr>
          <w:rFonts w:asciiTheme="majorBidi" w:eastAsia="Times New Roman" w:hAnsiTheme="majorBidi" w:cstheme="majorBidi"/>
          <w:color w:val="0F1115"/>
          <w:sz w:val="24"/>
          <w:szCs w:val="24"/>
          <w:lang w:eastAsia="fr-FR"/>
        </w:rPr>
        <w:t>Certains d'entre eux sont transmis exclusivement par l'alimentation, à l'image des trématodes présents dans certains poissons. D'autres, comme </w:t>
      </w:r>
      <w:r w:rsidRPr="009F6DF2">
        <w:rPr>
          <w:rFonts w:asciiTheme="majorBidi" w:eastAsia="Times New Roman" w:hAnsiTheme="majorBidi" w:cstheme="majorBidi"/>
          <w:color w:val="0F1115"/>
          <w:sz w:val="24"/>
          <w:szCs w:val="24"/>
          <w:lang w:eastAsia="fr-FR"/>
        </w:rPr>
        <w:t>Echinococcus spp. ou Taenia spp., peuvent infecter l'être humain par la consommation d'aliments contaminés ou par contact avec des animaux. D'autres encore, tels que Ascaris, Cryptosporidium, Entamoeba histolytica et Giardia,</w:t>
      </w:r>
      <w:r>
        <w:rPr>
          <w:rFonts w:asciiTheme="majorBidi" w:eastAsia="Times New Roman" w:hAnsiTheme="majorBidi" w:cstheme="majorBidi"/>
          <w:color w:val="0F1115"/>
          <w:sz w:val="24"/>
          <w:szCs w:val="24"/>
          <w:lang w:eastAsia="fr-FR"/>
        </w:rPr>
        <w:t xml:space="preserve"> peuvent contaminer les aliments via l'eau ou le sol. Enfin, les prions constituent des agents infectieux particuliers, exclusivement composés de protéines, associés à certaines maladies neurodégénératives. L'exemple le plus emblématique est celui de l'encéphalopathie spongiforme bovine (ESB), communément appelée « maladie de la vache folle », qui peut être transmise à l'être humain par la consommation de produits carnés contaminés.</w:t>
      </w:r>
    </w:p>
    <w:p w:rsidR="00F13C9A" w:rsidRDefault="00F57DD8" w:rsidP="007A677E">
      <w:pPr>
        <w:shd w:val="clear" w:color="auto" w:fill="FFFFFF"/>
        <w:spacing w:before="172" w:after="172" w:line="360" w:lineRule="auto"/>
        <w:ind w:left="360" w:right="473"/>
        <w:jc w:val="both"/>
        <w:rPr>
          <w:rFonts w:asciiTheme="majorBidi" w:eastAsia="Times New Roman" w:hAnsiTheme="majorBidi" w:cstheme="majorBidi"/>
          <w:color w:val="0F1115"/>
          <w:sz w:val="24"/>
          <w:szCs w:val="24"/>
          <w:rtl/>
          <w:lang w:eastAsia="fr-FR" w:bidi="ar-DZ"/>
        </w:rPr>
      </w:pPr>
      <w:r>
        <w:rPr>
          <w:rFonts w:asciiTheme="majorBidi" w:eastAsia="Times New Roman" w:hAnsiTheme="majorBidi" w:cstheme="majorBidi"/>
          <w:color w:val="0F1115"/>
          <w:sz w:val="24"/>
          <w:szCs w:val="24"/>
          <w:lang w:eastAsia="fr-FR"/>
        </w:rPr>
        <w:t xml:space="preserve">       Les risques chimiques résultent quant à eux de la présence de substances toxiques ou de contaminants chimiques dans les aliments, lesquels peuvent provenir de l'environnement, des procédés industriels ou encore de certaines pratiques </w:t>
      </w:r>
    </w:p>
    <w:p w:rsidR="00F13C9A" w:rsidRDefault="00F57DD8" w:rsidP="00D078FF">
      <w:pPr>
        <w:shd w:val="clear" w:color="auto" w:fill="FFFFFF"/>
        <w:spacing w:before="172" w:after="172" w:line="360" w:lineRule="auto"/>
        <w:ind w:left="360" w:right="473"/>
        <w:jc w:val="both"/>
        <w:rPr>
          <w:rFonts w:asciiTheme="majorBidi" w:eastAsia="Times New Roman" w:hAnsiTheme="majorBidi" w:cstheme="majorBidi"/>
          <w:color w:val="0F1115"/>
          <w:sz w:val="24"/>
          <w:szCs w:val="24"/>
          <w:lang w:eastAsia="fr-FR"/>
        </w:rPr>
      </w:pPr>
      <w:r>
        <w:rPr>
          <w:rFonts w:asciiTheme="majorBidi" w:eastAsia="Times New Roman" w:hAnsiTheme="majorBidi" w:cstheme="majorBidi"/>
          <w:color w:val="0F1115"/>
          <w:sz w:val="24"/>
          <w:szCs w:val="24"/>
          <w:lang w:eastAsia="fr-FR"/>
        </w:rPr>
        <w:t xml:space="preserve">agricoles. Les toxines naturelles comprennent notamment les mycotoxines, les biotoxines marines, les glycosides cyanogènes ainsi que certaines toxines présentes </w:t>
      </w:r>
    </w:p>
    <w:p w:rsidR="00F57DD8" w:rsidRDefault="00F57DD8" w:rsidP="00D078FF">
      <w:pPr>
        <w:shd w:val="clear" w:color="auto" w:fill="FFFFFF"/>
        <w:spacing w:before="172" w:after="172" w:line="360" w:lineRule="auto"/>
        <w:ind w:left="360" w:right="473"/>
        <w:jc w:val="both"/>
        <w:rPr>
          <w:rFonts w:asciiTheme="majorBidi" w:eastAsia="Times New Roman" w:hAnsiTheme="majorBidi" w:cstheme="majorBidi"/>
          <w:color w:val="0F1115"/>
          <w:sz w:val="24"/>
          <w:szCs w:val="24"/>
          <w:lang w:eastAsia="fr-FR"/>
        </w:rPr>
      </w:pPr>
      <w:r>
        <w:rPr>
          <w:rFonts w:asciiTheme="majorBidi" w:eastAsia="Times New Roman" w:hAnsiTheme="majorBidi" w:cstheme="majorBidi"/>
          <w:color w:val="0F1115"/>
          <w:sz w:val="24"/>
          <w:szCs w:val="24"/>
          <w:lang w:eastAsia="fr-FR"/>
        </w:rPr>
        <w:lastRenderedPageBreak/>
        <w:t>dans les champignons vénéneux. Les céréales et le maïs peuvent contenir des niveaux élevés de mycotoxines, telles que l'aflatoxine ou l'ochratoxine, produites par des moisissures se développant sur les grains. Une exposition prolongée à ces substances est susceptible de perturber le système immunitaire, d'affecter le développement de l'organisme et d'accroître le risque de survenue de cancers. Les polluants organiques persistants (POP) constituent une autre catégorie de contaminants chimiques. Parmi les plus connus figurent les dioxines et les polychlorobiphényles, qui sont des sous-produits issus de certains procédés industriels ou de l'incinération des déchets. Ces substances ont la capacité de s'accumuler dans l'environnement ainsi que dans la chaîne alimentaire et peuvent provoquer divers problèmes de santé, notamment des troubles endocriniens, des atteintes du système immunitaire ou encore certains cancers.</w:t>
      </w:r>
      <w:r>
        <w:rPr>
          <w:rStyle w:val="Appelnotedebasdep"/>
          <w:rFonts w:asciiTheme="majorBidi" w:hAnsiTheme="majorBidi" w:cstheme="majorBidi"/>
          <w:color w:val="0F1115"/>
          <w:sz w:val="24"/>
          <w:szCs w:val="24"/>
          <w:lang w:eastAsia="fr-FR"/>
        </w:rPr>
        <w:footnoteReference w:id="153"/>
      </w:r>
      <w:r>
        <w:rPr>
          <w:rFonts w:asciiTheme="majorBidi" w:eastAsia="Times New Roman" w:hAnsiTheme="majorBidi" w:cstheme="majorBidi"/>
          <w:color w:val="0F1115"/>
          <w:sz w:val="24"/>
          <w:szCs w:val="24"/>
          <w:lang w:eastAsia="fr-FR"/>
        </w:rPr>
        <w:t xml:space="preserve"> Par ailleurs, les métaux lourds, tels que le plomb, le cadmium et le mercure, peuvent contaminer les aliments à la suite de la pollution de l'air</w:t>
      </w:r>
      <w:r>
        <w:rPr>
          <w:rStyle w:val="Appelnotedebasdep"/>
          <w:rFonts w:asciiTheme="majorBidi" w:hAnsiTheme="majorBidi" w:cstheme="majorBidi"/>
          <w:color w:val="0F1115"/>
          <w:sz w:val="24"/>
          <w:szCs w:val="24"/>
          <w:lang w:eastAsia="fr-FR"/>
        </w:rPr>
        <w:footnoteReference w:id="154"/>
      </w:r>
      <w:r>
        <w:rPr>
          <w:rFonts w:asciiTheme="majorBidi" w:eastAsia="Times New Roman" w:hAnsiTheme="majorBidi" w:cstheme="majorBidi"/>
          <w:color w:val="0F1115"/>
          <w:sz w:val="24"/>
          <w:szCs w:val="24"/>
          <w:lang w:eastAsia="fr-FR"/>
        </w:rPr>
        <w:t xml:space="preserve">, de l'eau et des sols, et sont susceptibles d'induire des lésions neurologiques ou rénales chez l'être humain. </w:t>
      </w:r>
      <w:r>
        <w:rPr>
          <w:rStyle w:val="Appelnotedebasdep"/>
          <w:rFonts w:asciiTheme="majorBidi" w:hAnsiTheme="majorBidi" w:cstheme="majorBidi"/>
          <w:color w:val="0F1115"/>
          <w:sz w:val="24"/>
          <w:szCs w:val="24"/>
          <w:lang w:eastAsia="fr-FR"/>
        </w:rPr>
        <w:footnoteReference w:id="155"/>
      </w:r>
      <w:r>
        <w:rPr>
          <w:rFonts w:asciiTheme="majorBidi" w:eastAsia="Times New Roman" w:hAnsiTheme="majorBidi" w:cstheme="majorBidi"/>
          <w:color w:val="0F1115"/>
          <w:sz w:val="24"/>
          <w:szCs w:val="24"/>
          <w:lang w:eastAsia="fr-FR"/>
        </w:rPr>
        <w:t>D'autres risques chimiques peuvent également être liés à la présence de nucléotides radioactifs, d'allergènes alimentaires, de résidus de médicaments vétérinaires ou d'autres contaminants susceptibles d'être incorporés dans les denrées.</w:t>
      </w:r>
      <w:r>
        <w:rPr>
          <w:rStyle w:val="Appelnotedebasdep"/>
          <w:rFonts w:asciiTheme="majorBidi" w:hAnsiTheme="majorBidi" w:cstheme="majorBidi"/>
          <w:color w:val="0F1115"/>
          <w:sz w:val="24"/>
          <w:szCs w:val="24"/>
          <w:lang w:eastAsia="fr-FR"/>
        </w:rPr>
        <w:footnoteReference w:id="156"/>
      </w:r>
    </w:p>
    <w:p w:rsidR="00F13C9A" w:rsidRDefault="00F57DD8" w:rsidP="007A677E">
      <w:pPr>
        <w:shd w:val="clear" w:color="auto" w:fill="FFFFFF"/>
        <w:spacing w:before="172" w:after="172" w:line="360" w:lineRule="auto"/>
        <w:ind w:left="360" w:right="473"/>
        <w:jc w:val="both"/>
        <w:rPr>
          <w:rFonts w:asciiTheme="majorBidi" w:eastAsia="Times New Roman" w:hAnsiTheme="majorBidi" w:cstheme="majorBidi"/>
          <w:color w:val="0F1115"/>
          <w:sz w:val="24"/>
          <w:szCs w:val="24"/>
          <w:rtl/>
          <w:lang w:eastAsia="fr-FR" w:bidi="ar-DZ"/>
        </w:rPr>
      </w:pPr>
      <w:r>
        <w:rPr>
          <w:rFonts w:asciiTheme="majorBidi" w:eastAsia="Times New Roman" w:hAnsiTheme="majorBidi" w:cstheme="majorBidi"/>
          <w:color w:val="0F1115"/>
          <w:sz w:val="24"/>
          <w:szCs w:val="24"/>
          <w:lang w:eastAsia="fr-FR"/>
        </w:rPr>
        <w:t xml:space="preserve">       Enfin, les risques physiques correspondent à la présence de corps étrangers dans les aliments, pouvant provoquer des blessures lors de leur consommation. Ces contaminants peuvent apparaître à différentes étapes de la chaîne alimentaire, notamment lors de la production, de la transformation ou du conditionnement des denrées. Les contaminants physiques les plus fréquents sont les fragments de verre, les morceaux de métal, les éclats de plastique, les pierres ou encore les fragments </w:t>
      </w:r>
    </w:p>
    <w:p w:rsidR="00F57DD8" w:rsidRDefault="00F57DD8" w:rsidP="00D078FF">
      <w:pPr>
        <w:shd w:val="clear" w:color="auto" w:fill="FFFFFF"/>
        <w:spacing w:before="172" w:after="172" w:line="360" w:lineRule="auto"/>
        <w:ind w:left="360" w:right="473"/>
        <w:jc w:val="both"/>
        <w:rPr>
          <w:rFonts w:asciiTheme="majorBidi" w:eastAsia="Times New Roman" w:hAnsiTheme="majorBidi" w:cstheme="majorBidi"/>
          <w:color w:val="0F1115"/>
          <w:sz w:val="24"/>
          <w:szCs w:val="24"/>
          <w:lang w:eastAsia="fr-FR"/>
        </w:rPr>
      </w:pPr>
      <w:r>
        <w:rPr>
          <w:rFonts w:asciiTheme="majorBidi" w:eastAsia="Times New Roman" w:hAnsiTheme="majorBidi" w:cstheme="majorBidi"/>
          <w:color w:val="0F1115"/>
          <w:sz w:val="24"/>
          <w:szCs w:val="24"/>
          <w:lang w:eastAsia="fr-FR"/>
        </w:rPr>
        <w:t>d'os. Leur présence dans les aliments peut être à l'origine de blessures dans la cavité buccale, de lésions dentaires ou de troubles digestifs.</w:t>
      </w:r>
    </w:p>
    <w:p w:rsidR="00F57DD8" w:rsidRDefault="006231FA" w:rsidP="00D078FF">
      <w:pPr>
        <w:pStyle w:val="Titre4"/>
        <w:spacing w:line="360" w:lineRule="auto"/>
        <w:jc w:val="both"/>
        <w:rPr>
          <w:lang w:eastAsia="fr-FR"/>
        </w:rPr>
      </w:pPr>
      <w:bookmarkStart w:id="161" w:name="_Toc230558670"/>
      <w:bookmarkStart w:id="162" w:name="_Toc230900304"/>
      <w:r>
        <w:rPr>
          <w:rFonts w:hint="cs"/>
          <w:rtl/>
          <w:lang w:eastAsia="fr-FR" w:bidi="ar-DZ"/>
        </w:rPr>
        <w:t>.</w:t>
      </w:r>
      <w:r w:rsidRPr="006231FA">
        <w:rPr>
          <w:rFonts w:ascii="Times New Roman" w:hAnsi="Times New Roman"/>
          <w:b/>
          <w:bCs/>
          <w:i w:val="0"/>
          <w:iCs w:val="0"/>
          <w:color w:val="auto"/>
          <w:sz w:val="24"/>
          <w:szCs w:val="24"/>
          <w:rtl/>
          <w:lang w:eastAsia="fr-FR" w:bidi="ar-DZ"/>
        </w:rPr>
        <w:t>2.3</w:t>
      </w:r>
      <w:r w:rsidR="00F57DD8" w:rsidRPr="006231FA">
        <w:rPr>
          <w:rFonts w:ascii="Times New Roman" w:hAnsi="Times New Roman"/>
          <w:b/>
          <w:bCs/>
          <w:i w:val="0"/>
          <w:iCs w:val="0"/>
          <w:color w:val="auto"/>
          <w:sz w:val="24"/>
          <w:szCs w:val="24"/>
          <w:lang w:eastAsia="fr-FR"/>
        </w:rPr>
        <w:t>Les risques liés aux produits alimentaires conventionnels</w:t>
      </w:r>
      <w:bookmarkEnd w:id="161"/>
      <w:bookmarkEnd w:id="162"/>
    </w:p>
    <w:p w:rsidR="00F57DD8" w:rsidRDefault="00F57DD8" w:rsidP="00D078FF">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Les produits alimentaires conventionnels présentent plusieurs types de risques pour la santé humaine, principalement des risques microbiologiques et chimiques. En effet, ils </w:t>
      </w:r>
      <w:r>
        <w:rPr>
          <w:rFonts w:ascii="Times New Roman" w:eastAsia="Times New Roman" w:hAnsi="Times New Roman" w:cs="Times New Roman"/>
          <w:sz w:val="24"/>
          <w:szCs w:val="24"/>
          <w:lang w:eastAsia="fr-FR"/>
        </w:rPr>
        <w:lastRenderedPageBreak/>
        <w:t>peuvent être contaminés par des agents pathogènes tels que Salmonella ou Escherichia coli, responsables de maladies d’origine alimentaire.</w:t>
      </w:r>
    </w:p>
    <w:p w:rsidR="00F57DD8" w:rsidRDefault="00F57DD8" w:rsidP="00D078FF">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Sur le plan chimique, ces produits peuvent contenir des résidus de pesticides, des métaux lourds ainsi que des additifs alimentaires utilisés au cours des différentes étapes de production et de conservation.</w:t>
      </w:r>
      <w:r>
        <w:rPr>
          <w:rStyle w:val="Appelnotedebasdep"/>
          <w:rFonts w:ascii="Times New Roman" w:hAnsi="Times New Roman"/>
          <w:sz w:val="24"/>
          <w:szCs w:val="24"/>
          <w:lang w:eastAsia="fr-FR"/>
        </w:rPr>
        <w:footnoteReference w:id="157"/>
      </w:r>
    </w:p>
    <w:p w:rsidR="00F57DD8" w:rsidRDefault="00F57DD8" w:rsidP="00D078FF">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L’utilisation intensive de pesticides dans l’agriculture conventionnelle entraîne ainsi une exposition des consommateurs à ces substances via l’alimentation</w:t>
      </w:r>
      <w:r>
        <w:rPr>
          <w:rStyle w:val="Appelnotedebasdep"/>
          <w:rFonts w:ascii="Times New Roman" w:hAnsi="Times New Roman"/>
          <w:sz w:val="24"/>
          <w:szCs w:val="24"/>
          <w:lang w:eastAsia="fr-FR"/>
        </w:rPr>
        <w:footnoteReference w:id="158"/>
      </w:r>
      <w:r>
        <w:rPr>
          <w:rFonts w:ascii="Times New Roman" w:eastAsia="Times New Roman" w:hAnsi="Times New Roman" w:cs="Times New Roman"/>
          <w:sz w:val="24"/>
          <w:szCs w:val="24"/>
          <w:lang w:eastAsia="fr-FR"/>
        </w:rPr>
        <w:t>, bien que les niveaux observés restent généralement inférieurs aux limites admissibles</w:t>
      </w:r>
      <w:r>
        <w:rPr>
          <w:rStyle w:val="Appelnotedebasdep"/>
          <w:rFonts w:ascii="Times New Roman" w:hAnsi="Times New Roman"/>
          <w:sz w:val="24"/>
          <w:szCs w:val="24"/>
          <w:lang w:eastAsia="fr-FR"/>
        </w:rPr>
        <w:footnoteReference w:id="159"/>
      </w:r>
    </w:p>
    <w:p w:rsidR="00F57DD8" w:rsidRDefault="00F57DD8" w:rsidP="00D078FF">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Par ailleurs, certaines études ont évoqué une possible association entre l’exposition aux pesticides et certains effets sur la santé, tels que des anomalies du développement comme l’hypospadias. Toutefois, les résultats scientifiques restent non concluants et ne permettent pas d’établir un lien de causalité direct </w:t>
      </w:r>
      <w:r>
        <w:rPr>
          <w:rStyle w:val="Appelnotedebasdep"/>
          <w:rFonts w:ascii="Times New Roman" w:hAnsi="Times New Roman"/>
          <w:sz w:val="24"/>
          <w:szCs w:val="24"/>
          <w:lang w:eastAsia="fr-FR"/>
        </w:rPr>
        <w:footnoteReference w:id="160"/>
      </w:r>
    </w:p>
    <w:p w:rsidR="00F57DD8" w:rsidRDefault="00F57DD8" w:rsidP="00D078FF">
      <w:pPr>
        <w:spacing w:after="0" w:line="360" w:lineRule="auto"/>
        <w:ind w:left="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En outre, les produits conventionnels peuvent également être exposés à des risques liés à la fraude alimentaire, aux erreurs d’étiquetage ou à des conditions de stockage inadéquates</w:t>
      </w:r>
      <w:r>
        <w:rPr>
          <w:rStyle w:val="Appelnotedebasdep"/>
          <w:rFonts w:ascii="Times New Roman" w:hAnsi="Times New Roman"/>
          <w:sz w:val="24"/>
          <w:szCs w:val="24"/>
          <w:lang w:eastAsia="fr-FR"/>
        </w:rPr>
        <w:footnoteReference w:id="161"/>
      </w:r>
      <w:r>
        <w:rPr>
          <w:rFonts w:ascii="Times New Roman" w:eastAsia="Times New Roman" w:hAnsi="Times New Roman" w:cs="Times New Roman"/>
          <w:sz w:val="24"/>
          <w:szCs w:val="24"/>
          <w:lang w:eastAsia="fr-FR"/>
        </w:rPr>
        <w:t xml:space="preserve">, augmentant ainsi les risques pour le consommateur </w:t>
      </w:r>
      <w:r>
        <w:rPr>
          <w:rStyle w:val="Appelnotedebasdep"/>
          <w:rFonts w:ascii="Times New Roman" w:hAnsi="Times New Roman"/>
          <w:sz w:val="24"/>
          <w:szCs w:val="24"/>
          <w:lang w:eastAsia="fr-FR"/>
        </w:rPr>
        <w:footnoteReference w:id="162"/>
      </w:r>
    </w:p>
    <w:p w:rsidR="00F57DD8" w:rsidRDefault="00F57DD8" w:rsidP="00D078FF">
      <w:pPr>
        <w:spacing w:after="0" w:line="360" w:lineRule="auto"/>
        <w:ind w:left="360"/>
        <w:jc w:val="both"/>
        <w:rPr>
          <w:lang w:eastAsia="fr-FR"/>
        </w:rPr>
      </w:pPr>
      <w:r>
        <w:rPr>
          <w:rFonts w:ascii="Times New Roman" w:eastAsia="Times New Roman" w:hAnsi="Times New Roman" w:cs="Times New Roman"/>
          <w:sz w:val="24"/>
          <w:szCs w:val="24"/>
          <w:lang w:eastAsia="fr-FR"/>
        </w:rPr>
        <w:t xml:space="preserve">       Enfin, certaines études n’ont pas mis en évidence d’effet significatif de l’exposition aux pesticides sur des paramètres de santé spécifiques, tels que la qualité du sperme, ce qui souligne le caractère encore incertain de certaines relations entre exposition et effets sanitaires </w:t>
      </w:r>
    </w:p>
    <w:p w:rsidR="00F57DD8" w:rsidRPr="006231FA" w:rsidRDefault="00F45722" w:rsidP="00D078FF">
      <w:pPr>
        <w:pStyle w:val="Titre4"/>
        <w:spacing w:line="360" w:lineRule="auto"/>
        <w:jc w:val="both"/>
        <w:rPr>
          <w:rFonts w:ascii="Times New Roman" w:hAnsi="Times New Roman"/>
          <w:b/>
          <w:bCs/>
          <w:i w:val="0"/>
          <w:iCs w:val="0"/>
          <w:color w:val="auto"/>
          <w:sz w:val="24"/>
          <w:szCs w:val="24"/>
          <w:lang w:eastAsia="fr-FR"/>
        </w:rPr>
      </w:pPr>
      <w:bookmarkStart w:id="163" w:name="_Toc230558671"/>
      <w:bookmarkStart w:id="164" w:name="_Toc230900305"/>
      <w:r w:rsidRPr="006231FA">
        <w:rPr>
          <w:rFonts w:ascii="Times New Roman" w:hAnsi="Times New Roman"/>
          <w:b/>
          <w:bCs/>
          <w:i w:val="0"/>
          <w:iCs w:val="0"/>
          <w:color w:val="auto"/>
          <w:sz w:val="24"/>
          <w:szCs w:val="24"/>
          <w:lang w:eastAsia="fr-FR"/>
        </w:rPr>
        <w:lastRenderedPageBreak/>
        <w:t>2.</w:t>
      </w:r>
      <w:r w:rsidR="006231FA" w:rsidRPr="006231FA">
        <w:rPr>
          <w:rFonts w:ascii="Times New Roman" w:hAnsi="Times New Roman"/>
          <w:b/>
          <w:bCs/>
          <w:i w:val="0"/>
          <w:iCs w:val="0"/>
          <w:color w:val="auto"/>
          <w:sz w:val="24"/>
          <w:szCs w:val="24"/>
          <w:rtl/>
          <w:lang w:eastAsia="fr-FR" w:bidi="ar-DZ"/>
        </w:rPr>
        <w:t>4</w:t>
      </w:r>
      <w:r w:rsidRPr="006231FA">
        <w:rPr>
          <w:rFonts w:ascii="Times New Roman" w:hAnsi="Times New Roman"/>
          <w:b/>
          <w:bCs/>
          <w:i w:val="0"/>
          <w:iCs w:val="0"/>
          <w:color w:val="auto"/>
          <w:sz w:val="24"/>
          <w:szCs w:val="24"/>
          <w:lang w:eastAsia="fr-FR"/>
        </w:rPr>
        <w:t>. </w:t>
      </w:r>
      <w:r w:rsidR="00F57DD8" w:rsidRPr="006231FA">
        <w:rPr>
          <w:rFonts w:ascii="Times New Roman" w:hAnsi="Times New Roman"/>
          <w:b/>
          <w:bCs/>
          <w:i w:val="0"/>
          <w:iCs w:val="0"/>
          <w:color w:val="auto"/>
          <w:sz w:val="24"/>
          <w:szCs w:val="24"/>
          <w:lang w:eastAsia="fr-FR"/>
        </w:rPr>
        <w:t>Les risques potentiels dans les produits biologiques</w:t>
      </w:r>
      <w:bookmarkEnd w:id="163"/>
      <w:bookmarkEnd w:id="164"/>
    </w:p>
    <w:p w:rsidR="00F57DD8" w:rsidRDefault="00F57DD8" w:rsidP="00D078FF">
      <w:pPr>
        <w:pStyle w:val="NormalWeb"/>
        <w:spacing w:line="360" w:lineRule="auto"/>
        <w:jc w:val="both"/>
      </w:pPr>
      <w:r>
        <w:t xml:space="preserve">        L’évaluation des risques biologiques constitue une démarche méthodique visant à ident</w:t>
      </w:r>
      <w:r>
        <w:t>i</w:t>
      </w:r>
      <w:r>
        <w:t>fier les dangers potentiels, à estimer leur probabilité de survenue ainsi que la gravité de leurs effets néfastes sur la santé humaine ou l’environnement, en lien avec une utilisation spéc</w:t>
      </w:r>
      <w:r>
        <w:t>i</w:t>
      </w:r>
      <w:r>
        <w:t>fique d’un organisme génétiquement modifié (OGM) ou d’un agent pathogène. Lorsqu’un risque est confirmé, cette analyse conduit à la mise en place de mesures de prévention et de contrôle adaptées.</w:t>
      </w:r>
      <w:r>
        <w:rPr>
          <w:rStyle w:val="Appelnotedebasdep"/>
        </w:rPr>
        <w:footnoteReference w:id="163"/>
      </w:r>
    </w:p>
    <w:p w:rsidR="00F13C9A" w:rsidRDefault="00F57DD8" w:rsidP="00D078FF">
      <w:pPr>
        <w:spacing w:after="0" w:line="360" w:lineRule="auto"/>
        <w:jc w:val="both"/>
        <w:rPr>
          <w:rFonts w:ascii="markup-quote" w:eastAsia="Times New Roman" w:hAnsi="markup-quote" w:cs="Times New Roman"/>
          <w:sz w:val="24"/>
          <w:szCs w:val="24"/>
          <w:lang w:eastAsia="fr-FR"/>
        </w:rPr>
      </w:pPr>
      <w:r>
        <w:rPr>
          <w:rFonts w:ascii="markup-quote" w:eastAsia="Times New Roman" w:hAnsi="markup-quote" w:cs="Times New Roman"/>
          <w:sz w:val="24"/>
          <w:szCs w:val="24"/>
          <w:lang w:eastAsia="fr-FR"/>
        </w:rPr>
        <w:t xml:space="preserve">       Selon l’Organisation des Nations Unies pour l’alimentation et l’agriculture, les produits alimentaires biologiques, bien qu’ils reposent sur un mode de production visant à limiter l’utilisation de substances chimiques de synthèse et à privilégier des pratiques naturelles, ne sont pas exempts de risques en matière de sécurité sanitaire des aliments. Ces produits peuvent être exposés à des dangers microbiologiques, notamment en raison de l’utilisation d’engrais organiques tels que le fumier animal ou végétal, qui peuvent contenir des micro-organismes pathogènes s’ils ne sont pas correctement traités, compostés ou manipulés avant leur application agricole</w:t>
      </w:r>
      <w:r>
        <w:rPr>
          <w:rStyle w:val="Appelnotedebasdep"/>
          <w:rFonts w:ascii="markup-quote" w:hAnsi="markup-quote"/>
          <w:sz w:val="24"/>
          <w:szCs w:val="24"/>
          <w:lang w:eastAsia="fr-FR"/>
        </w:rPr>
        <w:footnoteReference w:id="164"/>
      </w:r>
      <w:r>
        <w:rPr>
          <w:rFonts w:ascii="markup-quote" w:eastAsia="Times New Roman" w:hAnsi="markup-quote" w:cs="Times New Roman"/>
          <w:sz w:val="24"/>
          <w:szCs w:val="24"/>
          <w:lang w:eastAsia="fr-FR"/>
        </w:rPr>
        <w:t xml:space="preserve">. Par ailleurs, des risques d’origine environnementale peuvent </w:t>
      </w:r>
    </w:p>
    <w:p w:rsidR="00F13C9A" w:rsidRDefault="00F13C9A" w:rsidP="00D078FF">
      <w:pPr>
        <w:spacing w:after="0" w:line="360" w:lineRule="auto"/>
        <w:jc w:val="both"/>
        <w:rPr>
          <w:rFonts w:ascii="markup-quote" w:eastAsia="Times New Roman" w:hAnsi="markup-quote" w:cs="Times New Roman"/>
          <w:sz w:val="24"/>
          <w:szCs w:val="24"/>
          <w:lang w:eastAsia="fr-FR"/>
        </w:rPr>
      </w:pPr>
    </w:p>
    <w:p w:rsidR="00F57DD8" w:rsidRDefault="00F57DD8" w:rsidP="00D078FF">
      <w:pPr>
        <w:spacing w:after="0" w:line="360" w:lineRule="auto"/>
        <w:jc w:val="both"/>
        <w:rPr>
          <w:rFonts w:ascii="Times New Roman" w:eastAsia="Times New Roman" w:hAnsi="Times New Roman" w:cs="Times New Roman"/>
          <w:sz w:val="24"/>
          <w:szCs w:val="24"/>
          <w:lang w:eastAsia="fr-FR"/>
        </w:rPr>
      </w:pPr>
      <w:r>
        <w:rPr>
          <w:rFonts w:ascii="markup-quote" w:eastAsia="Times New Roman" w:hAnsi="markup-quote" w:cs="Times New Roman"/>
          <w:sz w:val="24"/>
          <w:szCs w:val="24"/>
          <w:lang w:eastAsia="fr-FR"/>
        </w:rPr>
        <w:t>également être présents</w:t>
      </w:r>
      <w:r>
        <w:rPr>
          <w:rStyle w:val="Appelnotedebasdep"/>
          <w:rFonts w:ascii="markup-quote" w:hAnsi="markup-quote"/>
          <w:sz w:val="24"/>
          <w:szCs w:val="24"/>
          <w:lang w:eastAsia="fr-FR"/>
        </w:rPr>
        <w:footnoteReference w:id="165"/>
      </w:r>
      <w:r>
        <w:rPr>
          <w:rFonts w:ascii="markup-quote" w:eastAsia="Times New Roman" w:hAnsi="markup-quote" w:cs="Times New Roman"/>
          <w:sz w:val="24"/>
          <w:szCs w:val="24"/>
          <w:lang w:eastAsia="fr-FR"/>
        </w:rPr>
        <w:t>, liés à la contamination des sols et des eaux par diverses sources</w:t>
      </w:r>
      <w:r>
        <w:rPr>
          <w:rStyle w:val="Appelnotedebasdep"/>
          <w:rFonts w:ascii="markup-quote" w:hAnsi="markup-quote"/>
          <w:sz w:val="24"/>
          <w:szCs w:val="24"/>
          <w:lang w:eastAsia="fr-FR"/>
        </w:rPr>
        <w:footnoteReference w:id="166"/>
      </w:r>
      <w:r>
        <w:rPr>
          <w:rFonts w:ascii="markup-quote" w:eastAsia="Times New Roman" w:hAnsi="markup-quote" w:cs="Times New Roman"/>
          <w:sz w:val="24"/>
          <w:szCs w:val="24"/>
          <w:lang w:eastAsia="fr-FR"/>
        </w:rPr>
        <w:t xml:space="preserve">, ce </w:t>
      </w:r>
      <w:r w:rsidRPr="006231FA">
        <w:rPr>
          <w:rFonts w:ascii="Times New Roman" w:eastAsia="Times New Roman" w:hAnsi="Times New Roman" w:cs="Times New Roman"/>
          <w:sz w:val="24"/>
          <w:szCs w:val="24"/>
          <w:lang w:eastAsia="fr-FR"/>
        </w:rPr>
        <w:t>qui peut entraîner la présence de contaminants dans les denrées alimentaires tout au long de la</w:t>
      </w:r>
      <w:r>
        <w:rPr>
          <w:rFonts w:ascii="markup-quote" w:eastAsia="Times New Roman" w:hAnsi="markup-quote" w:cs="Times New Roman"/>
          <w:sz w:val="24"/>
          <w:szCs w:val="24"/>
          <w:lang w:eastAsia="fr-FR"/>
        </w:rPr>
        <w:t xml:space="preserve"> chaîne de production. En outre, les systèmes de production biologique, caractérisés par une réduction des procédés de transformation et de conservation industrielle, peuvent rendre ces produits plus sensibles à la détérioration et au développement microbien durant les étapes de stockage, de transport et de distribution, en particulier lorsque les conditions d’hygiène et de conservation ne sont pas strictement respectées. Dans ce contexte, la FAO souligne l’importance de l’application de bonnes pratiques agricoles et d’hygiène à toutes les étapes de la chaîne alimentaire, ainsi que la mise en place de systèmes de contrôle et de gestion des </w:t>
      </w:r>
      <w:r>
        <w:rPr>
          <w:rFonts w:ascii="markup-quote" w:eastAsia="Times New Roman" w:hAnsi="markup-quote" w:cs="Times New Roman"/>
          <w:sz w:val="24"/>
          <w:szCs w:val="24"/>
          <w:lang w:eastAsia="fr-FR"/>
        </w:rPr>
        <w:lastRenderedPageBreak/>
        <w:t>risques afin de garantir la sécurité sanitaire des produits biologiques et de protéger la santé des consommateurs.</w:t>
      </w:r>
      <w:r>
        <w:rPr>
          <w:rStyle w:val="Appelnotedebasdep"/>
          <w:rFonts w:ascii="markup-quote" w:hAnsi="markup-quote"/>
          <w:sz w:val="24"/>
          <w:szCs w:val="24"/>
          <w:lang w:eastAsia="fr-FR"/>
        </w:rPr>
        <w:footnoteReference w:id="167"/>
      </w:r>
    </w:p>
    <w:p w:rsidR="00F57DD8" w:rsidRPr="006231FA" w:rsidRDefault="00F45722" w:rsidP="00D078FF">
      <w:pPr>
        <w:pStyle w:val="Titre4"/>
        <w:spacing w:line="360" w:lineRule="auto"/>
        <w:jc w:val="both"/>
        <w:rPr>
          <w:rFonts w:ascii="Times New Roman" w:hAnsi="Times New Roman"/>
          <w:b/>
          <w:bCs/>
          <w:i w:val="0"/>
          <w:iCs w:val="0"/>
          <w:color w:val="auto"/>
          <w:sz w:val="24"/>
          <w:szCs w:val="24"/>
        </w:rPr>
      </w:pPr>
      <w:bookmarkStart w:id="165" w:name="_Toc230558672"/>
      <w:bookmarkStart w:id="166" w:name="_Toc230900306"/>
      <w:r w:rsidRPr="006231FA">
        <w:rPr>
          <w:rFonts w:ascii="Times New Roman" w:hAnsi="Times New Roman"/>
          <w:b/>
          <w:bCs/>
          <w:i w:val="0"/>
          <w:iCs w:val="0"/>
          <w:color w:val="auto"/>
          <w:sz w:val="24"/>
          <w:szCs w:val="24"/>
        </w:rPr>
        <w:t>2.</w:t>
      </w:r>
      <w:r w:rsidR="006231FA" w:rsidRPr="006231FA">
        <w:rPr>
          <w:rFonts w:ascii="Times New Roman" w:hAnsi="Times New Roman"/>
          <w:b/>
          <w:bCs/>
          <w:i w:val="0"/>
          <w:iCs w:val="0"/>
          <w:color w:val="auto"/>
          <w:sz w:val="24"/>
          <w:szCs w:val="24"/>
          <w:rtl/>
          <w:lang w:bidi="ar-DZ"/>
        </w:rPr>
        <w:t>5</w:t>
      </w:r>
      <w:r w:rsidRPr="006231FA">
        <w:rPr>
          <w:rFonts w:ascii="Times New Roman" w:hAnsi="Times New Roman"/>
          <w:b/>
          <w:bCs/>
          <w:i w:val="0"/>
          <w:iCs w:val="0"/>
          <w:color w:val="auto"/>
          <w:sz w:val="24"/>
          <w:szCs w:val="24"/>
        </w:rPr>
        <w:t>.</w:t>
      </w:r>
      <w:r w:rsidR="00F57DD8" w:rsidRPr="006231FA">
        <w:rPr>
          <w:rFonts w:ascii="Times New Roman" w:hAnsi="Times New Roman"/>
          <w:b/>
          <w:bCs/>
          <w:i w:val="0"/>
          <w:iCs w:val="0"/>
          <w:color w:val="auto"/>
          <w:sz w:val="24"/>
          <w:szCs w:val="24"/>
        </w:rPr>
        <w:t>Comparaison entre les risques liés aux produits biologiques et conventionnels</w:t>
      </w:r>
      <w:bookmarkEnd w:id="165"/>
      <w:bookmarkEnd w:id="166"/>
    </w:p>
    <w:p w:rsidR="00F57DD8" w:rsidRDefault="00F57DD8" w:rsidP="00D078FF">
      <w:pPr>
        <w:pStyle w:val="NormalWeb"/>
        <w:spacing w:line="360" w:lineRule="auto"/>
        <w:jc w:val="both"/>
      </w:pPr>
      <w:r>
        <w:t>La comparaison entre les produits biologiques et conventionnels en matière de risques san</w:t>
      </w:r>
      <w:r>
        <w:t>i</w:t>
      </w:r>
      <w:r>
        <w:t>taires et environnementaux doit être abordée avec nuance</w:t>
      </w:r>
      <w:r>
        <w:rPr>
          <w:rStyle w:val="Appelnotedebasdep"/>
        </w:rPr>
        <w:footnoteReference w:id="168"/>
      </w:r>
      <w:r>
        <w:t>, en tenant compte de la nature des intrants utilisés, des pratiques agricoles et des effets potentiels sur la santé humaine et l’écosystème.</w:t>
      </w:r>
      <w:r>
        <w:rPr>
          <w:rStyle w:val="Appelnotedebasdep"/>
        </w:rPr>
        <w:footnoteReference w:id="169"/>
      </w:r>
    </w:p>
    <w:p w:rsidR="00F57DD8" w:rsidRDefault="00F57DD8" w:rsidP="00D078FF">
      <w:pPr>
        <w:pStyle w:val="NormalWeb"/>
        <w:spacing w:line="360" w:lineRule="auto"/>
        <w:jc w:val="both"/>
      </w:pPr>
      <w:r>
        <w:t>Les produits issus de l’agriculture conventionnelle se caractérisent par l’utilisation de pest</w:t>
      </w:r>
      <w:r>
        <w:t>i</w:t>
      </w:r>
      <w:r>
        <w:t xml:space="preserve">cides de synthèse et d’engrais chimiques, ce qui entraîne une exposition plus importante des consommateurs à des résidus potentiellement nocifs. </w:t>
      </w:r>
      <w:r>
        <w:rPr>
          <w:rStyle w:val="Appelnotedebasdep"/>
        </w:rPr>
        <w:footnoteReference w:id="170"/>
      </w:r>
      <w:r>
        <w:t>Plusieurs études mettent en évidence la présence de substances pouvant présenter des effets toxiques à long terme, notamment des perturbations endocriniennes, des effets cancérogènes ou encore une bioaccumulation dans l’organisme. En outre, ces substances contribuent à la contamination de l’environnement, a</w:t>
      </w:r>
      <w:r>
        <w:t>f</w:t>
      </w:r>
      <w:r>
        <w:t>fectant les sols, les ressources en eau et la biodiversité.</w:t>
      </w:r>
    </w:p>
    <w:p w:rsidR="00F57DD8" w:rsidRDefault="00F57DD8" w:rsidP="00D078FF">
      <w:pPr>
        <w:pStyle w:val="NormalWeb"/>
        <w:spacing w:line="360" w:lineRule="auto"/>
        <w:jc w:val="both"/>
      </w:pPr>
      <w:r>
        <w:t>À l’inverse, les produits biologiques reposent sur des pratiques agricoles excluant les produits chimiques de synthèse et privilégiant des substances d’origine naturelle ainsi que des m</w:t>
      </w:r>
      <w:r>
        <w:t>é</w:t>
      </w:r>
      <w:r>
        <w:t>thodes respectueuses de l’environnement. Cette approche permet de réduire significativement l’exposition aux résidus de pesticides et à certains contaminants comme les nitrates ou les métaux lourds. Toutefois, il convient de souligner que le caractère naturel des intrants utilisés en agriculture biologique ne garantit pas une absence totale de toxicité, bien que ces sub</w:t>
      </w:r>
      <w:r>
        <w:t>s</w:t>
      </w:r>
      <w:r>
        <w:t>tances soient généralement moins persistantes et moins dangereuses que leurs équivalents synthétiques.</w:t>
      </w:r>
    </w:p>
    <w:p w:rsidR="00F57DD8" w:rsidRDefault="00F57DD8" w:rsidP="00D078FF">
      <w:pPr>
        <w:pStyle w:val="NormalWeb"/>
        <w:spacing w:line="360" w:lineRule="auto"/>
        <w:jc w:val="both"/>
      </w:pPr>
      <w:r>
        <w:t>En ce qui concerne les risques microbiologiques, les différences entre les deux systèmes sont moins marquées. L’agriculture biologique peut présenter un risque potentiel lié à l’utilisation de fertilisants organiques tels que le fumier, tandis que l’agriculture conventionnelle, nota</w:t>
      </w:r>
      <w:r>
        <w:t>m</w:t>
      </w:r>
      <w:r>
        <w:t>ment en élevage, est associée à l’usage d’antibiotiques pouvant favoriser l’émergence de ba</w:t>
      </w:r>
      <w:r>
        <w:t>c</w:t>
      </w:r>
      <w:r>
        <w:lastRenderedPageBreak/>
        <w:t>téries résistantes. Néanmoins, dans les deux cas, les réglementations sanitaires en vigueur permettent de maîtriser ces risques.</w:t>
      </w:r>
    </w:p>
    <w:p w:rsidR="00F57DD8" w:rsidRDefault="00F57DD8" w:rsidP="00D078FF">
      <w:pPr>
        <w:pStyle w:val="NormalWeb"/>
        <w:spacing w:line="360" w:lineRule="auto"/>
        <w:jc w:val="both"/>
      </w:pPr>
      <w:r>
        <w:t>Ainsi, l’analyse comparative met en évidence que les produits biologiques présentent glob</w:t>
      </w:r>
      <w:r>
        <w:t>a</w:t>
      </w:r>
      <w:r>
        <w:t>lement un niveau de risque plus faible, en particulier sur le plan toxicologique et environn</w:t>
      </w:r>
      <w:r>
        <w:t>e</w:t>
      </w:r>
      <w:r>
        <w:t>mental. Cependant, la sécurité sanitaire des aliments ne dépend pas uniquement du mode de production, mais également des conditions de transformation, de stockage et de distribution tout au long de la chaîne alimentaire.</w:t>
      </w:r>
      <w:r>
        <w:rPr>
          <w:rStyle w:val="Appelnotedebasdep"/>
        </w:rPr>
        <w:footnoteReference w:id="171"/>
      </w:r>
    </w:p>
    <w:p w:rsidR="00F57DD8" w:rsidRDefault="00377748" w:rsidP="00D078FF">
      <w:pPr>
        <w:pStyle w:val="Lgende"/>
        <w:spacing w:after="0" w:line="360" w:lineRule="auto"/>
        <w:jc w:val="both"/>
        <w:rPr>
          <w:rFonts w:ascii="Times New Roman" w:hAnsi="Times New Roman" w:cs="Times New Roman"/>
          <w:i w:val="0"/>
          <w:iCs w:val="0"/>
          <w:color w:val="auto"/>
          <w:kern w:val="2"/>
          <w:sz w:val="24"/>
          <w:szCs w:val="24"/>
          <w:rtl/>
        </w:rPr>
      </w:pPr>
      <w:bookmarkStart w:id="167" w:name="_Toc230400745"/>
      <w:r w:rsidRPr="00377748">
        <w:rPr>
          <w:rFonts w:ascii="Times New Roman" w:hAnsi="Times New Roman" w:cs="Times New Roman"/>
          <w:b/>
          <w:bCs/>
          <w:i w:val="0"/>
          <w:iCs w:val="0"/>
          <w:color w:val="auto"/>
          <w:kern w:val="2"/>
          <w:sz w:val="24"/>
          <w:szCs w:val="24"/>
        </w:rPr>
        <w:t xml:space="preserve">Tableau </w:t>
      </w:r>
      <w:r w:rsidR="007B5998" w:rsidRPr="00377748">
        <w:rPr>
          <w:rFonts w:ascii="Times New Roman" w:hAnsi="Times New Roman" w:cs="Times New Roman"/>
          <w:b/>
          <w:bCs/>
          <w:i w:val="0"/>
          <w:iCs w:val="0"/>
          <w:color w:val="auto"/>
          <w:kern w:val="2"/>
          <w:sz w:val="24"/>
          <w:szCs w:val="24"/>
        </w:rPr>
        <w:fldChar w:fldCharType="begin"/>
      </w:r>
      <w:r w:rsidRPr="00377748">
        <w:rPr>
          <w:rFonts w:ascii="Times New Roman" w:hAnsi="Times New Roman" w:cs="Times New Roman"/>
          <w:b/>
          <w:bCs/>
          <w:i w:val="0"/>
          <w:iCs w:val="0"/>
          <w:color w:val="auto"/>
          <w:kern w:val="2"/>
          <w:sz w:val="24"/>
          <w:szCs w:val="24"/>
        </w:rPr>
        <w:instrText xml:space="preserve"> SEQ Tableau \* ARABIC </w:instrText>
      </w:r>
      <w:r w:rsidR="007B5998" w:rsidRPr="00377748">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7</w:t>
      </w:r>
      <w:r w:rsidR="007B5998" w:rsidRPr="00377748">
        <w:rPr>
          <w:rFonts w:ascii="Times New Roman" w:hAnsi="Times New Roman" w:cs="Times New Roman"/>
          <w:b/>
          <w:bCs/>
          <w:i w:val="0"/>
          <w:iCs w:val="0"/>
          <w:color w:val="auto"/>
          <w:kern w:val="2"/>
          <w:sz w:val="24"/>
          <w:szCs w:val="24"/>
        </w:rPr>
        <w:fldChar w:fldCharType="end"/>
      </w:r>
      <w:r w:rsidRPr="00377748">
        <w:rPr>
          <w:rFonts w:ascii="Times New Roman" w:hAnsi="Times New Roman" w:cs="Times New Roman"/>
          <w:b/>
          <w:bCs/>
          <w:i w:val="0"/>
          <w:iCs w:val="0"/>
          <w:color w:val="auto"/>
          <w:kern w:val="2"/>
          <w:sz w:val="24"/>
          <w:szCs w:val="24"/>
        </w:rPr>
        <w:t xml:space="preserve"> :</w:t>
      </w:r>
      <w:r w:rsidRPr="00377748">
        <w:rPr>
          <w:rFonts w:ascii="Times New Roman" w:hAnsi="Times New Roman" w:cs="Times New Roman"/>
          <w:i w:val="0"/>
          <w:iCs w:val="0"/>
          <w:color w:val="auto"/>
          <w:kern w:val="2"/>
          <w:sz w:val="24"/>
          <w:szCs w:val="24"/>
        </w:rPr>
        <w:t xml:space="preserve"> Analyse comparative des risques sanitaires et environnementaux entre les pr</w:t>
      </w:r>
      <w:r w:rsidRPr="00377748">
        <w:rPr>
          <w:rFonts w:ascii="Times New Roman" w:hAnsi="Times New Roman" w:cs="Times New Roman"/>
          <w:i w:val="0"/>
          <w:iCs w:val="0"/>
          <w:color w:val="auto"/>
          <w:kern w:val="2"/>
          <w:sz w:val="24"/>
          <w:szCs w:val="24"/>
        </w:rPr>
        <w:t>o</w:t>
      </w:r>
      <w:r w:rsidRPr="00377748">
        <w:rPr>
          <w:rFonts w:ascii="Times New Roman" w:hAnsi="Times New Roman" w:cs="Times New Roman"/>
          <w:i w:val="0"/>
          <w:iCs w:val="0"/>
          <w:color w:val="auto"/>
          <w:kern w:val="2"/>
          <w:sz w:val="24"/>
          <w:szCs w:val="24"/>
        </w:rPr>
        <w:t>duits biologiques et conventionnels</w:t>
      </w:r>
      <w:bookmarkEnd w:id="167"/>
    </w:p>
    <w:p w:rsidR="007A677E" w:rsidRPr="007A677E" w:rsidRDefault="007A677E" w:rsidP="007A677E">
      <w:pPr>
        <w:rPr>
          <w:lang w:bidi="ar-DZ"/>
        </w:rPr>
      </w:pPr>
    </w:p>
    <w:tbl>
      <w:tblPr>
        <w:tblStyle w:val="Grilledutableau"/>
        <w:tblW w:w="9782" w:type="dxa"/>
        <w:tblInd w:w="-318" w:type="dxa"/>
        <w:tblLook w:val="04A0"/>
      </w:tblPr>
      <w:tblGrid>
        <w:gridCol w:w="1986"/>
        <w:gridCol w:w="2656"/>
        <w:gridCol w:w="2346"/>
        <w:gridCol w:w="2794"/>
      </w:tblGrid>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Critères d’analyse</w:t>
            </w:r>
          </w:p>
        </w:tc>
        <w:tc>
          <w:tcPr>
            <w:tcW w:w="2656" w:type="dxa"/>
          </w:tcPr>
          <w:p w:rsidR="00F57DD8" w:rsidRDefault="00F57DD8" w:rsidP="00D078FF">
            <w:pPr>
              <w:spacing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Produits biologiques</w:t>
            </w:r>
          </w:p>
        </w:tc>
        <w:tc>
          <w:tcPr>
            <w:tcW w:w="0" w:type="auto"/>
          </w:tcPr>
          <w:p w:rsidR="00F57DD8" w:rsidRDefault="00F57DD8" w:rsidP="00D078FF">
            <w:pPr>
              <w:spacing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Produits conventionnels</w:t>
            </w:r>
          </w:p>
        </w:tc>
        <w:tc>
          <w:tcPr>
            <w:tcW w:w="2794" w:type="dxa"/>
          </w:tcPr>
          <w:p w:rsidR="00F57DD8" w:rsidRDefault="00F57DD8" w:rsidP="00D078FF">
            <w:pPr>
              <w:spacing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Analyse comparative </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Nature des intrants agricoles</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Substances naturelles, pratiques écologiques, limitation stricte des pesticides</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Pesticides de synthèse, engrais chimiques, utilisation plus intensive</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 différence repose sur la nature chimique des intrants, influençant directement le niveau de risque</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Résidus de pesticides</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Faibles niveaux de résidus, exposition réduite</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Résidus fréquents et parfois multiples</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 produits conventionnels exposent davantage les consommateurs aux substances chimiques</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Toxicité des substances</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Substances généralement moins persistantes et moins toxiques</w:t>
            </w:r>
          </w:p>
        </w:tc>
        <w:tc>
          <w:tcPr>
            <w:tcW w:w="0" w:type="auto"/>
          </w:tcPr>
          <w:p w:rsidR="00F57DD8" w:rsidRDefault="00F57DD8" w:rsidP="007A677E">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Substances pouvant être</w:t>
            </w:r>
            <w:r w:rsidR="007A677E">
              <w:rPr>
                <w:rFonts w:ascii="Times New Roman" w:eastAsia="Times New Roman" w:hAnsi="Times New Roman" w:cs="Times New Roman" w:hint="cs"/>
                <w:sz w:val="24"/>
                <w:szCs w:val="24"/>
                <w:rtl/>
                <w:lang w:eastAsia="fr-FR"/>
              </w:rPr>
              <w:t xml:space="preserve"> </w:t>
            </w:r>
            <w:r>
              <w:rPr>
                <w:rFonts w:ascii="Times New Roman" w:eastAsia="Times New Roman" w:hAnsi="Times New Roman" w:cs="Times New Roman"/>
                <w:sz w:val="24"/>
                <w:szCs w:val="24"/>
                <w:lang w:eastAsia="fr-FR"/>
              </w:rPr>
              <w:t>toxiques (perturbateurs endocriniens, cancérogènes potentiels)</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 risque toxicologique est globalement plus élevé en agriculture conventionnelle</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 xml:space="preserve">Contaminants </w:t>
            </w:r>
            <w:r>
              <w:rPr>
                <w:rFonts w:ascii="Times New Roman" w:eastAsia="Times New Roman" w:hAnsi="Times New Roman" w:cs="Times New Roman"/>
                <w:b/>
                <w:bCs/>
                <w:sz w:val="24"/>
                <w:szCs w:val="24"/>
                <w:lang w:eastAsia="fr-FR"/>
              </w:rPr>
              <w:lastRenderedPageBreak/>
              <w:t>chimiques (nitrates, métaux lourds)</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Teneurs généralement </w:t>
            </w:r>
            <w:r>
              <w:rPr>
                <w:rFonts w:ascii="Times New Roman" w:eastAsia="Times New Roman" w:hAnsi="Times New Roman" w:cs="Times New Roman"/>
                <w:sz w:val="24"/>
                <w:szCs w:val="24"/>
                <w:lang w:eastAsia="fr-FR"/>
              </w:rPr>
              <w:lastRenderedPageBreak/>
              <w:t>plus faibles</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Teneurs plus élevées </w:t>
            </w:r>
            <w:r>
              <w:rPr>
                <w:rFonts w:ascii="Times New Roman" w:eastAsia="Times New Roman" w:hAnsi="Times New Roman" w:cs="Times New Roman"/>
                <w:sz w:val="24"/>
                <w:szCs w:val="24"/>
                <w:lang w:eastAsia="fr-FR"/>
              </w:rPr>
              <w:lastRenderedPageBreak/>
              <w:t>liées aux engrais chimiques</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Les pratiques biologiques </w:t>
            </w:r>
            <w:r>
              <w:rPr>
                <w:rFonts w:ascii="Times New Roman" w:eastAsia="Times New Roman" w:hAnsi="Times New Roman" w:cs="Times New Roman"/>
                <w:sz w:val="24"/>
                <w:szCs w:val="24"/>
                <w:lang w:eastAsia="fr-FR"/>
              </w:rPr>
              <w:lastRenderedPageBreak/>
              <w:t>limitent l’accumulation de contaminants</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lastRenderedPageBreak/>
              <w:t>Risque microbiologique</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Risque lié aux fertilisants organiques (fumier)</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Risque lié à l’utilisation d’antibiotiques (résistance bactérienne)</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 risques existent dans les deux systèmes mais sont de nature différente</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Impact environnemental</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Faible impact, préservation des sols et biodiversité</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Pollution des sols, de l’eau, perte de biodiversité</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L’agriculture biologique est plus durable sur le plan écologique</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Exposition globale du consommateur</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Réduite</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Plus élevée</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 charge chimique globale est plus importante en conventionnel</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Sécurité sanitaire globale</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Globalement plus élevée mais non absolue</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Moins favorable en raison des risques chimiques cumulés</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Aucun système n’est totalement sans risque</w:t>
            </w:r>
          </w:p>
        </w:tc>
      </w:tr>
      <w:tr w:rsidR="00F57DD8" w:rsidTr="007A677E">
        <w:tc>
          <w:tcPr>
            <w:tcW w:w="198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Facteurs influençant le risque</w:t>
            </w:r>
          </w:p>
        </w:tc>
        <w:tc>
          <w:tcPr>
            <w:tcW w:w="2656"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Dépendent aussi de la manipulation, stockage, transport</w:t>
            </w:r>
          </w:p>
        </w:tc>
        <w:tc>
          <w:tcPr>
            <w:tcW w:w="0" w:type="auto"/>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Idem (chaîne alimentaire complète)</w:t>
            </w:r>
          </w:p>
        </w:tc>
        <w:tc>
          <w:tcPr>
            <w:tcW w:w="2794" w:type="dxa"/>
          </w:tcPr>
          <w:p w:rsidR="00F57DD8" w:rsidRDefault="00F57DD8" w:rsidP="00D078FF">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 sécurité alimentaire dépend de toute la chaîne « de la ferme à la table »</w:t>
            </w:r>
          </w:p>
        </w:tc>
      </w:tr>
    </w:tbl>
    <w:p w:rsidR="00F57DD8" w:rsidRDefault="00F57DD8" w:rsidP="00D078FF">
      <w:pPr>
        <w:pStyle w:val="NormalWeb"/>
        <w:spacing w:line="360" w:lineRule="auto"/>
        <w:jc w:val="both"/>
        <w:rPr>
          <w:sz w:val="20"/>
          <w:szCs w:val="20"/>
        </w:rPr>
      </w:pPr>
      <w:r>
        <w:rPr>
          <w:b/>
          <w:bCs/>
          <w:sz w:val="20"/>
          <w:szCs w:val="20"/>
        </w:rPr>
        <w:t>Source :</w:t>
      </w:r>
      <w:r>
        <w:rPr>
          <w:rStyle w:val="whitespace-normal"/>
          <w:rFonts w:asciiTheme="majorBidi" w:hAnsiTheme="majorBidi" w:cstheme="majorBidi"/>
          <w:sz w:val="20"/>
          <w:szCs w:val="20"/>
        </w:rPr>
        <w:t>Générations Futures</w:t>
      </w:r>
      <w:r>
        <w:rPr>
          <w:rFonts w:asciiTheme="majorBidi" w:hAnsiTheme="majorBidi" w:cstheme="majorBidi"/>
          <w:sz w:val="20"/>
          <w:szCs w:val="20"/>
        </w:rPr>
        <w:t xml:space="preserve">, </w:t>
      </w:r>
      <w:r>
        <w:rPr>
          <w:rStyle w:val="Accentuation"/>
          <w:rFonts w:asciiTheme="majorBidi" w:hAnsiTheme="majorBidi" w:cstheme="majorBidi"/>
          <w:sz w:val="20"/>
          <w:szCs w:val="20"/>
        </w:rPr>
        <w:t>Menu bio : faut-il avoir peur ?</w:t>
      </w:r>
      <w:r>
        <w:rPr>
          <w:rFonts w:asciiTheme="majorBidi" w:hAnsiTheme="majorBidi" w:cstheme="majorBidi"/>
          <w:sz w:val="20"/>
          <w:szCs w:val="20"/>
        </w:rPr>
        <w:t xml:space="preserve"> [en ligne]. (2011, mise à jour non précisée) Disp</w:t>
      </w:r>
      <w:r>
        <w:rPr>
          <w:rFonts w:asciiTheme="majorBidi" w:hAnsiTheme="majorBidi" w:cstheme="majorBidi"/>
          <w:sz w:val="20"/>
          <w:szCs w:val="20"/>
        </w:rPr>
        <w:t>o</w:t>
      </w:r>
      <w:r>
        <w:rPr>
          <w:rFonts w:asciiTheme="majorBidi" w:hAnsiTheme="majorBidi" w:cstheme="majorBidi"/>
          <w:sz w:val="20"/>
          <w:szCs w:val="20"/>
        </w:rPr>
        <w:t xml:space="preserve">nible sur : </w:t>
      </w:r>
      <w:hyperlink r:id="rId46" w:tgtFrame="_new" w:history="1">
        <w:r>
          <w:rPr>
            <w:rStyle w:val="Lienhypertexte"/>
            <w:rFonts w:asciiTheme="majorBidi" w:hAnsiTheme="majorBidi" w:cstheme="majorBidi"/>
            <w:sz w:val="20"/>
            <w:szCs w:val="20"/>
          </w:rPr>
          <w:t>https://www.generations-futures.fr/wp-content/uploads/2017/05/doc_menubio_151211.pdf</w:t>
        </w:r>
      </w:hyperlink>
      <w:r>
        <w:rPr>
          <w:rFonts w:asciiTheme="majorBidi" w:hAnsiTheme="majorBidi" w:cstheme="majorBidi"/>
          <w:sz w:val="20"/>
          <w:szCs w:val="20"/>
        </w:rPr>
        <w:t xml:space="preserve"> (consulté le 01 mai 2026).</w:t>
      </w:r>
    </w:p>
    <w:p w:rsidR="00F57DD8" w:rsidRDefault="00F57DD8" w:rsidP="00D078FF">
      <w:pPr>
        <w:pStyle w:val="NormalWeb"/>
        <w:spacing w:line="360" w:lineRule="auto"/>
        <w:jc w:val="both"/>
        <w:rPr>
          <w:rtl/>
        </w:rPr>
      </w:pPr>
      <w:r>
        <w:t xml:space="preserve">       La garantie de la sécurité sanitaire des aliments constitue un enjeu majeur des politiques de santé publique, en raison de son impact direct sur la protection du consommateur. À cet effet, un cadre juridique et réglementaire a été mis en place afin d’encadrer l’ensemble des étapes de la chaîne alimentaire. Ce dispositif vise à prévenir les risques sanitaires et à assurer la conformité et la sécurité des produits destinés à la consommation.</w:t>
      </w:r>
    </w:p>
    <w:p w:rsidR="007A677E" w:rsidRDefault="007A677E" w:rsidP="00D078FF">
      <w:pPr>
        <w:pStyle w:val="NormalWeb"/>
        <w:spacing w:line="360" w:lineRule="auto"/>
        <w:jc w:val="both"/>
        <w:rPr>
          <w:rtl/>
        </w:rPr>
      </w:pPr>
    </w:p>
    <w:p w:rsidR="007A677E" w:rsidRDefault="007A677E" w:rsidP="00D078FF">
      <w:pPr>
        <w:pStyle w:val="NormalWeb"/>
        <w:spacing w:line="360" w:lineRule="auto"/>
        <w:jc w:val="both"/>
      </w:pPr>
    </w:p>
    <w:p w:rsidR="00F57DD8" w:rsidRPr="006231FA" w:rsidRDefault="00F45722" w:rsidP="00D078FF">
      <w:pPr>
        <w:pStyle w:val="Titre3"/>
        <w:spacing w:line="360" w:lineRule="auto"/>
        <w:jc w:val="both"/>
        <w:rPr>
          <w:rFonts w:ascii="Times New Roman" w:hAnsi="Times New Roman"/>
          <w:b/>
          <w:bCs/>
          <w:color w:val="auto"/>
          <w:sz w:val="24"/>
          <w:szCs w:val="24"/>
          <w:lang w:eastAsia="fr-FR"/>
        </w:rPr>
      </w:pPr>
      <w:bookmarkStart w:id="168" w:name="_Toc230558673"/>
      <w:bookmarkStart w:id="169" w:name="_Toc230900307"/>
      <w:r>
        <w:rPr>
          <w:rFonts w:hint="cs"/>
          <w:rtl/>
          <w:lang w:eastAsia="fr-FR" w:bidi="ar-DZ"/>
        </w:rPr>
        <w:lastRenderedPageBreak/>
        <w:t>.</w:t>
      </w:r>
      <w:r w:rsidRPr="006231FA">
        <w:rPr>
          <w:rFonts w:ascii="Times New Roman" w:hAnsi="Times New Roman"/>
          <w:b/>
          <w:bCs/>
          <w:color w:val="auto"/>
          <w:sz w:val="24"/>
          <w:szCs w:val="24"/>
          <w:rtl/>
          <w:lang w:eastAsia="fr-FR" w:bidi="ar-DZ"/>
        </w:rPr>
        <w:t>3</w:t>
      </w:r>
      <w:r w:rsidR="00F57DD8" w:rsidRPr="006231FA">
        <w:rPr>
          <w:rFonts w:ascii="Times New Roman" w:hAnsi="Times New Roman"/>
          <w:b/>
          <w:bCs/>
          <w:color w:val="auto"/>
          <w:sz w:val="24"/>
          <w:szCs w:val="24"/>
          <w:lang w:eastAsia="fr-FR"/>
        </w:rPr>
        <w:t>Cadres juridiques et réglementaires pour garantir la sécurité sanitaire des produits.</w:t>
      </w:r>
      <w:bookmarkEnd w:id="168"/>
      <w:bookmarkEnd w:id="169"/>
    </w:p>
    <w:p w:rsidR="00F57DD8" w:rsidRPr="006231FA" w:rsidRDefault="00F45722" w:rsidP="00D078FF">
      <w:pPr>
        <w:pStyle w:val="Titre4"/>
        <w:spacing w:line="360" w:lineRule="auto"/>
        <w:jc w:val="both"/>
        <w:rPr>
          <w:rFonts w:ascii="Times New Roman" w:hAnsi="Times New Roman"/>
          <w:b/>
          <w:bCs/>
          <w:i w:val="0"/>
          <w:iCs w:val="0"/>
          <w:color w:val="auto"/>
          <w:sz w:val="24"/>
          <w:szCs w:val="24"/>
          <w:lang w:eastAsia="fr-FR"/>
        </w:rPr>
      </w:pPr>
      <w:bookmarkStart w:id="170" w:name="_Toc230558674"/>
      <w:bookmarkStart w:id="171" w:name="_Toc230900308"/>
      <w:r w:rsidRPr="006231FA">
        <w:rPr>
          <w:rFonts w:ascii="Times New Roman" w:hAnsi="Times New Roman"/>
          <w:b/>
          <w:bCs/>
          <w:i w:val="0"/>
          <w:iCs w:val="0"/>
          <w:color w:val="auto"/>
          <w:sz w:val="24"/>
          <w:szCs w:val="24"/>
          <w:lang w:eastAsia="fr-FR"/>
        </w:rPr>
        <w:t>3.1.</w:t>
      </w:r>
      <w:r w:rsidR="00F57DD8" w:rsidRPr="006231FA">
        <w:rPr>
          <w:rFonts w:ascii="Times New Roman" w:hAnsi="Times New Roman"/>
          <w:b/>
          <w:bCs/>
          <w:i w:val="0"/>
          <w:iCs w:val="0"/>
          <w:color w:val="auto"/>
          <w:sz w:val="24"/>
          <w:szCs w:val="24"/>
          <w:lang w:eastAsia="fr-FR"/>
        </w:rPr>
        <w:t>Le cadre juridique général de la sécurité sanitaire des aliments</w:t>
      </w:r>
      <w:bookmarkEnd w:id="170"/>
      <w:bookmarkEnd w:id="171"/>
    </w:p>
    <w:p w:rsidR="00F57DD8" w:rsidRPr="006231FA" w:rsidRDefault="00F45722" w:rsidP="00D078FF">
      <w:pPr>
        <w:pStyle w:val="Titre5"/>
        <w:spacing w:line="360" w:lineRule="auto"/>
        <w:jc w:val="both"/>
        <w:rPr>
          <w:rFonts w:ascii="Times New Roman" w:hAnsi="Times New Roman"/>
          <w:b/>
          <w:bCs/>
          <w:color w:val="auto"/>
          <w:sz w:val="24"/>
          <w:szCs w:val="24"/>
        </w:rPr>
      </w:pPr>
      <w:bookmarkStart w:id="172" w:name="_Toc230558675"/>
      <w:bookmarkStart w:id="173" w:name="_Toc230900309"/>
      <w:r w:rsidRPr="006231FA">
        <w:rPr>
          <w:rFonts w:ascii="Times New Roman" w:hAnsi="Times New Roman"/>
          <w:b/>
          <w:bCs/>
          <w:color w:val="auto"/>
          <w:sz w:val="24"/>
          <w:szCs w:val="24"/>
        </w:rPr>
        <w:t>3.1.1.</w:t>
      </w:r>
      <w:r w:rsidR="00F57DD8" w:rsidRPr="006231FA">
        <w:rPr>
          <w:rFonts w:ascii="Times New Roman" w:hAnsi="Times New Roman"/>
          <w:b/>
          <w:bCs/>
          <w:color w:val="auto"/>
          <w:sz w:val="24"/>
          <w:szCs w:val="24"/>
        </w:rPr>
        <w:t>Codex Alimentarius (FAO/OMS)</w:t>
      </w:r>
      <w:bookmarkEnd w:id="172"/>
      <w:bookmarkEnd w:id="173"/>
    </w:p>
    <w:p w:rsidR="00F57DD8" w:rsidRDefault="00F57DD8" w:rsidP="00D078FF">
      <w:pPr>
        <w:pStyle w:val="NormalWeb"/>
        <w:spacing w:line="360" w:lineRule="auto"/>
        <w:jc w:val="both"/>
        <w:rPr>
          <w:i/>
          <w:iCs/>
        </w:rPr>
      </w:pPr>
      <w:r>
        <w:rPr>
          <w:rStyle w:val="Accentuation"/>
          <w:i w:val="0"/>
          <w:iCs w:val="0"/>
        </w:rPr>
        <w:t xml:space="preserve">        Le Codex Alimentarius est un ensemble de normes, de lignes directrices et de codes d’usage adoptés pour assurer la sécurité sanitaire des aliments, élaboré dans le cadre du pr</w:t>
      </w:r>
      <w:r>
        <w:rPr>
          <w:rStyle w:val="Accentuation"/>
          <w:i w:val="0"/>
          <w:iCs w:val="0"/>
        </w:rPr>
        <w:t>o</w:t>
      </w:r>
      <w:r>
        <w:rPr>
          <w:rStyle w:val="Accentuation"/>
          <w:i w:val="0"/>
          <w:iCs w:val="0"/>
        </w:rPr>
        <w:t>gramme mixte FAO/OMS visant à protéger la santé des consommateurs.</w:t>
      </w:r>
      <w:r>
        <w:rPr>
          <w:i/>
          <w:iCs/>
        </w:rPr>
        <w:tab/>
      </w:r>
    </w:p>
    <w:p w:rsidR="00F57DD8" w:rsidRDefault="00F57DD8" w:rsidP="00D078FF">
      <w:pPr>
        <w:pStyle w:val="NormalWeb"/>
        <w:spacing w:line="360" w:lineRule="auto"/>
        <w:jc w:val="both"/>
        <w:rPr>
          <w:i/>
          <w:iCs/>
        </w:rPr>
      </w:pPr>
      <w:r>
        <w:rPr>
          <w:rStyle w:val="Accentuation"/>
          <w:i w:val="0"/>
          <w:iCs w:val="0"/>
        </w:rPr>
        <w:t xml:space="preserve">      Les normes du Codex Alimentarius servent de référence internationale pour harmoniser les législations nationales sur la sécurité sanitaire des aliments et pour régler des différends commerciaux selon l’Accord SPS de l’OMC.</w:t>
      </w:r>
    </w:p>
    <w:p w:rsidR="00CD0DEF" w:rsidRPr="00226F23" w:rsidRDefault="00F57DD8" w:rsidP="00D078FF">
      <w:pPr>
        <w:pStyle w:val="NormalWeb"/>
        <w:spacing w:line="360" w:lineRule="auto"/>
        <w:jc w:val="both"/>
        <w:rPr>
          <w:rStyle w:val="Accentuation"/>
        </w:rPr>
      </w:pPr>
      <w:r>
        <w:rPr>
          <w:rStyle w:val="Accentuation"/>
          <w:i w:val="0"/>
          <w:iCs w:val="0"/>
        </w:rPr>
        <w:t xml:space="preserve">      Les textes du Codex définissent des normes pour les additifs, les résidus de pesticides, les contaminants, ainsi que des lignes directrices pour l’hygiène et les méthodes d’analyse tout au long de la chaîne alimentaire.</w:t>
      </w:r>
    </w:p>
    <w:p w:rsidR="00F57DD8" w:rsidRDefault="00F57DD8" w:rsidP="00D078FF">
      <w:pPr>
        <w:pStyle w:val="NormalWeb"/>
        <w:spacing w:line="360" w:lineRule="auto"/>
        <w:jc w:val="both"/>
        <w:rPr>
          <w:i/>
          <w:iCs/>
        </w:rPr>
      </w:pPr>
      <w:r>
        <w:rPr>
          <w:rStyle w:val="Accentuation"/>
          <w:i w:val="0"/>
          <w:iCs w:val="0"/>
        </w:rPr>
        <w:t>Dans de nombreux pays, les normes du Codex Alimentarius sont utilisées comme base scie</w:t>
      </w:r>
      <w:r>
        <w:rPr>
          <w:rStyle w:val="Accentuation"/>
          <w:i w:val="0"/>
          <w:iCs w:val="0"/>
        </w:rPr>
        <w:t>n</w:t>
      </w:r>
      <w:r>
        <w:rPr>
          <w:rStyle w:val="Accentuation"/>
          <w:i w:val="0"/>
          <w:iCs w:val="0"/>
        </w:rPr>
        <w:t>tifique pour élaborer ou renforcer la législation nationale en matière de sécurité sanitaire des aliments, assurant une harmonisation avec les standards internationaux</w:t>
      </w:r>
      <w:r>
        <w:rPr>
          <w:rStyle w:val="Appelnotedebasdep"/>
          <w:i/>
          <w:iCs/>
        </w:rPr>
        <w:footnoteReference w:id="172"/>
      </w:r>
      <w:r>
        <w:rPr>
          <w:rStyle w:val="Accentuation"/>
          <w:i w:val="0"/>
          <w:iCs w:val="0"/>
        </w:rPr>
        <w:t>.</w:t>
      </w:r>
    </w:p>
    <w:p w:rsidR="00F57DD8" w:rsidRPr="006231FA" w:rsidRDefault="00F45722" w:rsidP="00D078FF">
      <w:pPr>
        <w:pStyle w:val="Titre5"/>
        <w:spacing w:line="360" w:lineRule="auto"/>
        <w:jc w:val="both"/>
        <w:rPr>
          <w:rFonts w:ascii="Times New Roman" w:hAnsi="Times New Roman"/>
          <w:b/>
          <w:bCs/>
          <w:color w:val="auto"/>
          <w:sz w:val="24"/>
          <w:szCs w:val="24"/>
        </w:rPr>
      </w:pPr>
      <w:bookmarkStart w:id="174" w:name="_Toc230558676"/>
      <w:bookmarkStart w:id="175" w:name="_Toc230900310"/>
      <w:r w:rsidRPr="006231FA">
        <w:rPr>
          <w:rFonts w:ascii="Times New Roman" w:hAnsi="Times New Roman"/>
          <w:b/>
          <w:bCs/>
          <w:color w:val="auto"/>
          <w:sz w:val="24"/>
          <w:szCs w:val="24"/>
        </w:rPr>
        <w:t>3.1.2.</w:t>
      </w:r>
      <w:r w:rsidR="00F57DD8" w:rsidRPr="006231FA">
        <w:rPr>
          <w:rFonts w:ascii="Times New Roman" w:hAnsi="Times New Roman"/>
          <w:b/>
          <w:bCs/>
          <w:color w:val="auto"/>
          <w:sz w:val="24"/>
          <w:szCs w:val="24"/>
        </w:rPr>
        <w:t>Le Règlement (CE) n° 178/2002</w:t>
      </w:r>
      <w:bookmarkEnd w:id="174"/>
      <w:bookmarkEnd w:id="175"/>
    </w:p>
    <w:p w:rsidR="00F57DD8" w:rsidRDefault="00F57DD8" w:rsidP="00D078FF">
      <w:pPr>
        <w:pStyle w:val="NormalWeb"/>
        <w:spacing w:line="360" w:lineRule="auto"/>
        <w:jc w:val="both"/>
      </w:pPr>
      <w:r>
        <w:t xml:space="preserve">       Le Règlement (CE) n° 178/2002 établit les principes généraux de la sécurité alimentaire et précise que les denrées alimentaires mises sur le marché doivent être sûres, tout en défini</w:t>
      </w:r>
      <w:r>
        <w:t>s</w:t>
      </w:r>
      <w:r>
        <w:t>sant la responsabilité des opérateurs du secteur agroalimentaire (Union européenne, 2002).</w:t>
      </w:r>
      <w:r>
        <w:rPr>
          <w:rStyle w:val="Appelnotedebasdep"/>
        </w:rPr>
        <w:footnoteReference w:id="173"/>
      </w:r>
    </w:p>
    <w:p w:rsidR="00F57DD8" w:rsidRPr="00226F23" w:rsidRDefault="00F57DD8" w:rsidP="00D078FF">
      <w:pPr>
        <w:spacing w:after="0" w:line="360" w:lineRule="auto"/>
        <w:jc w:val="both"/>
        <w:rPr>
          <w:rStyle w:val="Accentuation"/>
          <w:rFonts w:asciiTheme="majorBidi" w:hAnsiTheme="majorBidi" w:cstheme="majorBidi"/>
          <w:b/>
          <w:bCs/>
          <w:i w:val="0"/>
          <w:iCs w:val="0"/>
          <w:sz w:val="28"/>
          <w:szCs w:val="28"/>
        </w:rPr>
      </w:pPr>
      <w:r w:rsidRPr="00226F23">
        <w:rPr>
          <w:rFonts w:asciiTheme="majorBidi" w:hAnsiTheme="majorBidi" w:cstheme="majorBidi"/>
          <w:sz w:val="24"/>
          <w:szCs w:val="24"/>
        </w:rPr>
        <w:t xml:space="preserve">       Il définit des obligations spécifiques: obligation de traçabilité, obligation de retrait de produits susceptibles de présenter un risque pour la santé publique, obligation d’information des services de contrôle... En outre, il crée l’</w:t>
      </w:r>
      <w:hyperlink r:id="rId47" w:tgtFrame="_blank" w:tooltip="AESA - Ouverture dans une nouvelle fenêtre" w:history="1">
        <w:r w:rsidRPr="00226F23">
          <w:rPr>
            <w:rFonts w:asciiTheme="majorBidi" w:hAnsiTheme="majorBidi" w:cstheme="majorBidi"/>
            <w:sz w:val="24"/>
            <w:szCs w:val="24"/>
          </w:rPr>
          <w:t>ASEA</w:t>
        </w:r>
      </w:hyperlink>
      <w:r w:rsidRPr="00226F23">
        <w:rPr>
          <w:rFonts w:asciiTheme="majorBidi" w:hAnsiTheme="majorBidi" w:cstheme="majorBidi"/>
          <w:sz w:val="24"/>
          <w:szCs w:val="24"/>
        </w:rPr>
        <w:t> (Autorité Européenne de Sécurité des Aliments) qui est l’équivalent européen de l’</w:t>
      </w:r>
      <w:hyperlink r:id="rId48" w:tgtFrame="_blank" w:tooltip="Anses - Ouverture dans une nouvelle fenêtre" w:history="1">
        <w:r w:rsidRPr="00226F23">
          <w:rPr>
            <w:rFonts w:asciiTheme="majorBidi" w:hAnsiTheme="majorBidi" w:cstheme="majorBidi"/>
            <w:sz w:val="24"/>
            <w:szCs w:val="24"/>
          </w:rPr>
          <w:t>Anses</w:t>
        </w:r>
      </w:hyperlink>
      <w:r w:rsidRPr="00226F23">
        <w:rPr>
          <w:rFonts w:asciiTheme="majorBidi" w:hAnsiTheme="majorBidi" w:cstheme="majorBidi"/>
          <w:sz w:val="24"/>
          <w:szCs w:val="24"/>
        </w:rPr>
        <w:t> (Agence nationale de sécurité sanitaire) et le réseau d’alerte rapide européen </w:t>
      </w:r>
      <w:hyperlink r:id="rId49" w:tgtFrame="_blank" w:tooltip="RASFF - Ouverture dans une nouvelle fenêtre" w:history="1">
        <w:r w:rsidRPr="00226F23">
          <w:rPr>
            <w:rFonts w:asciiTheme="majorBidi" w:hAnsiTheme="majorBidi" w:cstheme="majorBidi"/>
            <w:sz w:val="24"/>
            <w:szCs w:val="24"/>
          </w:rPr>
          <w:t>RASFF</w:t>
        </w:r>
      </w:hyperlink>
      <w:r w:rsidRPr="00226F23">
        <w:rPr>
          <w:rStyle w:val="Appelnotedebasdep"/>
          <w:rFonts w:asciiTheme="majorBidi" w:hAnsiTheme="majorBidi" w:cstheme="majorBidi"/>
          <w:sz w:val="24"/>
          <w:szCs w:val="24"/>
        </w:rPr>
        <w:footnoteReference w:id="174"/>
      </w:r>
    </w:p>
    <w:p w:rsidR="00F57DD8" w:rsidRPr="006231FA" w:rsidRDefault="00F45722" w:rsidP="00D078FF">
      <w:pPr>
        <w:pStyle w:val="Titre4"/>
        <w:spacing w:line="360" w:lineRule="auto"/>
        <w:jc w:val="both"/>
        <w:rPr>
          <w:rFonts w:ascii="Times New Roman" w:hAnsi="Times New Roman"/>
          <w:b/>
          <w:bCs/>
          <w:i w:val="0"/>
          <w:iCs w:val="0"/>
          <w:color w:val="auto"/>
          <w:sz w:val="24"/>
          <w:szCs w:val="24"/>
        </w:rPr>
      </w:pPr>
      <w:bookmarkStart w:id="176" w:name="_Toc230558677"/>
      <w:bookmarkStart w:id="177" w:name="_Toc230900311"/>
      <w:r w:rsidRPr="006231FA">
        <w:rPr>
          <w:rFonts w:ascii="Times New Roman" w:hAnsi="Times New Roman"/>
          <w:b/>
          <w:bCs/>
          <w:i w:val="0"/>
          <w:iCs w:val="0"/>
          <w:color w:val="auto"/>
          <w:sz w:val="24"/>
          <w:szCs w:val="24"/>
        </w:rPr>
        <w:lastRenderedPageBreak/>
        <w:t>3.2.</w:t>
      </w:r>
      <w:r w:rsidR="00F57DD8" w:rsidRPr="006231FA">
        <w:rPr>
          <w:rFonts w:ascii="Times New Roman" w:hAnsi="Times New Roman"/>
          <w:b/>
          <w:bCs/>
          <w:i w:val="0"/>
          <w:iCs w:val="0"/>
          <w:color w:val="auto"/>
          <w:sz w:val="24"/>
          <w:szCs w:val="24"/>
        </w:rPr>
        <w:t>Le cadre juridique de la sécurité des produits alimentaires en Algérie</w:t>
      </w:r>
      <w:bookmarkEnd w:id="176"/>
      <w:bookmarkEnd w:id="177"/>
    </w:p>
    <w:p w:rsidR="00CD0DEF" w:rsidRPr="00226F23" w:rsidRDefault="00F57DD8" w:rsidP="007A677E">
      <w:pPr>
        <w:spacing w:after="0" w:line="360" w:lineRule="auto"/>
        <w:jc w:val="both"/>
        <w:rPr>
          <w:rFonts w:asciiTheme="majorBidi" w:hAnsiTheme="majorBidi" w:cstheme="majorBidi"/>
          <w:sz w:val="24"/>
          <w:szCs w:val="24"/>
        </w:rPr>
      </w:pPr>
      <w:r w:rsidRPr="00226F23">
        <w:rPr>
          <w:rFonts w:asciiTheme="majorBidi" w:hAnsiTheme="majorBidi" w:cstheme="majorBidi"/>
          <w:sz w:val="24"/>
          <w:szCs w:val="24"/>
        </w:rPr>
        <w:t xml:space="preserve">        Le cadre juridique de la sécurité des produits alimentaires en Algérie se compose d’un ensemble d’exigences légales et réglementaires, sous forme de lois, décrets et arrêtés. Ces exigences peuvent être classées en deux catégories : d’une part, les exigences générales applicables à l’ensemble des industries alimentaires, et d’autre part, les exigences spécifiques relatives à certains produits alimentaires.</w:t>
      </w:r>
      <w:r w:rsidRPr="00226F23">
        <w:rPr>
          <w:rStyle w:val="Appelnotedebasdep"/>
          <w:rFonts w:asciiTheme="majorBidi" w:hAnsiTheme="majorBidi" w:cstheme="majorBidi"/>
          <w:sz w:val="24"/>
          <w:szCs w:val="24"/>
        </w:rPr>
        <w:footnoteReference w:id="175"/>
      </w:r>
    </w:p>
    <w:p w:rsidR="00F57DD8" w:rsidRPr="006231FA" w:rsidRDefault="00F45722" w:rsidP="007A677E">
      <w:pPr>
        <w:pStyle w:val="Titre5"/>
        <w:spacing w:before="0" w:after="0" w:line="360" w:lineRule="auto"/>
        <w:jc w:val="both"/>
        <w:rPr>
          <w:rFonts w:ascii="Times New Roman" w:hAnsi="Times New Roman"/>
          <w:b/>
          <w:bCs/>
          <w:sz w:val="24"/>
          <w:szCs w:val="24"/>
        </w:rPr>
      </w:pPr>
      <w:bookmarkStart w:id="178" w:name="_Toc230558678"/>
      <w:bookmarkStart w:id="179" w:name="_Toc230900312"/>
      <w:r w:rsidRPr="006231FA">
        <w:rPr>
          <w:rFonts w:ascii="Times New Roman" w:hAnsi="Times New Roman"/>
          <w:b/>
          <w:bCs/>
          <w:color w:val="auto"/>
          <w:sz w:val="24"/>
          <w:szCs w:val="24"/>
        </w:rPr>
        <w:t>3.2.1. </w:t>
      </w:r>
      <w:r w:rsidR="00F57DD8" w:rsidRPr="006231FA">
        <w:rPr>
          <w:rFonts w:ascii="Times New Roman" w:hAnsi="Times New Roman"/>
          <w:b/>
          <w:bCs/>
          <w:color w:val="auto"/>
          <w:sz w:val="24"/>
          <w:szCs w:val="24"/>
        </w:rPr>
        <w:t>Les exigences légales applicables à toutes les industries alimentaires</w:t>
      </w:r>
      <w:bookmarkEnd w:id="178"/>
      <w:bookmarkEnd w:id="179"/>
    </w:p>
    <w:p w:rsidR="00F57DD8" w:rsidRDefault="00F57DD8" w:rsidP="007A677E">
      <w:pPr>
        <w:pStyle w:val="NormalWeb"/>
        <w:spacing w:after="0" w:line="360" w:lineRule="auto"/>
        <w:jc w:val="both"/>
      </w:pPr>
      <w:r>
        <w:rPr>
          <w:rStyle w:val="lev"/>
        </w:rPr>
        <w:t>La loi n° 09-03 du 25 février 2009 relative à la protection du consommateur et à la r</w:t>
      </w:r>
      <w:r>
        <w:rPr>
          <w:rStyle w:val="lev"/>
        </w:rPr>
        <w:t>é</w:t>
      </w:r>
      <w:r>
        <w:rPr>
          <w:rStyle w:val="lev"/>
        </w:rPr>
        <w:t>pression de la fraude :</w:t>
      </w:r>
    </w:p>
    <w:p w:rsidR="00F57DD8" w:rsidRDefault="00F57DD8" w:rsidP="007A677E">
      <w:pPr>
        <w:pStyle w:val="NormalWeb"/>
        <w:spacing w:after="0" w:line="360" w:lineRule="auto"/>
        <w:jc w:val="both"/>
      </w:pPr>
      <w:r>
        <w:t>Cette loi vise à renforcer la protection du consommateur et à lutter contre les pratiques fraud</w:t>
      </w:r>
      <w:r>
        <w:t>u</w:t>
      </w:r>
      <w:r>
        <w:t>leuses, en garantissant la transparence et l’intégrité du marché. Elle prévoit notamment :</w:t>
      </w:r>
      <w:r>
        <w:rPr>
          <w:rStyle w:val="Appelnotedebasdep"/>
        </w:rPr>
        <w:footnoteReference w:id="176"/>
      </w:r>
    </w:p>
    <w:p w:rsidR="00F57DD8" w:rsidRDefault="00F57DD8" w:rsidP="007A677E">
      <w:pPr>
        <w:pStyle w:val="NormalWeb"/>
        <w:numPr>
          <w:ilvl w:val="0"/>
          <w:numId w:val="6"/>
        </w:numPr>
        <w:spacing w:after="0" w:line="360" w:lineRule="auto"/>
        <w:jc w:val="both"/>
      </w:pPr>
      <w:r>
        <w:t>La garantie de la sécurité et de la qualité des produits et services, depuis leur fabric</w:t>
      </w:r>
      <w:r>
        <w:t>a</w:t>
      </w:r>
      <w:r>
        <w:t>tion jusqu’à leur mise à disposition du consommateur, en veillant à leur conformité aux normes sanitaires et environnementales ;</w:t>
      </w:r>
    </w:p>
    <w:p w:rsidR="00F57DD8" w:rsidRDefault="00F57DD8" w:rsidP="007A677E">
      <w:pPr>
        <w:pStyle w:val="NormalWeb"/>
        <w:numPr>
          <w:ilvl w:val="0"/>
          <w:numId w:val="6"/>
        </w:numPr>
        <w:spacing w:after="0" w:line="360" w:lineRule="auto"/>
        <w:jc w:val="both"/>
      </w:pPr>
      <w:r>
        <w:t>La lutte contre la fraude et les pratiques trompeuses, notamment à travers la comme</w:t>
      </w:r>
      <w:r>
        <w:t>r</w:t>
      </w:r>
      <w:r>
        <w:t>cialisation de produits non conformes ou la diffusion d’informations mensongères, avec des sanctions prévues à cet effet ;</w:t>
      </w:r>
    </w:p>
    <w:p w:rsidR="00F57DD8" w:rsidRDefault="00F57DD8" w:rsidP="007A677E">
      <w:pPr>
        <w:pStyle w:val="NormalWeb"/>
        <w:numPr>
          <w:ilvl w:val="0"/>
          <w:numId w:val="6"/>
        </w:numPr>
        <w:spacing w:after="0" w:line="360" w:lineRule="auto"/>
        <w:jc w:val="both"/>
      </w:pPr>
      <w:r>
        <w:t>La protection des consommateurs vulnérables, tels que les enfants et les personnes âgées, contre toute forme d’exploitation commerciale ;</w:t>
      </w:r>
    </w:p>
    <w:p w:rsidR="00F57DD8" w:rsidRDefault="00F57DD8" w:rsidP="007A677E">
      <w:pPr>
        <w:pStyle w:val="NormalWeb"/>
        <w:numPr>
          <w:ilvl w:val="0"/>
          <w:numId w:val="6"/>
        </w:numPr>
        <w:spacing w:after="0" w:line="360" w:lineRule="auto"/>
        <w:jc w:val="both"/>
      </w:pPr>
      <w:r>
        <w:t>Le droit à l’indemnisation en cas de dommages causés par des produits ou services ;</w:t>
      </w:r>
    </w:p>
    <w:p w:rsidR="00F57DD8" w:rsidRDefault="00F57DD8" w:rsidP="007A677E">
      <w:pPr>
        <w:pStyle w:val="NormalWeb"/>
        <w:numPr>
          <w:ilvl w:val="0"/>
          <w:numId w:val="6"/>
        </w:numPr>
        <w:spacing w:after="0" w:line="360" w:lineRule="auto"/>
        <w:jc w:val="both"/>
      </w:pPr>
      <w:r>
        <w:t>La promotion de la sensibilisation des consommateurs et l’accès à une information fiable pour orienter leurs choix de consommation.</w:t>
      </w:r>
    </w:p>
    <w:p w:rsidR="00F57DD8" w:rsidRDefault="00F57DD8" w:rsidP="007A677E">
      <w:pPr>
        <w:pStyle w:val="NormalWeb"/>
        <w:spacing w:after="0" w:line="360" w:lineRule="auto"/>
        <w:jc w:val="both"/>
      </w:pPr>
      <w:r>
        <w:rPr>
          <w:rStyle w:val="lev"/>
        </w:rPr>
        <w:t>L’arrêté ministériel conjoint du 1er décembre 2020 relatif à l’application du système HACCP :</w:t>
      </w:r>
    </w:p>
    <w:p w:rsidR="00F57DD8" w:rsidRDefault="00F57DD8" w:rsidP="007A677E">
      <w:pPr>
        <w:pStyle w:val="NormalWeb"/>
        <w:spacing w:after="0" w:line="360" w:lineRule="auto"/>
        <w:jc w:val="both"/>
      </w:pPr>
      <w:r>
        <w:t xml:space="preserve">        Le système HACCP (Hazard Analysis Critical Control Point) constitue un outil de ge</w:t>
      </w:r>
      <w:r>
        <w:t>s</w:t>
      </w:r>
      <w:r>
        <w:t>tion des risques permettant d’identifier, d’évaluer et de maîtriser les dangers potentiels (biol</w:t>
      </w:r>
      <w:r>
        <w:t>o</w:t>
      </w:r>
      <w:r>
        <w:t>giques, chimiques et physiques) tout au long de la chaîne de production alimentaire.</w:t>
      </w:r>
    </w:p>
    <w:p w:rsidR="00F57DD8" w:rsidRDefault="00F57DD8" w:rsidP="007A677E">
      <w:pPr>
        <w:pStyle w:val="NormalWeb"/>
        <w:spacing w:after="0" w:line="360" w:lineRule="auto"/>
        <w:jc w:val="both"/>
      </w:pPr>
      <w:r>
        <w:t>Cet arrêté prévoit notamment :</w:t>
      </w:r>
      <w:r>
        <w:rPr>
          <w:rStyle w:val="Appelnotedebasdep"/>
        </w:rPr>
        <w:footnoteReference w:id="177"/>
      </w:r>
    </w:p>
    <w:p w:rsidR="00F57DD8" w:rsidRDefault="00F57DD8" w:rsidP="007A677E">
      <w:pPr>
        <w:pStyle w:val="NormalWeb"/>
        <w:numPr>
          <w:ilvl w:val="0"/>
          <w:numId w:val="7"/>
        </w:numPr>
        <w:spacing w:after="0" w:line="360" w:lineRule="auto"/>
        <w:jc w:val="both"/>
      </w:pPr>
      <w:r>
        <w:lastRenderedPageBreak/>
        <w:t>L’obligation d’appliquer le système HACCP dans l’ensemble des établissements alime</w:t>
      </w:r>
      <w:r>
        <w:t>n</w:t>
      </w:r>
      <w:r>
        <w:t>taires (industries, restaurants, boulangeries, etc.).</w:t>
      </w:r>
    </w:p>
    <w:p w:rsidR="00F57DD8" w:rsidRDefault="00F57DD8" w:rsidP="007A677E">
      <w:pPr>
        <w:pStyle w:val="NormalWeb"/>
        <w:numPr>
          <w:ilvl w:val="0"/>
          <w:numId w:val="7"/>
        </w:numPr>
        <w:spacing w:after="0" w:line="360" w:lineRule="auto"/>
        <w:jc w:val="both"/>
      </w:pPr>
      <w:r>
        <w:t>La mise en place de programmes de formation destinés aux travailleurs afin d’assurer une application correcte du système.</w:t>
      </w:r>
    </w:p>
    <w:p w:rsidR="00F57DD8" w:rsidRDefault="00F57DD8" w:rsidP="007A677E">
      <w:pPr>
        <w:pStyle w:val="NormalWeb"/>
        <w:numPr>
          <w:ilvl w:val="0"/>
          <w:numId w:val="7"/>
        </w:numPr>
        <w:spacing w:after="0" w:line="360" w:lineRule="auto"/>
        <w:jc w:val="both"/>
      </w:pPr>
      <w:r>
        <w:t>L’obligation de documenter les procédures et d’assurer un suivi régulier pour garantir la conformité et l’amélioration continue.</w:t>
      </w:r>
    </w:p>
    <w:p w:rsidR="00F57DD8" w:rsidRDefault="00F57DD8" w:rsidP="007A677E">
      <w:pPr>
        <w:pStyle w:val="NormalWeb"/>
        <w:numPr>
          <w:ilvl w:val="0"/>
          <w:numId w:val="7"/>
        </w:numPr>
        <w:spacing w:after="0" w:line="360" w:lineRule="auto"/>
        <w:jc w:val="both"/>
      </w:pPr>
      <w:r>
        <w:t>Le renforcement des mécanismes de contrôle et d’inspection par les autorités comp</w:t>
      </w:r>
      <w:r>
        <w:t>é</w:t>
      </w:r>
      <w:r>
        <w:t>tentes.</w:t>
      </w:r>
    </w:p>
    <w:p w:rsidR="00F57DD8" w:rsidRDefault="00F57DD8" w:rsidP="007A677E">
      <w:pPr>
        <w:pStyle w:val="NormalWeb"/>
        <w:numPr>
          <w:ilvl w:val="0"/>
          <w:numId w:val="7"/>
        </w:numPr>
        <w:spacing w:after="0" w:line="360" w:lineRule="auto"/>
        <w:jc w:val="both"/>
      </w:pPr>
      <w:r>
        <w:t>La promotion de la coopération entre les différents acteurs concernés.</w:t>
      </w:r>
    </w:p>
    <w:p w:rsidR="00F57DD8" w:rsidRDefault="00F57DD8" w:rsidP="007A677E">
      <w:pPr>
        <w:pStyle w:val="NormalWeb"/>
        <w:spacing w:after="0" w:line="360" w:lineRule="auto"/>
        <w:jc w:val="both"/>
      </w:pPr>
      <w:r>
        <w:rPr>
          <w:rStyle w:val="lev"/>
        </w:rPr>
        <w:t>Le décret exécutif n° 17-140 du 11 avril 2017 fixant les conditions d’hygiène et de sal</w:t>
      </w:r>
      <w:r>
        <w:rPr>
          <w:rStyle w:val="lev"/>
        </w:rPr>
        <w:t>u</w:t>
      </w:r>
      <w:r>
        <w:rPr>
          <w:rStyle w:val="lev"/>
        </w:rPr>
        <w:t>brité des denrées alimentaires :</w:t>
      </w:r>
    </w:p>
    <w:p w:rsidR="00F57DD8" w:rsidRDefault="00F57DD8" w:rsidP="007A677E">
      <w:pPr>
        <w:pStyle w:val="NormalWeb"/>
        <w:spacing w:after="0" w:line="360" w:lineRule="auto"/>
        <w:jc w:val="both"/>
      </w:pPr>
      <w:r>
        <w:t xml:space="preserve">         Ce décret s’applique à l’ensemble des étapes de la chaîne alimentaire, depuis la produ</w:t>
      </w:r>
      <w:r>
        <w:t>c</w:t>
      </w:r>
      <w:r>
        <w:t>tion primaire jusqu’à la consommation finale, incluant la transformation, le stockage, le tran</w:t>
      </w:r>
      <w:r>
        <w:t>s</w:t>
      </w:r>
      <w:r>
        <w:t>port et la distribution.</w:t>
      </w:r>
    </w:p>
    <w:p w:rsidR="00F57DD8" w:rsidRDefault="00F57DD8" w:rsidP="007A677E">
      <w:pPr>
        <w:pStyle w:val="NormalWeb"/>
        <w:spacing w:after="0" w:line="360" w:lineRule="auto"/>
        <w:jc w:val="both"/>
      </w:pPr>
      <w:r>
        <w:t>Il prévoit notamment :</w:t>
      </w:r>
      <w:r>
        <w:rPr>
          <w:rStyle w:val="Appelnotedebasdep"/>
        </w:rPr>
        <w:footnoteReference w:id="178"/>
      </w:r>
    </w:p>
    <w:p w:rsidR="00F57DD8" w:rsidRDefault="00F57DD8" w:rsidP="007A677E">
      <w:pPr>
        <w:pStyle w:val="NormalWeb"/>
        <w:numPr>
          <w:ilvl w:val="0"/>
          <w:numId w:val="8"/>
        </w:numPr>
        <w:spacing w:after="0" w:line="360" w:lineRule="auto"/>
        <w:jc w:val="both"/>
      </w:pPr>
      <w:r>
        <w:t xml:space="preserve">L’application des règles d’hygiène à toutes les étapes de la production et de la distribution. </w:t>
      </w:r>
    </w:p>
    <w:p w:rsidR="00F57DD8" w:rsidRDefault="00F57DD8" w:rsidP="007A677E">
      <w:pPr>
        <w:pStyle w:val="NormalWeb"/>
        <w:numPr>
          <w:ilvl w:val="0"/>
          <w:numId w:val="8"/>
        </w:numPr>
        <w:spacing w:after="0" w:line="360" w:lineRule="auto"/>
        <w:jc w:val="both"/>
      </w:pPr>
      <w:r>
        <w:t>La protection des denrées alimentaires contre toute forme de contamination ;</w:t>
      </w:r>
    </w:p>
    <w:p w:rsidR="00F57DD8" w:rsidRDefault="00F57DD8" w:rsidP="007A677E">
      <w:pPr>
        <w:pStyle w:val="NormalWeb"/>
        <w:numPr>
          <w:ilvl w:val="0"/>
          <w:numId w:val="8"/>
        </w:numPr>
        <w:spacing w:after="0" w:line="360" w:lineRule="auto"/>
        <w:jc w:val="both"/>
      </w:pPr>
      <w:r>
        <w:t>L’obligation pour les opérateurs de se conformer aux normes sanitaires en vigueur ;</w:t>
      </w:r>
    </w:p>
    <w:p w:rsidR="00F57DD8" w:rsidRDefault="00F57DD8" w:rsidP="007A677E">
      <w:pPr>
        <w:pStyle w:val="NormalWeb"/>
        <w:numPr>
          <w:ilvl w:val="0"/>
          <w:numId w:val="8"/>
        </w:numPr>
        <w:spacing w:after="0" w:line="360" w:lineRule="auto"/>
        <w:jc w:val="both"/>
      </w:pPr>
      <w:r>
        <w:t>La mise en place de mesures de prévention contre les sources de contamination (air, sol, insectes, rongeurs, etc.) ;</w:t>
      </w:r>
    </w:p>
    <w:p w:rsidR="00F57DD8" w:rsidRDefault="00F57DD8" w:rsidP="007A677E">
      <w:pPr>
        <w:pStyle w:val="NormalWeb"/>
        <w:numPr>
          <w:ilvl w:val="0"/>
          <w:numId w:val="8"/>
        </w:numPr>
        <w:spacing w:after="0" w:line="360" w:lineRule="auto"/>
        <w:jc w:val="both"/>
      </w:pPr>
      <w:r>
        <w:t>L’aménagement adéquat des installations afin de faciliter le nettoyage et prévenir la co</w:t>
      </w:r>
      <w:r>
        <w:t>n</w:t>
      </w:r>
      <w:r>
        <w:t>tamination croisée ;</w:t>
      </w:r>
    </w:p>
    <w:p w:rsidR="00F57DD8" w:rsidRDefault="00F57DD8" w:rsidP="007A677E">
      <w:pPr>
        <w:pStyle w:val="NormalWeb"/>
        <w:numPr>
          <w:ilvl w:val="0"/>
          <w:numId w:val="8"/>
        </w:numPr>
        <w:spacing w:after="0" w:line="360" w:lineRule="auto"/>
        <w:jc w:val="both"/>
      </w:pPr>
      <w:r>
        <w:t>La mise à disposition d’équipements sanitaires appropriés pour le personnel ;</w:t>
      </w:r>
    </w:p>
    <w:p w:rsidR="00F57DD8" w:rsidRDefault="00F57DD8" w:rsidP="007A677E">
      <w:pPr>
        <w:pStyle w:val="NormalWeb"/>
        <w:numPr>
          <w:ilvl w:val="0"/>
          <w:numId w:val="8"/>
        </w:numPr>
        <w:spacing w:after="0" w:line="360" w:lineRule="auto"/>
        <w:jc w:val="both"/>
      </w:pPr>
      <w:r>
        <w:t>L’entretien régulier et le nettoyage des équipements et des surfaces.</w:t>
      </w:r>
    </w:p>
    <w:p w:rsidR="00F57DD8" w:rsidRPr="00007593" w:rsidRDefault="00F45722" w:rsidP="007A677E">
      <w:pPr>
        <w:pStyle w:val="Titre5"/>
        <w:spacing w:before="0" w:after="0" w:line="360" w:lineRule="auto"/>
        <w:jc w:val="both"/>
        <w:rPr>
          <w:rFonts w:ascii="Times New Roman" w:hAnsi="Times New Roman"/>
          <w:b/>
          <w:bCs/>
          <w:color w:val="auto"/>
          <w:sz w:val="24"/>
          <w:szCs w:val="24"/>
        </w:rPr>
      </w:pPr>
      <w:bookmarkStart w:id="180" w:name="_Toc230558679"/>
      <w:bookmarkStart w:id="181" w:name="_Toc230900313"/>
      <w:r w:rsidRPr="00007593">
        <w:rPr>
          <w:rFonts w:ascii="Times New Roman" w:hAnsi="Times New Roman"/>
          <w:b/>
          <w:bCs/>
          <w:color w:val="auto"/>
          <w:sz w:val="24"/>
          <w:szCs w:val="24"/>
        </w:rPr>
        <w:t>3.2.2.</w:t>
      </w:r>
      <w:r w:rsidR="00F57DD8" w:rsidRPr="00007593">
        <w:rPr>
          <w:rFonts w:ascii="Times New Roman" w:hAnsi="Times New Roman"/>
          <w:b/>
          <w:bCs/>
          <w:color w:val="auto"/>
          <w:sz w:val="24"/>
          <w:szCs w:val="24"/>
        </w:rPr>
        <w:t>Les exigences légales spécialisées pour certains produits alimentaires</w:t>
      </w:r>
      <w:bookmarkEnd w:id="180"/>
      <w:bookmarkEnd w:id="181"/>
    </w:p>
    <w:p w:rsidR="00F57DD8" w:rsidRDefault="00F57DD8" w:rsidP="007A677E">
      <w:pPr>
        <w:pStyle w:val="NormalWeb"/>
        <w:spacing w:after="0" w:line="360" w:lineRule="auto"/>
        <w:jc w:val="both"/>
      </w:pPr>
      <w:r>
        <w:t xml:space="preserve">        En complément des dispositions générales, le cadre juridique algérien comprend de nombreux textes spécifiques applicables à certains produits alimentaires ou à certains aspects de leur transformation.</w:t>
      </w:r>
    </w:p>
    <w:p w:rsidR="00F57DD8" w:rsidRDefault="00F57DD8" w:rsidP="00D078FF">
      <w:pPr>
        <w:pStyle w:val="NormalWeb"/>
        <w:spacing w:line="360" w:lineRule="auto"/>
        <w:jc w:val="both"/>
      </w:pPr>
      <w:r>
        <w:t>Parmi les principaux textes, on peut citer :</w:t>
      </w:r>
    </w:p>
    <w:p w:rsidR="00F57DD8" w:rsidRDefault="00F57DD8" w:rsidP="007A677E">
      <w:pPr>
        <w:pStyle w:val="NormalWeb"/>
        <w:numPr>
          <w:ilvl w:val="0"/>
          <w:numId w:val="39"/>
        </w:numPr>
        <w:tabs>
          <w:tab w:val="left" w:pos="360"/>
        </w:tabs>
        <w:spacing w:after="0" w:line="360" w:lineRule="auto"/>
        <w:jc w:val="both"/>
      </w:pPr>
      <w:r>
        <w:t>Le décret exécutif n° 99-17 relatif aux caractéristiques du café et aux conditions de sa mise à la consommation.</w:t>
      </w:r>
      <w:r>
        <w:rPr>
          <w:rStyle w:val="Appelnotedebasdep"/>
        </w:rPr>
        <w:footnoteReference w:id="179"/>
      </w:r>
    </w:p>
    <w:p w:rsidR="00F57DD8" w:rsidRDefault="00F57DD8" w:rsidP="007A677E">
      <w:pPr>
        <w:pStyle w:val="NormalWeb"/>
        <w:numPr>
          <w:ilvl w:val="0"/>
          <w:numId w:val="39"/>
        </w:numPr>
        <w:tabs>
          <w:tab w:val="left" w:pos="360"/>
        </w:tabs>
        <w:spacing w:after="0" w:line="360" w:lineRule="auto"/>
        <w:jc w:val="both"/>
      </w:pPr>
      <w:r>
        <w:lastRenderedPageBreak/>
        <w:t>Le décret exécutif n° 16-299 fixant les conditions d’utilisation des matériaux et équ</w:t>
      </w:r>
      <w:r>
        <w:t>i</w:t>
      </w:r>
      <w:r>
        <w:t>pements en contact avec les denrées alimentaires.</w:t>
      </w:r>
      <w:r>
        <w:rPr>
          <w:rStyle w:val="Appelnotedebasdep"/>
        </w:rPr>
        <w:footnoteReference w:id="180"/>
      </w:r>
    </w:p>
    <w:p w:rsidR="00F57DD8" w:rsidRDefault="00F57DD8" w:rsidP="007A677E">
      <w:pPr>
        <w:pStyle w:val="NormalWeb"/>
        <w:numPr>
          <w:ilvl w:val="0"/>
          <w:numId w:val="9"/>
        </w:numPr>
        <w:spacing w:after="0" w:line="360" w:lineRule="auto"/>
        <w:jc w:val="both"/>
      </w:pPr>
      <w:r>
        <w:t>Le décret exécutif n° 13-298 relatif à l’exploitation et à la protection des eaux minérales naturelles.</w:t>
      </w:r>
      <w:r>
        <w:rPr>
          <w:rStyle w:val="Appelnotedebasdep"/>
        </w:rPr>
        <w:footnoteReference w:id="181"/>
      </w:r>
    </w:p>
    <w:p w:rsidR="00F57DD8" w:rsidRDefault="00F57DD8" w:rsidP="007A677E">
      <w:pPr>
        <w:pStyle w:val="NormalWeb"/>
        <w:numPr>
          <w:ilvl w:val="0"/>
          <w:numId w:val="9"/>
        </w:numPr>
        <w:spacing w:after="0" w:line="360" w:lineRule="auto"/>
        <w:jc w:val="both"/>
      </w:pPr>
      <w:r>
        <w:t xml:space="preserve">Le décret exécutif n° 12-214 fixant les conditions d’utilisation des additifs alimentaires. </w:t>
      </w:r>
      <w:r>
        <w:rPr>
          <w:rStyle w:val="Appelnotedebasdep"/>
        </w:rPr>
        <w:footnoteReference w:id="182"/>
      </w:r>
    </w:p>
    <w:p w:rsidR="00F57DD8" w:rsidRDefault="00F57DD8" w:rsidP="007A677E">
      <w:pPr>
        <w:pStyle w:val="NormalWeb"/>
        <w:numPr>
          <w:ilvl w:val="0"/>
          <w:numId w:val="9"/>
        </w:numPr>
        <w:spacing w:after="0" w:line="360" w:lineRule="auto"/>
        <w:jc w:val="both"/>
      </w:pPr>
      <w:r>
        <w:t>Les décrets exécutifs n° 10-26 et n° 09-414 relatifs à la qualité de l’eau destinée à la co</w:t>
      </w:r>
      <w:r>
        <w:t>n</w:t>
      </w:r>
      <w:r>
        <w:t>sommation humaine.</w:t>
      </w:r>
    </w:p>
    <w:p w:rsidR="00F57DD8" w:rsidRDefault="00F57DD8" w:rsidP="007A677E">
      <w:pPr>
        <w:pStyle w:val="NormalWeb"/>
        <w:numPr>
          <w:ilvl w:val="0"/>
          <w:numId w:val="9"/>
        </w:numPr>
        <w:spacing w:after="0" w:line="360" w:lineRule="auto"/>
        <w:jc w:val="both"/>
      </w:pPr>
      <w:r>
        <w:t>Le décret exécutif n° 90-40 rendant obligatoire la vente de sel iodé ;</w:t>
      </w:r>
    </w:p>
    <w:p w:rsidR="00F57DD8" w:rsidRDefault="00F57DD8" w:rsidP="007A677E">
      <w:pPr>
        <w:pStyle w:val="NormalWeb"/>
        <w:numPr>
          <w:ilvl w:val="0"/>
          <w:numId w:val="9"/>
        </w:numPr>
        <w:spacing w:after="0" w:line="360" w:lineRule="auto"/>
        <w:jc w:val="both"/>
      </w:pPr>
      <w:r>
        <w:t>Plusieurs arrêtés ministériels relatifs aux spécifications techniques de certains produits alimentaires, tels que le chocolat, le sucre, le beurre, le yaourt, le vinaigre et les conce</w:t>
      </w:r>
      <w:r>
        <w:t>n</w:t>
      </w:r>
      <w:r>
        <w:t>trés de tomate.</w:t>
      </w:r>
    </w:p>
    <w:p w:rsidR="00F57DD8" w:rsidRDefault="00F57DD8" w:rsidP="007A677E">
      <w:pPr>
        <w:pStyle w:val="NormalWeb"/>
        <w:spacing w:after="0" w:line="360" w:lineRule="auto"/>
        <w:jc w:val="both"/>
      </w:pPr>
      <w:r>
        <w:t>Ces textes visent à garantir la qualité, la sécurité et la conformité des produits alimentaires aux normes sanitaires en vigueur.</w:t>
      </w:r>
    </w:p>
    <w:p w:rsidR="00F57DD8" w:rsidRPr="00007593" w:rsidRDefault="00F45722" w:rsidP="007A677E">
      <w:pPr>
        <w:pStyle w:val="Titre4"/>
        <w:spacing w:before="0" w:after="0" w:line="360" w:lineRule="auto"/>
        <w:jc w:val="both"/>
        <w:rPr>
          <w:rFonts w:ascii="Times New Roman" w:hAnsi="Times New Roman"/>
          <w:b/>
          <w:bCs/>
          <w:i w:val="0"/>
          <w:iCs w:val="0"/>
          <w:color w:val="auto"/>
          <w:sz w:val="24"/>
          <w:szCs w:val="24"/>
        </w:rPr>
      </w:pPr>
      <w:bookmarkStart w:id="182" w:name="_Toc230558680"/>
      <w:bookmarkStart w:id="183" w:name="_Toc230900314"/>
      <w:r w:rsidRPr="00007593">
        <w:rPr>
          <w:rFonts w:ascii="Times New Roman" w:hAnsi="Times New Roman"/>
          <w:b/>
          <w:bCs/>
          <w:i w:val="0"/>
          <w:iCs w:val="0"/>
          <w:color w:val="auto"/>
          <w:sz w:val="24"/>
          <w:szCs w:val="24"/>
        </w:rPr>
        <w:t>3.3.</w:t>
      </w:r>
      <w:r w:rsidR="00F57DD8" w:rsidRPr="00007593">
        <w:rPr>
          <w:rFonts w:ascii="Times New Roman" w:hAnsi="Times New Roman"/>
          <w:b/>
          <w:bCs/>
          <w:i w:val="0"/>
          <w:iCs w:val="0"/>
          <w:color w:val="auto"/>
          <w:sz w:val="24"/>
          <w:szCs w:val="24"/>
        </w:rPr>
        <w:t>Le cadre normatif de la sécurité des produits alimentaires en Algérie</w:t>
      </w:r>
      <w:bookmarkEnd w:id="182"/>
      <w:bookmarkEnd w:id="183"/>
    </w:p>
    <w:p w:rsidR="00CD0DEF" w:rsidRDefault="00F57DD8" w:rsidP="007A677E">
      <w:pPr>
        <w:pStyle w:val="NormalWeb"/>
        <w:spacing w:after="0" w:line="360" w:lineRule="auto"/>
        <w:jc w:val="both"/>
      </w:pPr>
      <w:r>
        <w:t xml:space="preserve">      Les normes de sécurité des produits alimentaires peuvent être distinguées en deux catég</w:t>
      </w:r>
      <w:r>
        <w:t>o</w:t>
      </w:r>
      <w:r>
        <w:t>ries : les normes relatives aux pratiques de gestion, applicables à l’ensemble des entreprises alimentaires, et les normes techniques spécifiques à certains produits.</w:t>
      </w:r>
      <w:r>
        <w:rPr>
          <w:rStyle w:val="Appelnotedebasdep"/>
        </w:rPr>
        <w:footnoteReference w:id="183"/>
      </w:r>
    </w:p>
    <w:p w:rsidR="00F57DD8" w:rsidRPr="00007593" w:rsidRDefault="00F45722" w:rsidP="007A677E">
      <w:pPr>
        <w:pStyle w:val="Titre5"/>
        <w:spacing w:before="0" w:after="0" w:line="360" w:lineRule="auto"/>
        <w:jc w:val="both"/>
        <w:rPr>
          <w:rFonts w:ascii="Times New Roman" w:hAnsi="Times New Roman"/>
          <w:b/>
          <w:bCs/>
          <w:color w:val="auto"/>
          <w:sz w:val="24"/>
          <w:szCs w:val="24"/>
        </w:rPr>
      </w:pPr>
      <w:bookmarkStart w:id="184" w:name="_Toc230558681"/>
      <w:bookmarkStart w:id="185" w:name="_Toc230900315"/>
      <w:r w:rsidRPr="00007593">
        <w:rPr>
          <w:rFonts w:ascii="Times New Roman" w:hAnsi="Times New Roman"/>
          <w:b/>
          <w:bCs/>
          <w:color w:val="auto"/>
          <w:sz w:val="24"/>
          <w:szCs w:val="24"/>
        </w:rPr>
        <w:t>3.3.1.</w:t>
      </w:r>
      <w:r w:rsidR="00F57DD8" w:rsidRPr="00007593">
        <w:rPr>
          <w:rFonts w:ascii="Times New Roman" w:hAnsi="Times New Roman"/>
          <w:b/>
          <w:bCs/>
          <w:color w:val="auto"/>
          <w:sz w:val="24"/>
          <w:szCs w:val="24"/>
        </w:rPr>
        <w:t>Normes des pratiques administratives</w:t>
      </w:r>
      <w:bookmarkEnd w:id="184"/>
      <w:bookmarkEnd w:id="185"/>
    </w:p>
    <w:p w:rsidR="00F57DD8" w:rsidRDefault="00F57DD8" w:rsidP="007A677E">
      <w:pPr>
        <w:pStyle w:val="NormalWeb"/>
        <w:spacing w:after="0" w:line="360" w:lineRule="auto"/>
        <w:jc w:val="both"/>
      </w:pPr>
      <w:r>
        <w:t xml:space="preserve">      L’Algérie adopte des normes internationales relatives à la gestion de la sécurité alime</w:t>
      </w:r>
      <w:r>
        <w:t>n</w:t>
      </w:r>
      <w:r>
        <w:t>taire, notamment :</w:t>
      </w:r>
    </w:p>
    <w:p w:rsidR="00F57DD8" w:rsidRDefault="00F57DD8" w:rsidP="007A677E">
      <w:pPr>
        <w:pStyle w:val="NormalWeb"/>
        <w:numPr>
          <w:ilvl w:val="0"/>
          <w:numId w:val="10"/>
        </w:numPr>
        <w:spacing w:after="0" w:line="360" w:lineRule="auto"/>
        <w:jc w:val="both"/>
      </w:pPr>
      <w:r>
        <w:t>La norme ISO 22000 : 2018, qui définit les exigences d’un système de management de la sécurité des denrées alimentaires et permet d’assurer la traçabilité et la maîtrise des risques tout au long de la chaîne alimentaire</w:t>
      </w:r>
      <w:r>
        <w:rPr>
          <w:rStyle w:val="Appelnotedebasdep"/>
        </w:rPr>
        <w:footnoteReference w:id="184"/>
      </w:r>
      <w:r>
        <w:t>.</w:t>
      </w:r>
    </w:p>
    <w:p w:rsidR="00F57DD8" w:rsidRDefault="00F57DD8" w:rsidP="007A677E">
      <w:pPr>
        <w:pStyle w:val="NormalWeb"/>
        <w:numPr>
          <w:ilvl w:val="0"/>
          <w:numId w:val="10"/>
        </w:numPr>
        <w:spacing w:after="0" w:line="360" w:lineRule="auto"/>
        <w:jc w:val="both"/>
      </w:pPr>
      <w:r>
        <w:lastRenderedPageBreak/>
        <w:t>La norme ISO 22005:2007, relative à la traçabilité dans la chaîne alimentaire, visant à renforcer la transparence et la confiance entre les acteurs .</w:t>
      </w:r>
      <w:r>
        <w:rPr>
          <w:rStyle w:val="Appelnotedebasdep"/>
        </w:rPr>
        <w:footnoteReference w:id="185"/>
      </w:r>
    </w:p>
    <w:p w:rsidR="00F57DD8" w:rsidRDefault="00F57DD8" w:rsidP="007A677E">
      <w:pPr>
        <w:pStyle w:val="NormalWeb"/>
        <w:numPr>
          <w:ilvl w:val="0"/>
          <w:numId w:val="10"/>
        </w:numPr>
        <w:spacing w:after="0" w:line="360" w:lineRule="auto"/>
        <w:jc w:val="both"/>
        <w:rPr>
          <w:color w:val="000000" w:themeColor="text1"/>
        </w:rPr>
      </w:pPr>
      <w:r>
        <w:rPr>
          <w:color w:val="000000" w:themeColor="text1"/>
        </w:rPr>
        <w:t>La norme européenne EN 15593:2008, relative à l’hygiène dans la fabrication des e</w:t>
      </w:r>
      <w:r>
        <w:rPr>
          <w:color w:val="000000" w:themeColor="text1"/>
        </w:rPr>
        <w:t>m</w:t>
      </w:r>
      <w:r>
        <w:rPr>
          <w:color w:val="000000" w:themeColor="text1"/>
        </w:rPr>
        <w:t>ballages destinés aux produits alimentaires.</w:t>
      </w:r>
      <w:r>
        <w:rPr>
          <w:rStyle w:val="Appelnotedebasdep"/>
          <w:color w:val="000000" w:themeColor="text1"/>
        </w:rPr>
        <w:footnoteReference w:id="186"/>
      </w:r>
    </w:p>
    <w:p w:rsidR="00F57DD8" w:rsidRDefault="00F57DD8" w:rsidP="007A677E">
      <w:pPr>
        <w:pStyle w:val="NormalWeb"/>
        <w:spacing w:after="0" w:line="360" w:lineRule="auto"/>
        <w:jc w:val="both"/>
      </w:pPr>
      <w:r>
        <w:t xml:space="preserve">     Cette dernière prévoit notamment :</w:t>
      </w:r>
      <w:r>
        <w:rPr>
          <w:rStyle w:val="Appelnotedebasdep"/>
        </w:rPr>
        <w:footnoteReference w:id="187"/>
      </w:r>
    </w:p>
    <w:p w:rsidR="00F57DD8" w:rsidRDefault="00F57DD8" w:rsidP="007A677E">
      <w:pPr>
        <w:pStyle w:val="NormalWeb"/>
        <w:numPr>
          <w:ilvl w:val="0"/>
          <w:numId w:val="11"/>
        </w:numPr>
        <w:spacing w:after="0" w:line="360" w:lineRule="auto"/>
        <w:jc w:val="both"/>
      </w:pPr>
      <w:r>
        <w:t>La conception et la fabrication des emballages de manière à éviter toute contamination ;</w:t>
      </w:r>
    </w:p>
    <w:p w:rsidR="00F57DD8" w:rsidRDefault="00F57DD8" w:rsidP="007A677E">
      <w:pPr>
        <w:pStyle w:val="NormalWeb"/>
        <w:numPr>
          <w:ilvl w:val="0"/>
          <w:numId w:val="11"/>
        </w:numPr>
        <w:spacing w:after="0" w:line="360" w:lineRule="auto"/>
        <w:jc w:val="both"/>
      </w:pPr>
      <w:r>
        <w:t>Le respect des règles d’hygiène et la formation du personnel ;</w:t>
      </w:r>
    </w:p>
    <w:p w:rsidR="00F57DD8" w:rsidRDefault="00F57DD8" w:rsidP="007A677E">
      <w:pPr>
        <w:pStyle w:val="NormalWeb"/>
        <w:numPr>
          <w:ilvl w:val="0"/>
          <w:numId w:val="11"/>
        </w:numPr>
        <w:spacing w:after="0" w:line="360" w:lineRule="auto"/>
        <w:jc w:val="both"/>
      </w:pPr>
      <w:r>
        <w:t>La mise en œuvre de procédures de désinfection et de stérilisation ;</w:t>
      </w:r>
    </w:p>
    <w:p w:rsidR="00F57DD8" w:rsidRDefault="00F57DD8" w:rsidP="007A677E">
      <w:pPr>
        <w:pStyle w:val="NormalWeb"/>
        <w:numPr>
          <w:ilvl w:val="0"/>
          <w:numId w:val="11"/>
        </w:numPr>
        <w:spacing w:after="0" w:line="360" w:lineRule="auto"/>
        <w:jc w:val="both"/>
      </w:pPr>
      <w:r>
        <w:t>Le contrôle régulier de la qualité ;</w:t>
      </w:r>
    </w:p>
    <w:p w:rsidR="00F57DD8" w:rsidRDefault="00F57DD8" w:rsidP="007A677E">
      <w:pPr>
        <w:pStyle w:val="NormalWeb"/>
        <w:numPr>
          <w:ilvl w:val="0"/>
          <w:numId w:val="11"/>
        </w:numPr>
        <w:spacing w:after="0" w:line="360" w:lineRule="auto"/>
        <w:jc w:val="both"/>
      </w:pPr>
      <w:r>
        <w:t>La gestion des risques liés à la contamination.</w:t>
      </w:r>
      <w:r>
        <w:rPr>
          <w:rStyle w:val="Appelnotedebasdep"/>
        </w:rPr>
        <w:footnoteReference w:id="188"/>
      </w:r>
    </w:p>
    <w:p w:rsidR="00F57DD8" w:rsidRPr="00007593" w:rsidRDefault="00F45722" w:rsidP="007A677E">
      <w:pPr>
        <w:pStyle w:val="Titre5"/>
        <w:spacing w:before="0" w:after="0" w:line="360" w:lineRule="auto"/>
        <w:jc w:val="both"/>
        <w:rPr>
          <w:rFonts w:ascii="Times New Roman" w:hAnsi="Times New Roman"/>
          <w:b/>
          <w:bCs/>
          <w:color w:val="auto"/>
          <w:sz w:val="24"/>
          <w:szCs w:val="24"/>
        </w:rPr>
      </w:pPr>
      <w:bookmarkStart w:id="186" w:name="_Toc230558682"/>
      <w:bookmarkStart w:id="187" w:name="_Toc230900316"/>
      <w:r w:rsidRPr="00007593">
        <w:rPr>
          <w:rFonts w:ascii="Times New Roman" w:hAnsi="Times New Roman"/>
          <w:b/>
          <w:bCs/>
          <w:color w:val="auto"/>
          <w:sz w:val="24"/>
          <w:szCs w:val="24"/>
        </w:rPr>
        <w:t>3.3.2. </w:t>
      </w:r>
      <w:r w:rsidR="00F57DD8" w:rsidRPr="00007593">
        <w:rPr>
          <w:rFonts w:ascii="Times New Roman" w:hAnsi="Times New Roman"/>
          <w:b/>
          <w:bCs/>
          <w:color w:val="auto"/>
          <w:sz w:val="24"/>
          <w:szCs w:val="24"/>
        </w:rPr>
        <w:t>Normes des spécifications techniques des produits alimentaires</w:t>
      </w:r>
      <w:bookmarkEnd w:id="186"/>
      <w:bookmarkEnd w:id="187"/>
    </w:p>
    <w:p w:rsidR="00F57DD8" w:rsidRDefault="00F57DD8" w:rsidP="007A677E">
      <w:pPr>
        <w:pStyle w:val="NormalWeb"/>
        <w:spacing w:after="0" w:line="360" w:lineRule="auto"/>
        <w:jc w:val="both"/>
        <w:rPr>
          <w:rtl/>
        </w:rPr>
      </w:pPr>
      <w:r>
        <w:t xml:space="preserve">        L’Institut Algérien de Normalisation adopte un ensemble de normes techniques dans le domaine de la sécurité alimentaire, alignées sur les standards internationaux. Ces normes d</w:t>
      </w:r>
      <w:r>
        <w:t>é</w:t>
      </w:r>
      <w:r>
        <w:t>finissent des exigences spécifiques propres à chaque produit alimentaire ou à certains aspects de sa production, afin de garantir sa qualité et sa sécurité.</w:t>
      </w:r>
      <w:r>
        <w:rPr>
          <w:rStyle w:val="Appelnotedebasdep"/>
        </w:rPr>
        <w:footnoteReference w:id="189"/>
      </w:r>
    </w:p>
    <w:p w:rsidR="007A677E" w:rsidRDefault="007A677E" w:rsidP="007A677E">
      <w:pPr>
        <w:pStyle w:val="NormalWeb"/>
        <w:spacing w:after="0" w:line="360" w:lineRule="auto"/>
        <w:jc w:val="both"/>
        <w:rPr>
          <w:rtl/>
        </w:rPr>
      </w:pPr>
    </w:p>
    <w:p w:rsidR="007A677E" w:rsidRDefault="007A677E" w:rsidP="007A677E">
      <w:pPr>
        <w:pStyle w:val="NormalWeb"/>
        <w:spacing w:after="0" w:line="360" w:lineRule="auto"/>
        <w:jc w:val="both"/>
        <w:rPr>
          <w:rtl/>
        </w:rPr>
      </w:pPr>
    </w:p>
    <w:p w:rsidR="007A677E" w:rsidRDefault="007A677E" w:rsidP="007A677E">
      <w:pPr>
        <w:pStyle w:val="NormalWeb"/>
        <w:spacing w:after="0" w:line="360" w:lineRule="auto"/>
        <w:jc w:val="both"/>
        <w:rPr>
          <w:rtl/>
        </w:rPr>
      </w:pPr>
    </w:p>
    <w:p w:rsidR="007A677E" w:rsidRDefault="007A677E" w:rsidP="007A677E">
      <w:pPr>
        <w:pStyle w:val="NormalWeb"/>
        <w:spacing w:after="0" w:line="360" w:lineRule="auto"/>
        <w:jc w:val="both"/>
        <w:rPr>
          <w:rtl/>
        </w:rPr>
      </w:pPr>
    </w:p>
    <w:p w:rsidR="007A677E" w:rsidRDefault="007A677E" w:rsidP="007A677E">
      <w:pPr>
        <w:pStyle w:val="NormalWeb"/>
        <w:spacing w:after="0" w:line="360" w:lineRule="auto"/>
        <w:jc w:val="both"/>
        <w:rPr>
          <w:rtl/>
        </w:rPr>
      </w:pPr>
    </w:p>
    <w:p w:rsidR="007A677E" w:rsidRDefault="007A677E" w:rsidP="007A677E">
      <w:pPr>
        <w:pStyle w:val="NormalWeb"/>
        <w:spacing w:after="0" w:line="360" w:lineRule="auto"/>
        <w:jc w:val="both"/>
      </w:pPr>
    </w:p>
    <w:p w:rsidR="00F57DD8" w:rsidRPr="00377748" w:rsidRDefault="00377748" w:rsidP="00D078FF">
      <w:pPr>
        <w:pStyle w:val="Lgende"/>
        <w:spacing w:line="360" w:lineRule="auto"/>
        <w:jc w:val="both"/>
        <w:rPr>
          <w:rFonts w:asciiTheme="majorBidi" w:eastAsia="Calibri" w:hAnsiTheme="majorBidi" w:cstheme="majorBidi"/>
          <w:i w:val="0"/>
          <w:iCs w:val="0"/>
          <w:color w:val="auto"/>
          <w:kern w:val="3"/>
          <w:sz w:val="24"/>
          <w:szCs w:val="24"/>
          <w:rtl/>
        </w:rPr>
      </w:pPr>
      <w:bookmarkStart w:id="188" w:name="_Toc230400746"/>
      <w:r w:rsidRPr="00377748">
        <w:rPr>
          <w:rFonts w:asciiTheme="majorBidi" w:eastAsia="Calibri" w:hAnsiTheme="majorBidi" w:cstheme="majorBidi"/>
          <w:b/>
          <w:bCs/>
          <w:i w:val="0"/>
          <w:iCs w:val="0"/>
          <w:color w:val="auto"/>
          <w:kern w:val="3"/>
          <w:sz w:val="24"/>
          <w:szCs w:val="24"/>
        </w:rPr>
        <w:lastRenderedPageBreak/>
        <w:t xml:space="preserve">Tableau </w:t>
      </w:r>
      <w:r w:rsidR="007B5998" w:rsidRPr="00377748">
        <w:rPr>
          <w:rFonts w:asciiTheme="majorBidi" w:eastAsia="Calibri" w:hAnsiTheme="majorBidi" w:cstheme="majorBidi"/>
          <w:b/>
          <w:bCs/>
          <w:i w:val="0"/>
          <w:iCs w:val="0"/>
          <w:color w:val="auto"/>
          <w:kern w:val="3"/>
          <w:sz w:val="24"/>
          <w:szCs w:val="24"/>
        </w:rPr>
        <w:fldChar w:fldCharType="begin"/>
      </w:r>
      <w:r w:rsidRPr="00377748">
        <w:rPr>
          <w:rFonts w:asciiTheme="majorBidi" w:eastAsia="Calibri" w:hAnsiTheme="majorBidi" w:cstheme="majorBidi"/>
          <w:b/>
          <w:bCs/>
          <w:i w:val="0"/>
          <w:iCs w:val="0"/>
          <w:color w:val="auto"/>
          <w:kern w:val="3"/>
          <w:sz w:val="24"/>
          <w:szCs w:val="24"/>
        </w:rPr>
        <w:instrText xml:space="preserve"> SEQ Tableau \* ARABIC </w:instrText>
      </w:r>
      <w:r w:rsidR="007B5998" w:rsidRPr="00377748">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8</w:t>
      </w:r>
      <w:r w:rsidR="007B5998" w:rsidRPr="00377748">
        <w:rPr>
          <w:rFonts w:asciiTheme="majorBidi" w:eastAsia="Calibri" w:hAnsiTheme="majorBidi" w:cstheme="majorBidi"/>
          <w:b/>
          <w:bCs/>
          <w:i w:val="0"/>
          <w:iCs w:val="0"/>
          <w:color w:val="auto"/>
          <w:kern w:val="3"/>
          <w:sz w:val="24"/>
          <w:szCs w:val="24"/>
        </w:rPr>
        <w:fldChar w:fldCharType="end"/>
      </w:r>
      <w:r w:rsidRPr="00377748">
        <w:rPr>
          <w:rFonts w:asciiTheme="majorBidi" w:eastAsia="Calibri" w:hAnsiTheme="majorBidi" w:cstheme="majorBidi"/>
          <w:b/>
          <w:bCs/>
          <w:i w:val="0"/>
          <w:iCs w:val="0"/>
          <w:color w:val="auto"/>
          <w:kern w:val="3"/>
          <w:sz w:val="24"/>
          <w:szCs w:val="24"/>
        </w:rPr>
        <w:t xml:space="preserve"> :</w:t>
      </w:r>
      <w:r w:rsidRPr="00377748">
        <w:rPr>
          <w:rFonts w:asciiTheme="majorBidi" w:eastAsia="Calibri" w:hAnsiTheme="majorBidi" w:cstheme="majorBidi"/>
          <w:i w:val="0"/>
          <w:iCs w:val="0"/>
          <w:color w:val="auto"/>
          <w:kern w:val="3"/>
          <w:sz w:val="24"/>
          <w:szCs w:val="24"/>
        </w:rPr>
        <w:t xml:space="preserve"> Évolution temporelle de la production normative en sécurité alimentaire au sein de l’Institut Algérien de Normalisation (1990–2023)</w:t>
      </w:r>
      <w:bookmarkEnd w:id="188"/>
    </w:p>
    <w:tbl>
      <w:tblPr>
        <w:tblStyle w:val="Grilledutableau"/>
        <w:tblW w:w="6521" w:type="dxa"/>
        <w:tblInd w:w="1257" w:type="dxa"/>
        <w:tblLook w:val="04A0"/>
      </w:tblPr>
      <w:tblGrid>
        <w:gridCol w:w="3080"/>
        <w:gridCol w:w="3441"/>
      </w:tblGrid>
      <w:tr w:rsidR="00F57DD8">
        <w:tc>
          <w:tcPr>
            <w:tcW w:w="3080" w:type="dxa"/>
          </w:tcPr>
          <w:p w:rsidR="00F57DD8" w:rsidRDefault="00F57DD8" w:rsidP="007A677E">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Les années</w:t>
            </w:r>
          </w:p>
        </w:tc>
        <w:tc>
          <w:tcPr>
            <w:tcW w:w="3441" w:type="dxa"/>
          </w:tcPr>
          <w:p w:rsidR="00F57DD8" w:rsidRPr="00377748" w:rsidRDefault="00F57DD8" w:rsidP="007A677E">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Nombre de normesémises</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1990</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24</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1991</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6</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1992</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16</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1993</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4</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1994</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w:t>
            </w:r>
          </w:p>
        </w:tc>
      </w:tr>
      <w:tr w:rsidR="00F57DD8">
        <w:tc>
          <w:tcPr>
            <w:tcW w:w="3080" w:type="dxa"/>
          </w:tcPr>
          <w:p w:rsidR="00F57DD8" w:rsidRDefault="00F57DD8" w:rsidP="007A677E">
            <w:pPr>
              <w:spacing w:line="276" w:lineRule="auto"/>
              <w:jc w:val="both"/>
              <w:rPr>
                <w:rFonts w:asciiTheme="majorBidi" w:hAnsiTheme="majorBidi" w:cstheme="majorBidi"/>
                <w:sz w:val="24"/>
                <w:szCs w:val="24"/>
                <w:rtl/>
                <w:lang w:bidi="ar-DZ"/>
              </w:rPr>
            </w:pPr>
            <w:r>
              <w:rPr>
                <w:rFonts w:asciiTheme="majorBidi" w:hAnsiTheme="majorBidi" w:cstheme="majorBidi"/>
                <w:sz w:val="24"/>
                <w:szCs w:val="24"/>
                <w:lang w:bidi="ar-DZ"/>
              </w:rPr>
              <w:t>1995</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1997</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7</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2000</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2001</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4</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2003</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2005</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4</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2006</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6</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2007</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5</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2008</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2009</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6</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2010</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2011</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4</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2012</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6</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2013</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6</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2014</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8</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2015</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14</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2016</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8</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2017</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10</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2018</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19</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2019</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10</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2020</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14</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2021</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15</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2022</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10</w:t>
            </w:r>
          </w:p>
        </w:tc>
      </w:tr>
      <w:tr w:rsidR="00F57DD8">
        <w:tc>
          <w:tcPr>
            <w:tcW w:w="3080"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2023</w:t>
            </w:r>
          </w:p>
        </w:tc>
        <w:tc>
          <w:tcPr>
            <w:tcW w:w="3441" w:type="dxa"/>
          </w:tcPr>
          <w:p w:rsidR="00F57DD8" w:rsidRDefault="00F57DD8" w:rsidP="007A677E">
            <w:pPr>
              <w:spacing w:line="276" w:lineRule="auto"/>
              <w:jc w:val="both"/>
              <w:rPr>
                <w:rFonts w:asciiTheme="majorBidi" w:hAnsiTheme="majorBidi" w:cstheme="majorBidi"/>
                <w:sz w:val="24"/>
                <w:szCs w:val="24"/>
              </w:rPr>
            </w:pPr>
            <w:r>
              <w:rPr>
                <w:rFonts w:asciiTheme="majorBidi" w:hAnsiTheme="majorBidi" w:cstheme="majorBidi"/>
                <w:sz w:val="24"/>
                <w:szCs w:val="24"/>
              </w:rPr>
              <w:t>12</w:t>
            </w:r>
          </w:p>
        </w:tc>
      </w:tr>
      <w:tr w:rsidR="00F57DD8">
        <w:tc>
          <w:tcPr>
            <w:tcW w:w="3080" w:type="dxa"/>
          </w:tcPr>
          <w:p w:rsidR="00F57DD8" w:rsidRDefault="00F57DD8" w:rsidP="007A677E">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Total</w:t>
            </w:r>
          </w:p>
        </w:tc>
        <w:tc>
          <w:tcPr>
            <w:tcW w:w="3441" w:type="dxa"/>
          </w:tcPr>
          <w:p w:rsidR="00F57DD8" w:rsidRDefault="00F57DD8" w:rsidP="007A677E">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226</w:t>
            </w:r>
          </w:p>
        </w:tc>
      </w:tr>
    </w:tbl>
    <w:p w:rsidR="00F57DD8" w:rsidRDefault="00F57DD8" w:rsidP="00D078FF">
      <w:pPr>
        <w:pStyle w:val="NormalWeb"/>
        <w:spacing w:line="360" w:lineRule="auto"/>
        <w:jc w:val="both"/>
        <w:rPr>
          <w:b/>
          <w:bCs/>
          <w:sz w:val="18"/>
          <w:szCs w:val="18"/>
        </w:rPr>
      </w:pPr>
      <w:r>
        <w:rPr>
          <w:b/>
          <w:bCs/>
          <w:sz w:val="18"/>
          <w:szCs w:val="18"/>
        </w:rPr>
        <w:t>Source :</w:t>
      </w:r>
      <w:r>
        <w:rPr>
          <w:rFonts w:asciiTheme="majorBidi" w:hAnsiTheme="majorBidi" w:cstheme="majorBidi"/>
          <w:b/>
          <w:bCs/>
          <w:sz w:val="20"/>
          <w:szCs w:val="20"/>
        </w:rPr>
        <w:t xml:space="preserve"> Bilal Arselane</w:t>
      </w:r>
      <w:r>
        <w:rPr>
          <w:rFonts w:asciiTheme="majorBidi" w:hAnsiTheme="majorBidi" w:cstheme="majorBidi"/>
          <w:sz w:val="20"/>
          <w:szCs w:val="20"/>
        </w:rPr>
        <w:t xml:space="preserve">, « Le cadre juridique et normatif de la sécurité alimentaire en Algérie », </w:t>
      </w:r>
      <w:r>
        <w:rPr>
          <w:rStyle w:val="Accentuation"/>
          <w:rFonts w:asciiTheme="majorBidi" w:hAnsiTheme="majorBidi" w:cstheme="majorBidi"/>
          <w:sz w:val="20"/>
          <w:szCs w:val="20"/>
        </w:rPr>
        <w:t>Revue du fina</w:t>
      </w:r>
      <w:r>
        <w:rPr>
          <w:rStyle w:val="Accentuation"/>
          <w:rFonts w:asciiTheme="majorBidi" w:hAnsiTheme="majorBidi" w:cstheme="majorBidi"/>
          <w:sz w:val="20"/>
          <w:szCs w:val="20"/>
        </w:rPr>
        <w:t>n</w:t>
      </w:r>
      <w:r>
        <w:rPr>
          <w:rStyle w:val="Accentuation"/>
          <w:rFonts w:asciiTheme="majorBidi" w:hAnsiTheme="majorBidi" w:cstheme="majorBidi"/>
          <w:sz w:val="20"/>
          <w:szCs w:val="20"/>
        </w:rPr>
        <w:t>cement, de l’investissement et du développement durable</w:t>
      </w:r>
      <w:r>
        <w:rPr>
          <w:rFonts w:asciiTheme="majorBidi" w:hAnsiTheme="majorBidi" w:cstheme="majorBidi"/>
          <w:sz w:val="20"/>
          <w:szCs w:val="20"/>
        </w:rPr>
        <w:t>, vol. 9, n° 1, juin 2024, ISSN : 2507-7244, pp. 728-741.</w:t>
      </w:r>
    </w:p>
    <w:p w:rsidR="00F57DD8" w:rsidRDefault="00F57DD8" w:rsidP="00D078FF">
      <w:pPr>
        <w:pStyle w:val="NormalWeb"/>
        <w:spacing w:line="360" w:lineRule="auto"/>
        <w:jc w:val="both"/>
      </w:pPr>
      <w:r>
        <w:t xml:space="preserve">       L’Algérie dispose d’un cadre réglementaire en matière de sécurité sanitaire des aliments, mis en place progressivement depuis 1990, et reposant sur un ensemble cohérent de normes </w:t>
      </w:r>
      <w:r>
        <w:lastRenderedPageBreak/>
        <w:t>encadrant à la fois les pratiques de gestion et les exigences techniques garantissant la qualité des produits alimentaires.</w:t>
      </w:r>
      <w:r>
        <w:rPr>
          <w:rStyle w:val="Appelnotedebasdep"/>
        </w:rPr>
        <w:footnoteReference w:id="190"/>
      </w:r>
    </w:p>
    <w:p w:rsidR="00F57DD8" w:rsidRDefault="00F57DD8" w:rsidP="00D078FF">
      <w:pPr>
        <w:pStyle w:val="NormalWeb"/>
        <w:spacing w:line="360" w:lineRule="auto"/>
        <w:jc w:val="both"/>
      </w:pPr>
      <w:r>
        <w:t xml:space="preserve">       Une évolution majeure de ce dispositif réside dans l’adoption du système HACCP à tr</w:t>
      </w:r>
      <w:r>
        <w:t>a</w:t>
      </w:r>
      <w:r>
        <w:t>vers le décret interministériel du 1er décembre 2020. Ce système, fondé sur une approche préventive de la sécurité alimentaire, était auparavant appliqué de manière volontaire par les entreprises. Sa généralisation vise désormais à renforcer la fiabilité des produits algériens, notamment en facilitant leur accès aux marchés internationaux, étant donné la reconnaissance du HACCP à l’échelle mondiale.</w:t>
      </w:r>
    </w:p>
    <w:p w:rsidR="00F57DD8" w:rsidRDefault="00F57DD8" w:rsidP="00D078FF">
      <w:pPr>
        <w:pStyle w:val="NormalWeb"/>
        <w:spacing w:line="360" w:lineRule="auto"/>
        <w:jc w:val="both"/>
      </w:pPr>
      <w:r>
        <w:t xml:space="preserve">       Par ailleurs, l’Algérie s’appuie également sur un ensemble de normes nationales, telles que les 226 normes spécifiques à la sécurité des produits alimentaires, alignées sur les sta</w:t>
      </w:r>
      <w:r>
        <w:t>n</w:t>
      </w:r>
      <w:r>
        <w:t>dards internationaux et européens. À cela s’ajoute l’adoption de référentiels de management de la sécurité des aliments, notamment les normes ISO 22000 et EN 15593, contribuant à structurer davantage les pratiques des acteurs du secteur.</w:t>
      </w:r>
    </w:p>
    <w:p w:rsidR="00CD0DEF" w:rsidRDefault="00F57DD8" w:rsidP="00D078FF">
      <w:pPr>
        <w:pStyle w:val="NormalWeb"/>
        <w:spacing w:line="360" w:lineRule="auto"/>
        <w:jc w:val="both"/>
      </w:pPr>
      <w:r>
        <w:t xml:space="preserve">      Ainsi, ce cadre normatif témoigne d’une volonté de renforcer progressivement le système de sécurité sanitaire des aliments en Algérie, en l’alignant sur les exigences internationales.</w:t>
      </w:r>
      <w:r>
        <w:rPr>
          <w:rStyle w:val="Appelnotedebasdep"/>
        </w:rPr>
        <w:footnoteReference w:id="191"/>
      </w: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0A0823" w:rsidRDefault="000A0823" w:rsidP="00D078FF">
      <w:pPr>
        <w:pStyle w:val="NormalWeb"/>
        <w:spacing w:line="360" w:lineRule="auto"/>
        <w:jc w:val="both"/>
      </w:pPr>
    </w:p>
    <w:p w:rsidR="00F57DD8" w:rsidRDefault="00F57DD8" w:rsidP="00D078FF">
      <w:pPr>
        <w:pStyle w:val="Titre2"/>
        <w:spacing w:before="0" w:after="0" w:line="360" w:lineRule="auto"/>
        <w:jc w:val="both"/>
        <w:rPr>
          <w:rFonts w:asciiTheme="majorBidi" w:hAnsiTheme="majorBidi" w:cstheme="majorBidi"/>
          <w:color w:val="000000" w:themeColor="text1"/>
          <w:sz w:val="24"/>
          <w:szCs w:val="24"/>
          <w:lang w:eastAsia="fr-FR"/>
        </w:rPr>
      </w:pPr>
      <w:bookmarkStart w:id="189" w:name="_Toc230558683"/>
      <w:bookmarkStart w:id="190" w:name="_Toc230900317"/>
      <w:bookmarkStart w:id="191" w:name="_Toc230900922"/>
      <w:r w:rsidRPr="000A0823">
        <w:rPr>
          <w:rFonts w:asciiTheme="majorBidi" w:hAnsiTheme="majorBidi" w:cstheme="majorBidi"/>
          <w:b/>
          <w:bCs/>
          <w:color w:val="000000" w:themeColor="text1"/>
          <w:sz w:val="28"/>
          <w:szCs w:val="28"/>
          <w:lang w:eastAsia="fr-FR"/>
        </w:rPr>
        <w:lastRenderedPageBreak/>
        <w:t xml:space="preserve">Section </w:t>
      </w:r>
      <w:r w:rsidR="009F6DF2" w:rsidRPr="000A0823">
        <w:rPr>
          <w:rFonts w:asciiTheme="majorBidi" w:hAnsiTheme="majorBidi" w:cstheme="majorBidi"/>
          <w:b/>
          <w:bCs/>
          <w:color w:val="000000" w:themeColor="text1"/>
          <w:sz w:val="28"/>
          <w:szCs w:val="28"/>
          <w:lang w:eastAsia="fr-FR"/>
        </w:rPr>
        <w:t>0</w:t>
      </w:r>
      <w:r w:rsidRPr="000A0823">
        <w:rPr>
          <w:rFonts w:asciiTheme="majorBidi" w:hAnsiTheme="majorBidi" w:cstheme="majorBidi"/>
          <w:b/>
          <w:bCs/>
          <w:color w:val="000000" w:themeColor="text1"/>
          <w:sz w:val="28"/>
          <w:szCs w:val="28"/>
          <w:lang w:eastAsia="fr-FR"/>
        </w:rPr>
        <w:t xml:space="preserve">2 : </w:t>
      </w:r>
      <w:r w:rsidRPr="000A0823">
        <w:rPr>
          <w:rFonts w:asciiTheme="majorBidi" w:hAnsiTheme="majorBidi" w:cstheme="majorBidi"/>
          <w:color w:val="000000" w:themeColor="text1"/>
          <w:sz w:val="28"/>
          <w:szCs w:val="28"/>
          <w:lang w:eastAsia="fr-FR"/>
        </w:rPr>
        <w:t>Mécanismes marketing comme leviers de la sécurité sanitaire</w:t>
      </w:r>
      <w:bookmarkEnd w:id="189"/>
      <w:bookmarkEnd w:id="190"/>
      <w:bookmarkEnd w:id="191"/>
    </w:p>
    <w:p w:rsidR="000A0823" w:rsidRPr="000A0823" w:rsidRDefault="000A0823" w:rsidP="000A0823">
      <w:pPr>
        <w:suppressAutoHyphens w:val="0"/>
        <w:autoSpaceDN/>
        <w:spacing w:after="0" w:line="360" w:lineRule="auto"/>
        <w:textAlignment w:val="auto"/>
        <w:rPr>
          <w:rFonts w:ascii="Times New Roman" w:eastAsia="Times New Roman" w:hAnsi="Times New Roman" w:cs="Times New Roman"/>
          <w:kern w:val="0"/>
          <w:sz w:val="24"/>
          <w:szCs w:val="24"/>
          <w:lang w:eastAsia="fr-FR"/>
        </w:rPr>
      </w:pPr>
      <w:r w:rsidRPr="000A0823">
        <w:rPr>
          <w:rFonts w:ascii="Times New Roman" w:eastAsia="Times New Roman" w:hAnsi="Times New Roman" w:cs="Times New Roman"/>
          <w:kern w:val="0"/>
          <w:sz w:val="24"/>
          <w:szCs w:val="24"/>
          <w:lang w:eastAsia="fr-FR"/>
        </w:rPr>
        <w:t>Le marketing ne se limite plus à la promotion et à la commercialisation des produits ; il con</w:t>
      </w:r>
      <w:r w:rsidRPr="000A0823">
        <w:rPr>
          <w:rFonts w:ascii="Times New Roman" w:eastAsia="Times New Roman" w:hAnsi="Times New Roman" w:cs="Times New Roman"/>
          <w:kern w:val="0"/>
          <w:sz w:val="24"/>
          <w:szCs w:val="24"/>
          <w:lang w:eastAsia="fr-FR"/>
        </w:rPr>
        <w:t>s</w:t>
      </w:r>
      <w:r w:rsidRPr="000A0823">
        <w:rPr>
          <w:rFonts w:ascii="Times New Roman" w:eastAsia="Times New Roman" w:hAnsi="Times New Roman" w:cs="Times New Roman"/>
          <w:kern w:val="0"/>
          <w:sz w:val="24"/>
          <w:szCs w:val="24"/>
          <w:lang w:eastAsia="fr-FR"/>
        </w:rPr>
        <w:t>titue également un outil stratégique permettant de renforcer la sécurité sanitaire des aliments. Grâce à des mécanismes tels que l'étiquetage, la traçabilité, la certification, les labels de qual</w:t>
      </w:r>
      <w:r w:rsidRPr="000A0823">
        <w:rPr>
          <w:rFonts w:ascii="Times New Roman" w:eastAsia="Times New Roman" w:hAnsi="Times New Roman" w:cs="Times New Roman"/>
          <w:kern w:val="0"/>
          <w:sz w:val="24"/>
          <w:szCs w:val="24"/>
          <w:lang w:eastAsia="fr-FR"/>
        </w:rPr>
        <w:t>i</w:t>
      </w:r>
      <w:r w:rsidRPr="000A0823">
        <w:rPr>
          <w:rFonts w:ascii="Times New Roman" w:eastAsia="Times New Roman" w:hAnsi="Times New Roman" w:cs="Times New Roman"/>
          <w:kern w:val="0"/>
          <w:sz w:val="24"/>
          <w:szCs w:val="24"/>
          <w:lang w:eastAsia="fr-FR"/>
        </w:rPr>
        <w:t>té et la communication, les entreprises améliorent la transparence de leurs pratiques et cons</w:t>
      </w:r>
      <w:r w:rsidRPr="000A0823">
        <w:rPr>
          <w:rFonts w:ascii="Times New Roman" w:eastAsia="Times New Roman" w:hAnsi="Times New Roman" w:cs="Times New Roman"/>
          <w:kern w:val="0"/>
          <w:sz w:val="24"/>
          <w:szCs w:val="24"/>
          <w:lang w:eastAsia="fr-FR"/>
        </w:rPr>
        <w:t>o</w:t>
      </w:r>
      <w:r w:rsidRPr="000A0823">
        <w:rPr>
          <w:rFonts w:ascii="Times New Roman" w:eastAsia="Times New Roman" w:hAnsi="Times New Roman" w:cs="Times New Roman"/>
          <w:kern w:val="0"/>
          <w:sz w:val="24"/>
          <w:szCs w:val="24"/>
          <w:lang w:eastAsia="fr-FR"/>
        </w:rPr>
        <w:t>lident la confiance des consommateurs. Cette section met en évidence le rôle de ces méc</w:t>
      </w:r>
      <w:r w:rsidRPr="000A0823">
        <w:rPr>
          <w:rFonts w:ascii="Times New Roman" w:eastAsia="Times New Roman" w:hAnsi="Times New Roman" w:cs="Times New Roman"/>
          <w:kern w:val="0"/>
          <w:sz w:val="24"/>
          <w:szCs w:val="24"/>
          <w:lang w:eastAsia="fr-FR"/>
        </w:rPr>
        <w:t>a</w:t>
      </w:r>
      <w:r w:rsidRPr="000A0823">
        <w:rPr>
          <w:rFonts w:ascii="Times New Roman" w:eastAsia="Times New Roman" w:hAnsi="Times New Roman" w:cs="Times New Roman"/>
          <w:kern w:val="0"/>
          <w:sz w:val="24"/>
          <w:szCs w:val="24"/>
          <w:lang w:eastAsia="fr-FR"/>
        </w:rPr>
        <w:t>nismes marketing dans la valorisation de la sécurité sanitaire des aliments et leur contribution à l'orientation du comportement d'achat des consommateurs.</w:t>
      </w:r>
    </w:p>
    <w:p w:rsidR="00F57DD8" w:rsidRPr="00007593" w:rsidRDefault="00F45722" w:rsidP="00D078FF">
      <w:pPr>
        <w:pStyle w:val="Titre3"/>
        <w:spacing w:line="360" w:lineRule="auto"/>
        <w:jc w:val="both"/>
        <w:rPr>
          <w:rFonts w:ascii="Times New Roman" w:hAnsi="Times New Roman"/>
          <w:b/>
          <w:bCs/>
          <w:color w:val="auto"/>
          <w:sz w:val="24"/>
          <w:szCs w:val="24"/>
        </w:rPr>
      </w:pPr>
      <w:bookmarkStart w:id="192" w:name="_Toc230558684"/>
      <w:bookmarkStart w:id="193" w:name="_Toc230900318"/>
      <w:r w:rsidRPr="00007593">
        <w:rPr>
          <w:rFonts w:ascii="Times New Roman" w:hAnsi="Times New Roman"/>
          <w:b/>
          <w:bCs/>
          <w:color w:val="auto"/>
          <w:sz w:val="24"/>
          <w:szCs w:val="24"/>
        </w:rPr>
        <w:t>1.</w:t>
      </w:r>
      <w:r w:rsidR="00F57DD8" w:rsidRPr="00007593">
        <w:rPr>
          <w:rFonts w:ascii="Times New Roman" w:hAnsi="Times New Roman"/>
          <w:b/>
          <w:bCs/>
          <w:color w:val="auto"/>
          <w:sz w:val="24"/>
          <w:szCs w:val="24"/>
        </w:rPr>
        <w:t>Définition de l’étiquetage</w:t>
      </w:r>
      <w:bookmarkEnd w:id="192"/>
      <w:bookmarkEnd w:id="193"/>
    </w:p>
    <w:p w:rsidR="00F57DD8" w:rsidRPr="00892BD3" w:rsidRDefault="00F57DD8" w:rsidP="00D078FF">
      <w:pPr>
        <w:spacing w:after="0" w:line="360" w:lineRule="auto"/>
        <w:jc w:val="both"/>
        <w:rPr>
          <w:rFonts w:asciiTheme="majorBidi" w:hAnsiTheme="majorBidi" w:cstheme="majorBidi"/>
          <w:color w:val="000000" w:themeColor="text1"/>
          <w:sz w:val="24"/>
          <w:szCs w:val="24"/>
        </w:rPr>
      </w:pPr>
      <w:r w:rsidRPr="00892BD3">
        <w:rPr>
          <w:rFonts w:asciiTheme="majorBidi" w:hAnsiTheme="majorBidi" w:cstheme="majorBidi"/>
          <w:color w:val="000000" w:themeColor="text1"/>
          <w:sz w:val="24"/>
          <w:szCs w:val="24"/>
        </w:rPr>
        <w:t xml:space="preserve">       La question de la définition de l’étiquetage constitue un élément fondamental pour comprendre son contenu, ce qui explique l’intérêt que lui ont accordé à la fois la doctrine et le législateur.</w:t>
      </w:r>
    </w:p>
    <w:p w:rsidR="00F57DD8" w:rsidRPr="00007593" w:rsidRDefault="00F45722" w:rsidP="00D078FF">
      <w:pPr>
        <w:pStyle w:val="Titre4"/>
        <w:spacing w:line="360" w:lineRule="auto"/>
        <w:jc w:val="both"/>
        <w:rPr>
          <w:rFonts w:ascii="Times New Roman" w:hAnsi="Times New Roman"/>
          <w:b/>
          <w:bCs/>
          <w:i w:val="0"/>
          <w:iCs w:val="0"/>
          <w:color w:val="auto"/>
          <w:sz w:val="24"/>
          <w:szCs w:val="24"/>
        </w:rPr>
      </w:pPr>
      <w:bookmarkStart w:id="194" w:name="_Toc230558685"/>
      <w:bookmarkStart w:id="195" w:name="_Toc230900319"/>
      <w:r w:rsidRPr="00007593">
        <w:rPr>
          <w:rFonts w:ascii="Times New Roman" w:hAnsi="Times New Roman"/>
          <w:b/>
          <w:bCs/>
          <w:i w:val="0"/>
          <w:iCs w:val="0"/>
          <w:color w:val="auto"/>
          <w:sz w:val="24"/>
          <w:szCs w:val="24"/>
        </w:rPr>
        <w:t>1.1. </w:t>
      </w:r>
      <w:r w:rsidR="00F57DD8" w:rsidRPr="00007593">
        <w:rPr>
          <w:rFonts w:ascii="Times New Roman" w:hAnsi="Times New Roman"/>
          <w:b/>
          <w:bCs/>
          <w:i w:val="0"/>
          <w:iCs w:val="0"/>
          <w:color w:val="auto"/>
          <w:sz w:val="24"/>
          <w:szCs w:val="24"/>
        </w:rPr>
        <w:t>la définition doctrinale de l’étiquetage</w:t>
      </w:r>
      <w:bookmarkEnd w:id="194"/>
      <w:bookmarkEnd w:id="195"/>
    </w:p>
    <w:p w:rsidR="00F57DD8" w:rsidRPr="00892BD3" w:rsidRDefault="00F57DD8" w:rsidP="00D078FF">
      <w:pPr>
        <w:spacing w:after="0" w:line="360" w:lineRule="auto"/>
        <w:jc w:val="both"/>
        <w:rPr>
          <w:rFonts w:asciiTheme="majorBidi" w:hAnsiTheme="majorBidi" w:cstheme="majorBidi"/>
          <w:color w:val="000000" w:themeColor="text1"/>
          <w:sz w:val="24"/>
          <w:szCs w:val="24"/>
        </w:rPr>
      </w:pPr>
      <w:r w:rsidRPr="00892BD3">
        <w:rPr>
          <w:rFonts w:asciiTheme="majorBidi" w:hAnsiTheme="majorBidi" w:cstheme="majorBidi"/>
          <w:color w:val="000000" w:themeColor="text1"/>
          <w:sz w:val="24"/>
          <w:szCs w:val="24"/>
        </w:rPr>
        <w:t xml:space="preserve">       L’étiquetage est défini en doctrine comme un mécanisme obligatoire visant à garantir le consentement éclairé du consommateur, en lui fournissant des informations claires relatives au produit, notamment sa nature, sa composition, son origine, ses conditions d’utilisation ainsi que sa durée de validité, que ces informations figurent sur le produit lui-même ou sur des supports qui l’accompagnent.</w:t>
      </w:r>
    </w:p>
    <w:p w:rsidR="00F57DD8" w:rsidRPr="00892BD3" w:rsidRDefault="00F57DD8" w:rsidP="00D078FF">
      <w:pPr>
        <w:spacing w:after="0" w:line="360" w:lineRule="auto"/>
        <w:jc w:val="both"/>
        <w:rPr>
          <w:rFonts w:asciiTheme="majorBidi" w:hAnsiTheme="majorBidi" w:cstheme="majorBidi"/>
          <w:color w:val="000000" w:themeColor="text1"/>
          <w:sz w:val="24"/>
          <w:szCs w:val="24"/>
        </w:rPr>
      </w:pPr>
      <w:r w:rsidRPr="00892BD3">
        <w:rPr>
          <w:rFonts w:asciiTheme="majorBidi" w:hAnsiTheme="majorBidi" w:cstheme="majorBidi"/>
          <w:color w:val="000000" w:themeColor="text1"/>
          <w:sz w:val="24"/>
          <w:szCs w:val="24"/>
        </w:rPr>
        <w:t xml:space="preserve">      Il constitue ainsi un outil d’information permettant au consommateur de prendre une décision consciente quant à l’acquisition ou au refus du produit, tout en évitant les risques susceptibles de porter atteinte à sa santé et à sa sécurité, en particulier dans un contexte marqué par la complexité et l’évolution des produits</w:t>
      </w:r>
      <w:r w:rsidRPr="00892BD3">
        <w:rPr>
          <w:rStyle w:val="Appelnotedebasdep"/>
          <w:rFonts w:asciiTheme="majorBidi" w:hAnsiTheme="majorBidi" w:cstheme="majorBidi"/>
          <w:color w:val="000000" w:themeColor="text1"/>
          <w:sz w:val="24"/>
          <w:szCs w:val="24"/>
        </w:rPr>
        <w:footnoteReference w:id="192"/>
      </w:r>
    </w:p>
    <w:p w:rsidR="00F57DD8" w:rsidRPr="00007593" w:rsidRDefault="00007593" w:rsidP="00D078FF">
      <w:pPr>
        <w:pStyle w:val="Titre4"/>
        <w:spacing w:line="360" w:lineRule="auto"/>
        <w:jc w:val="both"/>
        <w:rPr>
          <w:rFonts w:ascii="Times New Roman" w:hAnsi="Times New Roman"/>
          <w:b/>
          <w:bCs/>
          <w:i w:val="0"/>
          <w:iCs w:val="0"/>
          <w:color w:val="auto"/>
        </w:rPr>
      </w:pPr>
      <w:bookmarkStart w:id="196" w:name="_Toc230558686"/>
      <w:bookmarkStart w:id="197" w:name="_Toc230900320"/>
      <w:r w:rsidRPr="00007593">
        <w:rPr>
          <w:rFonts w:ascii="Times New Roman" w:hAnsi="Times New Roman"/>
          <w:b/>
          <w:bCs/>
          <w:i w:val="0"/>
          <w:iCs w:val="0"/>
          <w:color w:val="auto"/>
          <w:lang w:bidi="ar-DZ"/>
        </w:rPr>
        <w:t>1.2.</w:t>
      </w:r>
      <w:r w:rsidR="00F57DD8" w:rsidRPr="00007593">
        <w:rPr>
          <w:rFonts w:ascii="Times New Roman" w:hAnsi="Times New Roman"/>
          <w:b/>
          <w:bCs/>
          <w:i w:val="0"/>
          <w:iCs w:val="0"/>
          <w:color w:val="auto"/>
        </w:rPr>
        <w:t>la définition légale de l’étiquetage</w:t>
      </w:r>
      <w:bookmarkEnd w:id="196"/>
      <w:bookmarkEnd w:id="197"/>
    </w:p>
    <w:p w:rsidR="00F57DD8" w:rsidRDefault="00F57DD8" w:rsidP="00D078FF">
      <w:pPr>
        <w:pStyle w:val="NormalWeb"/>
        <w:spacing w:after="0" w:line="360" w:lineRule="auto"/>
        <w:jc w:val="both"/>
      </w:pPr>
      <w:r>
        <w:t xml:space="preserve">      Le législateur algérien a défini l’étiquetage dans le cadre de la loi n° 09-03 relative à la protection du consommateur et à la répression des fraudes, en incluant l’ensemble des me</w:t>
      </w:r>
      <w:r>
        <w:t>n</w:t>
      </w:r>
      <w:r>
        <w:t>tions, signes et symboles liés au produit, qu’ils soient apposés sur l’emballage, les documents d’accompagnement ou sur le produit lui-même.</w:t>
      </w:r>
    </w:p>
    <w:p w:rsidR="00F57DD8" w:rsidRDefault="00F57DD8" w:rsidP="00D078FF">
      <w:pPr>
        <w:pStyle w:val="NormalWeb"/>
        <w:spacing w:after="0" w:line="360" w:lineRule="auto"/>
        <w:jc w:val="both"/>
      </w:pPr>
      <w:r>
        <w:t xml:space="preserve">      Le décret exécutif n° 90-39 a également élargi cette définition pour englober tous les moyens utilisés afin d’informer le consommateur sur les caractéristiques d’un produit ou d’un service.</w:t>
      </w:r>
    </w:p>
    <w:p w:rsidR="00F57DD8" w:rsidRDefault="00F57DD8" w:rsidP="00D078FF">
      <w:pPr>
        <w:pStyle w:val="NormalWeb"/>
        <w:spacing w:after="0" w:line="360" w:lineRule="auto"/>
        <w:jc w:val="both"/>
      </w:pPr>
      <w:r>
        <w:lastRenderedPageBreak/>
        <w:t xml:space="preserve">      Dès lors, l’étiquetage peut être compris comme l’ensemble des informations mises à la disposition du consommateur afin de lui permettre de prendre une décision de consommation éclairée. Il constitue, en outre, un moyen juridique de mise en œuvre de l’obligation d’information et un instrument de protection contre les risques.</w:t>
      </w:r>
      <w:r>
        <w:rPr>
          <w:rStyle w:val="Appelnotedebasdep"/>
        </w:rPr>
        <w:footnoteReference w:id="193"/>
      </w:r>
    </w:p>
    <w:p w:rsidR="00F57DD8" w:rsidRPr="00007593" w:rsidRDefault="00F45722" w:rsidP="00D078FF">
      <w:pPr>
        <w:pStyle w:val="Titre3"/>
        <w:spacing w:line="360" w:lineRule="auto"/>
        <w:jc w:val="both"/>
        <w:rPr>
          <w:rFonts w:ascii="Times New Roman" w:eastAsia="Calibri" w:hAnsi="Times New Roman"/>
          <w:b/>
          <w:bCs/>
          <w:color w:val="auto"/>
          <w:sz w:val="24"/>
          <w:szCs w:val="24"/>
        </w:rPr>
      </w:pPr>
      <w:bookmarkStart w:id="198" w:name="_Toc230558687"/>
      <w:bookmarkStart w:id="199" w:name="_Toc230900321"/>
      <w:r w:rsidRPr="00007593">
        <w:rPr>
          <w:rFonts w:ascii="Times New Roman" w:hAnsi="Times New Roman"/>
          <w:b/>
          <w:bCs/>
          <w:color w:val="auto"/>
          <w:sz w:val="24"/>
          <w:szCs w:val="24"/>
        </w:rPr>
        <w:t>2. </w:t>
      </w:r>
      <w:r w:rsidR="00F57DD8" w:rsidRPr="00007593">
        <w:rPr>
          <w:rFonts w:ascii="Times New Roman" w:hAnsi="Times New Roman"/>
          <w:b/>
          <w:bCs/>
          <w:color w:val="auto"/>
          <w:sz w:val="24"/>
          <w:szCs w:val="24"/>
        </w:rPr>
        <w:t>L’importance de l’étiquetage alimentaire pour le consommateur et le marché</w:t>
      </w:r>
      <w:bookmarkEnd w:id="198"/>
      <w:bookmarkEnd w:id="199"/>
    </w:p>
    <w:p w:rsidR="00F57DD8" w:rsidRDefault="00F57DD8" w:rsidP="00D078FF">
      <w:pPr>
        <w:spacing w:before="100" w:beforeAutospacing="1"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L’étiquetage alimentaire est essentiel car le consommateur ne peut pas évaluer directement la qualité ou la quantité des aliments emballés. Cette asymétrie d’information entre producteurs et consommateurs nécessite des mesures pour garantir un marché transparent et permettre aux consommateurs de décider en connaissance de cause.</w:t>
      </w:r>
      <w:r>
        <w:rPr>
          <w:rStyle w:val="Appelnotedebasdep"/>
          <w:rFonts w:ascii="Times New Roman" w:hAnsi="Times New Roman"/>
          <w:sz w:val="24"/>
          <w:szCs w:val="24"/>
          <w:lang w:eastAsia="fr-FR"/>
        </w:rPr>
        <w:footnoteReference w:id="194"/>
      </w:r>
    </w:p>
    <w:p w:rsidR="00F57DD8" w:rsidRDefault="00F57DD8" w:rsidP="00D078FF">
      <w:pPr>
        <w:spacing w:before="100" w:beforeAutospacing="1"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Historiquement, l’étiquetage servait à indiquer l’identité, la pureté, la quantité et la fraîcheur des produits. Les lois sur l’étiquetage visent à protéger les consommateurs contre la fraude et les pratiques commerciales trompeuses, tout en préservant l’équité entre commerçants.</w:t>
      </w:r>
      <w:r>
        <w:rPr>
          <w:rStyle w:val="Appelnotedebasdep"/>
          <w:rFonts w:ascii="Times New Roman" w:hAnsi="Times New Roman"/>
          <w:sz w:val="24"/>
          <w:szCs w:val="24"/>
          <w:lang w:eastAsia="fr-FR"/>
        </w:rPr>
        <w:footnoteReference w:id="195"/>
      </w:r>
    </w:p>
    <w:p w:rsidR="00F57DD8" w:rsidRDefault="00F57DD8" w:rsidP="00D078FF">
      <w:pPr>
        <w:spacing w:before="100" w:beforeAutospacing="1"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Avec l’industrialisation et l’urbanisation, les produits circulent sur de longues distances, réduisant le contact direct entre producteurs et acheteurs. Les informations figurant sur les étiquettes deviennent alors le principal moyen de bâtir la confiance du consommateur dans les produits alimentaires.</w:t>
      </w:r>
      <w:r>
        <w:rPr>
          <w:rStyle w:val="Appelnotedebasdep"/>
          <w:rFonts w:ascii="Times New Roman" w:hAnsi="Times New Roman"/>
          <w:sz w:val="24"/>
          <w:szCs w:val="24"/>
          <w:lang w:eastAsia="fr-FR"/>
        </w:rPr>
        <w:footnoteReference w:id="196"/>
      </w:r>
    </w:p>
    <w:p w:rsidR="00F57DD8" w:rsidRDefault="00F57DD8" w:rsidP="00D078FF">
      <w:pPr>
        <w:spacing w:before="100" w:beforeAutospacing="1"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L’étiquetage informe sur les ingrédients, les usages corrects et les précautions à prendre, permettant de protéger la santé des consommateurs et d’éviter les risques liés à des aliments mal utilisés ou inadéquats. Il fournit également des indications sur les bénéfices nutritionnels et contribue à une alimentation saine.</w:t>
      </w:r>
      <w:r>
        <w:rPr>
          <w:rStyle w:val="Appelnotedebasdep"/>
          <w:rFonts w:ascii="Times New Roman" w:hAnsi="Times New Roman"/>
          <w:sz w:val="24"/>
          <w:szCs w:val="24"/>
          <w:lang w:eastAsia="fr-FR"/>
        </w:rPr>
        <w:footnoteReference w:id="197"/>
      </w:r>
    </w:p>
    <w:p w:rsidR="00F57DD8" w:rsidRDefault="00F57DD8" w:rsidP="00D078FF">
      <w:pPr>
        <w:spacing w:before="100" w:beforeAutospacing="1"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    Enfin, du point de vue commercial, l’étiquetage favorise la comparaison entre produits, soutient l’innovation, et répond aux attentes spécifiques des consommateurs</w:t>
      </w:r>
      <w:r>
        <w:rPr>
          <w:rStyle w:val="Appelnotedebasdep"/>
          <w:rFonts w:ascii="Times New Roman" w:hAnsi="Times New Roman"/>
          <w:sz w:val="24"/>
          <w:szCs w:val="24"/>
          <w:lang w:eastAsia="fr-FR"/>
        </w:rPr>
        <w:footnoteReference w:id="198"/>
      </w:r>
      <w:r>
        <w:rPr>
          <w:rFonts w:ascii="Times New Roman" w:eastAsia="Times New Roman" w:hAnsi="Times New Roman" w:cs="Times New Roman"/>
          <w:sz w:val="24"/>
          <w:szCs w:val="24"/>
          <w:lang w:eastAsia="fr-FR"/>
        </w:rPr>
        <w:t>, qui peuvent ainsi choisir des aliments selon leurs besoins ou éviter certains ingrédients à risque.</w:t>
      </w:r>
      <w:r>
        <w:rPr>
          <w:rStyle w:val="Appelnotedebasdep"/>
          <w:rFonts w:ascii="Times New Roman" w:hAnsi="Times New Roman"/>
          <w:sz w:val="24"/>
          <w:szCs w:val="24"/>
          <w:lang w:eastAsia="fr-FR"/>
        </w:rPr>
        <w:footnoteReference w:id="199"/>
      </w:r>
    </w:p>
    <w:p w:rsidR="00F57DD8" w:rsidRDefault="00F57DD8" w:rsidP="00D078FF">
      <w:pPr>
        <w:pStyle w:val="NormalWeb"/>
        <w:spacing w:after="0" w:line="360" w:lineRule="auto"/>
        <w:jc w:val="both"/>
        <w:rPr>
          <w:b/>
          <w:bCs/>
          <w:sz w:val="18"/>
          <w:szCs w:val="18"/>
        </w:rPr>
      </w:pPr>
      <w:r>
        <w:t xml:space="preserve">      Ainsi, l’étiquetage alimentaire ne constitue pas uniquement un instrument d’information, mais repose sur une interaction entre plusieurs acteurs essentiels. Son efficacité dépend de la coordination entre les pouvoirs publics, les professionnels du secteur agroalimentaire et les consommateurs. Chacun de ces acteurs joue un rôle déterminant dans la mise en œuvre, le respect et l’exploitation des informations figurant sur les étiquettes.</w:t>
      </w:r>
      <w:r>
        <w:rPr>
          <w:rStyle w:val="Appelnotedebasdep"/>
        </w:rPr>
        <w:footnoteReference w:id="200"/>
      </w:r>
    </w:p>
    <w:p w:rsidR="007878B9" w:rsidRDefault="007F6A30" w:rsidP="00D078FF">
      <w:pPr>
        <w:pStyle w:val="Titre3"/>
        <w:spacing w:line="360" w:lineRule="auto"/>
        <w:jc w:val="both"/>
        <w:rPr>
          <w:rFonts w:ascii="Times New Roman" w:hAnsi="Times New Roman"/>
          <w:b/>
          <w:bCs/>
          <w:color w:val="auto"/>
          <w:sz w:val="24"/>
          <w:szCs w:val="24"/>
          <w:lang w:eastAsia="fr-FR"/>
        </w:rPr>
      </w:pPr>
      <w:bookmarkStart w:id="200" w:name="_Toc230558688"/>
      <w:bookmarkStart w:id="201" w:name="_Toc230900322"/>
      <w:r>
        <w:rPr>
          <w:rFonts w:ascii="Times New Roman" w:hAnsi="Times New Roman"/>
          <w:b/>
          <w:bCs/>
          <w:color w:val="auto"/>
          <w:sz w:val="24"/>
          <w:szCs w:val="24"/>
          <w:lang w:eastAsia="fr-FR"/>
        </w:rPr>
        <w:t>3.</w:t>
      </w:r>
      <w:r w:rsidR="00F57DD8" w:rsidRPr="00007593">
        <w:rPr>
          <w:rFonts w:ascii="Times New Roman" w:hAnsi="Times New Roman"/>
          <w:b/>
          <w:bCs/>
          <w:color w:val="auto"/>
          <w:sz w:val="24"/>
          <w:szCs w:val="24"/>
          <w:lang w:eastAsia="fr-FR"/>
        </w:rPr>
        <w:t>Les rôles des acteurs dans le système d’étiquetage alimentaire</w:t>
      </w:r>
      <w:bookmarkEnd w:id="200"/>
      <w:bookmarkEnd w:id="201"/>
    </w:p>
    <w:p w:rsidR="007F6A30" w:rsidRPr="006A7554" w:rsidRDefault="007F6A30" w:rsidP="00D078FF">
      <w:pPr>
        <w:pStyle w:val="Titre4"/>
        <w:spacing w:line="360" w:lineRule="auto"/>
        <w:jc w:val="both"/>
        <w:rPr>
          <w:rFonts w:ascii="Times New Roman" w:hAnsi="Times New Roman"/>
          <w:b/>
          <w:bCs/>
          <w:i w:val="0"/>
          <w:iCs w:val="0"/>
          <w:color w:val="auto"/>
          <w:sz w:val="24"/>
          <w:szCs w:val="24"/>
          <w:lang w:eastAsia="fr-FR"/>
        </w:rPr>
      </w:pPr>
      <w:bookmarkStart w:id="202" w:name="_Toc230558689"/>
      <w:bookmarkStart w:id="203" w:name="_Toc230900323"/>
      <w:r w:rsidRPr="006A7554">
        <w:rPr>
          <w:rFonts w:ascii="Times New Roman" w:hAnsi="Times New Roman"/>
          <w:b/>
          <w:bCs/>
          <w:i w:val="0"/>
          <w:iCs w:val="0"/>
          <w:color w:val="auto"/>
          <w:sz w:val="24"/>
          <w:szCs w:val="24"/>
        </w:rPr>
        <w:t>3.1.Le rôle des gouvernements nationaux :</w:t>
      </w:r>
      <w:bookmarkEnd w:id="202"/>
      <w:bookmarkEnd w:id="203"/>
    </w:p>
    <w:p w:rsidR="007F6A30" w:rsidRDefault="00F57DD8" w:rsidP="00D078FF">
      <w:pPr>
        <w:spacing w:line="360" w:lineRule="auto"/>
        <w:jc w:val="both"/>
        <w:rPr>
          <w:rFonts w:ascii="Times New Roman" w:hAnsi="Times New Roman" w:cs="Times New Roman"/>
          <w:sz w:val="24"/>
          <w:szCs w:val="24"/>
          <w:lang w:eastAsia="fr-FR"/>
        </w:rPr>
      </w:pPr>
      <w:r w:rsidRPr="007F6A30">
        <w:rPr>
          <w:lang w:eastAsia="fr-FR"/>
        </w:rPr>
        <w:br/>
      </w:r>
      <w:r w:rsidRPr="007F6A30">
        <w:rPr>
          <w:rFonts w:ascii="Times New Roman" w:hAnsi="Times New Roman" w:cs="Times New Roman"/>
          <w:sz w:val="24"/>
          <w:szCs w:val="24"/>
          <w:lang w:eastAsia="fr-FR"/>
        </w:rPr>
        <w:t xml:space="preserve">        Les pouvoirs publics jouent un rôle central dans la régulation de l’étiquetage alimentaire. Ils sont chargés d’élaborer et d’appliquer des politiques garantissant que seuls des aliments sûrs et conformes soient mis sur le marché. À ce titre, ils veillent à ce que les produits, qu’ils soient locaux ou importés, soient étiquetés de manière véridique, transparente et non trompeuse.</w:t>
      </w:r>
      <w:r w:rsidRPr="007F6A30">
        <w:rPr>
          <w:rFonts w:ascii="Times New Roman" w:hAnsi="Times New Roman" w:cs="Times New Roman"/>
          <w:sz w:val="24"/>
          <w:szCs w:val="24"/>
          <w:lang w:eastAsia="fr-FR"/>
        </w:rPr>
        <w:br/>
        <w:t xml:space="preserve">      Ils doivent également fournir des orientations claires aux producteurs afin de faciliter l’application des normes en vigueur, tout en s’appuyant sur des avis scientifiques indépendants pour assurer la fiabilité des réglementations.</w:t>
      </w:r>
      <w:r w:rsidRPr="007F6A30">
        <w:rPr>
          <w:rStyle w:val="Appelnotedebasdep"/>
          <w:rFonts w:ascii="Times New Roman" w:hAnsi="Times New Roman" w:cs="Times New Roman"/>
          <w:sz w:val="24"/>
          <w:szCs w:val="24"/>
          <w:lang w:eastAsia="fr-FR"/>
        </w:rPr>
        <w:footnoteReference w:id="201"/>
      </w:r>
    </w:p>
    <w:p w:rsidR="007F6A30" w:rsidRPr="006A7554" w:rsidRDefault="00F45722" w:rsidP="00D078FF">
      <w:pPr>
        <w:pStyle w:val="Titre4"/>
        <w:spacing w:line="360" w:lineRule="auto"/>
        <w:jc w:val="both"/>
        <w:rPr>
          <w:rFonts w:ascii="Times New Roman" w:hAnsi="Times New Roman"/>
          <w:b/>
          <w:bCs/>
          <w:i w:val="0"/>
          <w:iCs w:val="0"/>
          <w:color w:val="auto"/>
          <w:sz w:val="24"/>
          <w:szCs w:val="24"/>
        </w:rPr>
      </w:pPr>
      <w:bookmarkStart w:id="204" w:name="_Toc230558690"/>
      <w:bookmarkStart w:id="205" w:name="_Toc230900324"/>
      <w:r w:rsidRPr="006A7554">
        <w:rPr>
          <w:rFonts w:ascii="Times New Roman" w:hAnsi="Times New Roman"/>
          <w:b/>
          <w:bCs/>
          <w:i w:val="0"/>
          <w:iCs w:val="0"/>
          <w:color w:val="auto"/>
          <w:sz w:val="24"/>
          <w:szCs w:val="24"/>
        </w:rPr>
        <w:t>3.2.</w:t>
      </w:r>
      <w:r w:rsidR="00F57DD8" w:rsidRPr="006A7554">
        <w:rPr>
          <w:rFonts w:ascii="Times New Roman" w:hAnsi="Times New Roman"/>
          <w:b/>
          <w:bCs/>
          <w:i w:val="0"/>
          <w:iCs w:val="0"/>
          <w:color w:val="auto"/>
          <w:sz w:val="24"/>
          <w:szCs w:val="24"/>
        </w:rPr>
        <w:t>Le rôle de l’industrie alimentaire :</w:t>
      </w:r>
      <w:bookmarkEnd w:id="204"/>
      <w:bookmarkEnd w:id="205"/>
    </w:p>
    <w:p w:rsidR="00F57DD8" w:rsidRPr="007F6A30" w:rsidRDefault="00F57DD8" w:rsidP="00D078FF">
      <w:pPr>
        <w:spacing w:line="360" w:lineRule="auto"/>
        <w:jc w:val="both"/>
        <w:rPr>
          <w:rFonts w:ascii="Times New Roman" w:hAnsi="Times New Roman" w:cs="Times New Roman"/>
          <w:b/>
          <w:bCs/>
          <w:sz w:val="24"/>
          <w:szCs w:val="24"/>
          <w:lang w:eastAsia="fr-FR"/>
        </w:rPr>
      </w:pPr>
      <w:r w:rsidRPr="00007593">
        <w:rPr>
          <w:rFonts w:ascii="Times New Roman" w:hAnsi="Times New Roman" w:cs="Times New Roman"/>
          <w:b/>
          <w:bCs/>
          <w:i/>
          <w:iCs/>
          <w:sz w:val="24"/>
          <w:szCs w:val="24"/>
          <w:lang w:eastAsia="fr-FR"/>
        </w:rPr>
        <w:br/>
      </w:r>
      <w:r w:rsidRPr="007F6A30">
        <w:rPr>
          <w:rFonts w:ascii="Times New Roman" w:hAnsi="Times New Roman" w:cs="Times New Roman"/>
          <w:sz w:val="24"/>
          <w:szCs w:val="24"/>
        </w:rPr>
        <w:t>Les entreprises agroalimentaires sont tenues de respecter les réglementations relatives à l’étiquetage. Elles doivent se conformer aux normes juridiques en vigueur dans les marchés où leurs produits sont commercialisés.</w:t>
      </w:r>
      <w:r w:rsidRPr="007F6A30">
        <w:rPr>
          <w:rFonts w:ascii="Times New Roman" w:hAnsi="Times New Roman" w:cs="Times New Roman"/>
          <w:sz w:val="24"/>
          <w:szCs w:val="24"/>
        </w:rPr>
        <w:br/>
        <w:t xml:space="preserve">Par ailleurs, elles participent activement aux processus de consultation en exprimant leurs préoccupations et contraintes. Leur rôle s’étend également à la clarification des informations </w:t>
      </w:r>
      <w:r w:rsidRPr="007F6A30">
        <w:rPr>
          <w:rFonts w:ascii="Times New Roman" w:hAnsi="Times New Roman" w:cs="Times New Roman"/>
          <w:sz w:val="24"/>
          <w:szCs w:val="24"/>
        </w:rPr>
        <w:lastRenderedPageBreak/>
        <w:t>destinées aux consommateurs, contribuant ainsi à une meilleure compréhension des étiquettes.</w:t>
      </w:r>
      <w:r w:rsidRPr="007F6A30">
        <w:rPr>
          <w:rFonts w:ascii="Times New Roman" w:hAnsi="Times New Roman" w:cs="Times New Roman"/>
          <w:sz w:val="24"/>
          <w:szCs w:val="24"/>
        </w:rPr>
        <w:footnoteReference w:id="202"/>
      </w:r>
    </w:p>
    <w:p w:rsidR="007F6A30" w:rsidRPr="006A7554" w:rsidRDefault="00F45722" w:rsidP="00D078FF">
      <w:pPr>
        <w:pStyle w:val="Titre4"/>
        <w:spacing w:line="360" w:lineRule="auto"/>
        <w:jc w:val="both"/>
        <w:rPr>
          <w:rFonts w:ascii="Times New Roman" w:hAnsi="Times New Roman"/>
          <w:b/>
          <w:bCs/>
          <w:i w:val="0"/>
          <w:iCs w:val="0"/>
          <w:color w:val="auto"/>
          <w:sz w:val="24"/>
          <w:szCs w:val="24"/>
        </w:rPr>
      </w:pPr>
      <w:bookmarkStart w:id="206" w:name="_Toc230558691"/>
      <w:bookmarkStart w:id="207" w:name="_Toc230900325"/>
      <w:r w:rsidRPr="006A7554">
        <w:rPr>
          <w:rFonts w:ascii="Times New Roman" w:hAnsi="Times New Roman"/>
          <w:b/>
          <w:bCs/>
          <w:i w:val="0"/>
          <w:iCs w:val="0"/>
          <w:color w:val="auto"/>
          <w:sz w:val="24"/>
          <w:szCs w:val="24"/>
        </w:rPr>
        <w:t>3.3.</w:t>
      </w:r>
      <w:r w:rsidR="00F57DD8" w:rsidRPr="006A7554">
        <w:rPr>
          <w:rFonts w:ascii="Times New Roman" w:hAnsi="Times New Roman"/>
          <w:b/>
          <w:bCs/>
          <w:i w:val="0"/>
          <w:iCs w:val="0"/>
          <w:color w:val="auto"/>
          <w:sz w:val="24"/>
          <w:szCs w:val="24"/>
        </w:rPr>
        <w:t>Le rôle des consommateurs :</w:t>
      </w:r>
      <w:bookmarkEnd w:id="206"/>
      <w:bookmarkEnd w:id="207"/>
    </w:p>
    <w:p w:rsidR="00F57DD8" w:rsidRDefault="00F57DD8" w:rsidP="00D078FF">
      <w:pPr>
        <w:spacing w:line="360" w:lineRule="auto"/>
        <w:jc w:val="both"/>
        <w:rPr>
          <w:rFonts w:ascii="Times New Roman" w:hAnsi="Times New Roman" w:cs="Times New Roman"/>
          <w:sz w:val="24"/>
          <w:szCs w:val="24"/>
          <w:rtl/>
          <w:lang w:eastAsia="fr-FR"/>
        </w:rPr>
      </w:pPr>
      <w:r w:rsidRPr="007F6A30">
        <w:rPr>
          <w:rFonts w:ascii="Times New Roman" w:hAnsi="Times New Roman" w:cs="Times New Roman"/>
          <w:b/>
          <w:bCs/>
          <w:sz w:val="24"/>
          <w:szCs w:val="24"/>
          <w:lang w:eastAsia="fr-FR"/>
        </w:rPr>
        <w:br/>
      </w:r>
      <w:r w:rsidRPr="007F6A30">
        <w:rPr>
          <w:rFonts w:ascii="Times New Roman" w:hAnsi="Times New Roman" w:cs="Times New Roman"/>
          <w:sz w:val="24"/>
          <w:szCs w:val="24"/>
          <w:lang w:eastAsia="fr-FR"/>
        </w:rPr>
        <w:t>Les consommateurs ne sont pas de simples destinataires de l’information, mais des acteurs à part entière. Ils utilisent les données nutritionnelles et informatives pour faire des choix alimentaires éclairés, adaptés à leurs besoins de santé.</w:t>
      </w:r>
      <w:r w:rsidRPr="007F6A30">
        <w:rPr>
          <w:rFonts w:ascii="Times New Roman" w:hAnsi="Times New Roman" w:cs="Times New Roman"/>
          <w:sz w:val="24"/>
          <w:szCs w:val="24"/>
          <w:lang w:eastAsia="fr-FR"/>
        </w:rPr>
        <w:br/>
        <w:t>Leurs décisions d’achat influencent le marché en orientant l’offre vers des produits plus sûrs et de meilleure qualité. En outre, leur participation aux enquêtes et consultations publiques permet d’améliorer continuellement les dispositifs d’étiquetage.</w:t>
      </w:r>
      <w:r w:rsidRPr="007F6A30">
        <w:rPr>
          <w:rStyle w:val="Appelnotedebasdep"/>
          <w:rFonts w:ascii="Times New Roman" w:hAnsi="Times New Roman" w:cs="Times New Roman"/>
          <w:i/>
          <w:iCs/>
          <w:sz w:val="24"/>
          <w:szCs w:val="24"/>
          <w:lang w:eastAsia="fr-FR"/>
        </w:rPr>
        <w:footnoteReference w:id="203"/>
      </w:r>
    </w:p>
    <w:p w:rsidR="00C13EE0" w:rsidRDefault="00C13EE0" w:rsidP="00D078FF">
      <w:pPr>
        <w:spacing w:line="360" w:lineRule="auto"/>
        <w:jc w:val="both"/>
        <w:rPr>
          <w:rFonts w:ascii="Times New Roman" w:hAnsi="Times New Roman" w:cs="Times New Roman"/>
          <w:sz w:val="24"/>
          <w:szCs w:val="24"/>
          <w:rtl/>
          <w:lang w:eastAsia="fr-FR"/>
        </w:rPr>
      </w:pPr>
    </w:p>
    <w:p w:rsidR="00C13EE0" w:rsidRDefault="00C13EE0" w:rsidP="00D078FF">
      <w:pPr>
        <w:spacing w:line="360" w:lineRule="auto"/>
        <w:jc w:val="both"/>
        <w:rPr>
          <w:rFonts w:ascii="Times New Roman" w:hAnsi="Times New Roman" w:cs="Times New Roman"/>
          <w:sz w:val="24"/>
          <w:szCs w:val="24"/>
          <w:rtl/>
          <w:lang w:eastAsia="fr-FR"/>
        </w:rPr>
      </w:pPr>
    </w:p>
    <w:p w:rsidR="00C13EE0" w:rsidRDefault="00C13EE0" w:rsidP="00D078FF">
      <w:pPr>
        <w:spacing w:line="360" w:lineRule="auto"/>
        <w:jc w:val="both"/>
        <w:rPr>
          <w:rFonts w:ascii="Times New Roman" w:hAnsi="Times New Roman" w:cs="Times New Roman"/>
          <w:sz w:val="24"/>
          <w:szCs w:val="24"/>
          <w:rtl/>
          <w:lang w:eastAsia="fr-FR"/>
        </w:rPr>
      </w:pPr>
    </w:p>
    <w:p w:rsidR="00C13EE0" w:rsidRDefault="00C13EE0" w:rsidP="00D078FF">
      <w:pPr>
        <w:spacing w:line="360" w:lineRule="auto"/>
        <w:jc w:val="both"/>
        <w:rPr>
          <w:rFonts w:ascii="Times New Roman" w:hAnsi="Times New Roman" w:cs="Times New Roman"/>
          <w:sz w:val="24"/>
          <w:szCs w:val="24"/>
          <w:rtl/>
          <w:lang w:eastAsia="fr-FR"/>
        </w:rPr>
      </w:pPr>
    </w:p>
    <w:p w:rsidR="00C13EE0" w:rsidRDefault="00C13EE0" w:rsidP="00D078FF">
      <w:pPr>
        <w:spacing w:line="360" w:lineRule="auto"/>
        <w:jc w:val="both"/>
        <w:rPr>
          <w:rFonts w:ascii="Times New Roman" w:hAnsi="Times New Roman" w:cs="Times New Roman"/>
          <w:sz w:val="24"/>
          <w:szCs w:val="24"/>
          <w:rtl/>
          <w:lang w:eastAsia="fr-FR"/>
        </w:rPr>
      </w:pPr>
    </w:p>
    <w:p w:rsidR="00C13EE0" w:rsidRPr="007F6A30" w:rsidRDefault="00C13EE0" w:rsidP="00D078FF">
      <w:pPr>
        <w:spacing w:line="360" w:lineRule="auto"/>
        <w:jc w:val="both"/>
        <w:rPr>
          <w:rFonts w:ascii="Times New Roman" w:hAnsi="Times New Roman" w:cs="Times New Roman"/>
          <w:sz w:val="24"/>
          <w:szCs w:val="24"/>
          <w:lang w:eastAsia="fr-FR"/>
        </w:rPr>
      </w:pPr>
    </w:p>
    <w:p w:rsidR="00F57DD8" w:rsidRPr="00892BD3" w:rsidRDefault="00892BD3" w:rsidP="00D078FF">
      <w:pPr>
        <w:pStyle w:val="Lgende"/>
        <w:spacing w:line="360" w:lineRule="auto"/>
        <w:jc w:val="both"/>
        <w:rPr>
          <w:rFonts w:asciiTheme="majorBidi" w:eastAsia="Times New Roman" w:hAnsiTheme="majorBidi" w:cstheme="majorBidi"/>
          <w:b/>
          <w:bCs/>
          <w:i w:val="0"/>
          <w:iCs w:val="0"/>
          <w:color w:val="000000" w:themeColor="text1"/>
          <w:sz w:val="24"/>
          <w:szCs w:val="24"/>
          <w:lang w:eastAsia="fr-FR"/>
        </w:rPr>
      </w:pPr>
      <w:bookmarkStart w:id="208" w:name="_Toc230400747"/>
      <w:r w:rsidRPr="00892BD3">
        <w:rPr>
          <w:rFonts w:asciiTheme="majorBidi" w:hAnsiTheme="majorBidi" w:cstheme="majorBidi"/>
          <w:b/>
          <w:bCs/>
          <w:i w:val="0"/>
          <w:iCs w:val="0"/>
          <w:color w:val="000000" w:themeColor="text1"/>
          <w:sz w:val="24"/>
          <w:szCs w:val="24"/>
        </w:rPr>
        <w:t xml:space="preserve">Tableau </w:t>
      </w:r>
      <w:r w:rsidR="007B5998" w:rsidRPr="00892BD3">
        <w:rPr>
          <w:rFonts w:asciiTheme="majorBidi" w:hAnsiTheme="majorBidi" w:cstheme="majorBidi"/>
          <w:b/>
          <w:bCs/>
          <w:i w:val="0"/>
          <w:iCs w:val="0"/>
          <w:color w:val="000000" w:themeColor="text1"/>
          <w:sz w:val="24"/>
          <w:szCs w:val="24"/>
        </w:rPr>
        <w:fldChar w:fldCharType="begin"/>
      </w:r>
      <w:r w:rsidRPr="00892BD3">
        <w:rPr>
          <w:rFonts w:asciiTheme="majorBidi" w:hAnsiTheme="majorBidi" w:cstheme="majorBidi"/>
          <w:b/>
          <w:bCs/>
          <w:i w:val="0"/>
          <w:iCs w:val="0"/>
          <w:color w:val="000000" w:themeColor="text1"/>
          <w:sz w:val="24"/>
          <w:szCs w:val="24"/>
        </w:rPr>
        <w:instrText xml:space="preserve"> SEQ Tableau \* ARABIC </w:instrText>
      </w:r>
      <w:r w:rsidR="007B5998" w:rsidRPr="00892BD3">
        <w:rPr>
          <w:rFonts w:asciiTheme="majorBidi" w:hAnsiTheme="majorBidi" w:cstheme="majorBidi"/>
          <w:b/>
          <w:bCs/>
          <w:i w:val="0"/>
          <w:iCs w:val="0"/>
          <w:color w:val="000000" w:themeColor="text1"/>
          <w:sz w:val="24"/>
          <w:szCs w:val="24"/>
        </w:rPr>
        <w:fldChar w:fldCharType="separate"/>
      </w:r>
      <w:r w:rsidR="00515B25">
        <w:rPr>
          <w:rFonts w:asciiTheme="majorBidi" w:hAnsiTheme="majorBidi" w:cstheme="majorBidi"/>
          <w:b/>
          <w:bCs/>
          <w:i w:val="0"/>
          <w:iCs w:val="0"/>
          <w:noProof/>
          <w:color w:val="000000" w:themeColor="text1"/>
          <w:sz w:val="24"/>
          <w:szCs w:val="24"/>
        </w:rPr>
        <w:t>9</w:t>
      </w:r>
      <w:r w:rsidR="007B5998" w:rsidRPr="00892BD3">
        <w:rPr>
          <w:rFonts w:asciiTheme="majorBidi" w:hAnsiTheme="majorBidi" w:cstheme="majorBidi"/>
          <w:b/>
          <w:bCs/>
          <w:i w:val="0"/>
          <w:iCs w:val="0"/>
          <w:color w:val="000000" w:themeColor="text1"/>
          <w:sz w:val="24"/>
          <w:szCs w:val="24"/>
        </w:rPr>
        <w:fldChar w:fldCharType="end"/>
      </w:r>
      <w:r w:rsidRPr="00892BD3">
        <w:rPr>
          <w:rFonts w:asciiTheme="majorBidi" w:hAnsiTheme="majorBidi" w:cstheme="majorBidi"/>
          <w:b/>
          <w:bCs/>
          <w:i w:val="0"/>
          <w:iCs w:val="0"/>
          <w:color w:val="000000" w:themeColor="text1"/>
          <w:sz w:val="24"/>
          <w:szCs w:val="24"/>
        </w:rPr>
        <w:t xml:space="preserve"> : Les rôles des acteurs dans le système d’étiquetage alimentaire</w:t>
      </w:r>
      <w:bookmarkEnd w:id="208"/>
    </w:p>
    <w:tbl>
      <w:tblPr>
        <w:tblStyle w:val="Grilledutableau"/>
        <w:tblW w:w="0" w:type="auto"/>
        <w:tblLook w:val="04A0"/>
      </w:tblPr>
      <w:tblGrid>
        <w:gridCol w:w="3055"/>
        <w:gridCol w:w="3055"/>
        <w:gridCol w:w="3056"/>
      </w:tblGrid>
      <w:tr w:rsidR="00F57DD8">
        <w:trPr>
          <w:trHeight w:val="699"/>
        </w:trPr>
        <w:tc>
          <w:tcPr>
            <w:tcW w:w="3055" w:type="dxa"/>
            <w:shd w:val="clear" w:color="auto" w:fill="FFFFCC"/>
          </w:tcPr>
          <w:p w:rsidR="00F57DD8" w:rsidRPr="00892BD3" w:rsidRDefault="00F57DD8" w:rsidP="00D078FF">
            <w:pPr>
              <w:pStyle w:val="Titre3"/>
              <w:spacing w:line="360" w:lineRule="auto"/>
              <w:jc w:val="both"/>
              <w:outlineLvl w:val="2"/>
              <w:rPr>
                <w:rFonts w:asciiTheme="majorBidi" w:hAnsiTheme="majorBidi" w:cstheme="majorBidi"/>
                <w:color w:val="000000" w:themeColor="text1"/>
                <w:sz w:val="24"/>
                <w:szCs w:val="24"/>
              </w:rPr>
            </w:pPr>
            <w:bookmarkStart w:id="209" w:name="_Toc230558692"/>
            <w:bookmarkStart w:id="210" w:name="_Toc230900326"/>
            <w:r w:rsidRPr="00892BD3">
              <w:rPr>
                <w:rFonts w:asciiTheme="majorBidi" w:hAnsiTheme="majorBidi" w:cstheme="majorBidi"/>
                <w:color w:val="000000" w:themeColor="text1"/>
                <w:sz w:val="24"/>
                <w:szCs w:val="24"/>
              </w:rPr>
              <w:lastRenderedPageBreak/>
              <w:t>Rôle des gouvernements nationaux</w:t>
            </w:r>
            <w:bookmarkEnd w:id="209"/>
            <w:bookmarkEnd w:id="210"/>
          </w:p>
        </w:tc>
        <w:tc>
          <w:tcPr>
            <w:tcW w:w="3055" w:type="dxa"/>
            <w:shd w:val="clear" w:color="auto" w:fill="FFFFCC"/>
          </w:tcPr>
          <w:p w:rsidR="00F57DD8" w:rsidRPr="00892BD3" w:rsidRDefault="00F57DD8" w:rsidP="00D078FF">
            <w:pPr>
              <w:pStyle w:val="Titre3"/>
              <w:spacing w:line="360" w:lineRule="auto"/>
              <w:jc w:val="both"/>
              <w:outlineLvl w:val="2"/>
              <w:rPr>
                <w:rFonts w:asciiTheme="majorBidi" w:hAnsiTheme="majorBidi" w:cstheme="majorBidi"/>
                <w:color w:val="000000" w:themeColor="text1"/>
                <w:sz w:val="24"/>
                <w:szCs w:val="24"/>
              </w:rPr>
            </w:pPr>
            <w:bookmarkStart w:id="211" w:name="_Toc230558693"/>
            <w:bookmarkStart w:id="212" w:name="_Toc230900327"/>
            <w:r w:rsidRPr="00892BD3">
              <w:rPr>
                <w:rFonts w:asciiTheme="majorBidi" w:hAnsiTheme="majorBidi" w:cstheme="majorBidi"/>
                <w:color w:val="000000" w:themeColor="text1"/>
                <w:sz w:val="24"/>
                <w:szCs w:val="24"/>
              </w:rPr>
              <w:t>Rôle de l’industrie alimentaire</w:t>
            </w:r>
            <w:bookmarkEnd w:id="211"/>
            <w:bookmarkEnd w:id="212"/>
          </w:p>
        </w:tc>
        <w:tc>
          <w:tcPr>
            <w:tcW w:w="3056" w:type="dxa"/>
            <w:shd w:val="clear" w:color="auto" w:fill="FFFFCC"/>
          </w:tcPr>
          <w:p w:rsidR="00F57DD8" w:rsidRPr="00892BD3" w:rsidRDefault="00F57DD8" w:rsidP="00D078FF">
            <w:pPr>
              <w:pStyle w:val="Titre3"/>
              <w:spacing w:line="360" w:lineRule="auto"/>
              <w:jc w:val="both"/>
              <w:outlineLvl w:val="2"/>
              <w:rPr>
                <w:rFonts w:asciiTheme="majorBidi" w:hAnsiTheme="majorBidi" w:cstheme="majorBidi"/>
                <w:color w:val="000000" w:themeColor="text1"/>
                <w:sz w:val="24"/>
                <w:szCs w:val="24"/>
              </w:rPr>
            </w:pPr>
            <w:bookmarkStart w:id="213" w:name="_Toc230558694"/>
            <w:bookmarkStart w:id="214" w:name="_Toc230900328"/>
            <w:r w:rsidRPr="00892BD3">
              <w:rPr>
                <w:rFonts w:asciiTheme="majorBidi" w:hAnsiTheme="majorBidi" w:cstheme="majorBidi"/>
                <w:color w:val="000000" w:themeColor="text1"/>
                <w:sz w:val="24"/>
                <w:szCs w:val="24"/>
              </w:rPr>
              <w:t>Rôle des consommateurs</w:t>
            </w:r>
            <w:bookmarkEnd w:id="213"/>
            <w:bookmarkEnd w:id="214"/>
          </w:p>
        </w:tc>
      </w:tr>
      <w:tr w:rsidR="00F57DD8">
        <w:trPr>
          <w:trHeight w:val="2684"/>
        </w:trPr>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Etablir et appliquer des politiques en matière d’étiquetage alimentaire afin de soutenir la vente uniquement d’aliments sains et salubres;</w:t>
            </w:r>
          </w:p>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 xml:space="preserve"> Garantir que les aliments produits dans le pays et ceux importés soient étiquetés d’une manière véridique, non trompeuse, informative, transparente et facilement compréhensible pour les consommateurs;</w:t>
            </w:r>
          </w:p>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 xml:space="preserve">  Fournir des indications adéquates aux fabricants de produits alimentaires pour les aider à appliquer les politiques en matière d’étiquetage; </w:t>
            </w:r>
          </w:p>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Obtenir des avis scientifiques indépendants.</w:t>
            </w:r>
          </w:p>
        </w:tc>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Se conformer aux réglementations et directives concernant les denrées alimentaires.</w:t>
            </w:r>
          </w:p>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Demeurer au fait des dispositions juridiques relatives à l’étiquetage alimentaire dans le pays où l’aliment est vendu.</w:t>
            </w:r>
          </w:p>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 xml:space="preserve">Faire part des préoccupations des entreprises lors des processus de consultation. </w:t>
            </w:r>
          </w:p>
          <w:p w:rsidR="00F57DD8" w:rsidRPr="006A7554" w:rsidRDefault="00F57DD8" w:rsidP="00D078FF">
            <w:pPr>
              <w:spacing w:line="360" w:lineRule="auto"/>
              <w:jc w:val="both"/>
              <w:rPr>
                <w:rFonts w:ascii="Times New Roman" w:hAnsi="Times New Roman" w:cs="Times New Roman"/>
                <w:sz w:val="24"/>
                <w:szCs w:val="24"/>
              </w:rPr>
            </w:pPr>
            <w:r w:rsidRPr="006A7554">
              <w:rPr>
                <w:rFonts w:ascii="Times New Roman" w:hAnsi="Times New Roman" w:cs="Times New Roman"/>
                <w:sz w:val="24"/>
                <w:szCs w:val="24"/>
              </w:rPr>
              <w:t>Aider les consommateurs à comprendre les informations figurant sur les étiquettes.</w:t>
            </w:r>
          </w:p>
        </w:tc>
        <w:tc>
          <w:tcPr>
            <w:tcW w:w="3056"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Utiliser l’information nutritionnelle pour un choix éclairé des aliments qui répondent à leurs besoins en matière de santé et autres;</w:t>
            </w:r>
          </w:p>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Envoyer des signaux à l’intention du marché sur ce qu’ils souhaitent moyennant de leurs décisions d’achat;</w:t>
            </w:r>
          </w:p>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Fournir des renseignements précieux sur la conception et l’application de l’étiquetage alimentaire en participant aux enquêtes auprès des consommateurs et aux consultations publiques.</w:t>
            </w:r>
          </w:p>
        </w:tc>
      </w:tr>
    </w:tbl>
    <w:p w:rsidR="00F57DD8" w:rsidRDefault="00F57DD8" w:rsidP="00D078FF">
      <w:pPr>
        <w:pStyle w:val="NormalWeb"/>
        <w:spacing w:line="360" w:lineRule="auto"/>
        <w:jc w:val="both"/>
        <w:rPr>
          <w:sz w:val="18"/>
          <w:szCs w:val="18"/>
        </w:rPr>
      </w:pPr>
      <w:r>
        <w:rPr>
          <w:b/>
          <w:bCs/>
          <w:sz w:val="18"/>
          <w:szCs w:val="18"/>
        </w:rPr>
        <w:t>Source:</w:t>
      </w:r>
      <w:r>
        <w:rPr>
          <w:sz w:val="18"/>
          <w:szCs w:val="18"/>
        </w:rPr>
        <w:t xml:space="preserve"> le rôle des gouvernements, de l’industrie alimentaire et des consommateurs dans l’étiquetage alimentaire Organis</w:t>
      </w:r>
      <w:r>
        <w:rPr>
          <w:sz w:val="18"/>
          <w:szCs w:val="18"/>
        </w:rPr>
        <w:t>a</w:t>
      </w:r>
      <w:r>
        <w:rPr>
          <w:sz w:val="18"/>
          <w:szCs w:val="18"/>
        </w:rPr>
        <w:t xml:space="preserve">tion des Nations Unies pour l’alimentation et l’agriculture. </w:t>
      </w:r>
      <w:r>
        <w:rPr>
          <w:rStyle w:val="Accentuation"/>
          <w:sz w:val="18"/>
          <w:szCs w:val="18"/>
        </w:rPr>
        <w:t>Manuel sur l’étiquetage des denrées alimentaires pour la prote</w:t>
      </w:r>
      <w:r>
        <w:rPr>
          <w:rStyle w:val="Accentuation"/>
          <w:sz w:val="18"/>
          <w:szCs w:val="18"/>
        </w:rPr>
        <w:t>c</w:t>
      </w:r>
      <w:r>
        <w:rPr>
          <w:rStyle w:val="Accentuation"/>
          <w:sz w:val="18"/>
          <w:szCs w:val="18"/>
        </w:rPr>
        <w:t>tion des consommateurs</w:t>
      </w:r>
      <w:r>
        <w:rPr>
          <w:sz w:val="18"/>
          <w:szCs w:val="18"/>
        </w:rPr>
        <w:t>. Rome : FAO, 2014.</w:t>
      </w:r>
    </w:p>
    <w:p w:rsidR="004818DD" w:rsidRDefault="004818DD" w:rsidP="00D078FF">
      <w:pPr>
        <w:pStyle w:val="Titre3"/>
        <w:spacing w:line="360" w:lineRule="auto"/>
        <w:jc w:val="both"/>
        <w:rPr>
          <w:rFonts w:ascii="Times New Roman" w:hAnsi="Times New Roman"/>
          <w:b/>
          <w:bCs/>
          <w:color w:val="auto"/>
          <w:sz w:val="24"/>
          <w:szCs w:val="24"/>
          <w:lang w:bidi="ar-DZ"/>
        </w:rPr>
      </w:pPr>
      <w:bookmarkStart w:id="215" w:name="_Toc230558695"/>
      <w:bookmarkStart w:id="216" w:name="_Toc230900329"/>
      <w:r w:rsidRPr="00007593">
        <w:rPr>
          <w:rFonts w:ascii="Times New Roman" w:eastAsiaTheme="minorHAnsi" w:hAnsi="Times New Roman"/>
          <w:b/>
          <w:bCs/>
          <w:color w:val="auto"/>
          <w:kern w:val="2"/>
          <w:sz w:val="24"/>
          <w:szCs w:val="24"/>
          <w:lang w:bidi="ar-DZ"/>
        </w:rPr>
        <w:t>4.</w:t>
      </w:r>
      <w:r w:rsidRPr="00007593">
        <w:rPr>
          <w:rFonts w:ascii="Times New Roman" w:hAnsi="Times New Roman"/>
          <w:b/>
          <w:bCs/>
          <w:color w:val="auto"/>
          <w:sz w:val="24"/>
          <w:szCs w:val="24"/>
          <w:lang w:bidi="ar-DZ"/>
        </w:rPr>
        <w:t>l’avantage de l’etiquitage :</w:t>
      </w:r>
      <w:bookmarkEnd w:id="215"/>
      <w:bookmarkEnd w:id="216"/>
    </w:p>
    <w:p w:rsidR="00F57DD8" w:rsidRPr="007F6A30" w:rsidRDefault="00F57DD8" w:rsidP="00D078FF">
      <w:pPr>
        <w:spacing w:line="360" w:lineRule="auto"/>
        <w:jc w:val="both"/>
        <w:rPr>
          <w:rFonts w:ascii="Times New Roman" w:hAnsi="Times New Roman" w:cs="Times New Roman"/>
          <w:sz w:val="24"/>
          <w:szCs w:val="24"/>
        </w:rPr>
      </w:pPr>
      <w:r w:rsidRPr="007F6A30">
        <w:rPr>
          <w:rFonts w:ascii="Times New Roman" w:hAnsi="Times New Roman" w:cs="Times New Roman"/>
          <w:sz w:val="24"/>
          <w:szCs w:val="24"/>
        </w:rPr>
        <w:t xml:space="preserve">L’étiquetage joue un rôle essentiel dans la communication des informations relatives aux produits alimentaires. Il permet d’assurer la transparence entre les entreprises, les consommateurs et les autorités publiques, tout en contribuant à la protection de la santé et à la </w:t>
      </w:r>
      <w:r w:rsidRPr="007F6A30">
        <w:rPr>
          <w:rFonts w:ascii="Times New Roman" w:hAnsi="Times New Roman" w:cs="Times New Roman"/>
          <w:sz w:val="24"/>
          <w:szCs w:val="24"/>
        </w:rPr>
        <w:lastRenderedPageBreak/>
        <w:t>sécurité alimentaire. Ainsi, ses avantages concernent à la fois les entreprises, les gouvernements et les consommateurs.</w:t>
      </w:r>
      <w:r w:rsidRPr="007F6A30">
        <w:rPr>
          <w:rStyle w:val="Appelnotedebasdep"/>
          <w:rFonts w:ascii="Times New Roman" w:hAnsi="Times New Roman" w:cs="Times New Roman"/>
          <w:sz w:val="24"/>
          <w:szCs w:val="24"/>
        </w:rPr>
        <w:footnoteReference w:id="204"/>
      </w:r>
    </w:p>
    <w:p w:rsidR="00892BD3" w:rsidRPr="00892BD3" w:rsidRDefault="00892BD3" w:rsidP="00D078FF">
      <w:pPr>
        <w:pStyle w:val="Lgende"/>
        <w:spacing w:line="360" w:lineRule="auto"/>
        <w:jc w:val="both"/>
        <w:rPr>
          <w:rFonts w:ascii="Times New Roman" w:hAnsi="Times New Roman" w:cs="Times New Roman"/>
          <w:i w:val="0"/>
          <w:iCs w:val="0"/>
          <w:color w:val="auto"/>
          <w:kern w:val="2"/>
          <w:sz w:val="24"/>
          <w:szCs w:val="24"/>
        </w:rPr>
      </w:pPr>
      <w:bookmarkStart w:id="217" w:name="_Toc230400748"/>
      <w:r w:rsidRPr="00892BD3">
        <w:rPr>
          <w:rFonts w:ascii="Times New Roman" w:hAnsi="Times New Roman" w:cs="Times New Roman"/>
          <w:b/>
          <w:bCs/>
          <w:i w:val="0"/>
          <w:iCs w:val="0"/>
          <w:color w:val="auto"/>
          <w:kern w:val="2"/>
          <w:sz w:val="24"/>
          <w:szCs w:val="24"/>
        </w:rPr>
        <w:t xml:space="preserve">Tableau </w:t>
      </w:r>
      <w:r w:rsidR="007B5998" w:rsidRPr="00892BD3">
        <w:rPr>
          <w:rFonts w:ascii="Times New Roman" w:hAnsi="Times New Roman" w:cs="Times New Roman"/>
          <w:b/>
          <w:bCs/>
          <w:i w:val="0"/>
          <w:iCs w:val="0"/>
          <w:color w:val="auto"/>
          <w:kern w:val="2"/>
          <w:sz w:val="24"/>
          <w:szCs w:val="24"/>
        </w:rPr>
        <w:fldChar w:fldCharType="begin"/>
      </w:r>
      <w:r w:rsidRPr="00892BD3">
        <w:rPr>
          <w:rFonts w:ascii="Times New Roman" w:hAnsi="Times New Roman" w:cs="Times New Roman"/>
          <w:b/>
          <w:bCs/>
          <w:i w:val="0"/>
          <w:iCs w:val="0"/>
          <w:color w:val="auto"/>
          <w:kern w:val="2"/>
          <w:sz w:val="24"/>
          <w:szCs w:val="24"/>
        </w:rPr>
        <w:instrText xml:space="preserve"> SEQ Tableau \* ARABIC </w:instrText>
      </w:r>
      <w:r w:rsidR="007B5998" w:rsidRPr="00892BD3">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10</w:t>
      </w:r>
      <w:r w:rsidR="007B5998" w:rsidRPr="00892BD3">
        <w:rPr>
          <w:rFonts w:ascii="Times New Roman" w:hAnsi="Times New Roman" w:cs="Times New Roman"/>
          <w:b/>
          <w:bCs/>
          <w:i w:val="0"/>
          <w:iCs w:val="0"/>
          <w:color w:val="auto"/>
          <w:kern w:val="2"/>
          <w:sz w:val="24"/>
          <w:szCs w:val="24"/>
        </w:rPr>
        <w:fldChar w:fldCharType="end"/>
      </w:r>
      <w:r w:rsidRPr="00892BD3">
        <w:rPr>
          <w:rFonts w:ascii="Times New Roman" w:hAnsi="Times New Roman" w:cs="Times New Roman"/>
          <w:b/>
          <w:bCs/>
          <w:i w:val="0"/>
          <w:iCs w:val="0"/>
          <w:color w:val="auto"/>
          <w:kern w:val="2"/>
          <w:sz w:val="24"/>
          <w:szCs w:val="24"/>
        </w:rPr>
        <w:t xml:space="preserve"> :</w:t>
      </w:r>
      <w:r w:rsidRPr="00892BD3">
        <w:rPr>
          <w:rFonts w:ascii="Times New Roman" w:hAnsi="Times New Roman" w:cs="Times New Roman"/>
          <w:i w:val="0"/>
          <w:iCs w:val="0"/>
          <w:color w:val="auto"/>
          <w:kern w:val="2"/>
          <w:sz w:val="24"/>
          <w:szCs w:val="24"/>
        </w:rPr>
        <w:t xml:space="preserve"> Les avantages de l’étiquetage pour l’entreprise, Les gouvernements et Les Co</w:t>
      </w:r>
      <w:r w:rsidRPr="00892BD3">
        <w:rPr>
          <w:rFonts w:ascii="Times New Roman" w:hAnsi="Times New Roman" w:cs="Times New Roman"/>
          <w:i w:val="0"/>
          <w:iCs w:val="0"/>
          <w:color w:val="auto"/>
          <w:kern w:val="2"/>
          <w:sz w:val="24"/>
          <w:szCs w:val="24"/>
        </w:rPr>
        <w:t>n</w:t>
      </w:r>
      <w:r w:rsidRPr="00892BD3">
        <w:rPr>
          <w:rFonts w:ascii="Times New Roman" w:hAnsi="Times New Roman" w:cs="Times New Roman"/>
          <w:i w:val="0"/>
          <w:iCs w:val="0"/>
          <w:color w:val="auto"/>
          <w:kern w:val="2"/>
          <w:sz w:val="24"/>
          <w:szCs w:val="24"/>
        </w:rPr>
        <w:t>sommateurs</w:t>
      </w:r>
      <w:bookmarkEnd w:id="217"/>
    </w:p>
    <w:tbl>
      <w:tblPr>
        <w:tblStyle w:val="Grilledutableau"/>
        <w:tblW w:w="0" w:type="auto"/>
        <w:tblLook w:val="04A0"/>
      </w:tblPr>
      <w:tblGrid>
        <w:gridCol w:w="3055"/>
        <w:gridCol w:w="3055"/>
        <w:gridCol w:w="3056"/>
      </w:tblGrid>
      <w:tr w:rsidR="00F57DD8">
        <w:tc>
          <w:tcPr>
            <w:tcW w:w="3055" w:type="dxa"/>
            <w:shd w:val="clear" w:color="auto" w:fill="FFFFCC"/>
          </w:tcPr>
          <w:p w:rsidR="00F57DD8" w:rsidRPr="00892BD3" w:rsidRDefault="00F57DD8" w:rsidP="00D078FF">
            <w:pPr>
              <w:pStyle w:val="Titre3"/>
              <w:spacing w:before="0" w:after="0" w:line="360" w:lineRule="auto"/>
              <w:jc w:val="both"/>
              <w:outlineLvl w:val="2"/>
              <w:rPr>
                <w:rFonts w:asciiTheme="majorBidi" w:hAnsiTheme="majorBidi" w:cstheme="majorBidi"/>
                <w:color w:val="000000" w:themeColor="text1"/>
                <w:sz w:val="24"/>
                <w:szCs w:val="24"/>
              </w:rPr>
            </w:pPr>
            <w:bookmarkStart w:id="218" w:name="_Toc230558696"/>
            <w:bookmarkStart w:id="219" w:name="_Toc230900330"/>
            <w:r w:rsidRPr="00892BD3">
              <w:rPr>
                <w:rFonts w:asciiTheme="majorBidi" w:hAnsiTheme="majorBidi" w:cstheme="majorBidi"/>
                <w:color w:val="000000" w:themeColor="text1"/>
                <w:sz w:val="24"/>
                <w:szCs w:val="24"/>
              </w:rPr>
              <w:t>Entreprises</w:t>
            </w:r>
            <w:bookmarkEnd w:id="218"/>
            <w:bookmarkEnd w:id="219"/>
          </w:p>
        </w:tc>
        <w:tc>
          <w:tcPr>
            <w:tcW w:w="3055" w:type="dxa"/>
            <w:shd w:val="clear" w:color="auto" w:fill="FFFFCC"/>
          </w:tcPr>
          <w:p w:rsidR="00F57DD8" w:rsidRPr="00892BD3" w:rsidRDefault="00F57DD8" w:rsidP="00D078FF">
            <w:pPr>
              <w:pStyle w:val="Titre3"/>
              <w:spacing w:before="0" w:after="0" w:line="360" w:lineRule="auto"/>
              <w:jc w:val="both"/>
              <w:outlineLvl w:val="2"/>
              <w:rPr>
                <w:rFonts w:asciiTheme="majorBidi" w:hAnsiTheme="majorBidi" w:cstheme="majorBidi"/>
                <w:color w:val="000000" w:themeColor="text1"/>
                <w:sz w:val="24"/>
                <w:szCs w:val="24"/>
              </w:rPr>
            </w:pPr>
            <w:bookmarkStart w:id="220" w:name="_Toc230558697"/>
            <w:bookmarkStart w:id="221" w:name="_Toc230900331"/>
            <w:r w:rsidRPr="00892BD3">
              <w:rPr>
                <w:rFonts w:asciiTheme="majorBidi" w:hAnsiTheme="majorBidi" w:cstheme="majorBidi"/>
                <w:color w:val="000000" w:themeColor="text1"/>
                <w:sz w:val="24"/>
                <w:szCs w:val="24"/>
              </w:rPr>
              <w:t>Gouvernements</w:t>
            </w:r>
            <w:bookmarkEnd w:id="220"/>
            <w:bookmarkEnd w:id="221"/>
          </w:p>
        </w:tc>
        <w:tc>
          <w:tcPr>
            <w:tcW w:w="3056" w:type="dxa"/>
            <w:shd w:val="clear" w:color="auto" w:fill="FFFFCC"/>
          </w:tcPr>
          <w:p w:rsidR="00F57DD8" w:rsidRPr="00892BD3" w:rsidRDefault="00F57DD8" w:rsidP="00D078FF">
            <w:pPr>
              <w:pStyle w:val="Titre3"/>
              <w:spacing w:before="0" w:after="0" w:line="360" w:lineRule="auto"/>
              <w:jc w:val="both"/>
              <w:outlineLvl w:val="2"/>
              <w:rPr>
                <w:rFonts w:asciiTheme="majorBidi" w:hAnsiTheme="majorBidi" w:cstheme="majorBidi"/>
                <w:color w:val="000000" w:themeColor="text1"/>
                <w:sz w:val="24"/>
                <w:szCs w:val="24"/>
              </w:rPr>
            </w:pPr>
            <w:bookmarkStart w:id="222" w:name="_Toc230558698"/>
            <w:bookmarkStart w:id="223" w:name="_Toc230900332"/>
            <w:r w:rsidRPr="00892BD3">
              <w:rPr>
                <w:rFonts w:asciiTheme="majorBidi" w:hAnsiTheme="majorBidi" w:cstheme="majorBidi"/>
                <w:color w:val="000000" w:themeColor="text1"/>
                <w:sz w:val="24"/>
                <w:szCs w:val="24"/>
              </w:rPr>
              <w:t>Consommateurs</w:t>
            </w:r>
            <w:bookmarkEnd w:id="222"/>
            <w:bookmarkEnd w:id="223"/>
          </w:p>
        </w:tc>
      </w:tr>
      <w:tr w:rsidR="00F57DD8">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Capacité d’avancer des allégations juridiques quant aux qualités du produit</w:t>
            </w:r>
          </w:p>
        </w:tc>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Crédibilité renforcée des réglementations et des politiques de santé publique</w:t>
            </w:r>
          </w:p>
        </w:tc>
        <w:tc>
          <w:tcPr>
            <w:tcW w:w="3056"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En apprennent davantage sur un produit Deviennent capables de comparer les produits Obtiennent des informations fiables sur les produits</w:t>
            </w:r>
          </w:p>
        </w:tc>
      </w:tr>
      <w:tr w:rsidR="00F57DD8">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Capacité à soutenir la concurrence grâce aux qualités du produit que le consommateur ne peut détecter sans une étiquette</w:t>
            </w:r>
          </w:p>
        </w:tc>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Économies dans le système de santé grâce au recul des maladies dans les cas où les coûts sont à la charge du gouvernement</w:t>
            </w:r>
          </w:p>
        </w:tc>
        <w:tc>
          <w:tcPr>
            <w:tcW w:w="3056"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Apprennent à utiliser les informations sur les produits pour protéger leur santé Apprennent à utiliser les informations sur les produits pour décider si un produit vaut le prix à payer</w:t>
            </w:r>
          </w:p>
        </w:tc>
      </w:tr>
      <w:tr w:rsidR="00F57DD8">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Conformité aux réglementations</w:t>
            </w:r>
          </w:p>
        </w:tc>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Capacité accrue de faciliter les échanges commerciaux avec des pays qui ont des exigences en matière d’étiquetage</w:t>
            </w:r>
          </w:p>
        </w:tc>
        <w:tc>
          <w:tcPr>
            <w:tcW w:w="3056"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L’information qui influence le choix d’un produit peut exprimer les valeurs et les priorités du consommateur</w:t>
            </w:r>
          </w:p>
        </w:tc>
      </w:tr>
      <w:tr w:rsidR="00F57DD8">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Capacité de vendre sur les marchés où ces informations sont requises</w:t>
            </w:r>
          </w:p>
        </w:tc>
        <w:tc>
          <w:tcPr>
            <w:tcW w:w="3055" w:type="dxa"/>
          </w:tcPr>
          <w:p w:rsidR="00F57DD8" w:rsidRPr="006A7554" w:rsidRDefault="00F57DD8" w:rsidP="00D078FF">
            <w:pPr>
              <w:spacing w:line="360" w:lineRule="auto"/>
              <w:jc w:val="both"/>
              <w:rPr>
                <w:rFonts w:ascii="Times New Roman" w:hAnsi="Times New Roman" w:cs="Times New Roman"/>
                <w:b/>
                <w:bCs/>
                <w:sz w:val="24"/>
                <w:szCs w:val="24"/>
              </w:rPr>
            </w:pPr>
          </w:p>
        </w:tc>
        <w:tc>
          <w:tcPr>
            <w:tcW w:w="3056" w:type="dxa"/>
          </w:tcPr>
          <w:p w:rsidR="00F57DD8" w:rsidRPr="006A7554" w:rsidRDefault="00F57DD8" w:rsidP="00D078FF">
            <w:pPr>
              <w:spacing w:line="360" w:lineRule="auto"/>
              <w:jc w:val="both"/>
              <w:rPr>
                <w:rFonts w:ascii="Times New Roman" w:hAnsi="Times New Roman" w:cs="Times New Roman"/>
                <w:b/>
                <w:bCs/>
                <w:sz w:val="24"/>
                <w:szCs w:val="24"/>
              </w:rPr>
            </w:pPr>
          </w:p>
        </w:tc>
      </w:tr>
      <w:tr w:rsidR="00F57DD8">
        <w:tc>
          <w:tcPr>
            <w:tcW w:w="3055" w:type="dxa"/>
          </w:tcPr>
          <w:p w:rsidR="00F57DD8" w:rsidRPr="006A7554" w:rsidRDefault="00F57DD8" w:rsidP="00D078FF">
            <w:pPr>
              <w:spacing w:line="360" w:lineRule="auto"/>
              <w:jc w:val="both"/>
              <w:rPr>
                <w:rFonts w:ascii="Times New Roman" w:hAnsi="Times New Roman" w:cs="Times New Roman"/>
                <w:b/>
                <w:bCs/>
                <w:sz w:val="24"/>
                <w:szCs w:val="24"/>
              </w:rPr>
            </w:pPr>
            <w:r w:rsidRPr="006A7554">
              <w:rPr>
                <w:rFonts w:ascii="Times New Roman" w:hAnsi="Times New Roman" w:cs="Times New Roman"/>
                <w:sz w:val="24"/>
                <w:szCs w:val="24"/>
              </w:rPr>
              <w:t>Image positive des produits</w:t>
            </w:r>
          </w:p>
        </w:tc>
        <w:tc>
          <w:tcPr>
            <w:tcW w:w="3055" w:type="dxa"/>
          </w:tcPr>
          <w:p w:rsidR="00F57DD8" w:rsidRPr="006A7554" w:rsidRDefault="00F57DD8" w:rsidP="00D078FF">
            <w:pPr>
              <w:spacing w:line="360" w:lineRule="auto"/>
              <w:jc w:val="both"/>
              <w:rPr>
                <w:rFonts w:ascii="Times New Roman" w:hAnsi="Times New Roman" w:cs="Times New Roman"/>
                <w:b/>
                <w:bCs/>
                <w:sz w:val="24"/>
                <w:szCs w:val="24"/>
              </w:rPr>
            </w:pPr>
          </w:p>
        </w:tc>
        <w:tc>
          <w:tcPr>
            <w:tcW w:w="3056" w:type="dxa"/>
          </w:tcPr>
          <w:p w:rsidR="00F57DD8" w:rsidRPr="006A7554" w:rsidRDefault="00F57DD8" w:rsidP="00D078FF">
            <w:pPr>
              <w:spacing w:line="360" w:lineRule="auto"/>
              <w:jc w:val="both"/>
              <w:rPr>
                <w:rFonts w:ascii="Times New Roman" w:hAnsi="Times New Roman" w:cs="Times New Roman"/>
                <w:b/>
                <w:bCs/>
                <w:sz w:val="24"/>
                <w:szCs w:val="24"/>
              </w:rPr>
            </w:pPr>
          </w:p>
        </w:tc>
      </w:tr>
    </w:tbl>
    <w:p w:rsidR="00F57DD8" w:rsidRDefault="00F57DD8" w:rsidP="00D078FF">
      <w:pPr>
        <w:pStyle w:val="NormalWeb"/>
        <w:spacing w:line="360" w:lineRule="auto"/>
        <w:jc w:val="both"/>
        <w:rPr>
          <w:sz w:val="20"/>
          <w:szCs w:val="20"/>
        </w:rPr>
      </w:pPr>
      <w:r>
        <w:rPr>
          <w:b/>
          <w:bCs/>
          <w:sz w:val="20"/>
          <w:szCs w:val="20"/>
        </w:rPr>
        <w:t>Source</w:t>
      </w:r>
      <w:r w:rsidRPr="004818DD">
        <w:rPr>
          <w:b/>
          <w:bCs/>
          <w:sz w:val="20"/>
          <w:szCs w:val="20"/>
        </w:rPr>
        <w:t>:</w:t>
      </w:r>
      <w:r w:rsidRPr="004818DD">
        <w:rPr>
          <w:sz w:val="20"/>
          <w:szCs w:val="20"/>
        </w:rPr>
        <w:t xml:space="preserve"> avantages de l’étiquetage </w:t>
      </w:r>
      <w:r w:rsidRPr="004818DD">
        <w:rPr>
          <w:sz w:val="18"/>
          <w:szCs w:val="18"/>
        </w:rPr>
        <w:t>:</w:t>
      </w:r>
      <w:r w:rsidRPr="004818DD">
        <w:rPr>
          <w:sz w:val="20"/>
          <w:szCs w:val="20"/>
        </w:rPr>
        <w:t xml:space="preserve">Organisation des Nations Unies pour l’alimentation et l’agriculture. </w:t>
      </w:r>
      <w:r w:rsidRPr="004818DD">
        <w:rPr>
          <w:rStyle w:val="Accentuation"/>
          <w:sz w:val="20"/>
          <w:szCs w:val="20"/>
        </w:rPr>
        <w:t>Manuel sur l’étiquetage des denrées alimentaires pour la protection des consommateurs</w:t>
      </w:r>
      <w:r w:rsidRPr="004818DD">
        <w:rPr>
          <w:sz w:val="20"/>
          <w:szCs w:val="20"/>
        </w:rPr>
        <w:t>. Rome : FAO, 2014.</w:t>
      </w:r>
    </w:p>
    <w:p w:rsidR="00F57DD8" w:rsidRPr="00007593" w:rsidRDefault="004818DD" w:rsidP="00C13EE0">
      <w:pPr>
        <w:pStyle w:val="Titre3"/>
        <w:spacing w:before="0" w:after="0" w:line="360" w:lineRule="auto"/>
        <w:jc w:val="both"/>
        <w:rPr>
          <w:rStyle w:val="Titre3Car"/>
          <w:rFonts w:ascii="Times New Roman" w:hAnsi="Times New Roman"/>
          <w:b/>
          <w:bCs/>
          <w:color w:val="auto"/>
          <w:sz w:val="24"/>
          <w:szCs w:val="24"/>
        </w:rPr>
      </w:pPr>
      <w:bookmarkStart w:id="224" w:name="_Toc230558699"/>
      <w:bookmarkStart w:id="225" w:name="_Toc230900333"/>
      <w:r w:rsidRPr="00007593">
        <w:rPr>
          <w:rStyle w:val="Titre3Car"/>
          <w:rFonts w:ascii="Times New Roman" w:hAnsi="Times New Roman"/>
          <w:b/>
          <w:bCs/>
          <w:color w:val="auto"/>
          <w:sz w:val="24"/>
          <w:szCs w:val="24"/>
        </w:rPr>
        <w:lastRenderedPageBreak/>
        <w:t>5. </w:t>
      </w:r>
      <w:r w:rsidR="00F57DD8" w:rsidRPr="00007593">
        <w:rPr>
          <w:rStyle w:val="Titre3Car"/>
          <w:rFonts w:ascii="Times New Roman" w:hAnsi="Times New Roman"/>
          <w:b/>
          <w:bCs/>
          <w:color w:val="auto"/>
          <w:sz w:val="24"/>
          <w:szCs w:val="24"/>
        </w:rPr>
        <w:t>Prévenir l’étiquetage trompeur</w:t>
      </w:r>
      <w:bookmarkEnd w:id="224"/>
      <w:bookmarkEnd w:id="225"/>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L’un des objectifs majeurs de la réglementation sur l’étiquetage est d’empêcher les producteurs de présenter délibérément des informations fausses sur leurs produits. Ces pratiques peuvent entraîner des sanctions, comme la confiscation des produits, des amendes, et nuire à la réputation du producteur.</w:t>
      </w:r>
      <w:r>
        <w:rPr>
          <w:rStyle w:val="Appelnotedebasdep"/>
          <w:rFonts w:ascii="Times New Roman" w:hAnsi="Times New Roman"/>
          <w:sz w:val="24"/>
          <w:szCs w:val="24"/>
          <w:lang w:eastAsia="fr-FR"/>
        </w:rPr>
        <w:footnoteReference w:id="205"/>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Même sans intention de tromper, une information mal présentée peut induire le consommateur en erreur. Il est donc essentiel que les étiquettes soient claires et compréhensibles pour un consommateur moyen. Des études auprès des consommateurs, incluant entretiens, expériences et groupes de réflexion, permettent de détecter les informations susceptibles d’être mal interprétées et d’adapter l’étiquetage en conséquence.</w:t>
      </w:r>
      <w:r>
        <w:rPr>
          <w:rStyle w:val="Appelnotedebasdep"/>
          <w:rFonts w:ascii="Times New Roman" w:hAnsi="Times New Roman"/>
          <w:sz w:val="24"/>
          <w:szCs w:val="24"/>
          <w:lang w:eastAsia="fr-FR"/>
        </w:rPr>
        <w:footnoteReference w:id="206"/>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L’omission d’informations est une forme fréquente de tromperie. Par exemple, un jus de fruit contenant de l’eau et du sucre peut sembler pur à 100 % si l’étiquette ne précise pas ces ajouts. De même, une soupe indiquée « sans sel ajouté » peut donner l’impression qu’elle contient peu ou pas de sodium, alors qu’il serait plus précis d’indiquer la quantité réelle de sel et de la comparer aux recommandations nutritionnelles.</w:t>
      </w:r>
      <w:r>
        <w:rPr>
          <w:rStyle w:val="Appelnotedebasdep"/>
          <w:rFonts w:ascii="Times New Roman" w:hAnsi="Times New Roman"/>
          <w:sz w:val="24"/>
          <w:szCs w:val="24"/>
          <w:lang w:eastAsia="fr-FR"/>
        </w:rPr>
        <w:footnoteReference w:id="207"/>
      </w:r>
    </w:p>
    <w:p w:rsidR="00F57DD8" w:rsidRDefault="00F57DD8" w:rsidP="00C13EE0">
      <w:pPr>
        <w:pStyle w:val="NormalWeb"/>
        <w:spacing w:after="0" w:line="360" w:lineRule="auto"/>
        <w:jc w:val="both"/>
      </w:pPr>
      <w:r>
        <w:t xml:space="preserve">        L’utilisation de définitions claires et normalisées constitue un moyen efficace de prévenir la confusion. Le Codex, par exemple, définit des termes comme « exempt de » ou « à faible teneur » afin d’uniformiser les informations sur l’énergie, les matières grasses, le cholestérol, le sucre et le sel. Dans certains cas, il peut être nécessaire d’interdire les mentions intrins</w:t>
      </w:r>
      <w:r>
        <w:t>è</w:t>
      </w:r>
      <w:r>
        <w:t>quement trompeuses pour protéger le consommateur.</w:t>
      </w:r>
      <w:r>
        <w:rPr>
          <w:rStyle w:val="Appelnotedebasdep"/>
        </w:rPr>
        <w:footnoteReference w:id="208"/>
      </w:r>
    </w:p>
    <w:p w:rsidR="00F57DD8" w:rsidRPr="00007593" w:rsidRDefault="004818DD" w:rsidP="00C13EE0">
      <w:pPr>
        <w:pStyle w:val="Titre3"/>
        <w:spacing w:before="0" w:after="0" w:line="360" w:lineRule="auto"/>
        <w:jc w:val="both"/>
        <w:rPr>
          <w:rFonts w:ascii="Times New Roman" w:hAnsi="Times New Roman"/>
          <w:color w:val="auto"/>
          <w:sz w:val="24"/>
          <w:szCs w:val="24"/>
        </w:rPr>
      </w:pPr>
      <w:bookmarkStart w:id="226" w:name="_Toc230558700"/>
      <w:bookmarkStart w:id="227" w:name="_Toc230900334"/>
      <w:r w:rsidRPr="00007593">
        <w:rPr>
          <w:rFonts w:ascii="Times New Roman" w:eastAsiaTheme="minorHAnsi" w:hAnsi="Times New Roman"/>
          <w:color w:val="auto"/>
          <w:kern w:val="2"/>
          <w:sz w:val="24"/>
          <w:szCs w:val="24"/>
        </w:rPr>
        <w:t>6. </w:t>
      </w:r>
      <w:r w:rsidR="00F57DD8" w:rsidRPr="00007593">
        <w:rPr>
          <w:rStyle w:val="lev"/>
          <w:rFonts w:ascii="Times New Roman" w:hAnsi="Times New Roman"/>
          <w:color w:val="auto"/>
          <w:sz w:val="24"/>
          <w:szCs w:val="24"/>
        </w:rPr>
        <w:t>La transparence informationnelle de l’étiquetage au service de la compréhension du consommateur</w:t>
      </w:r>
      <w:bookmarkEnd w:id="226"/>
      <w:bookmarkEnd w:id="227"/>
    </w:p>
    <w:p w:rsidR="00F57DD8" w:rsidRDefault="00F57DD8" w:rsidP="00C13EE0">
      <w:pPr>
        <w:pStyle w:val="NormalWeb"/>
        <w:spacing w:after="0" w:line="360" w:lineRule="auto"/>
        <w:jc w:val="both"/>
      </w:pPr>
      <w:r>
        <w:t xml:space="preserve">        La compréhension d’une étiquette par le consommateur est influencée par l’éducation, la culture, la langue, la publicité et l’expérience personnelle. Deux consommateurs peuvent i</w:t>
      </w:r>
      <w:r>
        <w:t>n</w:t>
      </w:r>
      <w:r>
        <w:lastRenderedPageBreak/>
        <w:t>terpréter différemment une même étiquette. Il est donc essentiel que chaque étiquette soit co</w:t>
      </w:r>
      <w:r>
        <w:t>n</w:t>
      </w:r>
      <w:r>
        <w:t>çue en tenant compte de la perception de la majorité des consommateurs d’un marché do</w:t>
      </w:r>
      <w:r>
        <w:t>n</w:t>
      </w:r>
      <w:r>
        <w:t>né.</w:t>
      </w:r>
      <w:r>
        <w:rPr>
          <w:rStyle w:val="Appelnotedebasdep"/>
        </w:rPr>
        <w:footnoteReference w:id="209"/>
      </w:r>
    </w:p>
    <w:p w:rsidR="00F57DD8" w:rsidRDefault="00F57DD8" w:rsidP="00C13EE0">
      <w:pPr>
        <w:pStyle w:val="NormalWeb"/>
        <w:spacing w:after="0" w:line="360" w:lineRule="auto"/>
        <w:jc w:val="both"/>
      </w:pPr>
      <w:r>
        <w:t xml:space="preserve">        Les informations trop complexes ou abondantes peuvent distraire ou confondre le co</w:t>
      </w:r>
      <w:r>
        <w:t>n</w:t>
      </w:r>
      <w:r>
        <w:t>sommateur. Les étiquettes doivent donc être simples, claires et complètes</w:t>
      </w:r>
      <w:r>
        <w:rPr>
          <w:rStyle w:val="Appelnotedebasdep"/>
        </w:rPr>
        <w:footnoteReference w:id="210"/>
      </w:r>
      <w:r>
        <w:t>. L’utilisation co</w:t>
      </w:r>
      <w:r>
        <w:t>r</w:t>
      </w:r>
      <w:r>
        <w:t>recte des étiquettes nécessite également des campagnes de sensibilisation et un effort éducatif continu, avec des organismes clairement identifiés pour assurer leur mise en œuvre.</w:t>
      </w:r>
      <w:r>
        <w:rPr>
          <w:rStyle w:val="Appelnotedebasdep"/>
        </w:rPr>
        <w:footnoteReference w:id="211"/>
      </w:r>
    </w:p>
    <w:p w:rsidR="00F57DD8" w:rsidRPr="00007593" w:rsidRDefault="004818DD" w:rsidP="00C13EE0">
      <w:pPr>
        <w:pStyle w:val="Titre3"/>
        <w:spacing w:before="0" w:after="0" w:line="360" w:lineRule="auto"/>
        <w:jc w:val="both"/>
        <w:rPr>
          <w:rFonts w:ascii="Times New Roman" w:hAnsi="Times New Roman"/>
          <w:color w:val="auto"/>
          <w:sz w:val="24"/>
          <w:szCs w:val="24"/>
        </w:rPr>
      </w:pPr>
      <w:bookmarkStart w:id="228" w:name="_Toc230558701"/>
      <w:bookmarkStart w:id="229" w:name="_Toc230900335"/>
      <w:r w:rsidRPr="00007593">
        <w:rPr>
          <w:rFonts w:ascii="Times New Roman" w:eastAsiaTheme="minorHAnsi" w:hAnsi="Times New Roman"/>
          <w:color w:val="auto"/>
          <w:kern w:val="2"/>
          <w:sz w:val="24"/>
          <w:szCs w:val="24"/>
        </w:rPr>
        <w:t>7. </w:t>
      </w:r>
      <w:r w:rsidR="00F57DD8" w:rsidRPr="00007593">
        <w:rPr>
          <w:rStyle w:val="lev"/>
          <w:rFonts w:ascii="Times New Roman" w:hAnsi="Times New Roman"/>
          <w:color w:val="auto"/>
          <w:sz w:val="24"/>
          <w:szCs w:val="24"/>
        </w:rPr>
        <w:t>Principes de présentation, langue et lisibilité</w:t>
      </w:r>
      <w:bookmarkEnd w:id="228"/>
      <w:bookmarkEnd w:id="229"/>
    </w:p>
    <w:p w:rsidR="00F57DD8" w:rsidRDefault="00F57DD8" w:rsidP="00C13EE0">
      <w:pPr>
        <w:pStyle w:val="NormalWeb"/>
        <w:numPr>
          <w:ilvl w:val="0"/>
          <w:numId w:val="12"/>
        </w:numPr>
        <w:spacing w:after="0" w:line="360" w:lineRule="auto"/>
        <w:jc w:val="both"/>
      </w:pPr>
      <w:r>
        <w:t>Une présentation standard est préférable pour éviter toute confusion.</w:t>
      </w:r>
    </w:p>
    <w:p w:rsidR="00F57DD8" w:rsidRDefault="00F57DD8" w:rsidP="00C13EE0">
      <w:pPr>
        <w:pStyle w:val="NormalWeb"/>
        <w:numPr>
          <w:ilvl w:val="0"/>
          <w:numId w:val="12"/>
        </w:numPr>
        <w:spacing w:after="0" w:line="360" w:lineRule="auto"/>
        <w:jc w:val="both"/>
      </w:pPr>
      <w:r>
        <w:t>Les étiquettes doivent rester attachées au produit et visibles, même si le récipient est r</w:t>
      </w:r>
      <w:r>
        <w:t>e</w:t>
      </w:r>
      <w:r>
        <w:t>couvert.</w:t>
      </w:r>
    </w:p>
    <w:p w:rsidR="00F57DD8" w:rsidRDefault="00F57DD8" w:rsidP="00C13EE0">
      <w:pPr>
        <w:pStyle w:val="NormalWeb"/>
        <w:numPr>
          <w:ilvl w:val="0"/>
          <w:numId w:val="12"/>
        </w:numPr>
        <w:spacing w:after="0" w:line="360" w:lineRule="auto"/>
        <w:jc w:val="both"/>
      </w:pPr>
      <w:r>
        <w:t>Les informations doivent être claires, bien en vue, indélébiles et faciles à lire.</w:t>
      </w:r>
    </w:p>
    <w:p w:rsidR="00F57DD8" w:rsidRDefault="00F57DD8" w:rsidP="00C13EE0">
      <w:pPr>
        <w:pStyle w:val="NormalWeb"/>
        <w:numPr>
          <w:ilvl w:val="0"/>
          <w:numId w:val="12"/>
        </w:numPr>
        <w:spacing w:after="0" w:line="360" w:lineRule="auto"/>
        <w:jc w:val="both"/>
      </w:pPr>
      <w:r>
        <w:t>Le nom du produit et le contenu net doivent être visibles dans le même champ de vision.</w:t>
      </w:r>
    </w:p>
    <w:p w:rsidR="00F57DD8" w:rsidRDefault="00F57DD8" w:rsidP="00C13EE0">
      <w:pPr>
        <w:pStyle w:val="NormalWeb"/>
        <w:numPr>
          <w:ilvl w:val="0"/>
          <w:numId w:val="12"/>
        </w:numPr>
        <w:spacing w:after="0" w:line="360" w:lineRule="auto"/>
        <w:jc w:val="both"/>
      </w:pPr>
      <w:r>
        <w:t>La langue utilisée doit être compréhensible par le consommateur ciblé. Les mêmes info</w:t>
      </w:r>
      <w:r>
        <w:t>r</w:t>
      </w:r>
      <w:r>
        <w:t>mations peuvent être répétées en plusieurs langues si nécessaire.</w:t>
      </w:r>
    </w:p>
    <w:p w:rsidR="00F57DD8" w:rsidRDefault="00F57DD8" w:rsidP="00C13EE0">
      <w:pPr>
        <w:pStyle w:val="NormalWeb"/>
        <w:numPr>
          <w:ilvl w:val="0"/>
          <w:numId w:val="12"/>
        </w:numPr>
        <w:spacing w:after="0" w:line="360" w:lineRule="auto"/>
        <w:jc w:val="both"/>
      </w:pPr>
      <w:r>
        <w:t>Lorsque la langue originale n’est pas adaptée, une étiquette supplémentaire peut être ajo</w:t>
      </w:r>
      <w:r>
        <w:t>u</w:t>
      </w:r>
      <w:r>
        <w:t>tée dans une langue acceptable.</w:t>
      </w:r>
    </w:p>
    <w:p w:rsidR="00F57DD8" w:rsidRDefault="00F57DD8" w:rsidP="00C13EE0">
      <w:pPr>
        <w:pStyle w:val="NormalWeb"/>
        <w:numPr>
          <w:ilvl w:val="0"/>
          <w:numId w:val="12"/>
        </w:numPr>
        <w:spacing w:after="0" w:line="360" w:lineRule="auto"/>
        <w:jc w:val="both"/>
      </w:pPr>
      <w:r>
        <w:t>Les autorités doivent définir le type, la taille minimale, le style de police, ainsi que l’usage des majuscules et minuscules pour assurer une bonne lisibilité.</w:t>
      </w:r>
    </w:p>
    <w:p w:rsidR="00F57DD8" w:rsidRDefault="00F57DD8" w:rsidP="00C13EE0">
      <w:pPr>
        <w:pStyle w:val="NormalWeb"/>
        <w:numPr>
          <w:ilvl w:val="0"/>
          <w:numId w:val="12"/>
        </w:numPr>
        <w:spacing w:after="0" w:line="360" w:lineRule="auto"/>
        <w:jc w:val="both"/>
      </w:pPr>
      <w:r>
        <w:t>Le texte doit se détacher clairement du fond pour que toutes les informations, y compris nutritionnelles, soient lisibles sans effort.</w:t>
      </w:r>
      <w:r>
        <w:rPr>
          <w:rStyle w:val="Appelnotedebasdep"/>
        </w:rPr>
        <w:footnoteReference w:id="212"/>
      </w:r>
    </w:p>
    <w:p w:rsidR="00F57DD8" w:rsidRPr="004818DD" w:rsidRDefault="004818DD" w:rsidP="00C13EE0">
      <w:pPr>
        <w:pStyle w:val="Titre3"/>
        <w:spacing w:before="0" w:after="0" w:line="360" w:lineRule="auto"/>
        <w:jc w:val="both"/>
        <w:rPr>
          <w:rFonts w:ascii="Segoe UI" w:hAnsi="Segoe UI" w:cs="Segoe UI"/>
          <w:color w:val="0F1115"/>
          <w:sz w:val="30"/>
          <w:szCs w:val="30"/>
        </w:rPr>
      </w:pPr>
      <w:bookmarkStart w:id="230" w:name="_Toc230558702"/>
      <w:bookmarkStart w:id="231" w:name="_Toc230900336"/>
      <w:r>
        <w:rPr>
          <w:rFonts w:ascii="Segoe UI" w:hAnsi="Segoe UI" w:cs="Segoe UI"/>
          <w:color w:val="0F1115"/>
          <w:sz w:val="30"/>
          <w:szCs w:val="30"/>
        </w:rPr>
        <w:t>8.</w:t>
      </w:r>
      <w:r w:rsidR="00F57DD8" w:rsidRPr="004818DD">
        <w:rPr>
          <w:rStyle w:val="lev"/>
          <w:rFonts w:asciiTheme="majorBidi" w:hAnsiTheme="majorBidi"/>
          <w:color w:val="auto"/>
          <w:sz w:val="24"/>
          <w:szCs w:val="24"/>
        </w:rPr>
        <w:t>Le cadre juridique garantissant la transparence et la sécurité</w:t>
      </w:r>
      <w:bookmarkEnd w:id="230"/>
      <w:bookmarkEnd w:id="231"/>
    </w:p>
    <w:p w:rsidR="00F57DD8" w:rsidRPr="00007593" w:rsidRDefault="004818DD" w:rsidP="00C13EE0">
      <w:pPr>
        <w:pStyle w:val="Titre4"/>
        <w:spacing w:before="0" w:after="0" w:line="360" w:lineRule="auto"/>
        <w:jc w:val="both"/>
        <w:rPr>
          <w:i w:val="0"/>
          <w:iCs w:val="0"/>
        </w:rPr>
      </w:pPr>
      <w:bookmarkStart w:id="232" w:name="_Toc230558703"/>
      <w:bookmarkStart w:id="233" w:name="_Toc230900337"/>
      <w:r w:rsidRPr="00007593">
        <w:rPr>
          <w:i w:val="0"/>
          <w:iCs w:val="0"/>
          <w:color w:val="auto"/>
        </w:rPr>
        <w:t>8.1.</w:t>
      </w:r>
      <w:r w:rsidR="00F57DD8" w:rsidRPr="00007593">
        <w:rPr>
          <w:rStyle w:val="lev"/>
          <w:rFonts w:asciiTheme="majorBidi" w:hAnsiTheme="majorBidi" w:cstheme="majorBidi"/>
          <w:i w:val="0"/>
          <w:iCs w:val="0"/>
          <w:color w:val="auto"/>
          <w:sz w:val="24"/>
          <w:szCs w:val="24"/>
        </w:rPr>
        <w:t xml:space="preserve"> Réglementations et lois en matière d’étiquetage</w:t>
      </w:r>
      <w:bookmarkEnd w:id="232"/>
      <w:bookmarkEnd w:id="233"/>
    </w:p>
    <w:p w:rsidR="00F57DD8" w:rsidRDefault="00F57DD8" w:rsidP="00C13EE0">
      <w:pPr>
        <w:pStyle w:val="NormalWeb"/>
        <w:spacing w:after="0" w:line="360" w:lineRule="auto"/>
        <w:jc w:val="both"/>
      </w:pPr>
      <w:r>
        <w:t xml:space="preserve">      Une fois les objectifs de la politique d’étiquetage définis, il est nécessaire de passer en revue les lois fondamentales sur les denrées alimentaires, la protection des consommateurs, le commerce et toute autre législation nationale pertinente. Cela permet de déterminer si les lois </w:t>
      </w:r>
      <w:r>
        <w:lastRenderedPageBreak/>
        <w:t>existantes doivent être révisées ou si de nouvelles dispositions sont nécessaires pour atteindre ces objectifs.</w:t>
      </w:r>
      <w:r>
        <w:rPr>
          <w:rStyle w:val="Appelnotedebasdep"/>
        </w:rPr>
        <w:footnoteReference w:id="213"/>
      </w:r>
    </w:p>
    <w:p w:rsidR="00F57DD8" w:rsidRDefault="00F57DD8" w:rsidP="00C13EE0">
      <w:pPr>
        <w:pStyle w:val="NormalWeb"/>
        <w:spacing w:after="0" w:line="360" w:lineRule="auto"/>
        <w:jc w:val="both"/>
      </w:pPr>
      <w:r>
        <w:t xml:space="preserve">       Il faut également identifier les institutions responsables de l’application des lois. Dans certains pays, une loi générale couvre la plupart des aspects liés à l’étiquetage, tandis que dans d’autres, ces thèmes sont dispersés dans différentes législations. Dans ce cas, il est important de compiler et de rendre publiques les lois pertinentes afin de clarifier les bases juridiques de la politique.</w:t>
      </w:r>
      <w:r>
        <w:rPr>
          <w:rStyle w:val="Appelnotedebasdep"/>
        </w:rPr>
        <w:footnoteReference w:id="214"/>
      </w:r>
    </w:p>
    <w:p w:rsidR="00F57DD8" w:rsidRDefault="00F57DD8" w:rsidP="00C13EE0">
      <w:pPr>
        <w:pStyle w:val="NormalWeb"/>
        <w:spacing w:after="0" w:line="360" w:lineRule="auto"/>
        <w:jc w:val="both"/>
      </w:pPr>
      <w:r>
        <w:t>La majorité des pays s’appuient sur des normes internationales, telles que celles du Codex, et alignent leur législation nationale sur ces standards. Selon les priorités et objectifs, les go</w:t>
      </w:r>
      <w:r>
        <w:t>u</w:t>
      </w:r>
      <w:r>
        <w:t>vernements peuvent adopter différentes approches pour réglementer l’étiquetage des denrées alimentaires.</w:t>
      </w:r>
      <w:r>
        <w:rPr>
          <w:rStyle w:val="Appelnotedebasdep"/>
        </w:rPr>
        <w:footnoteReference w:id="215"/>
      </w:r>
    </w:p>
    <w:p w:rsidR="00F57DD8" w:rsidRPr="00007593" w:rsidRDefault="004818DD" w:rsidP="00C13EE0">
      <w:pPr>
        <w:pStyle w:val="Titre4"/>
        <w:spacing w:before="0" w:after="0" w:line="360" w:lineRule="auto"/>
        <w:jc w:val="both"/>
        <w:rPr>
          <w:rFonts w:ascii="Times New Roman" w:hAnsi="Times New Roman"/>
          <w:b/>
          <w:bCs/>
          <w:i w:val="0"/>
          <w:iCs w:val="0"/>
          <w:color w:val="auto"/>
          <w:sz w:val="24"/>
          <w:szCs w:val="24"/>
        </w:rPr>
      </w:pPr>
      <w:bookmarkStart w:id="234" w:name="_Toc230558704"/>
      <w:bookmarkStart w:id="235" w:name="_Toc230900338"/>
      <w:r w:rsidRPr="00007593">
        <w:rPr>
          <w:rFonts w:ascii="Times New Roman" w:hAnsi="Times New Roman"/>
          <w:b/>
          <w:bCs/>
          <w:i w:val="0"/>
          <w:iCs w:val="0"/>
          <w:color w:val="auto"/>
          <w:sz w:val="24"/>
          <w:szCs w:val="24"/>
        </w:rPr>
        <w:t>8.2. </w:t>
      </w:r>
      <w:r w:rsidR="00F57DD8" w:rsidRPr="00007593">
        <w:rPr>
          <w:rFonts w:ascii="Times New Roman" w:hAnsi="Times New Roman"/>
          <w:b/>
          <w:bCs/>
          <w:i w:val="0"/>
          <w:iCs w:val="0"/>
          <w:color w:val="auto"/>
          <w:sz w:val="24"/>
          <w:szCs w:val="24"/>
        </w:rPr>
        <w:t>Textes relatifs à l’étiquetage des produits alimentaires</w:t>
      </w:r>
      <w:bookmarkEnd w:id="234"/>
      <w:bookmarkEnd w:id="235"/>
    </w:p>
    <w:p w:rsidR="00F57DD8" w:rsidRDefault="00F57DD8" w:rsidP="00C13EE0">
      <w:pPr>
        <w:pStyle w:val="NormalWeb"/>
        <w:spacing w:after="0" w:line="360" w:lineRule="auto"/>
        <w:jc w:val="both"/>
        <w:rPr>
          <w:rFonts w:asciiTheme="majorBidi" w:hAnsiTheme="majorBidi" w:cstheme="majorBidi"/>
        </w:rPr>
      </w:pPr>
      <w:r>
        <w:rPr>
          <w:rFonts w:asciiTheme="majorBidi" w:hAnsiTheme="majorBidi" w:cstheme="majorBidi"/>
        </w:rPr>
        <w:t xml:space="preserve">         L’étiquetage des produits alimentaires en Algérie est encadré par plusieurs textes régl</w:t>
      </w:r>
      <w:r>
        <w:rPr>
          <w:rFonts w:asciiTheme="majorBidi" w:hAnsiTheme="majorBidi" w:cstheme="majorBidi"/>
        </w:rPr>
        <w:t>e</w:t>
      </w:r>
      <w:r>
        <w:rPr>
          <w:rFonts w:asciiTheme="majorBidi" w:hAnsiTheme="majorBidi" w:cstheme="majorBidi"/>
        </w:rPr>
        <w:t>mentaires essentiels :</w:t>
      </w:r>
      <w:r>
        <w:rPr>
          <w:rStyle w:val="Appelnotedebasdep"/>
          <w:rFonts w:asciiTheme="majorBidi" w:hAnsiTheme="majorBidi" w:cstheme="majorBidi"/>
        </w:rPr>
        <w:footnoteReference w:id="216"/>
      </w:r>
    </w:p>
    <w:p w:rsidR="00F57DD8" w:rsidRDefault="00F57DD8" w:rsidP="00C13EE0">
      <w:pPr>
        <w:numPr>
          <w:ilvl w:val="0"/>
          <w:numId w:val="13"/>
        </w:numPr>
        <w:suppressAutoHyphens w:val="0"/>
        <w:autoSpaceDN/>
        <w:spacing w:after="0" w:line="360" w:lineRule="auto"/>
        <w:jc w:val="both"/>
        <w:textAlignment w:val="auto"/>
        <w:rPr>
          <w:rFonts w:asciiTheme="majorBidi" w:hAnsiTheme="majorBidi" w:cstheme="majorBidi"/>
          <w:sz w:val="24"/>
          <w:szCs w:val="24"/>
        </w:rPr>
      </w:pPr>
      <w:r>
        <w:rPr>
          <w:rStyle w:val="lev"/>
          <w:rFonts w:asciiTheme="majorBidi" w:hAnsiTheme="majorBidi" w:cstheme="majorBidi"/>
          <w:sz w:val="24"/>
          <w:szCs w:val="24"/>
        </w:rPr>
        <w:t>Décret exécutif n° 90-367 du 10 novembre 1990</w:t>
      </w:r>
      <w:r>
        <w:rPr>
          <w:rFonts w:asciiTheme="majorBidi" w:hAnsiTheme="majorBidi" w:cstheme="majorBidi"/>
          <w:sz w:val="24"/>
          <w:szCs w:val="24"/>
        </w:rPr>
        <w:t>, portant sur l’étiquetage et la pr</w:t>
      </w:r>
      <w:r>
        <w:rPr>
          <w:rFonts w:asciiTheme="majorBidi" w:hAnsiTheme="majorBidi" w:cstheme="majorBidi"/>
          <w:sz w:val="24"/>
          <w:szCs w:val="24"/>
        </w:rPr>
        <w:t>é</w:t>
      </w:r>
      <w:r>
        <w:rPr>
          <w:rFonts w:asciiTheme="majorBidi" w:hAnsiTheme="majorBidi" w:cstheme="majorBidi"/>
          <w:sz w:val="24"/>
          <w:szCs w:val="24"/>
        </w:rPr>
        <w:t xml:space="preserve">sentation des denrées alimentaires. </w:t>
      </w:r>
    </w:p>
    <w:p w:rsidR="00F57DD8" w:rsidRDefault="00F57DD8" w:rsidP="00C13EE0">
      <w:pPr>
        <w:numPr>
          <w:ilvl w:val="0"/>
          <w:numId w:val="13"/>
        </w:numPr>
        <w:suppressAutoHyphens w:val="0"/>
        <w:autoSpaceDN/>
        <w:spacing w:after="0" w:line="360" w:lineRule="auto"/>
        <w:jc w:val="both"/>
        <w:textAlignment w:val="auto"/>
        <w:rPr>
          <w:rFonts w:asciiTheme="majorBidi" w:hAnsiTheme="majorBidi" w:cstheme="majorBidi"/>
          <w:sz w:val="24"/>
          <w:szCs w:val="24"/>
        </w:rPr>
      </w:pPr>
      <w:r>
        <w:rPr>
          <w:rStyle w:val="lev"/>
          <w:rFonts w:asciiTheme="majorBidi" w:hAnsiTheme="majorBidi" w:cstheme="majorBidi"/>
          <w:sz w:val="24"/>
          <w:szCs w:val="24"/>
        </w:rPr>
        <w:t>Décret exécutif n° 05-484 du 22 décembre 2005</w:t>
      </w:r>
      <w:r>
        <w:rPr>
          <w:rFonts w:asciiTheme="majorBidi" w:hAnsiTheme="majorBidi" w:cstheme="majorBidi"/>
          <w:sz w:val="24"/>
          <w:szCs w:val="24"/>
        </w:rPr>
        <w:t xml:space="preserve">, modifiant et complétant le décret n° 90-367. </w:t>
      </w:r>
    </w:p>
    <w:p w:rsidR="00F57DD8" w:rsidRDefault="00F57DD8" w:rsidP="00C13EE0">
      <w:pPr>
        <w:numPr>
          <w:ilvl w:val="0"/>
          <w:numId w:val="13"/>
        </w:numPr>
        <w:suppressAutoHyphens w:val="0"/>
        <w:autoSpaceDN/>
        <w:spacing w:after="0" w:line="360" w:lineRule="auto"/>
        <w:jc w:val="both"/>
        <w:textAlignment w:val="auto"/>
        <w:rPr>
          <w:rFonts w:asciiTheme="majorBidi" w:hAnsiTheme="majorBidi" w:cstheme="majorBidi"/>
          <w:sz w:val="24"/>
          <w:szCs w:val="24"/>
        </w:rPr>
      </w:pPr>
      <w:r>
        <w:rPr>
          <w:rStyle w:val="lev"/>
          <w:rFonts w:asciiTheme="majorBidi" w:hAnsiTheme="majorBidi" w:cstheme="majorBidi"/>
          <w:sz w:val="24"/>
          <w:szCs w:val="24"/>
        </w:rPr>
        <w:t>Arrêté du 28 février 2009</w:t>
      </w:r>
      <w:r>
        <w:rPr>
          <w:rFonts w:asciiTheme="majorBidi" w:hAnsiTheme="majorBidi" w:cstheme="majorBidi"/>
          <w:sz w:val="24"/>
          <w:szCs w:val="24"/>
        </w:rPr>
        <w:t xml:space="preserve">, dispensant certaines denrées alimentaires de l’obligation d’indiquer le numéro de lot sur leur étiquette (JO N° 19 du 25 mars 2009). </w:t>
      </w:r>
    </w:p>
    <w:p w:rsidR="00F57DD8" w:rsidRDefault="00F57DD8" w:rsidP="00C13EE0">
      <w:pPr>
        <w:pStyle w:val="NormalWeb"/>
        <w:spacing w:after="0" w:line="360" w:lineRule="auto"/>
        <w:jc w:val="both"/>
        <w:rPr>
          <w:rFonts w:asciiTheme="majorBidi" w:hAnsiTheme="majorBidi" w:cstheme="majorBidi"/>
        </w:rPr>
      </w:pPr>
      <w:r>
        <w:rPr>
          <w:rFonts w:asciiTheme="majorBidi" w:hAnsiTheme="majorBidi" w:cstheme="majorBidi"/>
        </w:rPr>
        <w:t xml:space="preserve">         Ces textes visent à assurer la transparence de l’information pour le consommateur et à garantir la sécurité des denrées alimentaires.</w:t>
      </w:r>
    </w:p>
    <w:p w:rsidR="00F57DD8" w:rsidRPr="00007593" w:rsidRDefault="004818DD" w:rsidP="00C13EE0">
      <w:pPr>
        <w:pStyle w:val="Titre3"/>
        <w:spacing w:before="0" w:after="0" w:line="360" w:lineRule="auto"/>
        <w:jc w:val="both"/>
        <w:rPr>
          <w:rFonts w:ascii="Times New Roman" w:hAnsi="Times New Roman"/>
          <w:b/>
          <w:bCs/>
          <w:color w:val="auto"/>
          <w:sz w:val="24"/>
          <w:szCs w:val="24"/>
        </w:rPr>
      </w:pPr>
      <w:bookmarkStart w:id="236" w:name="_Toc230558705"/>
      <w:bookmarkStart w:id="237" w:name="_Toc230900339"/>
      <w:r w:rsidRPr="00007593">
        <w:rPr>
          <w:rFonts w:ascii="Times New Roman" w:hAnsi="Times New Roman"/>
          <w:b/>
          <w:bCs/>
          <w:color w:val="auto"/>
          <w:sz w:val="24"/>
          <w:szCs w:val="24"/>
        </w:rPr>
        <w:t>9. </w:t>
      </w:r>
      <w:r w:rsidR="00F57DD8" w:rsidRPr="00007593">
        <w:rPr>
          <w:rFonts w:ascii="Times New Roman" w:hAnsi="Times New Roman"/>
          <w:b/>
          <w:bCs/>
          <w:color w:val="auto"/>
          <w:sz w:val="24"/>
          <w:szCs w:val="24"/>
        </w:rPr>
        <w:t>La notion de traçabilité dans le domaine alimentaire</w:t>
      </w:r>
      <w:bookmarkEnd w:id="236"/>
      <w:bookmarkEnd w:id="237"/>
    </w:p>
    <w:p w:rsidR="00F57DD8" w:rsidRDefault="00F57DD8" w:rsidP="00C13EE0">
      <w:pPr>
        <w:pStyle w:val="NormalWeb"/>
        <w:spacing w:after="0" w:line="360" w:lineRule="auto"/>
        <w:jc w:val="both"/>
      </w:pPr>
      <w:r>
        <w:t xml:space="preserve">       La notion de traçabilité dans le domaine alimentaire fait l’objet de définitions variées selon les organismes, traduisant des approches complémentaires mais non exemptes de l</w:t>
      </w:r>
      <w:r>
        <w:t>i</w:t>
      </w:r>
      <w:r>
        <w:t xml:space="preserve">mites. Selon la norme de l’Organisation internationale de normalisation (ISO 8402), elle se définit comme la capacité de retrouver l’historique, l’utilisation ou la localisation d’une entité </w:t>
      </w:r>
      <w:r>
        <w:lastRenderedPageBreak/>
        <w:t>à partir d’identifications enregistrées. Cette définition se distingue par son caractère général et transversal, puisqu’elle englobe aussi bien les produits que les processus, les activités ou les personnes, sans toutefois spécifier les particularités du secteur alimentaire.</w:t>
      </w:r>
    </w:p>
    <w:p w:rsidR="00F57DD8" w:rsidRDefault="00F57DD8" w:rsidP="00C13EE0">
      <w:pPr>
        <w:pStyle w:val="NormalWeb"/>
        <w:spacing w:after="0" w:line="360" w:lineRule="auto"/>
        <w:jc w:val="both"/>
      </w:pPr>
      <w:r>
        <w:t>Dans une perspective plus ciblée, le Codex Alimentarius considère la traçabilité comme un processus couvrant l’origine des matières premières, les différentes étapes de transformation ainsi que la distribution du produit. Cette approche met davantage en évidence la dimension opérationnelle de la traçabilité au sein de la chaîne alimentaire.</w:t>
      </w:r>
    </w:p>
    <w:p w:rsidR="00F57DD8" w:rsidRDefault="00F57DD8" w:rsidP="00C13EE0">
      <w:pPr>
        <w:pStyle w:val="NormalWeb"/>
        <w:spacing w:after="0" w:line="360" w:lineRule="auto"/>
        <w:jc w:val="both"/>
      </w:pPr>
      <w:r>
        <w:t>Toutefois, ces deux définitions, bien que complémentaires, reposent essentiellement sur une vision descriptive et technique, centrée sur la capacité de suivi et d’enregistrement. Elles n’abordent pas explicitement les enjeux liés à la fiabilité des données ou à leur mise en œuvre effective dans les systèmes de production.</w:t>
      </w:r>
      <w:r>
        <w:rPr>
          <w:rStyle w:val="Appelnotedebasdep"/>
        </w:rPr>
        <w:footnoteReference w:id="217"/>
      </w:r>
    </w:p>
    <w:p w:rsidR="00F57DD8" w:rsidRDefault="00F57DD8" w:rsidP="00C13EE0">
      <w:pPr>
        <w:pStyle w:val="NormalWeb"/>
        <w:spacing w:after="0" w:line="360" w:lineRule="auto"/>
        <w:jc w:val="both"/>
      </w:pPr>
      <w:r>
        <w:t>Dans le cas des produits biologiques, cette notion prend une importance particulière, dans la mesure où elle contribue à attester l’origine et le respect des exigences spécifiques liées à ce mode de production.</w:t>
      </w:r>
    </w:p>
    <w:p w:rsidR="00F57DD8" w:rsidRPr="00007593" w:rsidRDefault="004818DD" w:rsidP="00C13EE0">
      <w:pPr>
        <w:pStyle w:val="Titre3"/>
        <w:spacing w:before="0" w:after="0" w:line="360" w:lineRule="auto"/>
        <w:jc w:val="both"/>
        <w:rPr>
          <w:rFonts w:ascii="Times New Roman" w:hAnsi="Times New Roman"/>
          <w:b/>
          <w:bCs/>
          <w:color w:val="auto"/>
          <w:sz w:val="24"/>
          <w:szCs w:val="24"/>
          <w:lang w:eastAsia="fr-FR"/>
        </w:rPr>
      </w:pPr>
      <w:bookmarkStart w:id="238" w:name="_Toc230558706"/>
      <w:bookmarkStart w:id="239" w:name="_Toc230900340"/>
      <w:r w:rsidRPr="00007593">
        <w:rPr>
          <w:rFonts w:ascii="Times New Roman" w:hAnsi="Times New Roman"/>
          <w:b/>
          <w:bCs/>
          <w:color w:val="auto"/>
          <w:sz w:val="24"/>
          <w:szCs w:val="24"/>
          <w:lang w:eastAsia="fr-FR"/>
        </w:rPr>
        <w:t>10.</w:t>
      </w:r>
      <w:r w:rsidR="00F57DD8" w:rsidRPr="00007593">
        <w:rPr>
          <w:rFonts w:ascii="Times New Roman" w:hAnsi="Times New Roman"/>
          <w:b/>
          <w:bCs/>
          <w:color w:val="auto"/>
          <w:sz w:val="24"/>
          <w:szCs w:val="24"/>
          <w:lang w:eastAsia="fr-FR"/>
        </w:rPr>
        <w:t>Les aspects de la traçabilité</w:t>
      </w:r>
      <w:bookmarkEnd w:id="238"/>
      <w:bookmarkEnd w:id="239"/>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Les aspects de la traçabilité peuvent être appréhendés à travers deux dimensions complémentaires : </w:t>
      </w:r>
      <w:r>
        <w:rPr>
          <w:rFonts w:ascii="Times New Roman" w:eastAsia="Times New Roman" w:hAnsi="Times New Roman" w:cs="Times New Roman"/>
          <w:b/>
          <w:bCs/>
          <w:sz w:val="24"/>
          <w:szCs w:val="24"/>
          <w:lang w:eastAsia="fr-FR"/>
        </w:rPr>
        <w:t>administrative</w:t>
      </w:r>
      <w:r>
        <w:rPr>
          <w:rFonts w:ascii="Times New Roman" w:eastAsia="Times New Roman" w:hAnsi="Times New Roman" w:cs="Times New Roman"/>
          <w:sz w:val="24"/>
          <w:szCs w:val="24"/>
          <w:lang w:eastAsia="fr-FR"/>
        </w:rPr>
        <w:t xml:space="preserve"> et </w:t>
      </w:r>
      <w:r>
        <w:rPr>
          <w:rFonts w:ascii="Times New Roman" w:eastAsia="Times New Roman" w:hAnsi="Times New Roman" w:cs="Times New Roman"/>
          <w:b/>
          <w:bCs/>
          <w:sz w:val="24"/>
          <w:szCs w:val="24"/>
          <w:lang w:eastAsia="fr-FR"/>
        </w:rPr>
        <w:t>qualitative</w:t>
      </w:r>
      <w:r>
        <w:rPr>
          <w:rStyle w:val="Appelnotedebasdep"/>
          <w:rFonts w:ascii="Times New Roman" w:hAnsi="Times New Roman"/>
          <w:sz w:val="24"/>
          <w:szCs w:val="24"/>
          <w:lang w:eastAsia="fr-FR"/>
        </w:rPr>
        <w:footnoteReference w:id="218"/>
      </w:r>
      <w:r>
        <w:rPr>
          <w:rFonts w:ascii="Times New Roman" w:eastAsia="Times New Roman" w:hAnsi="Times New Roman" w:cs="Times New Roman"/>
          <w:sz w:val="24"/>
          <w:szCs w:val="24"/>
          <w:lang w:eastAsia="fr-FR"/>
        </w:rPr>
        <w:t xml:space="preserve">. La traçabilité </w:t>
      </w:r>
      <w:r>
        <w:rPr>
          <w:rFonts w:ascii="Times New Roman" w:eastAsia="Times New Roman" w:hAnsi="Times New Roman" w:cs="Times New Roman"/>
          <w:b/>
          <w:bCs/>
          <w:sz w:val="24"/>
          <w:szCs w:val="24"/>
          <w:lang w:eastAsia="fr-FR"/>
        </w:rPr>
        <w:t>administrative</w:t>
      </w:r>
      <w:r>
        <w:rPr>
          <w:rFonts w:ascii="Times New Roman" w:eastAsia="Times New Roman" w:hAnsi="Times New Roman" w:cs="Times New Roman"/>
          <w:sz w:val="24"/>
          <w:szCs w:val="24"/>
          <w:lang w:eastAsia="fr-FR"/>
        </w:rPr>
        <w:t xml:space="preserve"> se concentre sur le suivi du produit tout au long de la chaîne d’approvisionnement. Elle se décline en une traçabilité ascendante, qui permet de remonter à l’origine du produit ainsi qu’à ses caractéristiques, et une traçabilité descendante, qui vise à localiser le produit après sa distribution, notamment dans des situations de retrait ou de rappel. Cette dimension met ainsi en évidence une logique de circulation de l’information permettant d’identifier les flux en amont et en aval. Par ailleurs, la traçabilité </w:t>
      </w:r>
      <w:r>
        <w:rPr>
          <w:rFonts w:ascii="Times New Roman" w:eastAsia="Times New Roman" w:hAnsi="Times New Roman" w:cs="Times New Roman"/>
          <w:b/>
          <w:bCs/>
          <w:sz w:val="24"/>
          <w:szCs w:val="24"/>
          <w:lang w:eastAsia="fr-FR"/>
        </w:rPr>
        <w:t>qualitative</w:t>
      </w:r>
      <w:r>
        <w:rPr>
          <w:rFonts w:ascii="Times New Roman" w:eastAsia="Times New Roman" w:hAnsi="Times New Roman" w:cs="Times New Roman"/>
          <w:sz w:val="24"/>
          <w:szCs w:val="24"/>
          <w:lang w:eastAsia="fr-FR"/>
        </w:rPr>
        <w:t xml:space="preserve"> porte sur la conservation des informations relatives aux différentes étapes du cycle de vie du produit. Elle intègre les signes de qualité ainsi que l’ensemble des opérations de contrôle et de vérification, traduisant une approche centrée sur le contenu informationnel et les garanties associées au produit.</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D’un point de vue critique, cette distinction entre traçabilité administrative et qualitative demeure principalement descriptive, en se limitant aux fonctions de suivi sans examiner pleinement leur efficacité ni leur fiabilité. En réalité, sa pertinence dépend de la qualité et de la gestion des informations tout au long de la chaîne. Ainsi, la traçabilité constitue un levier </w:t>
      </w:r>
      <w:r>
        <w:rPr>
          <w:rFonts w:ascii="Times New Roman" w:eastAsia="Times New Roman" w:hAnsi="Times New Roman" w:cs="Times New Roman"/>
          <w:sz w:val="24"/>
          <w:szCs w:val="24"/>
          <w:lang w:eastAsia="fr-FR"/>
        </w:rPr>
        <w:lastRenderedPageBreak/>
        <w:t>essentiel de la sécurité sanitaire des aliments, en facilitant l’identification des produits à risque. Elle est également déterminante pour les produits biologiques, où elle garantit la conformité et renforce la transparence.</w:t>
      </w:r>
    </w:p>
    <w:p w:rsidR="00F57DD8" w:rsidRPr="00007593" w:rsidRDefault="004818DD" w:rsidP="00C13EE0">
      <w:pPr>
        <w:pStyle w:val="Titre3"/>
        <w:spacing w:before="0" w:after="0" w:line="360" w:lineRule="auto"/>
        <w:jc w:val="both"/>
        <w:rPr>
          <w:rFonts w:ascii="Times New Roman" w:hAnsi="Times New Roman"/>
          <w:b/>
          <w:bCs/>
          <w:color w:val="auto"/>
          <w:sz w:val="24"/>
          <w:szCs w:val="24"/>
          <w:lang w:eastAsia="fr-FR"/>
        </w:rPr>
      </w:pPr>
      <w:bookmarkStart w:id="240" w:name="_Toc230558707"/>
      <w:bookmarkStart w:id="241" w:name="_Toc230900341"/>
      <w:r w:rsidRPr="00007593">
        <w:rPr>
          <w:rFonts w:ascii="Times New Roman" w:hAnsi="Times New Roman"/>
          <w:b/>
          <w:bCs/>
          <w:color w:val="auto"/>
          <w:sz w:val="24"/>
          <w:szCs w:val="24"/>
          <w:lang w:eastAsia="fr-FR"/>
        </w:rPr>
        <w:t>11.</w:t>
      </w:r>
      <w:r w:rsidR="00F57DD8" w:rsidRPr="00007593">
        <w:rPr>
          <w:rFonts w:ascii="Times New Roman" w:hAnsi="Times New Roman"/>
          <w:b/>
          <w:bCs/>
          <w:color w:val="auto"/>
          <w:sz w:val="24"/>
          <w:szCs w:val="24"/>
          <w:lang w:eastAsia="fr-FR"/>
        </w:rPr>
        <w:t>Les types de traçabilité</w:t>
      </w:r>
      <w:bookmarkEnd w:id="240"/>
      <w:bookmarkEnd w:id="241"/>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Les types de traçabilité peuvent être appréhendés selon plusieurs critères d’analyse, notamment l’objectif poursuivi et le champ d’application.</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Selon l’objectif</w:t>
      </w:r>
      <w:r>
        <w:rPr>
          <w:rFonts w:ascii="Times New Roman" w:eastAsia="Times New Roman" w:hAnsi="Times New Roman" w:cs="Times New Roman"/>
          <w:sz w:val="24"/>
          <w:szCs w:val="24"/>
          <w:lang w:eastAsia="fr-FR"/>
        </w:rPr>
        <w:t xml:space="preserve">, une distinction est établie entre la traçabilité ascendante et la traçabilité du suivi. </w:t>
      </w:r>
      <w:r>
        <w:rPr>
          <w:rFonts w:ascii="Times New Roman" w:eastAsia="Times New Roman" w:hAnsi="Times New Roman" w:cs="Times New Roman"/>
          <w:b/>
          <w:bCs/>
          <w:sz w:val="24"/>
          <w:szCs w:val="24"/>
          <w:lang w:eastAsia="fr-FR"/>
        </w:rPr>
        <w:t>La traçabilité ascendante</w:t>
      </w:r>
      <w:r>
        <w:rPr>
          <w:rFonts w:ascii="Times New Roman" w:eastAsia="Times New Roman" w:hAnsi="Times New Roman" w:cs="Times New Roman"/>
          <w:sz w:val="24"/>
          <w:szCs w:val="24"/>
          <w:lang w:eastAsia="fr-FR"/>
        </w:rPr>
        <w:t xml:space="preserve"> renvoie à la capacité d’identifier l’origine d’un produit ainsi que ses caractéristiques, en s’inscrivant dans une logique rétrospective. À l’inverse, </w:t>
      </w:r>
      <w:r>
        <w:rPr>
          <w:rFonts w:ascii="Times New Roman" w:eastAsia="Times New Roman" w:hAnsi="Times New Roman" w:cs="Times New Roman"/>
          <w:b/>
          <w:bCs/>
          <w:sz w:val="24"/>
          <w:szCs w:val="24"/>
          <w:lang w:eastAsia="fr-FR"/>
        </w:rPr>
        <w:t>la traçabilité du suivi</w:t>
      </w:r>
      <w:r>
        <w:rPr>
          <w:rFonts w:ascii="Times New Roman" w:eastAsia="Times New Roman" w:hAnsi="Times New Roman" w:cs="Times New Roman"/>
          <w:sz w:val="24"/>
          <w:szCs w:val="24"/>
          <w:lang w:eastAsia="fr-FR"/>
        </w:rPr>
        <w:t xml:space="preserve"> correspond à l’observation du produit dans le temps et dans l’espace, traduisant une approche dynamique centrée sur ses déplacements. </w:t>
      </w:r>
      <w:r>
        <w:rPr>
          <w:rStyle w:val="Appelnotedebasdep"/>
          <w:rFonts w:ascii="Times New Roman" w:hAnsi="Times New Roman"/>
          <w:sz w:val="24"/>
          <w:szCs w:val="24"/>
          <w:lang w:eastAsia="fr-FR"/>
        </w:rPr>
        <w:footnoteReference w:id="219"/>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 xml:space="preserve">     Selon le champ d’application</w:t>
      </w:r>
      <w:r>
        <w:rPr>
          <w:rFonts w:ascii="Times New Roman" w:eastAsia="Times New Roman" w:hAnsi="Times New Roman" w:cs="Times New Roman"/>
          <w:sz w:val="24"/>
          <w:szCs w:val="24"/>
          <w:lang w:eastAsia="fr-FR"/>
        </w:rPr>
        <w:t xml:space="preserve">, la traçabilité se décline en traçabilité </w:t>
      </w:r>
      <w:r>
        <w:rPr>
          <w:rFonts w:ascii="Times New Roman" w:eastAsia="Times New Roman" w:hAnsi="Times New Roman" w:cs="Times New Roman"/>
          <w:b/>
          <w:bCs/>
          <w:sz w:val="24"/>
          <w:szCs w:val="24"/>
          <w:lang w:eastAsia="fr-FR"/>
        </w:rPr>
        <w:t>interne</w:t>
      </w:r>
      <w:r>
        <w:rPr>
          <w:rFonts w:ascii="Times New Roman" w:eastAsia="Times New Roman" w:hAnsi="Times New Roman" w:cs="Times New Roman"/>
          <w:sz w:val="24"/>
          <w:szCs w:val="24"/>
          <w:lang w:eastAsia="fr-FR"/>
        </w:rPr>
        <w:t xml:space="preserve"> et </w:t>
      </w:r>
      <w:r>
        <w:rPr>
          <w:rFonts w:ascii="Times New Roman" w:eastAsia="Times New Roman" w:hAnsi="Times New Roman" w:cs="Times New Roman"/>
          <w:b/>
          <w:bCs/>
          <w:sz w:val="24"/>
          <w:szCs w:val="24"/>
          <w:lang w:eastAsia="fr-FR"/>
        </w:rPr>
        <w:t>externe</w:t>
      </w:r>
      <w:r>
        <w:rPr>
          <w:rFonts w:ascii="Times New Roman" w:eastAsia="Times New Roman" w:hAnsi="Times New Roman" w:cs="Times New Roman"/>
          <w:sz w:val="24"/>
          <w:szCs w:val="24"/>
          <w:lang w:eastAsia="fr-FR"/>
        </w:rPr>
        <w:t xml:space="preserve">. La traçabilité </w:t>
      </w:r>
      <w:r>
        <w:rPr>
          <w:rFonts w:ascii="Times New Roman" w:eastAsia="Times New Roman" w:hAnsi="Times New Roman" w:cs="Times New Roman"/>
          <w:b/>
          <w:bCs/>
          <w:sz w:val="24"/>
          <w:szCs w:val="24"/>
          <w:lang w:eastAsia="fr-FR"/>
        </w:rPr>
        <w:t>interne</w:t>
      </w:r>
      <w:r>
        <w:rPr>
          <w:rFonts w:ascii="Times New Roman" w:eastAsia="Times New Roman" w:hAnsi="Times New Roman" w:cs="Times New Roman"/>
          <w:sz w:val="24"/>
          <w:szCs w:val="24"/>
          <w:lang w:eastAsia="fr-FR"/>
        </w:rPr>
        <w:t xml:space="preserve"> concerne l’ensemble des opérations réalisées au sein de l’entreprise, depuis les étapes de production jusqu’à l’expédition. En revanche, la traçabilité </w:t>
      </w:r>
      <w:r>
        <w:rPr>
          <w:rFonts w:ascii="Times New Roman" w:eastAsia="Times New Roman" w:hAnsi="Times New Roman" w:cs="Times New Roman"/>
          <w:b/>
          <w:bCs/>
          <w:sz w:val="24"/>
          <w:szCs w:val="24"/>
          <w:lang w:eastAsia="fr-FR"/>
        </w:rPr>
        <w:t>externe</w:t>
      </w:r>
      <w:r>
        <w:rPr>
          <w:rFonts w:ascii="Times New Roman" w:eastAsia="Times New Roman" w:hAnsi="Times New Roman" w:cs="Times New Roman"/>
          <w:sz w:val="24"/>
          <w:szCs w:val="24"/>
          <w:lang w:eastAsia="fr-FR"/>
        </w:rPr>
        <w:t xml:space="preserve"> englobe les interactions entre les différents acteurs de la chaîne d’approvisionnement, en assurant la continuité de l’information au-delà des limites organisationnelles.</w:t>
      </w:r>
      <w:r>
        <w:rPr>
          <w:rStyle w:val="Appelnotedebasdep"/>
          <w:rFonts w:ascii="Times New Roman" w:hAnsi="Times New Roman"/>
          <w:sz w:val="24"/>
          <w:szCs w:val="24"/>
          <w:lang w:eastAsia="fr-FR"/>
        </w:rPr>
        <w:footnoteReference w:id="220"/>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D’un point de vue critique, cette classification reste simplificatrice, car les différentes formes de traçabilité sont étroitement liées dans la pratique. Son efficacité dépend surtout de la qualité des informations et de la coordination entre les acteurs de la chaîne.</w:t>
      </w:r>
    </w:p>
    <w:p w:rsidR="00F57DD8" w:rsidRPr="00E06313" w:rsidRDefault="004818DD" w:rsidP="00C13EE0">
      <w:pPr>
        <w:pStyle w:val="Titre3"/>
        <w:spacing w:before="0" w:after="0" w:line="360" w:lineRule="auto"/>
        <w:jc w:val="both"/>
        <w:rPr>
          <w:rFonts w:ascii="Times New Roman" w:hAnsi="Times New Roman"/>
          <w:b/>
          <w:bCs/>
          <w:color w:val="auto"/>
          <w:sz w:val="24"/>
          <w:szCs w:val="24"/>
          <w:lang w:eastAsia="fr-FR"/>
        </w:rPr>
      </w:pPr>
      <w:bookmarkStart w:id="242" w:name="_Toc230558708"/>
      <w:bookmarkStart w:id="243" w:name="_Toc230900342"/>
      <w:r w:rsidRPr="00E06313">
        <w:rPr>
          <w:rFonts w:ascii="Times New Roman" w:hAnsi="Times New Roman"/>
          <w:b/>
          <w:bCs/>
          <w:color w:val="auto"/>
          <w:sz w:val="24"/>
          <w:szCs w:val="24"/>
          <w:lang w:eastAsia="fr-FR"/>
        </w:rPr>
        <w:t>12. </w:t>
      </w:r>
      <w:r w:rsidR="00F57DD8" w:rsidRPr="00E06313">
        <w:rPr>
          <w:rFonts w:ascii="Times New Roman" w:hAnsi="Times New Roman"/>
          <w:b/>
          <w:bCs/>
          <w:color w:val="auto"/>
          <w:sz w:val="24"/>
          <w:szCs w:val="24"/>
          <w:lang w:eastAsia="fr-FR"/>
        </w:rPr>
        <w:t>Les avantages de la traçabilité</w:t>
      </w:r>
      <w:bookmarkEnd w:id="242"/>
      <w:bookmarkEnd w:id="243"/>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traçabilité constitue un levier essentiel pour répondre aux exigences réglementaires et s’inscrit au cœur des systèmes de qualité. Elle permet d’identifier les anomalies, d’optimiser la gestion logistique et de limiter les pertes en cas de retrait de produits. Par ailleurs, elle renforce la responsabilisation des acteurs tout en contribuant à instaurer une relation de confiance avec le consommateur, ce qui peut également représenter un avantage concurrentiel. </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Toutefois, ces bénéfices restent conditionnés par l’efficacité des dispositifs mis en place. En effet, la traçabilité ne garantit pas en elle-même l’absence de défaillances, mais dépend de la fiabilité des données et de leur gestion. Ainsi, son rôle dépasse une simple exigence formelle et repose sur sa mise en œuvre effective au sein de la chaîne.</w:t>
      </w:r>
    </w:p>
    <w:p w:rsidR="00F57DD8" w:rsidRPr="00E06313" w:rsidRDefault="004818DD" w:rsidP="00C13EE0">
      <w:pPr>
        <w:pStyle w:val="Titre3"/>
        <w:spacing w:before="0" w:after="0" w:line="360" w:lineRule="auto"/>
        <w:jc w:val="both"/>
        <w:rPr>
          <w:rFonts w:ascii="Times New Roman" w:hAnsi="Times New Roman"/>
          <w:b/>
          <w:bCs/>
          <w:color w:val="auto"/>
          <w:sz w:val="24"/>
          <w:szCs w:val="24"/>
          <w:lang w:eastAsia="fr-FR"/>
        </w:rPr>
      </w:pPr>
      <w:bookmarkStart w:id="244" w:name="_Toc230558709"/>
      <w:bookmarkStart w:id="245" w:name="_Toc230900343"/>
      <w:r w:rsidRPr="00E06313">
        <w:rPr>
          <w:rFonts w:ascii="Times New Roman" w:hAnsi="Times New Roman"/>
          <w:b/>
          <w:bCs/>
          <w:color w:val="auto"/>
          <w:sz w:val="24"/>
          <w:szCs w:val="24"/>
          <w:lang w:eastAsia="fr-FR"/>
        </w:rPr>
        <w:lastRenderedPageBreak/>
        <w:t>13.</w:t>
      </w:r>
      <w:r w:rsidR="00F57DD8" w:rsidRPr="00E06313">
        <w:rPr>
          <w:rFonts w:ascii="Times New Roman" w:hAnsi="Times New Roman"/>
          <w:b/>
          <w:bCs/>
          <w:color w:val="auto"/>
          <w:sz w:val="24"/>
          <w:szCs w:val="24"/>
          <w:lang w:eastAsia="fr-FR"/>
        </w:rPr>
        <w:t>Les limites de la traçabilité</w:t>
      </w:r>
      <w:bookmarkEnd w:id="244"/>
      <w:bookmarkEnd w:id="245"/>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Malgré ses apports, la traçabilité présente certaines limites. Elle ne constitue pas, à elle seule, une garantie de la sécurité sanitaire des produits. Sa mise en place peut engendrer des coûts élevés et entraîner une diminution de la productivité, notamment lorsque les systèmes sont fortement détaillés. Elle se complexifie également dans le cas de produits composés de multiples éléments. Par ailleurs, elle peut orienter le choix des fournisseurs en faveur de ceux disposant de dispositifs de traçabilité plus performants. Cependant, ces limites mettent en évidence le fait que la traçabilité, bien qu’indispensable, demeure un outil dépendant de ses conditions de mise en œuvre. Son efficacité reste ainsi liée à l’équilibre entre exigences techniques, contraintes économiques et organisation des acteurs.</w:t>
      </w:r>
      <w:r>
        <w:rPr>
          <w:rStyle w:val="Appelnotedebasdep"/>
          <w:rFonts w:ascii="Times New Roman" w:hAnsi="Times New Roman"/>
          <w:sz w:val="24"/>
          <w:szCs w:val="24"/>
          <w:lang w:eastAsia="fr-FR"/>
        </w:rPr>
        <w:footnoteReference w:id="221"/>
      </w:r>
    </w:p>
    <w:p w:rsidR="00F57DD8" w:rsidRPr="00E06313" w:rsidRDefault="004818DD" w:rsidP="00C13EE0">
      <w:pPr>
        <w:pStyle w:val="Titre3"/>
        <w:spacing w:before="0" w:after="0" w:line="360" w:lineRule="auto"/>
        <w:jc w:val="both"/>
        <w:rPr>
          <w:rFonts w:ascii="Times New Roman" w:hAnsi="Times New Roman"/>
          <w:b/>
          <w:bCs/>
          <w:color w:val="auto"/>
          <w:sz w:val="24"/>
          <w:szCs w:val="24"/>
          <w:lang w:eastAsia="fr-FR"/>
        </w:rPr>
      </w:pPr>
      <w:bookmarkStart w:id="246" w:name="_Toc230558710"/>
      <w:bookmarkStart w:id="247" w:name="_Toc230900344"/>
      <w:r w:rsidRPr="00E06313">
        <w:rPr>
          <w:rFonts w:ascii="Times New Roman" w:hAnsi="Times New Roman"/>
          <w:b/>
          <w:bCs/>
          <w:color w:val="auto"/>
          <w:sz w:val="24"/>
          <w:szCs w:val="24"/>
          <w:lang w:eastAsia="fr-FR"/>
        </w:rPr>
        <w:t>14. </w:t>
      </w:r>
      <w:r w:rsidR="00F57DD8" w:rsidRPr="00E06313">
        <w:rPr>
          <w:rFonts w:ascii="Times New Roman" w:hAnsi="Times New Roman"/>
          <w:b/>
          <w:bCs/>
          <w:color w:val="auto"/>
          <w:sz w:val="24"/>
          <w:szCs w:val="24"/>
          <w:lang w:eastAsia="fr-FR"/>
        </w:rPr>
        <w:t>La traçabilité et le renforcement de la sécurité sanitaire</w:t>
      </w:r>
      <w:bookmarkEnd w:id="246"/>
      <w:bookmarkEnd w:id="247"/>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traçabilité joue un rôle fondamental dans la sécurité sanitaire des aliments, particulièrement dans les filières complexes comme celles des céréales, des oléoprotéagineux ou de l’alimentation animale. Les chaînes logistiques multimodales, avec des unités de transport et de stockage hétérogènes, compliquent le suivi par lots. Dans ce contexte, la traçabilité ascendante et descendante permet de retracer l’origine des produits, de suivre les procédés de production et de contrôler la distribution, tout en identifiant les points critiques pouvant affecter la qualité sanitaire.</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Aux États-Unis, la mise en place de filières séparées pour les grains non-OGM illustre l’importance de l’isolement des chaînes de production. Ces systèmes impliquent des champs distincts, un stockage dédié et des transports dans des camions et bateaux préalablement nettoyés. Cette organisation répond aux exigences des marchés internationaux comme le Japon et l’Union européenne, tout en offrant aux producteurs un avantage concurrentiel par la différenciation des produits, même si elle résulte plus d’initiatives privées que de politiques étatiques.</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traçabilité descendante est particulièrement adaptée aux produits de marque où l’offre est structurée et la responsabilité clairement définie. Dans ces filières, elle permet de gérer les risques sanitaires, de renforcer la confiance des consommateurs et de valoriser l’image commerciale de la marque. Les entreprises coordonnent l’ensemble des activités de distribution, incluant les sous-traitants, en conservant la responsabilité directe ou indirecte.</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          Pour les filières dispersées ou complexes, comme le poisson, les fruits et légumes, le vin ou certaines chaînes de l’alimentation animale, la traçabilité ascendante est cruciale. Elle implique l’enregistrement des informations sur les procédés de production, les contrôles qualité, les pratiques de production raisonnée et les certifications, parfois intégrées dans des systèmes HACCP ou ISO. L’exemple de la filière bovine montre l’importance de suivre tous les composants de l’alimentation animale pour prévenir les crises sanitaires, comme celle de la vache folle, et de combiner ces mesures avec la régulation des produits issus d’OGM.</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Les nouvelles technologies de l’information renforcent la capacité des entreprises à coordonner et suivre les informations tout au long des filières. Elles permettent une logistique intégrée, un meilleur accès aux données et un contrôle efficace des flux d’information. Il reste essentiel que la traçabilité conserve son rôle de protection sanitaire et ne soit pas détournée en simple outil marketing. Les autorités publiques doivent encadrer sa mise en œuvre et favoriserun débat collectif impliquant interprofessions, organismes de contrôle et syndicats pour assurer une application cohérente et homogène à l’échelle européenne.</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Des initiatives comme celle de l’entreprise espagnole Anecoop montrent comment la traçabilité peut devenir à la fois un levier de sécurité sanitaire et un avantage commercial. La combinaison de production raisonnée, d’une politique de marque et de systèmes de traçabilité bien organisés permet de se positionner comme fournisseur incontournable sur le marché tout en augmentant la compétitivité et la confiance des consommateurs.</w:t>
      </w:r>
      <w:r>
        <w:rPr>
          <w:rStyle w:val="Appelnotedebasdep"/>
          <w:rFonts w:ascii="Times New Roman" w:hAnsi="Times New Roman"/>
          <w:sz w:val="24"/>
          <w:szCs w:val="24"/>
          <w:lang w:eastAsia="fr-FR"/>
        </w:rPr>
        <w:footnoteReference w:id="222"/>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La traçabilité occupe une place centrale dans la sécurité sanitaire des aliments, notamment au sein de filières complexes telles que celles des céréales, des oléoprotéagineux ou de l’alimentation animale. </w:t>
      </w:r>
      <w:r>
        <w:rPr>
          <w:rStyle w:val="Appelnotedebasdep"/>
          <w:rFonts w:ascii="Times New Roman" w:hAnsi="Times New Roman"/>
          <w:sz w:val="24"/>
          <w:szCs w:val="24"/>
          <w:lang w:eastAsia="fr-FR"/>
        </w:rPr>
        <w:footnoteReference w:id="223"/>
      </w:r>
      <w:r>
        <w:rPr>
          <w:rFonts w:ascii="Times New Roman" w:eastAsia="Times New Roman" w:hAnsi="Times New Roman" w:cs="Times New Roman"/>
          <w:sz w:val="24"/>
          <w:szCs w:val="24"/>
          <w:lang w:eastAsia="fr-FR"/>
        </w:rPr>
        <w:t xml:space="preserve">La diversité des modes de transport et de stockage, ainsi que l’hétérogénéité des unités logistiques, rendent le suivi par lots plus difficile. Dans ce cadre, l’articulation entre traçabilité ascendante et descendante permet de retracer l’origine des produits, de suivre les procédés de production et de maîtriser la distribution, tout en facilitant l’identification des points critiques susceptibles d’altérer la qualité sanitaire. </w:t>
      </w:r>
      <w:r>
        <w:rPr>
          <w:rStyle w:val="Appelnotedebasdep"/>
          <w:rFonts w:ascii="Times New Roman" w:hAnsi="Times New Roman"/>
          <w:sz w:val="24"/>
          <w:szCs w:val="24"/>
          <w:lang w:eastAsia="fr-FR"/>
        </w:rPr>
        <w:footnoteReference w:id="224"/>
      </w:r>
      <w:r>
        <w:rPr>
          <w:rFonts w:ascii="Times New Roman" w:eastAsia="Times New Roman" w:hAnsi="Times New Roman" w:cs="Times New Roman"/>
          <w:sz w:val="24"/>
          <w:szCs w:val="24"/>
          <w:lang w:eastAsia="fr-FR"/>
        </w:rPr>
        <w:t xml:space="preserve">L’exemple des filières de grains non issus d’organismes génétiquement modifiés aux États-Unis met en évidence l’importance de la séparation des chaînes de production. La mise en place de </w:t>
      </w:r>
      <w:r>
        <w:rPr>
          <w:rFonts w:ascii="Times New Roman" w:eastAsia="Times New Roman" w:hAnsi="Times New Roman" w:cs="Times New Roman"/>
          <w:sz w:val="24"/>
          <w:szCs w:val="24"/>
          <w:lang w:eastAsia="fr-FR"/>
        </w:rPr>
        <w:lastRenderedPageBreak/>
        <w:t>dispositifs spécifiques, incluant des espaces de culture distincts, des infrastructures de stockage dédiées et des moyens de transport adaptés, répond aux exigences des marchés internationaux, notamment européens et japonais.</w:t>
      </w:r>
      <w:r>
        <w:rPr>
          <w:rStyle w:val="Appelnotedebasdep"/>
          <w:rFonts w:ascii="Times New Roman" w:hAnsi="Times New Roman"/>
          <w:sz w:val="24"/>
          <w:szCs w:val="24"/>
          <w:lang w:eastAsia="fr-FR"/>
        </w:rPr>
        <w:footnoteReference w:id="225"/>
      </w:r>
      <w:r>
        <w:rPr>
          <w:rFonts w:ascii="Times New Roman" w:eastAsia="Times New Roman" w:hAnsi="Times New Roman" w:cs="Times New Roman"/>
          <w:sz w:val="24"/>
          <w:szCs w:val="24"/>
          <w:lang w:eastAsia="fr-FR"/>
        </w:rPr>
        <w:t xml:space="preserve"> Cette organisation confère un avantage concurrentiel aux producteurs par la différenciation des produits, tout en reposant largement sur des initiatives privées. Dans les filières structurées, notamment celles des produits de marque, la traçabilité descendante apparaît particulièrement adaptée. Elle permet une gestion plus efficace des risques sanitaires, renforce la confiance des consommateurs et soutient lavalorisation de l’image commerciale.</w:t>
      </w:r>
      <w:r>
        <w:rPr>
          <w:rStyle w:val="Appelnotedebasdep"/>
          <w:rFonts w:ascii="Times New Roman" w:hAnsi="Times New Roman"/>
          <w:sz w:val="24"/>
          <w:szCs w:val="24"/>
          <w:lang w:eastAsia="fr-FR"/>
        </w:rPr>
        <w:footnoteReference w:id="226"/>
      </w:r>
      <w:r>
        <w:rPr>
          <w:rFonts w:ascii="Times New Roman" w:eastAsia="Times New Roman" w:hAnsi="Times New Roman" w:cs="Times New Roman"/>
          <w:sz w:val="24"/>
          <w:szCs w:val="24"/>
          <w:lang w:eastAsia="fr-FR"/>
        </w:rPr>
        <w:t xml:space="preserve"> Les entreprises assurent la coordination des activités de distribution, y compris celles des sous-traitants, en conservant une responsabilité globale sur les produits mis sur le marché. Dans les filières dispersées ou complexes, telles que celles du poisson, des fruits et légumes, du vin ou de certaines productions liées à l’alimentation animale, la traçabilité ascendante revêt une importance déterminante. Elle repose sur l’enregistrement des informations relatives aux procédés de production, aux contrôles de qualité et aux pratiques agricoles, souvent intégrées dans des dispositifs normatifs. </w:t>
      </w:r>
      <w:r>
        <w:rPr>
          <w:rStyle w:val="Appelnotedebasdep"/>
          <w:rFonts w:ascii="Times New Roman" w:hAnsi="Times New Roman"/>
          <w:sz w:val="24"/>
          <w:szCs w:val="24"/>
          <w:lang w:eastAsia="fr-FR"/>
        </w:rPr>
        <w:footnoteReference w:id="227"/>
      </w:r>
      <w:r>
        <w:rPr>
          <w:rFonts w:ascii="Times New Roman" w:eastAsia="Times New Roman" w:hAnsi="Times New Roman" w:cs="Times New Roman"/>
          <w:sz w:val="24"/>
          <w:szCs w:val="24"/>
          <w:lang w:eastAsia="fr-FR"/>
        </w:rPr>
        <w:t xml:space="preserve">L’exemple de la filière bovine met en évidence la nécessité de suivre l’ensemble des composantes de l’alimentation animale afin de prévenir les crises sanitaires et d’assurer un encadrement adéquat des intrants. Le recours aux technologies de l’information renforce les capacités de coordination et de suivi des flux d’information le long des filières, en favorisant une gestion logistique intégrée et un accès accru aux données. Cette évolution souligne la nécessité de préserver la finalité sanitaire de la traçabilité, afin qu’elle ne soit pas réduite à un simple instrument de valorisation commerciale. </w:t>
      </w:r>
      <w:r>
        <w:rPr>
          <w:rStyle w:val="Appelnotedebasdep"/>
          <w:rFonts w:ascii="Times New Roman" w:hAnsi="Times New Roman"/>
          <w:sz w:val="24"/>
          <w:szCs w:val="24"/>
          <w:lang w:eastAsia="fr-FR"/>
        </w:rPr>
        <w:footnoteReference w:id="228"/>
      </w:r>
      <w:r>
        <w:rPr>
          <w:rFonts w:ascii="Times New Roman" w:eastAsia="Times New Roman" w:hAnsi="Times New Roman" w:cs="Times New Roman"/>
          <w:sz w:val="24"/>
          <w:szCs w:val="24"/>
          <w:lang w:eastAsia="fr-FR"/>
        </w:rPr>
        <w:t xml:space="preserve">L’intervention des autorités publiques apparaît essentielle pour encadrer les pratiques et assurer une harmonisation des dispositifs à une échelle élargie, impliquant l’ensemble des parties prenantes. Certaines initiatives entrepreneuriales, à l’image de l’entreprise Anecoop, illustrent la capacité de la traçabilité à articuler exigences sanitaires et performance économique. L’intégration de pratiques de production encadrées, associée à une politique de marque et à des systèmes de traçabilité </w:t>
      </w:r>
      <w:r>
        <w:rPr>
          <w:rFonts w:ascii="Times New Roman" w:eastAsia="Times New Roman" w:hAnsi="Times New Roman" w:cs="Times New Roman"/>
          <w:sz w:val="24"/>
          <w:szCs w:val="24"/>
          <w:lang w:eastAsia="fr-FR"/>
        </w:rPr>
        <w:lastRenderedPageBreak/>
        <w:t>structurés, permet de renforcer la compétitivité tout en consolidant la confiance des consommateurs.</w:t>
      </w:r>
      <w:r>
        <w:rPr>
          <w:rStyle w:val="Appelnotedebasdep"/>
          <w:rFonts w:ascii="Times New Roman" w:hAnsi="Times New Roman"/>
          <w:sz w:val="24"/>
          <w:szCs w:val="24"/>
          <w:lang w:eastAsia="fr-FR"/>
        </w:rPr>
        <w:footnoteReference w:id="229"/>
      </w:r>
    </w:p>
    <w:p w:rsidR="00F13C9A" w:rsidRPr="00E06313" w:rsidRDefault="004818DD" w:rsidP="00C13EE0">
      <w:pPr>
        <w:pStyle w:val="Titre3"/>
        <w:spacing w:before="0" w:after="0" w:line="360" w:lineRule="auto"/>
        <w:jc w:val="both"/>
        <w:rPr>
          <w:rFonts w:ascii="Times New Roman" w:hAnsi="Times New Roman"/>
          <w:b/>
          <w:bCs/>
          <w:color w:val="auto"/>
          <w:sz w:val="24"/>
          <w:szCs w:val="24"/>
          <w:lang w:eastAsia="fr-FR"/>
        </w:rPr>
      </w:pPr>
      <w:bookmarkStart w:id="248" w:name="_Toc230558711"/>
      <w:bookmarkStart w:id="249" w:name="_Toc230900345"/>
      <w:r w:rsidRPr="00E06313">
        <w:rPr>
          <w:rFonts w:ascii="Times New Roman" w:hAnsi="Times New Roman"/>
          <w:b/>
          <w:bCs/>
          <w:color w:val="auto"/>
          <w:sz w:val="24"/>
          <w:szCs w:val="24"/>
          <w:lang w:eastAsia="fr-FR"/>
        </w:rPr>
        <w:t xml:space="preserve">15. </w:t>
      </w:r>
      <w:r w:rsidR="00F57DD8" w:rsidRPr="00E06313">
        <w:rPr>
          <w:rFonts w:ascii="Times New Roman" w:hAnsi="Times New Roman"/>
          <w:b/>
          <w:bCs/>
          <w:color w:val="auto"/>
          <w:sz w:val="24"/>
          <w:szCs w:val="24"/>
          <w:lang w:eastAsia="fr-FR"/>
        </w:rPr>
        <w:t>Rôle de la communication marketing dans la sensibilisation sanitaire et la gestion des crises alimentaires</w:t>
      </w:r>
      <w:bookmarkEnd w:id="248"/>
      <w:bookmarkEnd w:id="249"/>
    </w:p>
    <w:p w:rsidR="00F57DD8" w:rsidRPr="00E06313" w:rsidRDefault="004818DD" w:rsidP="00C13EE0">
      <w:pPr>
        <w:pStyle w:val="Titre4"/>
        <w:spacing w:before="0" w:after="0" w:line="360" w:lineRule="auto"/>
        <w:jc w:val="both"/>
        <w:rPr>
          <w:rFonts w:ascii="Times New Roman" w:hAnsi="Times New Roman"/>
          <w:i w:val="0"/>
          <w:iCs w:val="0"/>
          <w:color w:val="auto"/>
          <w:sz w:val="24"/>
          <w:szCs w:val="24"/>
          <w:lang w:eastAsia="fr-FR"/>
        </w:rPr>
      </w:pPr>
      <w:bookmarkStart w:id="250" w:name="_Toc230558712"/>
      <w:bookmarkStart w:id="251" w:name="_Toc230900346"/>
      <w:r w:rsidRPr="00E06313">
        <w:rPr>
          <w:rFonts w:ascii="Times New Roman" w:hAnsi="Times New Roman"/>
          <w:i w:val="0"/>
          <w:iCs w:val="0"/>
          <w:color w:val="auto"/>
          <w:sz w:val="24"/>
          <w:szCs w:val="24"/>
        </w:rPr>
        <w:t>15.1.</w:t>
      </w:r>
      <w:r w:rsidR="00F57DD8" w:rsidRPr="00E06313">
        <w:rPr>
          <w:rStyle w:val="lev"/>
          <w:rFonts w:ascii="Times New Roman" w:hAnsi="Times New Roman"/>
          <w:i w:val="0"/>
          <w:iCs w:val="0"/>
          <w:color w:val="auto"/>
          <w:sz w:val="24"/>
          <w:szCs w:val="24"/>
        </w:rPr>
        <w:t>Définition de la communication marketing</w:t>
      </w:r>
      <w:bookmarkEnd w:id="250"/>
      <w:bookmarkEnd w:id="251"/>
    </w:p>
    <w:p w:rsidR="00F57DD8" w:rsidRDefault="00F57DD8" w:rsidP="00C13EE0">
      <w:pPr>
        <w:pStyle w:val="NormalWeb"/>
        <w:spacing w:after="0" w:line="360" w:lineRule="auto"/>
        <w:jc w:val="both"/>
      </w:pPr>
      <w:r>
        <w:t xml:space="preserve">         La communication marketing désigne l’ensemble des actions, des stratégies et des outils mobilisés par une organisation afin de transmettre des messages ciblés et persuasifs à destin</w:t>
      </w:r>
      <w:r>
        <w:t>a</w:t>
      </w:r>
      <w:r>
        <w:t>tion de ses différents publics. Elle s’inscrit dans une démarche globale du marketing, dont l’objectif est de répondre efficacement aux besoins et aux attentes des consommateurs.</w:t>
      </w:r>
    </w:p>
    <w:p w:rsidR="00F57DD8" w:rsidRDefault="00F57DD8" w:rsidP="00C13EE0">
      <w:pPr>
        <w:pStyle w:val="NormalWeb"/>
        <w:spacing w:after="0" w:line="360" w:lineRule="auto"/>
        <w:jc w:val="both"/>
      </w:pPr>
      <w:r>
        <w:t xml:space="preserve">        Elle repose sur l’utilisation coordonnée de plusieurs canaux et supports de communic</w:t>
      </w:r>
      <w:r>
        <w:t>a</w:t>
      </w:r>
      <w:r>
        <w:t>tion, tels que la publicité, les relations publiques, le marketing digital, le marketing d’influence ou encore le marketing événementiel. Le choix de ces leviers dépend des objectifs poursuivis ainsi que des caractéristiques du public cible.</w:t>
      </w:r>
    </w:p>
    <w:p w:rsidR="00F57DD8" w:rsidRDefault="00F57DD8" w:rsidP="00C13EE0">
      <w:pPr>
        <w:pStyle w:val="NormalWeb"/>
        <w:spacing w:after="0" w:line="360" w:lineRule="auto"/>
        <w:jc w:val="both"/>
      </w:pPr>
      <w:r>
        <w:t xml:space="preserve">        Par ailleurs, la communication marketing vise à établir et à renforcer la relation entre l’entreprise et ses clients potentiels. Elle a pour finalité d’informer, de convaincre et d’influencer les comportements des consommateurs, afin de favoriser leur engagement, d’encourager l’acte d’achat et de contribuer à la fidélisation de la clientèle.</w:t>
      </w:r>
      <w:r>
        <w:rPr>
          <w:rStyle w:val="Appelnotedebasdep"/>
        </w:rPr>
        <w:footnoteReference w:id="230"/>
      </w:r>
      <w:r w:rsidR="004030F8">
        <w:t>.</w:t>
      </w:r>
    </w:p>
    <w:p w:rsidR="00F57DD8" w:rsidRPr="00E06313" w:rsidRDefault="007F2397" w:rsidP="00C13EE0">
      <w:pPr>
        <w:pStyle w:val="Titre4"/>
        <w:spacing w:before="0" w:after="0" w:line="360" w:lineRule="auto"/>
        <w:jc w:val="both"/>
        <w:rPr>
          <w:i w:val="0"/>
          <w:iCs w:val="0"/>
          <w:color w:val="auto"/>
        </w:rPr>
      </w:pPr>
      <w:bookmarkStart w:id="252" w:name="_Toc230558713"/>
      <w:bookmarkStart w:id="253" w:name="_Toc230900347"/>
      <w:r w:rsidRPr="00E06313">
        <w:rPr>
          <w:i w:val="0"/>
          <w:iCs w:val="0"/>
          <w:color w:val="auto"/>
        </w:rPr>
        <w:t xml:space="preserve">15.2. </w:t>
      </w:r>
      <w:r w:rsidR="00F57DD8" w:rsidRPr="00E06313">
        <w:rPr>
          <w:rStyle w:val="lev"/>
          <w:rFonts w:asciiTheme="majorBidi" w:hAnsiTheme="majorBidi" w:cstheme="majorBidi"/>
          <w:i w:val="0"/>
          <w:iCs w:val="0"/>
          <w:color w:val="auto"/>
          <w:sz w:val="24"/>
          <w:szCs w:val="24"/>
        </w:rPr>
        <w:t>Définition de</w:t>
      </w:r>
      <w:r w:rsidR="004447BB" w:rsidRPr="00E06313">
        <w:rPr>
          <w:rStyle w:val="lev"/>
          <w:rFonts w:asciiTheme="majorBidi" w:hAnsiTheme="majorBidi" w:cstheme="majorBidi"/>
          <w:i w:val="0"/>
          <w:iCs w:val="0"/>
          <w:color w:val="auto"/>
          <w:sz w:val="24"/>
          <w:szCs w:val="24"/>
        </w:rPr>
        <w:t> la sensibilisation à la sante</w:t>
      </w:r>
      <w:bookmarkEnd w:id="252"/>
      <w:bookmarkEnd w:id="253"/>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sensibilisation à la santé désigne le degré de connaissance, de préoccupation et d’attention qu’un individu porte à son état de santé et à ses comportements liés à la santé, incluant ses attitudes, sa motivation et son sens des responsabilités pour maintenir un mode de vie sain.</w:t>
      </w:r>
      <w:r>
        <w:rPr>
          <w:rStyle w:val="Appelnotedebasdep"/>
          <w:rFonts w:ascii="Times New Roman" w:hAnsi="Times New Roman"/>
          <w:sz w:val="24"/>
          <w:szCs w:val="24"/>
          <w:lang w:eastAsia="fr-FR"/>
        </w:rPr>
        <w:footnoteReference w:id="231"/>
      </w:r>
    </w:p>
    <w:p w:rsidR="00F13C9A"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À la lumière de ces définitions, il apparaît que la communication marketing et la sensibilisation à la santé sont étroitement liées et complémentaires. En effet, lacommunication marketing constitue un levier stratégique permettant de diffuser des messages sanitaires de manière ciblée et efficace</w:t>
      </w:r>
      <w:r>
        <w:rPr>
          <w:rStyle w:val="Appelnotedebasdep"/>
          <w:rFonts w:ascii="Times New Roman" w:hAnsi="Times New Roman"/>
          <w:sz w:val="24"/>
          <w:szCs w:val="24"/>
          <w:lang w:eastAsia="fr-FR"/>
        </w:rPr>
        <w:footnoteReference w:id="232"/>
      </w:r>
      <w:r>
        <w:rPr>
          <w:rFonts w:ascii="Times New Roman" w:eastAsia="Times New Roman" w:hAnsi="Times New Roman" w:cs="Times New Roman"/>
          <w:sz w:val="24"/>
          <w:szCs w:val="24"/>
          <w:lang w:eastAsia="fr-FR"/>
        </w:rPr>
        <w:t xml:space="preserve">, tandis que la sensibilisation à la santé représente le </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résultat attendu de ces actions, à savoir une prise de conscience accrue et une modification des comportements individuels.</w:t>
      </w:r>
      <w:r>
        <w:rPr>
          <w:rStyle w:val="Appelnotedebasdep"/>
          <w:rFonts w:ascii="Times New Roman" w:hAnsi="Times New Roman"/>
          <w:sz w:val="24"/>
          <w:szCs w:val="24"/>
          <w:lang w:eastAsia="fr-FR"/>
        </w:rPr>
        <w:footnoteReference w:id="233"/>
      </w:r>
    </w:p>
    <w:p w:rsidR="00F57DD8" w:rsidRDefault="00F57DD8" w:rsidP="00C13EE0">
      <w:pPr>
        <w:pStyle w:val="NormalWeb"/>
        <w:spacing w:after="0" w:line="360" w:lineRule="auto"/>
        <w:jc w:val="both"/>
      </w:pPr>
      <w:r>
        <w:t xml:space="preserve">      Dans ce contexte, Les campagnes de communication et le marketing social constituent des outils essentiels pour promouvoir la santé publique, en permettant de diffuser des messages ciblés et d’influencer les comportements des populations, comme l’illustrent les initiatives récentes de l’Autorité européenne de sécurité des aliments.</w:t>
      </w:r>
    </w:p>
    <w:p w:rsidR="00F57DD8" w:rsidRPr="00E06313" w:rsidRDefault="007F2397" w:rsidP="00C13EE0">
      <w:pPr>
        <w:pStyle w:val="Titre4"/>
        <w:spacing w:before="0" w:after="0" w:line="360" w:lineRule="auto"/>
        <w:jc w:val="both"/>
        <w:rPr>
          <w:rFonts w:ascii="Times New Roman" w:hAnsi="Times New Roman"/>
          <w:b/>
          <w:bCs/>
          <w:i w:val="0"/>
          <w:iCs w:val="0"/>
          <w:color w:val="auto"/>
          <w:sz w:val="24"/>
          <w:szCs w:val="24"/>
          <w:lang w:eastAsia="fr-FR"/>
        </w:rPr>
      </w:pPr>
      <w:bookmarkStart w:id="254" w:name="_Toc230558714"/>
      <w:bookmarkStart w:id="255" w:name="_Toc230900348"/>
      <w:r w:rsidRPr="00E06313">
        <w:rPr>
          <w:rFonts w:ascii="Times New Roman" w:hAnsi="Times New Roman"/>
          <w:b/>
          <w:bCs/>
          <w:i w:val="0"/>
          <w:iCs w:val="0"/>
          <w:color w:val="auto"/>
          <w:sz w:val="24"/>
          <w:szCs w:val="24"/>
          <w:lang w:eastAsia="fr-FR"/>
        </w:rPr>
        <w:t xml:space="preserve">15.3. </w:t>
      </w:r>
      <w:r w:rsidR="00F57DD8" w:rsidRPr="00E06313">
        <w:rPr>
          <w:rFonts w:ascii="Times New Roman" w:hAnsi="Times New Roman"/>
          <w:b/>
          <w:bCs/>
          <w:i w:val="0"/>
          <w:iCs w:val="0"/>
          <w:color w:val="auto"/>
          <w:sz w:val="24"/>
          <w:szCs w:val="24"/>
          <w:lang w:eastAsia="fr-FR"/>
        </w:rPr>
        <w:t>Rôle du marketing social dans la sensibilisation sanitaire</w:t>
      </w:r>
      <w:bookmarkEnd w:id="254"/>
      <w:bookmarkEnd w:id="255"/>
    </w:p>
    <w:p w:rsidR="00F57DD8" w:rsidRDefault="00F57DD8" w:rsidP="00C13EE0">
      <w:pPr>
        <w:pStyle w:val="NormalWeb"/>
        <w:spacing w:after="0" w:line="360" w:lineRule="auto"/>
        <w:jc w:val="both"/>
      </w:pPr>
      <w:r>
        <w:t xml:space="preserve">       Dans le cadre des campagnes de marketing social, l’Organisation mondiale de la santé a lancé, à l’occasion de la Journée mondiale du paludisme 2026, une initiative intitulée « D</w:t>
      </w:r>
      <w:r>
        <w:t>é</w:t>
      </w:r>
      <w:r>
        <w:t>terminés à mettre fin au paludisme : aujourd’hui nous le pouvons, aujourd’hui nous le devons. ». Cette campagne s’inscrit dans une démarche de sensibilisation visant à mobiliser les acteurs publics et privés ainsi que les populations autour de la lutte contre le paludisme. Elle constitue un appel à l’action pour intensifier les efforts actuels, renforcer les mesures de prévention, protéger les vies humaines et encourager le financement d’un avenir exempt de cette maladie. Ainsi, ce type de campagne illustre le rôle du marketing social dans la diffusion de messages sanitaires stratégiques, en influençant les comportements et en suscitant l’engagement colle</w:t>
      </w:r>
      <w:r>
        <w:t>c</w:t>
      </w:r>
      <w:r>
        <w:t xml:space="preserve">tif face aux enjeux de santé publique. </w:t>
      </w:r>
      <w:r>
        <w:rPr>
          <w:rStyle w:val="Appelnotedebasdep"/>
        </w:rPr>
        <w:footnoteReference w:id="234"/>
      </w:r>
    </w:p>
    <w:p w:rsidR="00F57DD8" w:rsidRPr="00E06313" w:rsidRDefault="007F2397" w:rsidP="00C13EE0">
      <w:pPr>
        <w:pStyle w:val="Titre4"/>
        <w:spacing w:before="0" w:after="0" w:line="360" w:lineRule="auto"/>
        <w:jc w:val="both"/>
        <w:rPr>
          <w:rFonts w:ascii="Times New Roman" w:hAnsi="Times New Roman"/>
          <w:b/>
          <w:bCs/>
          <w:i w:val="0"/>
          <w:iCs w:val="0"/>
          <w:color w:val="auto"/>
          <w:sz w:val="24"/>
          <w:szCs w:val="24"/>
          <w:lang w:eastAsia="fr-FR"/>
        </w:rPr>
      </w:pPr>
      <w:bookmarkStart w:id="256" w:name="_Toc230558715"/>
      <w:bookmarkStart w:id="257" w:name="_Toc230900349"/>
      <w:r w:rsidRPr="00E06313">
        <w:rPr>
          <w:rFonts w:ascii="Times New Roman" w:hAnsi="Times New Roman"/>
          <w:b/>
          <w:bCs/>
          <w:i w:val="0"/>
          <w:iCs w:val="0"/>
          <w:color w:val="auto"/>
          <w:sz w:val="24"/>
          <w:szCs w:val="24"/>
          <w:lang w:eastAsia="fr-FR"/>
        </w:rPr>
        <w:t xml:space="preserve">15.4. </w:t>
      </w:r>
      <w:r w:rsidR="00F57DD8" w:rsidRPr="00E06313">
        <w:rPr>
          <w:rFonts w:ascii="Times New Roman" w:hAnsi="Times New Roman"/>
          <w:b/>
          <w:bCs/>
          <w:i w:val="0"/>
          <w:iCs w:val="0"/>
          <w:color w:val="auto"/>
          <w:sz w:val="24"/>
          <w:szCs w:val="24"/>
          <w:lang w:eastAsia="fr-FR"/>
        </w:rPr>
        <w:t>Influence de la communication marketing sur le comportement du consommateur</w:t>
      </w:r>
      <w:bookmarkEnd w:id="256"/>
      <w:bookmarkEnd w:id="257"/>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Dans le cadre de la communication marketing appliquée à la sensibilisation sanitaire, la campagne </w:t>
      </w:r>
      <w:r>
        <w:rPr>
          <w:rFonts w:ascii="Times New Roman" w:eastAsia="Times New Roman" w:hAnsi="Times New Roman" w:cs="Times New Roman"/>
          <w:i/>
          <w:iCs/>
          <w:sz w:val="24"/>
          <w:szCs w:val="24"/>
          <w:lang w:eastAsia="fr-FR"/>
        </w:rPr>
        <w:t>Safe2Eat 2026</w:t>
      </w:r>
      <w:r>
        <w:rPr>
          <w:rFonts w:ascii="Times New Roman" w:eastAsia="Times New Roman" w:hAnsi="Times New Roman" w:cs="Times New Roman"/>
          <w:sz w:val="24"/>
          <w:szCs w:val="24"/>
          <w:lang w:eastAsia="fr-FR"/>
        </w:rPr>
        <w:t>, lancée le 16 avril 2026 par l’Autorité européenne de sécurité des aliments en collaboration avec ses partenaires à travers l’Europe, constitue un exemple significatif d’influence sur le comportement des consommateurs. Cette initiative vise à fournir aux citoyens des informations claires, accessibles et fondées sur des données scientifiques afin de favoriser des choix alimentaires éclairés et sûrs. S’inscrivant dans la continuité des éditions précédentes, cette campagne, déployée dans 23 pays européens et voisins (contre 9 lors de son lancement), illustre une extension progressive de son impact géographique et social.</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Les résultats de l’édition 2025 témoignent de l’efficacité de cette stratégie de communication. Selon une enquête réalisée par l’Ipsos en novembre 2025, la campagne a atteint 41 % des citoyens dans les pays concernés. Plus encore, les individus exposés à cette </w:t>
      </w:r>
      <w:r>
        <w:rPr>
          <w:rFonts w:ascii="Times New Roman" w:eastAsia="Times New Roman" w:hAnsi="Times New Roman" w:cs="Times New Roman"/>
          <w:sz w:val="24"/>
          <w:szCs w:val="24"/>
          <w:lang w:eastAsia="fr-FR"/>
        </w:rPr>
        <w:lastRenderedPageBreak/>
        <w:t>initiative ont manifesté un niveau plus élevé de sensibilisation aux questions de sécurité alimentaire, une réflexion plus critique dans leurs choix alimentaires, ainsi qu’un intérêt accru pour les fondements scientifiques liés à l’alimentation.</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En 2026, la campagne met l’accent sur les pratiques de sécurité alimentaire, le lien entre alimentation et santé, ainsi que la transparence concernant la composition des produits. À travers ces actions, la communication marketing contribue non seulement à modifier les comportements individuels, mais également à renforcer la confiance des consommateurs dans le système de sécurité alimentaire européen. Ainsi, cet exemple met en évidence le rôle déterminant de la communication marketing et du marketing social dans l’orientation des comportements des consommateurs vers des pratiques alimentaires plus sûres.</w:t>
      </w:r>
      <w:r>
        <w:rPr>
          <w:rStyle w:val="Appelnotedebasdep"/>
          <w:rFonts w:ascii="Times New Roman" w:hAnsi="Times New Roman"/>
          <w:sz w:val="24"/>
          <w:szCs w:val="24"/>
          <w:lang w:eastAsia="fr-FR"/>
        </w:rPr>
        <w:footnoteReference w:id="235"/>
      </w:r>
    </w:p>
    <w:p w:rsidR="004447BB" w:rsidRPr="00E06313" w:rsidRDefault="007F2397" w:rsidP="00C13EE0">
      <w:pPr>
        <w:pStyle w:val="Titre4"/>
        <w:spacing w:before="0" w:after="0" w:line="360" w:lineRule="auto"/>
        <w:jc w:val="both"/>
        <w:rPr>
          <w:rFonts w:ascii="Times New Roman" w:hAnsi="Times New Roman"/>
          <w:b/>
          <w:bCs/>
          <w:i w:val="0"/>
          <w:iCs w:val="0"/>
          <w:color w:val="auto"/>
          <w:sz w:val="24"/>
          <w:szCs w:val="24"/>
          <w:lang w:eastAsia="fr-FR"/>
        </w:rPr>
      </w:pPr>
      <w:bookmarkStart w:id="258" w:name="_Toc230558716"/>
      <w:bookmarkStart w:id="259" w:name="_Toc230900350"/>
      <w:r w:rsidRPr="00E06313">
        <w:rPr>
          <w:rFonts w:ascii="Times New Roman" w:hAnsi="Times New Roman"/>
          <w:b/>
          <w:bCs/>
          <w:i w:val="0"/>
          <w:iCs w:val="0"/>
          <w:color w:val="auto"/>
          <w:sz w:val="24"/>
          <w:szCs w:val="24"/>
          <w:lang w:eastAsia="fr-FR"/>
        </w:rPr>
        <w:t>15.5.</w:t>
      </w:r>
      <w:r w:rsidR="004447BB" w:rsidRPr="00E06313">
        <w:rPr>
          <w:rFonts w:ascii="Times New Roman" w:hAnsi="Times New Roman"/>
          <w:b/>
          <w:bCs/>
          <w:i w:val="0"/>
          <w:iCs w:val="0"/>
          <w:color w:val="auto"/>
          <w:sz w:val="24"/>
          <w:szCs w:val="24"/>
          <w:lang w:eastAsia="fr-FR"/>
        </w:rPr>
        <w:t>Définition d’une crise alimentaire</w:t>
      </w:r>
      <w:bookmarkEnd w:id="258"/>
      <w:bookmarkEnd w:id="259"/>
    </w:p>
    <w:p w:rsidR="00F57DD8" w:rsidRDefault="00F57DD8" w:rsidP="00C13EE0">
      <w:pPr>
        <w:spacing w:after="0" w:line="360" w:lineRule="auto"/>
        <w:jc w:val="both"/>
        <w:rPr>
          <w:rStyle w:val="Accentuationlgre1"/>
          <w:rFonts w:asciiTheme="majorBidi" w:hAnsiTheme="majorBidi" w:cstheme="majorBidi"/>
          <w:i w:val="0"/>
          <w:iCs w:val="0"/>
          <w:color w:val="auto"/>
          <w:sz w:val="24"/>
          <w:szCs w:val="24"/>
        </w:rPr>
      </w:pPr>
      <w:r>
        <w:rPr>
          <w:rFonts w:asciiTheme="majorBidi" w:hAnsiTheme="majorBidi" w:cstheme="majorBidi"/>
          <w:sz w:val="24"/>
          <w:szCs w:val="24"/>
        </w:rPr>
        <w:t xml:space="preserve">        Une crise alimentaire est considérée comme une situation dans laquelle la sécurité alimentaire est soudainement menacée. Malgré cette définition générale, il est difficile de la quantifier à l’aide de données statistiques, car les définitions existantes de la crise alimentaire restent principalement conceptuelles. Par exemple, une difficulté fondamentale dans ces recherches concerne la manière d’identifier précisément les périodes considérées comme des périodes de crise alimentaire.</w:t>
      </w:r>
      <w:r>
        <w:rPr>
          <w:rStyle w:val="Appelnotedebasdep"/>
          <w:rFonts w:asciiTheme="majorBidi" w:hAnsiTheme="majorBidi" w:cstheme="majorBidi"/>
          <w:sz w:val="24"/>
          <w:szCs w:val="24"/>
        </w:rPr>
        <w:footnoteReference w:id="236"/>
      </w:r>
    </w:p>
    <w:p w:rsidR="00F57DD8" w:rsidRPr="00E06313" w:rsidRDefault="007F2397" w:rsidP="00C13EE0">
      <w:pPr>
        <w:pStyle w:val="Titre4"/>
        <w:spacing w:before="0" w:after="0" w:line="360" w:lineRule="auto"/>
        <w:jc w:val="both"/>
        <w:rPr>
          <w:rFonts w:ascii="Times New Roman" w:hAnsi="Times New Roman"/>
          <w:b/>
          <w:bCs/>
          <w:i w:val="0"/>
          <w:iCs w:val="0"/>
          <w:color w:val="auto"/>
          <w:sz w:val="24"/>
          <w:szCs w:val="24"/>
          <w:lang w:eastAsia="fr-FR"/>
        </w:rPr>
      </w:pPr>
      <w:bookmarkStart w:id="260" w:name="_Toc230558717"/>
      <w:bookmarkStart w:id="261" w:name="_Toc230900351"/>
      <w:r w:rsidRPr="00E06313">
        <w:rPr>
          <w:rFonts w:ascii="Times New Roman" w:hAnsi="Times New Roman"/>
          <w:b/>
          <w:bCs/>
          <w:i w:val="0"/>
          <w:iCs w:val="0"/>
          <w:color w:val="auto"/>
          <w:sz w:val="24"/>
          <w:szCs w:val="24"/>
          <w:lang w:eastAsia="fr-FR"/>
        </w:rPr>
        <w:t>15.6.</w:t>
      </w:r>
      <w:r w:rsidR="00F57DD8" w:rsidRPr="00E06313">
        <w:rPr>
          <w:rFonts w:ascii="Times New Roman" w:hAnsi="Times New Roman"/>
          <w:b/>
          <w:bCs/>
          <w:i w:val="0"/>
          <w:iCs w:val="0"/>
          <w:color w:val="auto"/>
          <w:sz w:val="24"/>
          <w:szCs w:val="24"/>
          <w:lang w:eastAsia="fr-FR"/>
        </w:rPr>
        <w:t>Rôle de la communication marketing dans la gestion des crises alimentaires</w:t>
      </w:r>
      <w:bookmarkEnd w:id="260"/>
      <w:bookmarkEnd w:id="261"/>
    </w:p>
    <w:p w:rsidR="00F13C9A" w:rsidRDefault="00F57DD8" w:rsidP="00C13EE0">
      <w:pPr>
        <w:spacing w:after="0" w:line="360" w:lineRule="auto"/>
        <w:jc w:val="both"/>
        <w:rPr>
          <w:rFonts w:ascii="Times New Roman" w:eastAsia="Times New Roman" w:hAnsi="Times New Roman" w:cs="Times New Roman"/>
          <w:sz w:val="24"/>
          <w:szCs w:val="24"/>
          <w:rtl/>
          <w:lang w:eastAsia="fr-FR" w:bidi="ar-DZ"/>
        </w:rPr>
      </w:pPr>
      <w:r>
        <w:rPr>
          <w:rFonts w:ascii="Times New Roman" w:eastAsia="Times New Roman" w:hAnsi="Times New Roman" w:cs="Times New Roman"/>
          <w:sz w:val="24"/>
          <w:szCs w:val="24"/>
          <w:lang w:eastAsia="fr-FR"/>
        </w:rPr>
        <w:t xml:space="preserve">     La gestion des crises alimentaires repose aujourd’hui sur une approche intégrée où la communication constitue un levier central dans le pilotage des situations à risque. Elle dépasse la simple diffusion d’informations pour s’inscrire dans une logique de coordination, de prévention et de maîtrise des flux informationnels. </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surveillance et la détection précoce des signaux constituent un élément fondamental. Le suivi continu des données et des échanges permet d’identifier rapidement les alertes potentielles, les informations erronées ou les préoccupations émergentes susceptibles d’aggraver la crise. Cette démarche favorise l’anticipation et réduit le temps de réaction. </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préparation organisationnelle représente également un axe déterminant. La mise en place de protocoles de communication, la définition des responsabilités et la structuration des procédures de réponse assurent la cohérence et l’efficacité des interventions en situation d’urgence. Elle contribue aussi à encadrer les modalités de diffusion de l’information.</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     Durant la phase de crise, la communication doit répondre à des exigences de rapidité, de transparence et de fiabilité. La diffusion d’informations officielles et vérifiées permet de limiter l’incertitude et de préserver la confiance des acteurs concernés. Dans le même temps, la gestion des informations inexactes nécessite des réponses adaptées afin d’en réduire l’impact.</w:t>
      </w:r>
    </w:p>
    <w:p w:rsidR="00F57DD8" w:rsidRDefault="00F57DD8" w:rsidP="00C13EE0">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gestion de l’information dans l’environnement numérique occupe une place importante. La visibilité et l’accessibilité des contenus officiels influencent directement la perception de la crise par le public, notamment à travers les moteurs de recherche et les plateformes numériques. </w:t>
      </w:r>
    </w:p>
    <w:p w:rsidR="005236B6" w:rsidRDefault="00F57DD8" w:rsidP="00C13EE0">
      <w:pPr>
        <w:spacing w:after="0" w:line="360" w:lineRule="auto"/>
        <w:jc w:val="both"/>
        <w:rPr>
          <w:rFonts w:ascii="Times New Roman" w:eastAsia="Times New Roman" w:hAnsi="Times New Roman" w:cs="Times New Roman"/>
          <w:sz w:val="24"/>
          <w:szCs w:val="24"/>
          <w:rtl/>
          <w:lang w:eastAsia="fr-FR"/>
        </w:rPr>
      </w:pPr>
      <w:r>
        <w:rPr>
          <w:rFonts w:ascii="Times New Roman" w:eastAsia="Times New Roman" w:hAnsi="Times New Roman" w:cs="Times New Roman"/>
          <w:sz w:val="24"/>
          <w:szCs w:val="24"/>
          <w:lang w:eastAsia="fr-FR"/>
        </w:rPr>
        <w:t xml:space="preserve">      La phase post-crise implique enfin un travail de communication visant à expliciter les mesures adoptées et à accompagner la restauration de la confiance. Cette étape contribue à stabiliser l’image de l’organisation et à renforcer la crédibilité de ses actions. Ainsi, la communication occupe une fonction stratégique dans la gestion des crises alimentaires, en assurant la coordination de l’information, la maîtrise des perceptions et le maintien de la confiance.</w:t>
      </w:r>
      <w:r>
        <w:rPr>
          <w:rStyle w:val="Appelnotedebasdep"/>
          <w:rFonts w:ascii="Times New Roman" w:hAnsi="Times New Roman"/>
          <w:sz w:val="24"/>
          <w:szCs w:val="24"/>
          <w:lang w:eastAsia="fr-FR"/>
        </w:rPr>
        <w:footnoteReference w:id="237"/>
      </w: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Default="00C13EE0" w:rsidP="00C13EE0">
      <w:pPr>
        <w:spacing w:after="0" w:line="360" w:lineRule="auto"/>
        <w:jc w:val="both"/>
        <w:rPr>
          <w:rFonts w:ascii="Times New Roman" w:eastAsia="Times New Roman" w:hAnsi="Times New Roman" w:cs="Times New Roman"/>
          <w:sz w:val="24"/>
          <w:szCs w:val="24"/>
          <w:rtl/>
          <w:lang w:eastAsia="fr-FR"/>
        </w:rPr>
      </w:pPr>
    </w:p>
    <w:p w:rsidR="00C13EE0" w:rsidRPr="004447BB" w:rsidRDefault="00C13EE0" w:rsidP="00C13EE0">
      <w:pPr>
        <w:spacing w:after="0" w:line="360" w:lineRule="auto"/>
        <w:jc w:val="both"/>
        <w:rPr>
          <w:rFonts w:ascii="Times New Roman" w:eastAsia="Times New Roman" w:hAnsi="Times New Roman" w:cs="Times New Roman"/>
          <w:sz w:val="24"/>
          <w:szCs w:val="24"/>
          <w:lang w:eastAsia="fr-FR"/>
        </w:rPr>
      </w:pPr>
    </w:p>
    <w:p w:rsidR="00F57DD8" w:rsidRDefault="00F57DD8" w:rsidP="00D078FF">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Conclusion :</w:t>
      </w:r>
    </w:p>
    <w:p w:rsidR="000C117E" w:rsidRDefault="00F57DD8" w:rsidP="00C13EE0">
      <w:pPr>
        <w:spacing w:line="360" w:lineRule="auto"/>
        <w:jc w:val="both"/>
        <w:rPr>
          <w:rFonts w:asciiTheme="majorBidi" w:hAnsiTheme="majorBidi" w:cstheme="majorBidi"/>
          <w:sz w:val="24"/>
          <w:szCs w:val="24"/>
          <w:rtl/>
          <w:lang w:bidi="ar-DZ"/>
        </w:rPr>
      </w:pPr>
      <w:r>
        <w:rPr>
          <w:rFonts w:asciiTheme="majorBidi" w:hAnsiTheme="majorBidi" w:cstheme="majorBidi"/>
          <w:sz w:val="24"/>
          <w:szCs w:val="24"/>
        </w:rPr>
        <w:t xml:space="preserve">     À la fin de cette analyse sur le rôle stratégique du marketing pour la sécurité sanitaire des aliments, il apparaît clairement que ce marketing n’est plus, comme on l’a souvent pensé, une simple fonction commerciale ou promotionnelle, mais qu’il peut aussi devenir un outil stratégique de protection de la santé publique et de gestion des risques alimentaires. Le marketing des produits biologiques ne peut être une stratégie de différenciation cherchant à faire coïncider promesse environnementale ou sanitaire sans un accompagnement systémique </w:t>
      </w:r>
    </w:p>
    <w:p w:rsidR="00F57DD8" w:rsidRDefault="00F57DD8" w:rsidP="00D078FF">
      <w:pPr>
        <w:spacing w:line="360" w:lineRule="auto"/>
        <w:jc w:val="both"/>
        <w:rPr>
          <w:rFonts w:asciiTheme="majorBidi" w:hAnsiTheme="majorBidi" w:cstheme="majorBidi"/>
          <w:sz w:val="24"/>
          <w:szCs w:val="24"/>
        </w:rPr>
      </w:pPr>
      <w:r>
        <w:rPr>
          <w:rFonts w:asciiTheme="majorBidi" w:hAnsiTheme="majorBidi" w:cstheme="majorBidi"/>
          <w:sz w:val="24"/>
          <w:szCs w:val="24"/>
        </w:rPr>
        <w:t>et responsable, en faisant de chaque outil du marketing un vecteur non seulement de la qualité intrinsèque des produits, mais aussi de la confiance des consommateurs.</w:t>
      </w:r>
    </w:p>
    <w:p w:rsidR="00F57DD8" w:rsidRDefault="00F57DD8" w:rsidP="00D078FF">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La première partie de ce chapitre a permis de poser une distinction importante entre la sécurité alimentaire, relative à l’accès physique et économique à une nourriture en quantité suffisante, et la sécurité sanitaire des aliments qui concerne plus spécifiquement l’innocuité des produits et la prévention des risques sanitaires pour le consommateur. Cette clarification conceptuelle était indispensable pour appréhender comment les produits biologiques, de par leurs modes de production spécifiques, peuvent contribuer à réduire certains risques chimiques tels que l’exposition aux résidus de pesticides, sans être pour autant totalement à l’abri des dangers microbiologiques ou environnementaux. L’analyse comparative des risques entre produits conventionnels et produits biologiques a montré que si aucun des systèmes n’est totalement exempt de risques, l’agriculture biologique présente dans l’ensemble un meilleur profil toxicologique et environnemental sous réserve des normes de contrôle et de certification soient suivies scrupuleusement. En outre, l’analyse des systèmes juridiques et réglementaires notamment l’analyse des systèmes juridiques et réglementaires notamment du Codex Alimentarius aux systèmes algériens en passant par la loi n° 09-03, le décret HACCP et ISO 22000 a suscité des résultats encourageants et a révélé l’existence d’une architecture normative relativement solide mais dont l’harmonisation et la consolidation des systèmes de contrôle restent à faire.</w:t>
      </w:r>
    </w:p>
    <w:p w:rsidR="00F13C9A" w:rsidRDefault="00F57DD8" w:rsidP="00D078FF">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La seconde section a mis en exergue trois mécanismes marketing bien concrets pouvant faire levier sur la sécurité sanitaire. Tout d’abord, l’étiquetage bien au-delà d’être une simple obligation légale constitue le principal vecteur d’information et de transparence à l’égard du consommateur. Semant les graines d’un consentement éclairé, évitant les pratiques trompeuses, précisant la composition et l’origine des produits, l’étiquetage concourt à la protection sanitaire et à la lutte contre l’asymétrie d’information entre producteurs et </w:t>
      </w:r>
      <w:r>
        <w:rPr>
          <w:rFonts w:asciiTheme="majorBidi" w:hAnsiTheme="majorBidi" w:cstheme="majorBidi"/>
          <w:sz w:val="24"/>
          <w:szCs w:val="24"/>
        </w:rPr>
        <w:lastRenderedPageBreak/>
        <w:t xml:space="preserve">consommateurs. En second lieu, comme l’illustre la fameuse formule de la traçabilité « from fork to fork », cet outil de suivi qui permet non seulement de gérer la prévention des risques en recoupant et en identifiant en amont les points critiques tout du long de la chaîne, mais également une gestion curative pertinent à tout le moins, et même si elle est souvent difficile, pour se retourner vers le retrait et le rappel des produits présentement incriminés de manière efficace, est elle-même qualifiée de coût préventif et d’investissement. Au-delà du coût effectivement élevé de mise en œuvre, cette traçabilité est pourtant le seul moyen de garantir l’intégrité de la chaîne alimentaire et la réassurance des consommateurs après un incident </w:t>
      </w:r>
    </w:p>
    <w:p w:rsidR="00F13C9A" w:rsidRDefault="00F13C9A" w:rsidP="00D078FF">
      <w:pPr>
        <w:spacing w:line="360" w:lineRule="auto"/>
        <w:jc w:val="both"/>
        <w:rPr>
          <w:rFonts w:asciiTheme="majorBidi" w:hAnsiTheme="majorBidi" w:cstheme="majorBidi"/>
          <w:sz w:val="24"/>
          <w:szCs w:val="24"/>
        </w:rPr>
      </w:pPr>
    </w:p>
    <w:p w:rsidR="00F57DD8" w:rsidRDefault="00F57DD8" w:rsidP="00D078FF">
      <w:pPr>
        <w:spacing w:line="360" w:lineRule="auto"/>
        <w:jc w:val="both"/>
        <w:rPr>
          <w:rFonts w:asciiTheme="majorBidi" w:hAnsiTheme="majorBidi" w:cstheme="majorBidi"/>
          <w:sz w:val="24"/>
          <w:szCs w:val="24"/>
        </w:rPr>
      </w:pPr>
      <w:r>
        <w:rPr>
          <w:rFonts w:asciiTheme="majorBidi" w:hAnsiTheme="majorBidi" w:cstheme="majorBidi"/>
          <w:sz w:val="24"/>
          <w:szCs w:val="24"/>
        </w:rPr>
        <w:t>sanitaire. En troisième et dernier lieu, par la valorisation des supports marketing, au-delà du simple cadre promotionnel, de l’intégration de la communication marketing dans une démarche de marketing social et de sensibilisation sanitaire, c’est un véritable outil du changement que revêt cette action pour, à long terme, modifier les comportements des consommateurs s’ils sont confrontés à l’information adéquate, ciblée, précise, lisible et compréhensible. C’est le cas de campagnes à travers l’Autorité européenne de sécurité des aliments (AEFS) , Safe2Eat et la série des recommandations autour d’ « une saine alimentation » , mais aussi au sein de stratégies de communication de l’Organisation mondiale de la santé (OMS) de santé publique et de protection des consommateurs, partant des messages inhérents des campagnes sur l’alimentation.</w:t>
      </w:r>
    </w:p>
    <w:p w:rsidR="005236B6" w:rsidRDefault="00F57DD8" w:rsidP="00D078FF">
      <w:pPr>
        <w:spacing w:line="360" w:lineRule="auto"/>
        <w:jc w:val="both"/>
        <w:rPr>
          <w:rFonts w:asciiTheme="majorBidi" w:hAnsiTheme="majorBidi" w:cstheme="majorBidi"/>
          <w:sz w:val="24"/>
          <w:szCs w:val="24"/>
        </w:rPr>
        <w:sectPr w:rsidR="005236B6" w:rsidSect="00EA0836">
          <w:headerReference w:type="default" r:id="rId50"/>
          <w:footnotePr>
            <w:numRestart w:val="eachPage"/>
          </w:footnotePr>
          <w:pgSz w:w="11906" w:h="16838"/>
          <w:pgMar w:top="1417" w:right="1417" w:bottom="1417" w:left="1417" w:header="737" w:footer="720" w:gutter="0"/>
          <w:pgBorders w:display="firstPage" w:offsetFrom="page">
            <w:top w:val="tornPaperBlack" w:sz="31" w:space="24" w:color="000000" w:themeColor="text1"/>
            <w:left w:val="tornPaperBlack" w:sz="31" w:space="24" w:color="000000" w:themeColor="text1"/>
            <w:bottom w:val="tornPaperBlack" w:sz="31" w:space="24" w:color="000000" w:themeColor="text1"/>
            <w:right w:val="tornPaperBlack" w:sz="31" w:space="24" w:color="000000" w:themeColor="text1"/>
          </w:pgBorders>
          <w:cols w:space="720"/>
          <w:titlePg/>
          <w:docGrid w:linePitch="299"/>
        </w:sectPr>
      </w:pPr>
      <w:r>
        <w:rPr>
          <w:rFonts w:asciiTheme="majorBidi" w:hAnsiTheme="majorBidi" w:cstheme="majorBidi"/>
          <w:sz w:val="24"/>
          <w:szCs w:val="24"/>
        </w:rPr>
        <w:t xml:space="preserve">     Ainsi, nous démontrons ici que la performance de ces dispositifs marketing repose sur la qualité des contrôles des pouvoirs publics, l’engagement des opérateurs économiques et le niveau d’information des consommateurs. La confiance, pour être pérenne, condition essentielle du marché bio, n’est pas un acquis, mais résulte de tous les efforts tendant à l’établir par des dispositifs transparents, fiables et logiques. Le chapitre suivant proposera de montrer empiriquement, à partir d’une étude de terrain, comment sont perçus et utilisés ces dispositifs en Algérie, et dans quelle mesure ils participent bien à la sécurité sanitaire des aliments biologiques.</w:t>
      </w:r>
    </w:p>
    <w:p w:rsidR="00F57DD8" w:rsidRDefault="00F57DD8" w:rsidP="00F7493D">
      <w:pPr>
        <w:spacing w:line="360" w:lineRule="auto"/>
        <w:rPr>
          <w:rFonts w:asciiTheme="majorBidi" w:hAnsiTheme="majorBidi" w:cstheme="majorBidi"/>
          <w:sz w:val="28"/>
          <w:szCs w:val="28"/>
        </w:rPr>
      </w:pPr>
    </w:p>
    <w:p w:rsidR="00A10685" w:rsidRPr="00A10685" w:rsidRDefault="00A10685" w:rsidP="00F7493D">
      <w:pPr>
        <w:spacing w:line="360" w:lineRule="auto"/>
        <w:rPr>
          <w:rFonts w:asciiTheme="majorBidi" w:hAnsiTheme="majorBidi" w:cstheme="majorBidi"/>
          <w:sz w:val="28"/>
          <w:szCs w:val="28"/>
        </w:rPr>
      </w:pPr>
    </w:p>
    <w:p w:rsidR="00A10685" w:rsidRPr="00A10685" w:rsidRDefault="00A10685" w:rsidP="00F7493D">
      <w:pPr>
        <w:spacing w:line="360" w:lineRule="auto"/>
        <w:rPr>
          <w:rFonts w:asciiTheme="majorBidi" w:hAnsiTheme="majorBidi" w:cstheme="majorBidi"/>
          <w:sz w:val="28"/>
          <w:szCs w:val="28"/>
        </w:rPr>
      </w:pPr>
    </w:p>
    <w:p w:rsidR="00A10685" w:rsidRPr="00A10685" w:rsidRDefault="007B5998" w:rsidP="00F7493D">
      <w:pPr>
        <w:spacing w:line="360" w:lineRule="auto"/>
        <w:rPr>
          <w:rFonts w:asciiTheme="majorBidi" w:hAnsiTheme="majorBidi" w:cstheme="majorBidi"/>
          <w:sz w:val="28"/>
          <w:szCs w:val="28"/>
        </w:rPr>
      </w:pPr>
      <w:r>
        <w:rPr>
          <w:rFonts w:asciiTheme="majorBidi" w:hAnsiTheme="majorBidi" w:cstheme="majorBidi"/>
          <w:noProof/>
          <w:sz w:val="28"/>
          <w:szCs w:val="28"/>
          <w:lang w:eastAsia="fr-FR"/>
        </w:rPr>
        <w:pict>
          <v:shape id="Parchemin : horizontal 29" o:spid="_x0000_s1077" type="#_x0000_t98" style="position:absolute;margin-left:0;margin-top:3.4pt;width:446.6pt;height:307.95pt;z-index:251754496;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" filled="f" strokecolor="#09101d [484]" strokeweight="1pt">
            <v:stroke joinstyle="miter"/>
            <w10:wrap anchorx="margin"/>
          </v:shape>
        </w:pict>
      </w:r>
    </w:p>
    <w:p w:rsidR="00A10685" w:rsidRPr="00A10685" w:rsidRDefault="00A10685" w:rsidP="00F7493D">
      <w:pPr>
        <w:spacing w:line="360" w:lineRule="auto"/>
        <w:rPr>
          <w:rFonts w:asciiTheme="majorBidi" w:hAnsiTheme="majorBidi" w:cstheme="majorBidi"/>
          <w:sz w:val="28"/>
          <w:szCs w:val="28"/>
        </w:rPr>
      </w:pPr>
    </w:p>
    <w:p w:rsidR="005236B6" w:rsidRDefault="005236B6" w:rsidP="00F7493D">
      <w:pPr>
        <w:pStyle w:val="NormalWeb"/>
        <w:spacing w:line="360" w:lineRule="auto"/>
        <w:rPr>
          <w:rStyle w:val="lev"/>
        </w:rPr>
      </w:pPr>
    </w:p>
    <w:p w:rsidR="005236B6" w:rsidRDefault="007B5998" w:rsidP="00F7493D">
      <w:pPr>
        <w:pStyle w:val="NormalWeb"/>
        <w:spacing w:line="360" w:lineRule="auto"/>
        <w:rPr>
          <w:rStyle w:val="lev"/>
        </w:rPr>
      </w:pPr>
      <w:r>
        <w:rPr>
          <w:b/>
          <w:bCs/>
          <w:noProof/>
          <w:lang w:eastAsia="fr-FR"/>
        </w:rPr>
        <w:pict>
          <v:shape id="Zone de texte 26" o:spid="_x0000_s1047" type="#_x0000_t202" style="position:absolute;margin-left:38.35pt;margin-top:8.35pt;width:404pt;height:146.75pt;z-index:2517657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" fillcolor="white [3201]" stroked="f" strokeweight=".5pt">
            <v:textbox>
              <w:txbxContent>
                <w:p w:rsidR="00B54D3C" w:rsidRPr="00E52A17" w:rsidRDefault="00B54D3C" w:rsidP="00E52A17">
                  <w:pPr>
                    <w:pStyle w:val="Titre1"/>
                    <w:rPr>
                      <w:rFonts w:asciiTheme="majorBidi" w:hAnsiTheme="majorBidi" w:cstheme="majorBidi"/>
                      <w:b/>
                      <w:bCs/>
                      <w:color w:val="000000" w:themeColor="text1"/>
                    </w:rPr>
                  </w:pPr>
                  <w:bookmarkStart w:id="262" w:name="_Toc230900352"/>
                  <w:bookmarkStart w:id="263" w:name="_Toc230900923"/>
                  <w:r w:rsidRPr="00E52A17">
                    <w:rPr>
                      <w:rFonts w:asciiTheme="majorBidi" w:hAnsiTheme="majorBidi" w:cstheme="majorBidi"/>
                      <w:b/>
                      <w:bCs/>
                      <w:color w:val="000000" w:themeColor="text1"/>
                    </w:rPr>
                    <w:t>Chapitre III : Étude de terrain : marketing biologique et sécurité sanitaire – Cas Dahbia</w:t>
                  </w:r>
                  <w:bookmarkEnd w:id="262"/>
                  <w:bookmarkEnd w:id="263"/>
                </w:p>
              </w:txbxContent>
            </v:textbox>
            <w10:wrap anchorx="margin"/>
          </v:shape>
        </w:pict>
      </w: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F7493D">
      <w:pPr>
        <w:pStyle w:val="NormalWeb"/>
        <w:spacing w:line="360" w:lineRule="auto"/>
        <w:rPr>
          <w:rStyle w:val="lev"/>
        </w:rPr>
      </w:pPr>
    </w:p>
    <w:p w:rsidR="005236B6" w:rsidRDefault="005236B6" w:rsidP="001C06BD">
      <w:pPr>
        <w:pStyle w:val="NormalWeb"/>
        <w:spacing w:line="360" w:lineRule="auto"/>
      </w:pPr>
      <w:r>
        <w:rPr>
          <w:rStyle w:val="lev"/>
        </w:rPr>
        <w:lastRenderedPageBreak/>
        <w:t>Introduction du chapitre :</w:t>
      </w:r>
    </w:p>
    <w:p w:rsidR="005236B6" w:rsidRDefault="005236B6" w:rsidP="00C13EE0">
      <w:pPr>
        <w:pStyle w:val="NormalWeb"/>
        <w:spacing w:line="360" w:lineRule="auto"/>
        <w:jc w:val="both"/>
        <w:rPr>
          <w:color w:val="FF0000"/>
        </w:rPr>
      </w:pPr>
      <w:r>
        <w:t>Après avoir satisfait aux exigences du cadre conceptuel et de l’étude théorique relatives au marketing des produits biologiques et à sa relation avec la sécurité sanitaire des aliments, ainsi qu’aux contenus des premier et deuxième chapitres consacrés à la présentation des concepts fondamentaux et des études antérieures, ce troisième chapitre vise à faire passer la recherche du plan théorique au plan pratiqueet empirique.</w:t>
      </w:r>
      <w:r w:rsidR="00C13EE0">
        <w:rPr>
          <w:rFonts w:hint="cs"/>
          <w:rtl/>
        </w:rPr>
        <w:t xml:space="preserve">                          </w:t>
      </w:r>
      <w:r>
        <w:br/>
        <w:t>Cette étude de terrain a pour objectif d’appliquer les concepts du marketing des produits bi</w:t>
      </w:r>
      <w:r>
        <w:t>o</w:t>
      </w:r>
      <w:r>
        <w:t>logiques à la réalité d’une entreprise active dans le domaine de la production d’huile d’olive, à travers l’analyse de ses pratiques marketing et de leur rôle dans le renforcement de la perce</w:t>
      </w:r>
      <w:r>
        <w:t>p</w:t>
      </w:r>
      <w:r>
        <w:t>tion du consommateur concernant la sécurité sanitaire des aliments.</w:t>
      </w:r>
      <w:r>
        <w:br/>
        <w:t>Afin d’atteindre cet objectif, l’entreprise Dahbia d’huile d’olive, située dans la wilaya de Dje</w:t>
      </w:r>
      <w:r>
        <w:t>l</w:t>
      </w:r>
      <w:r>
        <w:t>fa, a été choisie comme étude de cas, en raison de son activité dans la production et la co</w:t>
      </w:r>
      <w:r>
        <w:t>m</w:t>
      </w:r>
      <w:r>
        <w:t>mercialisation de produits biologiques, ce qui permet de mieux comprendre la relation entre les méthodes de marketing adoptées et la perception du consommateur de la qualité et de la sécurité du produit.</w:t>
      </w:r>
      <w:r w:rsidR="00C13EE0">
        <w:rPr>
          <w:rFonts w:hint="cs"/>
          <w:rtl/>
        </w:rPr>
        <w:t xml:space="preserve">                                     </w:t>
      </w:r>
      <w:r>
        <w:br/>
      </w:r>
      <w:r w:rsidRPr="00E8150E">
        <w:rPr>
          <w:color w:val="000000" w:themeColor="text1"/>
        </w:rPr>
        <w:t>Le présent chapitre se compose de deux sections majeures. La première présente au fond l’approche méthodologique choisie pour cette recherche, en mettant en avant, d’une part, les méthodes et outils de collecte des données mobilisés ici : l’entretien semi-directif avec le re</w:t>
      </w:r>
      <w:r w:rsidRPr="00E8150E">
        <w:rPr>
          <w:color w:val="000000" w:themeColor="text1"/>
        </w:rPr>
        <w:t>s</w:t>
      </w:r>
      <w:r w:rsidRPr="00E8150E">
        <w:rPr>
          <w:color w:val="000000" w:themeColor="text1"/>
        </w:rPr>
        <w:t>ponsable de l’entreprise ainsi que le questionnaire auprès d’un échantillon de consommateurs ; et d’autre part, une présentation générale de l’entreprise étudiée, de sa structure interne et de ses principales activités.</w:t>
      </w:r>
    </w:p>
    <w:p w:rsidR="005236B6" w:rsidRDefault="005236B6" w:rsidP="00C13EE0">
      <w:pPr>
        <w:pStyle w:val="NormalWeb"/>
        <w:spacing w:line="360" w:lineRule="auto"/>
        <w:jc w:val="both"/>
        <w:rPr>
          <w:rtl/>
          <w:lang w:bidi="ar-DZ"/>
        </w:rPr>
      </w:pPr>
      <w:r>
        <w:t>La deuxième section porte sur la présentation et l’analyse des résultats de l’étude de terrain, à travers l’exploitation des données issues de l’entretien et du questionnaire, afin de comprendre dans quelle mesure le marketing des produits biologiques influence la perception du conso</w:t>
      </w:r>
      <w:r>
        <w:t>m</w:t>
      </w:r>
      <w:r>
        <w:t>mateur en matière de sécurité sanitaire des aliments, et d’aboutir enfin à la vérification des hypothèses formulées au début de la recherche et à l’évaluation de leur validité dans la réalité empirique.</w:t>
      </w:r>
    </w:p>
    <w:p w:rsidR="005236B6" w:rsidRDefault="005236B6" w:rsidP="001C06BD">
      <w:pPr>
        <w:pStyle w:val="NormalWeb"/>
        <w:spacing w:line="360" w:lineRule="auto"/>
        <w:rPr>
          <w:rtl/>
          <w:lang w:bidi="ar-DZ"/>
        </w:rPr>
      </w:pPr>
    </w:p>
    <w:p w:rsidR="005236B6" w:rsidRDefault="005236B6" w:rsidP="001C06BD">
      <w:pPr>
        <w:pStyle w:val="NormalWeb"/>
        <w:spacing w:line="360" w:lineRule="auto"/>
        <w:rPr>
          <w:rtl/>
          <w:lang w:bidi="ar-DZ"/>
        </w:rPr>
      </w:pPr>
    </w:p>
    <w:p w:rsidR="005236B6" w:rsidRPr="00DA1FFA" w:rsidRDefault="005236B6" w:rsidP="001C06BD">
      <w:pPr>
        <w:pStyle w:val="NormalWeb"/>
        <w:spacing w:line="360" w:lineRule="auto"/>
        <w:rPr>
          <w:rStyle w:val="lev"/>
          <w:b w:val="0"/>
          <w:bCs w:val="0"/>
          <w:rtl/>
          <w:lang w:bidi="ar-DZ"/>
        </w:rPr>
      </w:pPr>
    </w:p>
    <w:p w:rsidR="005236B6" w:rsidRDefault="005236B6" w:rsidP="001C06BD">
      <w:pPr>
        <w:pStyle w:val="Titre2"/>
        <w:spacing w:before="0" w:after="0" w:line="360" w:lineRule="auto"/>
      </w:pPr>
      <w:bookmarkStart w:id="264" w:name="_Toc230558719"/>
      <w:bookmarkStart w:id="265" w:name="_Toc230900353"/>
      <w:bookmarkStart w:id="266" w:name="_Toc230900924"/>
      <w:r w:rsidRPr="00EA0836">
        <w:rPr>
          <w:rStyle w:val="lev"/>
          <w:rFonts w:asciiTheme="majorBidi" w:hAnsiTheme="majorBidi" w:cstheme="majorBidi"/>
          <w:color w:val="000000" w:themeColor="text1"/>
          <w:sz w:val="24"/>
          <w:szCs w:val="24"/>
        </w:rPr>
        <w:lastRenderedPageBreak/>
        <w:t>Section1: Cadre méthodologique de l’étude et présentation de l’entreprise</w:t>
      </w:r>
      <w:r>
        <w:br/>
      </w:r>
      <w:r w:rsidRPr="009A582D">
        <w:rPr>
          <w:rFonts w:asciiTheme="majorBidi" w:hAnsiTheme="majorBidi" w:cstheme="majorBidi"/>
          <w:b/>
          <w:bCs/>
          <w:color w:val="auto"/>
          <w:sz w:val="24"/>
          <w:szCs w:val="24"/>
        </w:rPr>
        <w:t>Introduction</w:t>
      </w:r>
      <w:bookmarkEnd w:id="264"/>
      <w:bookmarkEnd w:id="265"/>
      <w:bookmarkEnd w:id="266"/>
    </w:p>
    <w:p w:rsidR="005236B6" w:rsidRDefault="005236B6" w:rsidP="00D1049F">
      <w:pPr>
        <w:pStyle w:val="NormalWeb"/>
        <w:spacing w:after="0" w:line="360" w:lineRule="auto"/>
        <w:jc w:val="lowKashida"/>
      </w:pPr>
      <w:r>
        <w:t xml:space="preserve">        Cette section est consacrée à la définition du cadre méthodologique adopté par l’étude afin d’aboutir à des résultats objectifs et pertinents. Dans un premier temps, il sera question de préciser la démarche méthodologique suivie, ainsi que les outils de collecte de données util</w:t>
      </w:r>
      <w:r>
        <w:t>i</w:t>
      </w:r>
      <w:r>
        <w:t>sés pour analyser la réalité du marketing des produits biologiques au sein de l’entreprise ét</w:t>
      </w:r>
      <w:r>
        <w:t>u</w:t>
      </w:r>
      <w:r>
        <w:t>diée. Ces outils reposent principalement sur un entretien dirigé réalisé avec le responsable ainsi que certains chefs de services de l’entreprise, en complément d’un questionnaire adm</w:t>
      </w:r>
      <w:r>
        <w:t>i</w:t>
      </w:r>
      <w:r>
        <w:t>nistré à un échantillon de consommateurs. Ces instruments ont permis de recueillir des do</w:t>
      </w:r>
      <w:r>
        <w:t>n</w:t>
      </w:r>
      <w:r>
        <w:t>nées de terrain relatives aux pratiques marketing et d’évaluer leur impact sur la perception du consommateur en matière de sécurité sanitaire des aliments.</w:t>
      </w:r>
      <w:r>
        <w:br/>
        <w:t>Dans un second temps, nous procéderons à la présentation de l’environnement de l’étude, représenté par l’entreprise Dahbia d’huile d’olive, située dans la wilaya de Djelfa. Cette pr</w:t>
      </w:r>
      <w:r>
        <w:t>é</w:t>
      </w:r>
      <w:r>
        <w:t>sentation portera sur son historique, son activité principale dans la production et la comme</w:t>
      </w:r>
      <w:r>
        <w:t>r</w:t>
      </w:r>
      <w:r>
        <w:t>cialisation de l’huile d’olive biologique, ainsi que sur sa structure organisationnelle et les fonctions de ses différents services.</w:t>
      </w:r>
      <w:r w:rsidRPr="00E8150E">
        <w:t xml:space="preserve"> Elle insistera sur l’absence d’un responsable et des chefs de service dans la gestion des activités marketing et de la qualité du produit. Enfin, l’entreprise illustrée reste le cadre d’étude permettant d’analyser la relation entre le marketing des produits biologiques et la perception qu’a le consommateur de la sécurité sanitaire de l’aliment.</w:t>
      </w:r>
    </w:p>
    <w:p w:rsidR="00A737E4" w:rsidRPr="00A737E4" w:rsidRDefault="00A737E4" w:rsidP="00D1049F">
      <w:pPr>
        <w:pStyle w:val="Titre3"/>
        <w:spacing w:after="0" w:line="360" w:lineRule="auto"/>
        <w:jc w:val="lowKashida"/>
        <w:rPr>
          <w:rFonts w:ascii="Times New Roman" w:hAnsi="Times New Roman"/>
          <w:b/>
          <w:bCs/>
          <w:color w:val="auto"/>
          <w:sz w:val="24"/>
          <w:szCs w:val="24"/>
        </w:rPr>
      </w:pPr>
      <w:bookmarkStart w:id="267" w:name="_Toc230558720"/>
      <w:bookmarkStart w:id="268" w:name="_Toc230900354"/>
      <w:r w:rsidRPr="00A737E4">
        <w:rPr>
          <w:rFonts w:ascii="Times New Roman" w:hAnsi="Times New Roman"/>
          <w:b/>
          <w:bCs/>
          <w:color w:val="auto"/>
          <w:sz w:val="24"/>
          <w:szCs w:val="24"/>
        </w:rPr>
        <w:t>1.</w:t>
      </w:r>
      <w:r w:rsidR="005236B6" w:rsidRPr="00A737E4">
        <w:rPr>
          <w:rFonts w:ascii="Times New Roman" w:hAnsi="Times New Roman"/>
          <w:b/>
          <w:bCs/>
          <w:color w:val="auto"/>
          <w:sz w:val="24"/>
          <w:szCs w:val="24"/>
        </w:rPr>
        <w:t>Approche méthodologique et outils de l’étude</w:t>
      </w:r>
      <w:bookmarkEnd w:id="267"/>
      <w:bookmarkEnd w:id="268"/>
    </w:p>
    <w:p w:rsidR="00A737E4" w:rsidRDefault="00A737E4" w:rsidP="00D1049F">
      <w:pPr>
        <w:spacing w:after="0" w:line="360" w:lineRule="auto"/>
        <w:jc w:val="lowKashida"/>
      </w:pPr>
    </w:p>
    <w:p w:rsidR="001C06BD" w:rsidRDefault="003B04F1" w:rsidP="00D1049F">
      <w:pPr>
        <w:pStyle w:val="Titre4"/>
        <w:spacing w:after="0" w:line="360" w:lineRule="auto"/>
        <w:jc w:val="lowKashida"/>
        <w:rPr>
          <w:rFonts w:ascii="Times New Roman" w:hAnsi="Times New Roman"/>
          <w:b/>
          <w:bCs/>
          <w:i w:val="0"/>
          <w:iCs w:val="0"/>
          <w:color w:val="auto"/>
          <w:sz w:val="24"/>
          <w:szCs w:val="24"/>
        </w:rPr>
      </w:pPr>
      <w:bookmarkStart w:id="269" w:name="_Toc230558721"/>
      <w:bookmarkStart w:id="270" w:name="_Toc230900355"/>
      <w:r w:rsidRPr="00A737E4">
        <w:rPr>
          <w:rFonts w:ascii="Times New Roman" w:hAnsi="Times New Roman"/>
          <w:b/>
          <w:bCs/>
          <w:i w:val="0"/>
          <w:iCs w:val="0"/>
          <w:color w:val="auto"/>
          <w:sz w:val="24"/>
          <w:szCs w:val="24"/>
        </w:rPr>
        <w:t>1.1.</w:t>
      </w:r>
      <w:r w:rsidR="005236B6" w:rsidRPr="00A737E4">
        <w:rPr>
          <w:rFonts w:ascii="Times New Roman" w:hAnsi="Times New Roman"/>
          <w:b/>
          <w:bCs/>
          <w:i w:val="0"/>
          <w:iCs w:val="0"/>
          <w:color w:val="auto"/>
          <w:sz w:val="24"/>
          <w:szCs w:val="24"/>
        </w:rPr>
        <w:t>Méthodologie adoptée :</w:t>
      </w:r>
      <w:bookmarkEnd w:id="269"/>
      <w:bookmarkEnd w:id="270"/>
    </w:p>
    <w:p w:rsidR="005236B6" w:rsidRPr="00D1049F" w:rsidRDefault="005236B6" w:rsidP="00D1049F">
      <w:pPr>
        <w:spacing w:after="0" w:line="276" w:lineRule="auto"/>
        <w:jc w:val="both"/>
        <w:rPr>
          <w:rFonts w:asciiTheme="majorBidi" w:hAnsiTheme="majorBidi" w:cstheme="majorBidi"/>
          <w:b/>
          <w:bCs/>
        </w:rPr>
      </w:pPr>
      <w:r w:rsidRPr="00D1049F">
        <w:rPr>
          <w:b/>
          <w:bCs/>
          <w:sz w:val="18"/>
          <w:szCs w:val="18"/>
        </w:rPr>
        <w:br/>
      </w:r>
      <w:r w:rsidRPr="00D1049F">
        <w:rPr>
          <w:rFonts w:asciiTheme="majorBidi" w:hAnsiTheme="majorBidi" w:cstheme="majorBidi"/>
        </w:rPr>
        <w:t>Dans le cadre de cette recherche, et afin de répondre à la problématique formulée comme suit : Quel est le rôle du marketing des produits biologiques dans la sécurité sanitaire des aliments ?, nous avons opté pour une approche descriptive et analytique, jugée la plus appropriée pour étudier les phénomènes marketing, analyser le comportement du consommateur et comprendre les pratiques mises en œuvre au sein de l’entreprise étudiée.</w:t>
      </w:r>
    </w:p>
    <w:p w:rsidR="005236B6" w:rsidRPr="00A737E4" w:rsidRDefault="005236B6" w:rsidP="00D1049F">
      <w:pPr>
        <w:spacing w:after="0" w:line="276" w:lineRule="auto"/>
        <w:jc w:val="both"/>
        <w:rPr>
          <w:rFonts w:ascii="Times New Roman" w:hAnsi="Times New Roman" w:cs="Times New Roman"/>
          <w:sz w:val="24"/>
          <w:szCs w:val="24"/>
        </w:rPr>
      </w:pPr>
      <w:r w:rsidRPr="00D1049F">
        <w:rPr>
          <w:rFonts w:ascii="Times New Roman" w:hAnsi="Times New Roman" w:cs="Times New Roman"/>
        </w:rPr>
        <w:t xml:space="preserve">Cette approche repose sur la description de la réalité du marketing des produits </w:t>
      </w:r>
      <w:r w:rsidRPr="00A737E4">
        <w:rPr>
          <w:rFonts w:ascii="Times New Roman" w:hAnsi="Times New Roman" w:cs="Times New Roman"/>
          <w:sz w:val="24"/>
          <w:szCs w:val="24"/>
        </w:rPr>
        <w:t>biologiques à travers la collecte de données relatives aux méthodes marketing adoptées, suivie de leur analyse afin d’expliquer la relation entre ces pratiques et le niveau de perception du consommateur en matière de sécurité sanitaire des aliments. Elle permet également d’examiner le comportement et les attitudes des consommateurs vis-à-vis des produits biologiques, ainsi que d’évaluer l’influence du marketing sur leurs décisions d’achat et leur confiance dans la qualité et la sécurité de ces produits.</w:t>
      </w:r>
    </w:p>
    <w:p w:rsidR="005236B6" w:rsidRPr="00A737E4" w:rsidRDefault="005236B6" w:rsidP="001C06BD">
      <w:pPr>
        <w:spacing w:after="0" w:line="360" w:lineRule="auto"/>
        <w:jc w:val="lowKashida"/>
        <w:rPr>
          <w:rFonts w:ascii="Times New Roman" w:hAnsi="Times New Roman" w:cs="Times New Roman"/>
          <w:sz w:val="24"/>
          <w:szCs w:val="24"/>
          <w:rtl/>
        </w:rPr>
      </w:pPr>
      <w:r w:rsidRPr="00A737E4">
        <w:rPr>
          <w:rFonts w:ascii="Times New Roman" w:hAnsi="Times New Roman" w:cs="Times New Roman"/>
          <w:sz w:val="24"/>
          <w:szCs w:val="24"/>
        </w:rPr>
        <w:lastRenderedPageBreak/>
        <w:t>Le choix de cette méthodologie vise également à tester les hypothèses principales de la recherche, en mettant en relation les apports théoriques et les résultats empiriques, dans le but d’aboutir à des conclusions scientifiques reflétant le rôle du marketing des produits biologiques dans le renforcement de la sécurité sanitaire des aliments.</w:t>
      </w:r>
    </w:p>
    <w:p w:rsidR="005236B6" w:rsidRPr="00A737E4" w:rsidRDefault="005236B6" w:rsidP="001C06BD">
      <w:pPr>
        <w:spacing w:after="0" w:line="360" w:lineRule="auto"/>
        <w:jc w:val="lowKashida"/>
        <w:rPr>
          <w:rFonts w:ascii="Times New Roman" w:eastAsia="Times New Roman" w:hAnsi="Times New Roman" w:cs="Times New Roman"/>
          <w:sz w:val="24"/>
          <w:szCs w:val="24"/>
          <w:rtl/>
          <w:lang w:eastAsia="fr-FR"/>
        </w:rPr>
      </w:pPr>
      <w:r w:rsidRPr="00A737E4">
        <w:rPr>
          <w:rFonts w:ascii="Times New Roman" w:eastAsia="Times New Roman" w:hAnsi="Times New Roman" w:cs="Times New Roman"/>
          <w:sz w:val="24"/>
          <w:szCs w:val="24"/>
          <w:lang w:eastAsia="fr-FR"/>
        </w:rPr>
        <w:t>Le choix de cette approche méthodologique vise également à tester les hypothèses fondamentales de la recherche, à savoir :</w:t>
      </w:r>
    </w:p>
    <w:p w:rsidR="005236B6" w:rsidRPr="00A737E4" w:rsidRDefault="005236B6" w:rsidP="001C06BD">
      <w:pPr>
        <w:spacing w:line="360" w:lineRule="auto"/>
        <w:rPr>
          <w:rFonts w:ascii="Times New Roman" w:eastAsia="Times New Roman" w:hAnsi="Times New Roman" w:cs="Times New Roman"/>
          <w:sz w:val="24"/>
          <w:szCs w:val="24"/>
          <w:rtl/>
          <w:lang w:eastAsia="fr-FR"/>
        </w:rPr>
      </w:pPr>
      <w:r w:rsidRPr="00A737E4">
        <w:rPr>
          <w:rFonts w:ascii="Times New Roman" w:eastAsia="Times New Roman" w:hAnsi="Times New Roman" w:cs="Times New Roman"/>
          <w:sz w:val="24"/>
          <w:szCs w:val="24"/>
          <w:lang w:eastAsia="fr-FR"/>
        </w:rPr>
        <w:t xml:space="preserve"> L’hypothèse nulle (H0) : Il n’existe pas d’effet statistiquement significatif du marketing des produits biologiques sur la perception de la sécurité sanitaire des aliments ni sur l’intention d’achat du consommateur. </w:t>
      </w:r>
    </w:p>
    <w:p w:rsidR="005236B6" w:rsidRPr="00A737E4" w:rsidRDefault="005236B6" w:rsidP="001C06BD">
      <w:pPr>
        <w:spacing w:line="360" w:lineRule="auto"/>
        <w:rPr>
          <w:rFonts w:ascii="Times New Roman" w:eastAsia="Times New Roman" w:hAnsi="Times New Roman" w:cs="Times New Roman"/>
          <w:sz w:val="24"/>
          <w:szCs w:val="24"/>
          <w:rtl/>
          <w:lang w:eastAsia="fr-FR"/>
        </w:rPr>
      </w:pPr>
      <w:r w:rsidRPr="00A737E4">
        <w:rPr>
          <w:rFonts w:ascii="Times New Roman" w:eastAsia="Times New Roman" w:hAnsi="Times New Roman" w:cs="Times New Roman"/>
          <w:sz w:val="24"/>
          <w:szCs w:val="24"/>
          <w:lang w:eastAsia="fr-FR"/>
        </w:rPr>
        <w:t>L’hypothèse alternative (H1) : Il existe un effet statistiquement significatif du marketing des produits biologiques sur la perception de la sécurité sanitaire des aliments et sur l’intention d’achat du consommateur, de manière directe ou indirecte.</w:t>
      </w:r>
    </w:p>
    <w:p w:rsidR="005236B6" w:rsidRPr="00A737E4" w:rsidRDefault="005236B6" w:rsidP="001C06BD">
      <w:pPr>
        <w:spacing w:line="360" w:lineRule="auto"/>
        <w:rPr>
          <w:rFonts w:ascii="Times New Roman" w:eastAsia="Times New Roman" w:hAnsi="Times New Roman" w:cs="Times New Roman"/>
          <w:sz w:val="24"/>
          <w:szCs w:val="24"/>
          <w:rtl/>
          <w:lang w:eastAsia="fr-FR"/>
        </w:rPr>
      </w:pPr>
      <w:r w:rsidRPr="00A737E4">
        <w:rPr>
          <w:rFonts w:ascii="Times New Roman" w:eastAsia="Times New Roman" w:hAnsi="Times New Roman" w:cs="Times New Roman"/>
          <w:sz w:val="24"/>
          <w:szCs w:val="24"/>
          <w:lang w:eastAsia="fr-FR"/>
        </w:rPr>
        <w:t xml:space="preserve"> Cette recherche repose sur une approche méthodologique combinant les dimensions descriptive et analytique. Elle s’appuie sur l’utilisation d’outils de collecte de données variés, à savoir l’entretien dirigé réalisé avec le responsable ainsi que les chefs de services de l’entreprise, et le questionnaire administré à un échantillon de consommateurs. </w:t>
      </w:r>
    </w:p>
    <w:p w:rsidR="005236B6" w:rsidRPr="00A737E4" w:rsidRDefault="005236B6" w:rsidP="001C06BD">
      <w:pPr>
        <w:spacing w:line="360" w:lineRule="auto"/>
        <w:rPr>
          <w:rFonts w:ascii="Times New Roman" w:eastAsia="Times New Roman" w:hAnsi="Times New Roman" w:cs="Times New Roman"/>
          <w:sz w:val="24"/>
          <w:szCs w:val="24"/>
          <w:rtl/>
          <w:lang w:eastAsia="fr-FR"/>
        </w:rPr>
      </w:pPr>
      <w:r w:rsidRPr="00A737E4">
        <w:rPr>
          <w:rFonts w:ascii="Times New Roman" w:eastAsia="Times New Roman" w:hAnsi="Times New Roman" w:cs="Times New Roman"/>
          <w:sz w:val="24"/>
          <w:szCs w:val="24"/>
          <w:lang w:eastAsia="fr-FR"/>
        </w:rPr>
        <w:t xml:space="preserve">L’approche descriptive permet de présenter de manière précise la réalité du marketing des produits biologiques au sein de l’entreprise étudiée, en mettant en évidence les pratiques et les stratégies adoptées. </w:t>
      </w:r>
    </w:p>
    <w:p w:rsidR="005236B6" w:rsidRPr="00A737E4" w:rsidRDefault="005236B6" w:rsidP="001C06BD">
      <w:pPr>
        <w:spacing w:line="360" w:lineRule="auto"/>
        <w:rPr>
          <w:rFonts w:ascii="Times New Roman" w:eastAsia="Times New Roman" w:hAnsi="Times New Roman" w:cs="Times New Roman"/>
          <w:sz w:val="24"/>
          <w:szCs w:val="24"/>
          <w:rtl/>
          <w:lang w:eastAsia="fr-FR"/>
        </w:rPr>
      </w:pPr>
      <w:r w:rsidRPr="00A737E4">
        <w:rPr>
          <w:rFonts w:ascii="Times New Roman" w:eastAsia="Times New Roman" w:hAnsi="Times New Roman" w:cs="Times New Roman"/>
          <w:sz w:val="24"/>
          <w:szCs w:val="24"/>
          <w:lang w:eastAsia="fr-FR"/>
        </w:rPr>
        <w:t xml:space="preserve">Quant à l’approche analytique, elle vise à interpréter la relation entre ces pratiques marketing et le comportement du consommateur, notamment en ce qui concerne sa perception de la sécurité sanitaire des aliments et son intention d’achat. </w:t>
      </w:r>
    </w:p>
    <w:p w:rsidR="005236B6" w:rsidRPr="00A737E4" w:rsidRDefault="005236B6" w:rsidP="001C06BD">
      <w:pPr>
        <w:spacing w:line="360" w:lineRule="auto"/>
        <w:rPr>
          <w:rFonts w:ascii="Times New Roman" w:eastAsia="Times New Roman" w:hAnsi="Times New Roman" w:cs="Times New Roman"/>
          <w:sz w:val="24"/>
          <w:szCs w:val="24"/>
          <w:rtl/>
          <w:lang w:eastAsia="fr-FR"/>
        </w:rPr>
      </w:pPr>
      <w:r w:rsidRPr="00A737E4">
        <w:rPr>
          <w:rFonts w:ascii="Times New Roman" w:eastAsia="Times New Roman" w:hAnsi="Times New Roman" w:cs="Times New Roman"/>
          <w:sz w:val="24"/>
          <w:szCs w:val="24"/>
          <w:lang w:eastAsia="fr-FR"/>
        </w:rPr>
        <w:t>Par ailleurs, le recours au questionnaire s’inscrit dans une démarche quantitative, dans la mesure où il permet de collecter des données mesurables et exploitables statistiquement, facilitant ainsi le test des hypothèses et la vérification de l’existence de relations significatives entre les variables de l’étude.</w:t>
      </w:r>
    </w:p>
    <w:p w:rsidR="005236B6" w:rsidRPr="00A737E4" w:rsidRDefault="005236B6" w:rsidP="001C06BD">
      <w:pPr>
        <w:spacing w:line="360" w:lineRule="auto"/>
        <w:rPr>
          <w:rFonts w:ascii="Times New Roman" w:eastAsia="Times New Roman" w:hAnsi="Times New Roman" w:cs="Times New Roman"/>
          <w:sz w:val="24"/>
          <w:szCs w:val="24"/>
          <w:lang w:eastAsia="fr-FR"/>
        </w:rPr>
      </w:pPr>
      <w:r w:rsidRPr="00A737E4">
        <w:rPr>
          <w:rFonts w:ascii="Times New Roman" w:eastAsia="Times New Roman" w:hAnsi="Times New Roman" w:cs="Times New Roman"/>
          <w:sz w:val="24"/>
          <w:szCs w:val="24"/>
          <w:lang w:eastAsia="fr-FR"/>
        </w:rPr>
        <w:t xml:space="preserve"> En revanche, l’entretien contribue à enrichir l’analyse en apportant des éléments qualitatifs relatifs aux stratégies marketing mises en œuvre au sein de l’entreprise. Ainsi, la complémentarité entre les approches quantitative et qualitative permet d’assurer une compréhension globale du phénomène étudié, en reliant les fondements théoriques aux </w:t>
      </w:r>
      <w:r w:rsidRPr="00A737E4">
        <w:rPr>
          <w:rFonts w:ascii="Times New Roman" w:eastAsia="Times New Roman" w:hAnsi="Times New Roman" w:cs="Times New Roman"/>
          <w:sz w:val="24"/>
          <w:szCs w:val="24"/>
          <w:lang w:eastAsia="fr-FR"/>
        </w:rPr>
        <w:lastRenderedPageBreak/>
        <w:t>observations empiriques, et en aboutissant à des résultats plus fiables concernant le rôle du marketing des produits biologiques dans le renforcement de la sécurité sanitaire des aliments.</w:t>
      </w:r>
    </w:p>
    <w:p w:rsidR="005236B6" w:rsidRPr="00E06313" w:rsidRDefault="003B04F1" w:rsidP="001C06BD">
      <w:pPr>
        <w:pStyle w:val="Titre4"/>
        <w:spacing w:line="360" w:lineRule="auto"/>
        <w:rPr>
          <w:rFonts w:ascii="Times New Roman" w:hAnsi="Times New Roman"/>
          <w:b/>
          <w:bCs/>
          <w:i w:val="0"/>
          <w:iCs w:val="0"/>
          <w:color w:val="auto"/>
          <w:sz w:val="24"/>
          <w:szCs w:val="24"/>
          <w:rtl/>
          <w:lang w:eastAsia="fr-FR"/>
        </w:rPr>
      </w:pPr>
      <w:bookmarkStart w:id="271" w:name="_Toc230558722"/>
      <w:bookmarkStart w:id="272" w:name="_Toc230900356"/>
      <w:r w:rsidRPr="00E06313">
        <w:rPr>
          <w:rFonts w:ascii="Times New Roman" w:hAnsi="Times New Roman"/>
          <w:b/>
          <w:bCs/>
          <w:i w:val="0"/>
          <w:iCs w:val="0"/>
          <w:color w:val="auto"/>
          <w:sz w:val="24"/>
          <w:szCs w:val="24"/>
        </w:rPr>
        <w:t>1.2. </w:t>
      </w:r>
      <w:r w:rsidR="005236B6" w:rsidRPr="00E06313">
        <w:rPr>
          <w:rFonts w:ascii="Times New Roman" w:hAnsi="Times New Roman"/>
          <w:b/>
          <w:bCs/>
          <w:i w:val="0"/>
          <w:iCs w:val="0"/>
          <w:color w:val="auto"/>
          <w:sz w:val="24"/>
          <w:szCs w:val="24"/>
          <w:lang w:eastAsia="fr-FR"/>
        </w:rPr>
        <w:t>Outils de collecte de données :</w:t>
      </w:r>
      <w:bookmarkEnd w:id="271"/>
      <w:bookmarkEnd w:id="272"/>
    </w:p>
    <w:p w:rsidR="005236B6" w:rsidRDefault="005236B6" w:rsidP="001C06BD">
      <w:pPr>
        <w:spacing w:line="360" w:lineRule="auto"/>
        <w:rPr>
          <w:rFonts w:ascii="Times New Roman" w:eastAsia="Times New Roman" w:hAnsi="Times New Roman" w:cs="Times New Roman"/>
          <w:sz w:val="24"/>
          <w:szCs w:val="24"/>
          <w:rtl/>
          <w:lang w:eastAsia="fr-FR"/>
        </w:rPr>
      </w:pPr>
      <w:r w:rsidRPr="001A6DD5">
        <w:rPr>
          <w:rFonts w:ascii="Times New Roman" w:eastAsia="Times New Roman" w:hAnsi="Times New Roman" w:cs="Times New Roman"/>
          <w:b/>
          <w:bCs/>
          <w:sz w:val="24"/>
          <w:szCs w:val="24"/>
          <w:lang w:eastAsia="fr-FR"/>
        </w:rPr>
        <w:t>Étude de cas :</w:t>
      </w:r>
      <w:r w:rsidRPr="00BB3636">
        <w:rPr>
          <w:rFonts w:ascii="Times New Roman" w:eastAsia="Times New Roman" w:hAnsi="Times New Roman" w:cs="Times New Roman"/>
          <w:sz w:val="24"/>
          <w:szCs w:val="24"/>
          <w:lang w:eastAsia="fr-FR"/>
        </w:rPr>
        <w:t xml:space="preserve"> L’étude de cas constitue l’une des méthodes les plus utilisées dans la recherche, notamment lorsqu’il s’agit de recueillir des informations approfondies et détaillées sur une organisation ou un phénomène spécifique. Le chercheur y recourt lorsqu’il cherche à comprendre ou à expliquer une situation donnée de manière précise, en l’analysant dans son contexte réel. Elle repose sur une démarche d’exploration et de description approfondie des différents aspects de l’objet étudié, ce qui en fait un outil pertinent en sciences de gestion pour appréhender la réalité des pratiques de terrain.</w:t>
      </w:r>
      <w:r>
        <w:rPr>
          <w:rStyle w:val="Appelnotedebasdep"/>
          <w:rFonts w:ascii="Times New Roman" w:hAnsi="Times New Roman"/>
          <w:sz w:val="24"/>
          <w:szCs w:val="24"/>
          <w:lang w:eastAsia="fr-FR"/>
        </w:rPr>
        <w:footnoteReference w:id="238"/>
      </w:r>
    </w:p>
    <w:p w:rsidR="005236B6" w:rsidRDefault="005236B6" w:rsidP="001C06BD">
      <w:pPr>
        <w:spacing w:line="360" w:lineRule="auto"/>
        <w:rPr>
          <w:rFonts w:ascii="Times New Roman" w:eastAsia="Times New Roman" w:hAnsi="Times New Roman" w:cs="Times New Roman"/>
          <w:sz w:val="24"/>
          <w:szCs w:val="24"/>
          <w:rtl/>
          <w:lang w:eastAsia="fr-FR"/>
        </w:rPr>
      </w:pPr>
      <w:r w:rsidRPr="00125B7B">
        <w:rPr>
          <w:rFonts w:ascii="Times New Roman" w:eastAsia="Times New Roman" w:hAnsi="Times New Roman" w:cs="Times New Roman"/>
          <w:b/>
          <w:bCs/>
          <w:sz w:val="24"/>
          <w:szCs w:val="24"/>
          <w:lang w:eastAsia="fr-FR"/>
        </w:rPr>
        <w:t>L’observation</w:t>
      </w:r>
      <w:r w:rsidRPr="00125B7B">
        <w:rPr>
          <w:rFonts w:ascii="Times New Roman" w:eastAsia="Times New Roman" w:hAnsi="Times New Roman" w:cs="Times New Roman"/>
          <w:sz w:val="24"/>
          <w:szCs w:val="24"/>
          <w:lang w:eastAsia="fr-FR"/>
        </w:rPr>
        <w:t xml:space="preserve"> constitue l’un des outils les plus importants et les plus efficaces dans la collecte des informations et des données. En effet, la recherche scientifique accorde une place essentielle à la perception directe des phénomènes à travers la vue et l’observation sur le terrain.</w:t>
      </w:r>
    </w:p>
    <w:p w:rsidR="005236B6" w:rsidRDefault="005236B6" w:rsidP="001C06BD">
      <w:pPr>
        <w:spacing w:after="0" w:line="360" w:lineRule="auto"/>
        <w:rPr>
          <w:rFonts w:ascii="Times New Roman" w:eastAsia="Times New Roman" w:hAnsi="Times New Roman" w:cs="Times New Roman"/>
          <w:sz w:val="24"/>
          <w:szCs w:val="24"/>
          <w:rtl/>
          <w:lang w:eastAsia="fr-FR"/>
        </w:rPr>
      </w:pPr>
      <w:r w:rsidRPr="00734DAA">
        <w:rPr>
          <w:rFonts w:ascii="Times New Roman" w:eastAsia="Times New Roman" w:hAnsi="Times New Roman" w:cs="Times New Roman"/>
          <w:sz w:val="24"/>
          <w:szCs w:val="24"/>
          <w:lang w:eastAsia="fr-FR"/>
        </w:rPr>
        <w:t>L’observation scientifique est considérée comme un instrument méthodologique permettant au chercheur de mettre en évidence les détails des phénomènes étudiés et d’explorer les relations existant entre leurs différents éléments. Le chercheur n’adopte pas une perception passive ou fortuite des faits, mais exerce une attention intentionnelle et systématique.</w:t>
      </w:r>
      <w:r>
        <w:rPr>
          <w:rStyle w:val="Appelnotedebasdep"/>
          <w:rFonts w:ascii="Times New Roman" w:hAnsi="Times New Roman"/>
          <w:sz w:val="24"/>
          <w:szCs w:val="24"/>
          <w:lang w:eastAsia="fr-FR"/>
        </w:rPr>
        <w:footnoteReference w:id="239"/>
      </w:r>
      <w:r w:rsidRPr="00734DAA">
        <w:rPr>
          <w:rFonts w:ascii="Times New Roman" w:eastAsia="Times New Roman" w:hAnsi="Times New Roman" w:cs="Times New Roman"/>
          <w:sz w:val="24"/>
          <w:szCs w:val="24"/>
          <w:lang w:eastAsia="fr-FR"/>
        </w:rPr>
        <w:t xml:space="preserve"> Il s’agit ainsi d’un processus de surveillance ciblée des comportements et des pratiques, qui sont ensuite analysés et interprétés à la lumière de l’expérience du chercheur afin de mieux comprendre la réalité étudiée.</w:t>
      </w:r>
      <w:r>
        <w:rPr>
          <w:rStyle w:val="Appelnotedebasdep"/>
          <w:rFonts w:ascii="Times New Roman" w:hAnsi="Times New Roman"/>
          <w:sz w:val="24"/>
          <w:szCs w:val="24"/>
          <w:lang w:eastAsia="fr-FR"/>
        </w:rPr>
        <w:footnoteReference w:id="240"/>
      </w:r>
    </w:p>
    <w:p w:rsidR="005236B6" w:rsidRPr="001E0AD4" w:rsidRDefault="005236B6" w:rsidP="001C06BD">
      <w:pPr>
        <w:spacing w:after="0" w:line="360" w:lineRule="auto"/>
        <w:rPr>
          <w:rFonts w:ascii="Times New Roman" w:eastAsia="Times New Roman" w:hAnsi="Times New Roman" w:cs="Times New Roman"/>
          <w:sz w:val="24"/>
          <w:szCs w:val="24"/>
          <w:lang w:eastAsia="fr-FR"/>
        </w:rPr>
      </w:pPr>
      <w:r w:rsidRPr="001E0AD4">
        <w:rPr>
          <w:rFonts w:ascii="Times New Roman" w:eastAsia="Times New Roman" w:hAnsi="Times New Roman" w:cs="Times New Roman"/>
          <w:sz w:val="24"/>
          <w:szCs w:val="24"/>
          <w:lang w:eastAsia="fr-FR"/>
        </w:rPr>
        <w:t>Dans le cadre de notre étude de terrain au sein de l’entreprise Dahbia d’huile d’olive à Djelfa, cet outil a été mobilisé afin de collecter des données concrètes et de relever des observations sur le terrain, ce qui a contribué à renforcer la fiabilité des résultats obtenus, notamment en ce qui concerne les pratiques de marketing des produits biologiques et leur impact sur la perception du consommateur.</w:t>
      </w:r>
    </w:p>
    <w:p w:rsidR="005236B6" w:rsidRPr="00FF4448" w:rsidRDefault="005236B6" w:rsidP="00D1049F">
      <w:pPr>
        <w:spacing w:after="0" w:line="360" w:lineRule="auto"/>
        <w:jc w:val="both"/>
        <w:rPr>
          <w:rFonts w:ascii="Times New Roman" w:eastAsia="Times New Roman" w:hAnsi="Times New Roman" w:cs="Times New Roman"/>
          <w:sz w:val="24"/>
          <w:szCs w:val="24"/>
          <w:lang w:eastAsia="fr-FR"/>
        </w:rPr>
      </w:pPr>
      <w:r w:rsidRPr="001E0AD4">
        <w:rPr>
          <w:rFonts w:ascii="Times New Roman" w:eastAsia="Times New Roman" w:hAnsi="Times New Roman" w:cs="Times New Roman"/>
          <w:sz w:val="24"/>
          <w:szCs w:val="24"/>
          <w:lang w:eastAsia="fr-FR"/>
        </w:rPr>
        <w:lastRenderedPageBreak/>
        <w:t>L’observation est également utilisée dans cette recherche afin de vérifier et de recouper les informations obtenues à travers les autres outils, notamment l’entretien et le questionnaire. En effet, certaines informations non exprimées directement par les enquêtés peuvent être révélées à travers l’observation des pratiques, des comportements et des procédures sur le terrain.</w:t>
      </w:r>
    </w:p>
    <w:p w:rsidR="005236B6" w:rsidRPr="00915E07" w:rsidRDefault="005236B6" w:rsidP="00D1049F">
      <w:pPr>
        <w:spacing w:after="0" w:line="360" w:lineRule="auto"/>
        <w:jc w:val="both"/>
        <w:rPr>
          <w:rFonts w:ascii="Times New Roman" w:eastAsia="Times New Roman" w:hAnsi="Times New Roman" w:cs="Times New Roman"/>
          <w:sz w:val="24"/>
          <w:szCs w:val="24"/>
          <w:lang w:eastAsia="fr-FR"/>
        </w:rPr>
      </w:pPr>
      <w:r w:rsidRPr="00915E07">
        <w:rPr>
          <w:rFonts w:ascii="Times New Roman" w:eastAsia="Times New Roman" w:hAnsi="Times New Roman" w:cs="Times New Roman"/>
          <w:b/>
          <w:bCs/>
          <w:sz w:val="24"/>
          <w:szCs w:val="24"/>
          <w:lang w:eastAsia="fr-FR"/>
        </w:rPr>
        <w:t>Le questionnaire</w:t>
      </w:r>
      <w:r>
        <w:rPr>
          <w:rFonts w:ascii="Times New Roman" w:eastAsia="Times New Roman" w:hAnsi="Times New Roman" w:cs="Times New Roman"/>
          <w:sz w:val="24"/>
          <w:szCs w:val="24"/>
          <w:lang w:eastAsia="fr-FR"/>
        </w:rPr>
        <w:t xml:space="preserve"> : </w:t>
      </w:r>
      <w:r w:rsidRPr="00915E07">
        <w:rPr>
          <w:rFonts w:ascii="Times New Roman" w:eastAsia="Times New Roman" w:hAnsi="Times New Roman" w:cs="Times New Roman"/>
          <w:sz w:val="24"/>
          <w:szCs w:val="24"/>
          <w:lang w:eastAsia="fr-FR"/>
        </w:rPr>
        <w:t>est défini comme une série structurée de questions standardisées, auxquelles l’enquêté répond dans un cadre limité et préétabli. Cette définition souligne son caractère encadré, pouvant parfois restreindre sa flexibilité en tant qu’outil d’investigation.</w:t>
      </w:r>
    </w:p>
    <w:p w:rsidR="005236B6" w:rsidRPr="00BB3636" w:rsidRDefault="005236B6" w:rsidP="00D1049F">
      <w:pPr>
        <w:spacing w:after="0" w:line="360" w:lineRule="auto"/>
        <w:jc w:val="both"/>
        <w:rPr>
          <w:rFonts w:ascii="Times New Roman" w:eastAsia="Times New Roman" w:hAnsi="Times New Roman" w:cs="Times New Roman"/>
          <w:sz w:val="24"/>
          <w:szCs w:val="24"/>
          <w:lang w:eastAsia="fr-FR"/>
        </w:rPr>
      </w:pPr>
      <w:r w:rsidRPr="00915E07">
        <w:rPr>
          <w:rFonts w:ascii="Times New Roman" w:eastAsia="Times New Roman" w:hAnsi="Times New Roman" w:cs="Times New Roman"/>
          <w:sz w:val="24"/>
          <w:szCs w:val="24"/>
          <w:lang w:eastAsia="fr-FR"/>
        </w:rPr>
        <w:t>Il constitue néanmoins une méthode essentielle de collecte de données, notamment pour analyser les attitudes et les opinions. Administré sous forme directe ou postale, il repose sur une organisation structurée et vise un échantillon déterminé, afin d’assurer la représentativité des résultats.</w:t>
      </w:r>
    </w:p>
    <w:p w:rsidR="005236B6" w:rsidRPr="00432501" w:rsidRDefault="005236B6" w:rsidP="00D1049F">
      <w:pPr>
        <w:spacing w:after="0" w:line="360" w:lineRule="auto"/>
        <w:jc w:val="both"/>
        <w:rPr>
          <w:rFonts w:ascii="Times New Roman" w:eastAsia="Times New Roman" w:hAnsi="Times New Roman" w:cs="Times New Roman"/>
          <w:sz w:val="24"/>
          <w:szCs w:val="24"/>
          <w:lang w:eastAsia="fr-FR"/>
        </w:rPr>
      </w:pPr>
      <w:r w:rsidRPr="00432501">
        <w:rPr>
          <w:rFonts w:ascii="Times New Roman" w:eastAsia="Times New Roman" w:hAnsi="Times New Roman" w:cs="Times New Roman"/>
          <w:sz w:val="24"/>
          <w:szCs w:val="24"/>
          <w:lang w:eastAsia="fr-FR"/>
        </w:rPr>
        <w:t>Il constitue néanmoins une méthode essentielle de collecte de données, notamment pour analyser les attitudes et les opinions. Administré sous forme directe ou postale, il repose sur une organisation structurée et vise un échantillon déterminé, afin d’assurer la représentativité des résultats.</w:t>
      </w:r>
      <w:r>
        <w:rPr>
          <w:rStyle w:val="Appelnotedebasdep"/>
          <w:rFonts w:ascii="Times New Roman" w:hAnsi="Times New Roman"/>
          <w:sz w:val="24"/>
          <w:szCs w:val="24"/>
          <w:lang w:eastAsia="fr-FR"/>
        </w:rPr>
        <w:footnoteReference w:id="241"/>
      </w:r>
    </w:p>
    <w:p w:rsidR="005236B6" w:rsidRPr="00543FFB" w:rsidRDefault="005236B6" w:rsidP="00D1049F">
      <w:pPr>
        <w:spacing w:after="0" w:line="360" w:lineRule="auto"/>
        <w:jc w:val="both"/>
        <w:rPr>
          <w:rFonts w:ascii="Times New Roman" w:eastAsia="Times New Roman" w:hAnsi="Times New Roman" w:cs="Times New Roman"/>
          <w:sz w:val="24"/>
          <w:szCs w:val="24"/>
          <w:lang w:eastAsia="fr-FR"/>
        </w:rPr>
      </w:pPr>
      <w:r w:rsidRPr="00543FFB">
        <w:rPr>
          <w:rFonts w:ascii="Times New Roman" w:eastAsia="Times New Roman" w:hAnsi="Times New Roman" w:cs="Times New Roman"/>
          <w:sz w:val="24"/>
          <w:szCs w:val="24"/>
          <w:lang w:eastAsia="fr-FR"/>
        </w:rPr>
        <w:t>Dans le cadre de notre étude, le questionnaire a été administré à un échantillon de consommateurs afin de recueillir des données relatives à leur perception des produits biologiques, notamment en matière de sécurité sanitaire des aliments, ainsi qu’à leur comportement et leur intention d’achat.</w:t>
      </w:r>
    </w:p>
    <w:p w:rsidR="005236B6" w:rsidRPr="00AB0E9A" w:rsidRDefault="005236B6" w:rsidP="00D1049F">
      <w:pPr>
        <w:spacing w:after="0" w:line="360" w:lineRule="auto"/>
        <w:jc w:val="both"/>
        <w:rPr>
          <w:rFonts w:ascii="Times New Roman" w:eastAsia="Times New Roman" w:hAnsi="Times New Roman" w:cs="Times New Roman"/>
          <w:sz w:val="24"/>
          <w:szCs w:val="24"/>
          <w:lang w:eastAsia="fr-FR"/>
        </w:rPr>
      </w:pPr>
      <w:r w:rsidRPr="00AB0E9A">
        <w:rPr>
          <w:rFonts w:ascii="Times New Roman" w:eastAsia="Times New Roman" w:hAnsi="Times New Roman" w:cs="Times New Roman"/>
          <w:sz w:val="24"/>
          <w:szCs w:val="24"/>
          <w:lang w:eastAsia="fr-FR"/>
        </w:rPr>
        <w:t>Il a été conçu de manière à couvrir les différentes variables de la recherche, en mettant l’accent sur l’influence du marketing des produits biologiques sur la perception du consommateur et sur ses décisions d’achat. Ainsi, les données collectées permettent une analyse statistique visant à tester les hypothèses et à déterminer la relation entre les variables étudiées.</w:t>
      </w:r>
    </w:p>
    <w:p w:rsidR="005236B6" w:rsidRDefault="005236B6" w:rsidP="00D1049F">
      <w:pPr>
        <w:spacing w:after="0" w:line="360" w:lineRule="auto"/>
        <w:jc w:val="both"/>
        <w:rPr>
          <w:rFonts w:ascii="Times New Roman" w:eastAsia="Times New Roman" w:hAnsi="Times New Roman" w:cs="Times New Roman"/>
          <w:sz w:val="24"/>
          <w:szCs w:val="24"/>
          <w:lang w:eastAsia="fr-FR"/>
        </w:rPr>
      </w:pPr>
      <w:r w:rsidRPr="00145F2E">
        <w:rPr>
          <w:rFonts w:ascii="Times New Roman" w:eastAsia="Times New Roman" w:hAnsi="Times New Roman" w:cs="Times New Roman"/>
          <w:b/>
          <w:bCs/>
          <w:sz w:val="24"/>
          <w:szCs w:val="24"/>
          <w:lang w:eastAsia="fr-FR"/>
        </w:rPr>
        <w:t>L’entretien</w:t>
      </w:r>
      <w:r w:rsidR="00A216AA">
        <w:rPr>
          <w:rFonts w:ascii="Times New Roman" w:eastAsia="Times New Roman" w:hAnsi="Times New Roman" w:cs="Times New Roman"/>
          <w:sz w:val="24"/>
          <w:szCs w:val="24"/>
          <w:lang w:eastAsia="fr-FR"/>
        </w:rPr>
        <w:t xml:space="preserve"> : constitue</w:t>
      </w:r>
      <w:r w:rsidRPr="00145F2E">
        <w:rPr>
          <w:rFonts w:ascii="Times New Roman" w:eastAsia="Times New Roman" w:hAnsi="Times New Roman" w:cs="Times New Roman"/>
          <w:sz w:val="24"/>
          <w:szCs w:val="24"/>
          <w:lang w:eastAsia="fr-FR"/>
        </w:rPr>
        <w:t xml:space="preserve"> un outil méthodologique essentiel </w:t>
      </w:r>
      <w:r>
        <w:rPr>
          <w:rStyle w:val="Appelnotedebasdep"/>
          <w:rFonts w:ascii="Times New Roman" w:hAnsi="Times New Roman"/>
          <w:sz w:val="24"/>
          <w:szCs w:val="24"/>
          <w:lang w:eastAsia="fr-FR"/>
        </w:rPr>
        <w:footnoteReference w:id="242"/>
      </w:r>
      <w:r w:rsidRPr="00145F2E">
        <w:rPr>
          <w:rFonts w:ascii="Times New Roman" w:eastAsia="Times New Roman" w:hAnsi="Times New Roman" w:cs="Times New Roman"/>
          <w:sz w:val="24"/>
          <w:szCs w:val="24"/>
          <w:lang w:eastAsia="fr-FR"/>
        </w:rPr>
        <w:t>dans la collecte des données. Il s’est développé au fil du temps pour devenir une méthode scientifique permettant de recueillir des informations précises auprès des individus et des groupes</w:t>
      </w:r>
      <w:r>
        <w:rPr>
          <w:rStyle w:val="Appelnotedebasdep"/>
          <w:rFonts w:ascii="Times New Roman" w:hAnsi="Times New Roman"/>
          <w:sz w:val="24"/>
          <w:szCs w:val="24"/>
          <w:lang w:eastAsia="fr-FR"/>
        </w:rPr>
        <w:footnoteReference w:id="243"/>
      </w:r>
      <w:r w:rsidRPr="00145F2E">
        <w:rPr>
          <w:rFonts w:ascii="Times New Roman" w:eastAsia="Times New Roman" w:hAnsi="Times New Roman" w:cs="Times New Roman"/>
          <w:sz w:val="24"/>
          <w:szCs w:val="24"/>
          <w:lang w:eastAsia="fr-FR"/>
        </w:rPr>
        <w:t xml:space="preserve">. Il permet au chercheur </w:t>
      </w:r>
      <w:r w:rsidRPr="00145F2E">
        <w:rPr>
          <w:rFonts w:ascii="Times New Roman" w:eastAsia="Times New Roman" w:hAnsi="Times New Roman" w:cs="Times New Roman"/>
          <w:sz w:val="24"/>
          <w:szCs w:val="24"/>
          <w:lang w:eastAsia="fr-FR"/>
        </w:rPr>
        <w:lastRenderedPageBreak/>
        <w:t>d’obtenir des données nécessaires pour répondre aux questions de recherche et tester les hypothèses formulées.</w:t>
      </w:r>
      <w:r>
        <w:rPr>
          <w:rStyle w:val="Appelnotedebasdep"/>
          <w:rFonts w:ascii="Times New Roman" w:hAnsi="Times New Roman"/>
          <w:sz w:val="24"/>
          <w:szCs w:val="24"/>
          <w:lang w:eastAsia="fr-FR"/>
        </w:rPr>
        <w:footnoteReference w:id="244"/>
      </w:r>
    </w:p>
    <w:p w:rsidR="005236B6" w:rsidRPr="00A6310B" w:rsidRDefault="005236B6" w:rsidP="00D1049F">
      <w:pPr>
        <w:spacing w:after="0" w:line="360" w:lineRule="auto"/>
        <w:jc w:val="both"/>
        <w:rPr>
          <w:rFonts w:ascii="Times New Roman" w:eastAsia="Times New Roman" w:hAnsi="Times New Roman" w:cs="Times New Roman"/>
          <w:color w:val="FF0000"/>
          <w:sz w:val="24"/>
          <w:szCs w:val="24"/>
          <w:lang w:eastAsia="fr-FR"/>
        </w:rPr>
      </w:pPr>
      <w:r w:rsidRPr="00CD478F">
        <w:rPr>
          <w:rFonts w:ascii="Times New Roman" w:eastAsia="Times New Roman" w:hAnsi="Times New Roman" w:cs="Times New Roman"/>
          <w:sz w:val="24"/>
          <w:szCs w:val="24"/>
          <w:lang w:eastAsia="fr-FR"/>
        </w:rPr>
        <w:t>On classe traditionnellement les entretiens en trois catégories : l’entretien directif, l’entretien semi-directif et l’entretien non directif. Dans notre recherche, nous avons retenu l’entretien semi-directif qui, par un travail préliminaire de questions du chercheur, laisse le champ d’investigation ouvert à une certaine liberté dans les réponses des enquêtés.</w:t>
      </w:r>
    </w:p>
    <w:p w:rsidR="005236B6" w:rsidRDefault="005236B6" w:rsidP="00D1049F">
      <w:pPr>
        <w:spacing w:after="0" w:line="360" w:lineRule="auto"/>
        <w:jc w:val="both"/>
        <w:rPr>
          <w:rFonts w:ascii="Times New Roman" w:eastAsia="Times New Roman" w:hAnsi="Times New Roman" w:cs="Times New Roman"/>
          <w:sz w:val="24"/>
          <w:szCs w:val="24"/>
          <w:lang w:eastAsia="fr-FR"/>
        </w:rPr>
      </w:pPr>
      <w:r w:rsidRPr="00145F2E">
        <w:rPr>
          <w:rFonts w:ascii="Times New Roman" w:eastAsia="Times New Roman" w:hAnsi="Times New Roman" w:cs="Times New Roman"/>
          <w:sz w:val="24"/>
          <w:szCs w:val="24"/>
          <w:lang w:eastAsia="fr-FR"/>
        </w:rPr>
        <w:t xml:space="preserve"> Ce type d’entretien permet au chercheur d’approfondir les échanges en adaptant les questions en fonction du déroulement de la discussion, tout en respectant un guide d’entretien préalablement élaboré. Il nécessite ainsi une formulation claire et pertinente des questions afin de favoriser l’interaction et d’obtenir des données qualitatives riches. </w:t>
      </w:r>
      <w:r>
        <w:rPr>
          <w:rStyle w:val="Appelnotedebasdep"/>
          <w:rFonts w:ascii="Times New Roman" w:hAnsi="Times New Roman"/>
          <w:sz w:val="24"/>
          <w:szCs w:val="24"/>
          <w:lang w:eastAsia="fr-FR"/>
        </w:rPr>
        <w:footnoteReference w:id="245"/>
      </w:r>
    </w:p>
    <w:p w:rsidR="005236B6" w:rsidRPr="0010547C" w:rsidRDefault="005236B6" w:rsidP="00D1049F">
      <w:pPr>
        <w:spacing w:after="0" w:line="360" w:lineRule="auto"/>
        <w:jc w:val="both"/>
        <w:rPr>
          <w:rFonts w:ascii="Times New Roman" w:eastAsia="Times New Roman" w:hAnsi="Times New Roman" w:cs="Times New Roman"/>
          <w:sz w:val="24"/>
          <w:szCs w:val="24"/>
          <w:lang w:eastAsia="fr-FR"/>
        </w:rPr>
      </w:pPr>
      <w:r w:rsidRPr="00145F2E">
        <w:rPr>
          <w:rFonts w:ascii="Times New Roman" w:eastAsia="Times New Roman" w:hAnsi="Times New Roman" w:cs="Times New Roman"/>
          <w:sz w:val="24"/>
          <w:szCs w:val="24"/>
          <w:lang w:eastAsia="fr-FR"/>
        </w:rPr>
        <w:t>Ces entretiens ont été réalisés avec le responsable ainsi que certains chefs de services de l’entreprise Dahbia d’huile d’olive, dans le but de recueillir des informations sur les pratiques de marketing des produits biologiques et de mieux comprendre leur rôle dans l’influence de la perception du consommateur en matière de sécurité sanitaire des aliments.</w:t>
      </w:r>
    </w:p>
    <w:p w:rsidR="005236B6" w:rsidRDefault="005236B6" w:rsidP="00D1049F">
      <w:pPr>
        <w:spacing w:after="0" w:line="360" w:lineRule="auto"/>
        <w:jc w:val="both"/>
        <w:rPr>
          <w:rFonts w:ascii="Times New Roman" w:eastAsia="Times New Roman" w:hAnsi="Times New Roman" w:cs="Times New Roman"/>
          <w:sz w:val="24"/>
          <w:szCs w:val="24"/>
          <w:rtl/>
          <w:lang w:eastAsia="fr-FR"/>
        </w:rPr>
      </w:pPr>
      <w:r w:rsidRPr="0010547C">
        <w:rPr>
          <w:rFonts w:ascii="Times New Roman" w:eastAsia="Times New Roman" w:hAnsi="Times New Roman" w:cs="Times New Roman"/>
          <w:sz w:val="24"/>
          <w:szCs w:val="24"/>
          <w:lang w:eastAsia="fr-FR"/>
        </w:rPr>
        <w:t>Afin d’obtenir des informations pertinentes et utiles sur les pratiques de marketing des produits biologiques au sein de l’entreprise, ainsi que de comprendre leur rôle dans l’influence de la perception du consommateur en matière de sécurité sanitaire des aliments, nous avons élaboré un guide d’entretien (voir annexe 01). Pour ce faire, ce guide d’entretien comprenait un ensemble de questions clés portant sur les différentes stratégies marketing adoptées, les moyens de promotion, ainsi que l’importance accordée à la qualité du produit et au renforcement de la confiance des consommateurs. La durée des entretiens de terrain a varié entre une heure</w:t>
      </w:r>
      <w:r>
        <w:rPr>
          <w:rFonts w:ascii="Times New Roman" w:eastAsia="Times New Roman" w:hAnsi="Times New Roman" w:cs="Times New Roman"/>
          <w:sz w:val="24"/>
          <w:szCs w:val="24"/>
          <w:lang w:eastAsia="fr-FR"/>
        </w:rPr>
        <w:t xml:space="preserve"> et 2h et demi </w:t>
      </w:r>
      <w:r w:rsidRPr="0010547C">
        <w:rPr>
          <w:rFonts w:ascii="Times New Roman" w:eastAsia="Times New Roman" w:hAnsi="Times New Roman" w:cs="Times New Roman"/>
          <w:sz w:val="24"/>
          <w:szCs w:val="24"/>
          <w:lang w:eastAsia="fr-FR"/>
        </w:rPr>
        <w:t>, comme indiqué dans le tableau ci-dessous</w:t>
      </w:r>
      <w:r>
        <w:rPr>
          <w:rFonts w:ascii="Times New Roman" w:eastAsia="Times New Roman" w:hAnsi="Times New Roman" w:cs="Times New Roman"/>
          <w:sz w:val="24"/>
          <w:szCs w:val="24"/>
          <w:lang w:eastAsia="fr-FR"/>
        </w:rPr>
        <w:t xml:space="preserve"> : </w:t>
      </w:r>
    </w:p>
    <w:p w:rsidR="00D1049F" w:rsidRDefault="00D1049F" w:rsidP="00D1049F">
      <w:pPr>
        <w:spacing w:after="0" w:line="360" w:lineRule="auto"/>
        <w:jc w:val="both"/>
        <w:rPr>
          <w:rFonts w:ascii="Times New Roman" w:eastAsia="Times New Roman" w:hAnsi="Times New Roman" w:cs="Times New Roman"/>
          <w:sz w:val="24"/>
          <w:szCs w:val="24"/>
          <w:rtl/>
          <w:lang w:eastAsia="fr-FR"/>
        </w:rPr>
      </w:pPr>
    </w:p>
    <w:p w:rsidR="00D1049F" w:rsidRDefault="00D1049F" w:rsidP="00D1049F">
      <w:pPr>
        <w:spacing w:after="0" w:line="360" w:lineRule="auto"/>
        <w:jc w:val="both"/>
        <w:rPr>
          <w:rFonts w:ascii="Times New Roman" w:eastAsia="Times New Roman" w:hAnsi="Times New Roman" w:cs="Times New Roman"/>
          <w:sz w:val="24"/>
          <w:szCs w:val="24"/>
          <w:rtl/>
          <w:lang w:eastAsia="fr-FR"/>
        </w:rPr>
      </w:pPr>
    </w:p>
    <w:p w:rsidR="00D1049F" w:rsidRDefault="00D1049F" w:rsidP="00D1049F">
      <w:pPr>
        <w:spacing w:after="0" w:line="360" w:lineRule="auto"/>
        <w:jc w:val="both"/>
        <w:rPr>
          <w:rFonts w:ascii="Times New Roman" w:eastAsia="Times New Roman" w:hAnsi="Times New Roman" w:cs="Times New Roman"/>
          <w:sz w:val="24"/>
          <w:szCs w:val="24"/>
          <w:rtl/>
          <w:lang w:eastAsia="fr-FR"/>
        </w:rPr>
      </w:pPr>
    </w:p>
    <w:p w:rsidR="00D1049F" w:rsidRDefault="00D1049F" w:rsidP="00D1049F">
      <w:pPr>
        <w:spacing w:after="0" w:line="360" w:lineRule="auto"/>
        <w:jc w:val="both"/>
        <w:rPr>
          <w:rFonts w:ascii="Times New Roman" w:eastAsia="Times New Roman" w:hAnsi="Times New Roman" w:cs="Times New Roman"/>
          <w:sz w:val="24"/>
          <w:szCs w:val="24"/>
          <w:rtl/>
          <w:lang w:eastAsia="fr-FR"/>
        </w:rPr>
      </w:pPr>
    </w:p>
    <w:p w:rsidR="00D1049F" w:rsidRDefault="00D1049F" w:rsidP="00D1049F">
      <w:pPr>
        <w:spacing w:after="0" w:line="360" w:lineRule="auto"/>
        <w:jc w:val="both"/>
        <w:rPr>
          <w:rFonts w:ascii="Times New Roman" w:eastAsia="Times New Roman" w:hAnsi="Times New Roman" w:cs="Times New Roman"/>
          <w:sz w:val="24"/>
          <w:szCs w:val="24"/>
          <w:rtl/>
          <w:lang w:eastAsia="fr-FR"/>
        </w:rPr>
      </w:pPr>
    </w:p>
    <w:p w:rsidR="00D1049F" w:rsidRDefault="00D1049F" w:rsidP="00D1049F">
      <w:pPr>
        <w:spacing w:after="0" w:line="360" w:lineRule="auto"/>
        <w:jc w:val="both"/>
        <w:rPr>
          <w:rFonts w:ascii="Times New Roman" w:eastAsia="Times New Roman" w:hAnsi="Times New Roman" w:cs="Times New Roman"/>
          <w:sz w:val="24"/>
          <w:szCs w:val="24"/>
          <w:lang w:eastAsia="fr-FR"/>
        </w:rPr>
      </w:pPr>
    </w:p>
    <w:p w:rsidR="00EA0836" w:rsidRDefault="00EA0836" w:rsidP="00F7493D">
      <w:pPr>
        <w:pStyle w:val="Lgende"/>
        <w:spacing w:after="0" w:line="360" w:lineRule="auto"/>
        <w:jc w:val="lowKashida"/>
        <w:rPr>
          <w:rFonts w:ascii="Times New Roman" w:eastAsia="Times New Roman" w:hAnsi="Times New Roman" w:cs="Times New Roman"/>
          <w:sz w:val="24"/>
          <w:szCs w:val="24"/>
          <w:lang w:eastAsia="fr-FR"/>
        </w:rPr>
      </w:pPr>
      <w:bookmarkStart w:id="273" w:name="_Toc230400749"/>
      <w:r w:rsidRPr="00EA0836">
        <w:rPr>
          <w:rFonts w:asciiTheme="majorBidi" w:eastAsia="Calibri" w:hAnsiTheme="majorBidi" w:cstheme="majorBidi"/>
          <w:b/>
          <w:bCs/>
          <w:i w:val="0"/>
          <w:iCs w:val="0"/>
          <w:color w:val="000000"/>
          <w:kern w:val="3"/>
          <w:sz w:val="24"/>
          <w:szCs w:val="24"/>
        </w:rPr>
        <w:lastRenderedPageBreak/>
        <w:t xml:space="preserve">Tableau </w:t>
      </w:r>
      <w:r w:rsidR="007B5998" w:rsidRPr="00EA0836">
        <w:rPr>
          <w:rFonts w:asciiTheme="majorBidi" w:eastAsia="Calibri" w:hAnsiTheme="majorBidi" w:cstheme="majorBidi"/>
          <w:b/>
          <w:bCs/>
          <w:i w:val="0"/>
          <w:iCs w:val="0"/>
          <w:color w:val="000000"/>
          <w:kern w:val="3"/>
          <w:sz w:val="24"/>
          <w:szCs w:val="24"/>
        </w:rPr>
        <w:fldChar w:fldCharType="begin"/>
      </w:r>
      <w:r w:rsidRPr="00EA0836">
        <w:rPr>
          <w:rFonts w:asciiTheme="majorBidi" w:eastAsia="Calibri" w:hAnsiTheme="majorBidi" w:cstheme="majorBidi"/>
          <w:b/>
          <w:bCs/>
          <w:i w:val="0"/>
          <w:iCs w:val="0"/>
          <w:color w:val="000000"/>
          <w:kern w:val="3"/>
          <w:sz w:val="24"/>
          <w:szCs w:val="24"/>
        </w:rPr>
        <w:instrText xml:space="preserve"> SEQ Tableau \* ARABIC </w:instrText>
      </w:r>
      <w:r w:rsidR="007B5998" w:rsidRPr="00EA0836">
        <w:rPr>
          <w:rFonts w:asciiTheme="majorBidi" w:eastAsia="Calibri" w:hAnsiTheme="majorBidi" w:cstheme="majorBidi"/>
          <w:b/>
          <w:bCs/>
          <w:i w:val="0"/>
          <w:iCs w:val="0"/>
          <w:color w:val="000000"/>
          <w:kern w:val="3"/>
          <w:sz w:val="24"/>
          <w:szCs w:val="24"/>
        </w:rPr>
        <w:fldChar w:fldCharType="separate"/>
      </w:r>
      <w:r w:rsidR="00515B25">
        <w:rPr>
          <w:rFonts w:asciiTheme="majorBidi" w:eastAsia="Calibri" w:hAnsiTheme="majorBidi" w:cstheme="majorBidi"/>
          <w:b/>
          <w:bCs/>
          <w:i w:val="0"/>
          <w:iCs w:val="0"/>
          <w:noProof/>
          <w:color w:val="000000"/>
          <w:kern w:val="3"/>
          <w:sz w:val="24"/>
          <w:szCs w:val="24"/>
        </w:rPr>
        <w:t>11</w:t>
      </w:r>
      <w:r w:rsidR="007B5998" w:rsidRPr="00EA0836">
        <w:rPr>
          <w:rFonts w:asciiTheme="majorBidi" w:eastAsia="Calibri" w:hAnsiTheme="majorBidi" w:cstheme="majorBidi"/>
          <w:b/>
          <w:bCs/>
          <w:i w:val="0"/>
          <w:iCs w:val="0"/>
          <w:color w:val="000000"/>
          <w:kern w:val="3"/>
          <w:sz w:val="24"/>
          <w:szCs w:val="24"/>
        </w:rPr>
        <w:fldChar w:fldCharType="end"/>
      </w:r>
      <w:r w:rsidRPr="00EA0836">
        <w:rPr>
          <w:rFonts w:asciiTheme="majorBidi" w:eastAsia="Calibri" w:hAnsiTheme="majorBidi" w:cstheme="majorBidi"/>
          <w:b/>
          <w:bCs/>
          <w:i w:val="0"/>
          <w:iCs w:val="0"/>
          <w:color w:val="000000"/>
          <w:kern w:val="3"/>
          <w:sz w:val="24"/>
          <w:szCs w:val="24"/>
        </w:rPr>
        <w:t xml:space="preserve"> : </w:t>
      </w:r>
      <w:r w:rsidRPr="00EA0836">
        <w:rPr>
          <w:rFonts w:asciiTheme="majorBidi" w:eastAsia="Calibri" w:hAnsiTheme="majorBidi" w:cstheme="majorBidi"/>
          <w:i w:val="0"/>
          <w:iCs w:val="0"/>
          <w:color w:val="000000"/>
          <w:kern w:val="3"/>
          <w:sz w:val="24"/>
          <w:szCs w:val="24"/>
        </w:rPr>
        <w:t>Présentation des personnes interrogées et caractéristiques des entretiens réalisés au sein de l’entreprise Dahbia</w:t>
      </w:r>
      <w:bookmarkEnd w:id="273"/>
    </w:p>
    <w:p w:rsidR="005236B6" w:rsidRPr="000D59AB" w:rsidRDefault="005236B6" w:rsidP="00F7493D">
      <w:pPr>
        <w:spacing w:after="0" w:line="360" w:lineRule="auto"/>
        <w:rPr>
          <w:b/>
          <w:bCs/>
          <w:color w:val="000000"/>
        </w:rPr>
      </w:pPr>
    </w:p>
    <w:tbl>
      <w:tblPr>
        <w:tblStyle w:val="Grilledutableau"/>
        <w:tblW w:w="9166" w:type="dxa"/>
        <w:tblLook w:val="04A0"/>
      </w:tblPr>
      <w:tblGrid>
        <w:gridCol w:w="2490"/>
        <w:gridCol w:w="3056"/>
        <w:gridCol w:w="1870"/>
        <w:gridCol w:w="1750"/>
      </w:tblGrid>
      <w:tr w:rsidR="005236B6" w:rsidRPr="00F831CB" w:rsidTr="00EC7780">
        <w:tc>
          <w:tcPr>
            <w:tcW w:w="0" w:type="auto"/>
            <w:hideMark/>
          </w:tcPr>
          <w:p w:rsidR="005236B6" w:rsidRPr="00F831CB" w:rsidRDefault="005236B6" w:rsidP="00F7493D">
            <w:pPr>
              <w:spacing w:line="360" w:lineRule="auto"/>
              <w:jc w:val="center"/>
              <w:rPr>
                <w:rFonts w:ascii="Times New Roman" w:eastAsia="Times New Roman" w:hAnsi="Times New Roman" w:cs="Times New Roman"/>
                <w:b/>
                <w:bCs/>
                <w:sz w:val="24"/>
                <w:szCs w:val="24"/>
                <w:lang w:eastAsia="fr-FR"/>
              </w:rPr>
            </w:pPr>
            <w:r w:rsidRPr="00F831CB">
              <w:rPr>
                <w:rFonts w:ascii="Times New Roman" w:eastAsia="Times New Roman" w:hAnsi="Times New Roman" w:cs="Times New Roman"/>
                <w:b/>
                <w:bCs/>
                <w:sz w:val="24"/>
                <w:szCs w:val="24"/>
                <w:lang w:eastAsia="fr-FR"/>
              </w:rPr>
              <w:t>Nom et prénom de l’employé interrogé</w:t>
            </w:r>
          </w:p>
        </w:tc>
        <w:tc>
          <w:tcPr>
            <w:tcW w:w="0" w:type="auto"/>
            <w:hideMark/>
          </w:tcPr>
          <w:p w:rsidR="005236B6" w:rsidRPr="00F831CB" w:rsidRDefault="005236B6" w:rsidP="00F7493D">
            <w:pPr>
              <w:spacing w:line="360" w:lineRule="auto"/>
              <w:jc w:val="center"/>
              <w:rPr>
                <w:rFonts w:ascii="Times New Roman" w:eastAsia="Times New Roman" w:hAnsi="Times New Roman" w:cs="Times New Roman"/>
                <w:b/>
                <w:bCs/>
                <w:sz w:val="24"/>
                <w:szCs w:val="24"/>
                <w:lang w:eastAsia="fr-FR"/>
              </w:rPr>
            </w:pPr>
            <w:r w:rsidRPr="00F831CB">
              <w:rPr>
                <w:rFonts w:ascii="Times New Roman" w:eastAsia="Times New Roman" w:hAnsi="Times New Roman" w:cs="Times New Roman"/>
                <w:b/>
                <w:bCs/>
                <w:sz w:val="24"/>
                <w:szCs w:val="24"/>
                <w:lang w:eastAsia="fr-FR"/>
              </w:rPr>
              <w:t>Fonction (poste)</w:t>
            </w:r>
          </w:p>
        </w:tc>
        <w:tc>
          <w:tcPr>
            <w:tcW w:w="0" w:type="auto"/>
            <w:hideMark/>
          </w:tcPr>
          <w:p w:rsidR="005236B6" w:rsidRPr="00F831CB" w:rsidRDefault="005236B6" w:rsidP="00F7493D">
            <w:pPr>
              <w:spacing w:line="360" w:lineRule="auto"/>
              <w:jc w:val="center"/>
              <w:rPr>
                <w:rFonts w:ascii="Times New Roman" w:eastAsia="Times New Roman" w:hAnsi="Times New Roman" w:cs="Times New Roman"/>
                <w:b/>
                <w:bCs/>
                <w:sz w:val="24"/>
                <w:szCs w:val="24"/>
                <w:lang w:eastAsia="fr-FR"/>
              </w:rPr>
            </w:pPr>
            <w:r w:rsidRPr="00F831CB">
              <w:rPr>
                <w:rFonts w:ascii="Times New Roman" w:eastAsia="Times New Roman" w:hAnsi="Times New Roman" w:cs="Times New Roman"/>
                <w:b/>
                <w:bCs/>
                <w:sz w:val="24"/>
                <w:szCs w:val="24"/>
                <w:lang w:eastAsia="fr-FR"/>
              </w:rPr>
              <w:t>Années d’expérience</w:t>
            </w:r>
          </w:p>
        </w:tc>
        <w:tc>
          <w:tcPr>
            <w:tcW w:w="0" w:type="auto"/>
            <w:hideMark/>
          </w:tcPr>
          <w:p w:rsidR="005236B6" w:rsidRPr="00F831CB" w:rsidRDefault="005236B6" w:rsidP="00F7493D">
            <w:pPr>
              <w:spacing w:line="360" w:lineRule="auto"/>
              <w:jc w:val="center"/>
              <w:rPr>
                <w:rFonts w:ascii="Times New Roman" w:eastAsia="Times New Roman" w:hAnsi="Times New Roman" w:cs="Times New Roman"/>
                <w:b/>
                <w:bCs/>
                <w:sz w:val="24"/>
                <w:szCs w:val="24"/>
                <w:lang w:eastAsia="fr-FR"/>
              </w:rPr>
            </w:pPr>
            <w:r w:rsidRPr="00F831CB">
              <w:rPr>
                <w:rFonts w:ascii="Times New Roman" w:eastAsia="Times New Roman" w:hAnsi="Times New Roman" w:cs="Times New Roman"/>
                <w:b/>
                <w:bCs/>
                <w:sz w:val="24"/>
                <w:szCs w:val="24"/>
                <w:lang w:eastAsia="fr-FR"/>
              </w:rPr>
              <w:t>Durée de l’entretien</w:t>
            </w:r>
          </w:p>
        </w:tc>
      </w:tr>
      <w:tr w:rsidR="005236B6" w:rsidRPr="00F831CB" w:rsidTr="00EC7780">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Enquêté 01</w:t>
            </w:r>
          </w:p>
        </w:tc>
        <w:tc>
          <w:tcPr>
            <w:tcW w:w="0" w:type="auto"/>
            <w:hideMark/>
          </w:tcPr>
          <w:p w:rsidR="005236B6" w:rsidRPr="003F6A97" w:rsidRDefault="005236B6" w:rsidP="00F7493D">
            <w:pPr>
              <w:spacing w:line="360" w:lineRule="auto"/>
              <w:rPr>
                <w:rFonts w:ascii="Times New Roman" w:eastAsia="Times New Roman" w:hAnsi="Times New Roman" w:cs="Times New Roman"/>
                <w:sz w:val="24"/>
                <w:szCs w:val="24"/>
                <w:lang w:eastAsia="fr-FR"/>
              </w:rPr>
            </w:pPr>
            <w:r w:rsidRPr="003F6A97">
              <w:rPr>
                <w:rFonts w:ascii="Times New Roman" w:eastAsia="Times New Roman" w:hAnsi="Times New Roman" w:cs="Times New Roman"/>
                <w:sz w:val="24"/>
                <w:szCs w:val="24"/>
                <w:lang w:eastAsia="fr-FR"/>
              </w:rPr>
              <w:t>Le directeur de l’entreprise Dahbia</w:t>
            </w:r>
          </w:p>
          <w:p w:rsidR="005236B6" w:rsidRPr="00F831CB" w:rsidRDefault="005236B6" w:rsidP="00F7493D">
            <w:pPr>
              <w:spacing w:line="360" w:lineRule="auto"/>
              <w:rPr>
                <w:rFonts w:ascii="Times New Roman" w:eastAsia="Times New Roman" w:hAnsi="Times New Roman" w:cs="Times New Roman"/>
                <w:sz w:val="24"/>
                <w:szCs w:val="24"/>
                <w:lang w:eastAsia="fr-FR"/>
              </w:rPr>
            </w:pP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r w:rsidRPr="00F831CB">
              <w:rPr>
                <w:rFonts w:ascii="Times New Roman" w:eastAsia="Times New Roman" w:hAnsi="Times New Roman" w:cs="Times New Roman"/>
                <w:sz w:val="24"/>
                <w:szCs w:val="24"/>
                <w:lang w:eastAsia="fr-FR"/>
              </w:rPr>
              <w:t>0 ans</w:t>
            </w: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2 heures</w:t>
            </w:r>
            <w:r>
              <w:rPr>
                <w:rFonts w:ascii="Times New Roman" w:eastAsia="Times New Roman" w:hAnsi="Times New Roman" w:cs="Times New Roman"/>
                <w:sz w:val="24"/>
                <w:szCs w:val="24"/>
                <w:lang w:eastAsia="fr-FR"/>
              </w:rPr>
              <w:t xml:space="preserve"> et 30 minutes</w:t>
            </w:r>
          </w:p>
        </w:tc>
      </w:tr>
      <w:tr w:rsidR="005236B6" w:rsidRPr="00F831CB" w:rsidTr="00EC7780">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Enquêté 02</w:t>
            </w:r>
          </w:p>
        </w:tc>
        <w:tc>
          <w:tcPr>
            <w:tcW w:w="0" w:type="auto"/>
            <w:hideMark/>
          </w:tcPr>
          <w:p w:rsidR="005236B6" w:rsidRPr="003F6A97" w:rsidRDefault="005236B6" w:rsidP="00F7493D">
            <w:pPr>
              <w:spacing w:line="360" w:lineRule="auto"/>
              <w:rPr>
                <w:rFonts w:ascii="Times New Roman" w:eastAsia="Times New Roman" w:hAnsi="Times New Roman" w:cs="Times New Roman"/>
                <w:sz w:val="24"/>
                <w:szCs w:val="24"/>
                <w:lang w:eastAsia="fr-FR"/>
              </w:rPr>
            </w:pPr>
            <w:r w:rsidRPr="003F6A97">
              <w:rPr>
                <w:rFonts w:ascii="Times New Roman" w:eastAsia="Times New Roman" w:hAnsi="Times New Roman" w:cs="Times New Roman"/>
                <w:sz w:val="24"/>
                <w:szCs w:val="24"/>
                <w:lang w:eastAsia="fr-FR"/>
              </w:rPr>
              <w:t>Le responsable du service de production</w:t>
            </w:r>
          </w:p>
          <w:p w:rsidR="005236B6" w:rsidRPr="00F831CB" w:rsidRDefault="005236B6" w:rsidP="00F7493D">
            <w:pPr>
              <w:spacing w:line="360" w:lineRule="auto"/>
              <w:rPr>
                <w:rFonts w:ascii="Times New Roman" w:eastAsia="Times New Roman" w:hAnsi="Times New Roman" w:cs="Times New Roman"/>
                <w:sz w:val="24"/>
                <w:szCs w:val="24"/>
                <w:lang w:eastAsia="fr-FR"/>
              </w:rPr>
            </w:pP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w:t>
            </w:r>
            <w:r w:rsidRPr="00F831CB">
              <w:rPr>
                <w:rFonts w:ascii="Times New Roman" w:eastAsia="Times New Roman" w:hAnsi="Times New Roman" w:cs="Times New Roman"/>
                <w:sz w:val="24"/>
                <w:szCs w:val="24"/>
                <w:lang w:eastAsia="fr-FR"/>
              </w:rPr>
              <w:t xml:space="preserve"> ans</w:t>
            </w: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1 heure</w:t>
            </w:r>
          </w:p>
        </w:tc>
      </w:tr>
      <w:tr w:rsidR="005236B6" w:rsidRPr="00F831CB" w:rsidTr="00EC7780">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Enquêté 03</w:t>
            </w:r>
          </w:p>
        </w:tc>
        <w:tc>
          <w:tcPr>
            <w:tcW w:w="0" w:type="auto"/>
            <w:hideMark/>
          </w:tcPr>
          <w:p w:rsidR="005236B6" w:rsidRPr="003F6A97" w:rsidRDefault="005236B6" w:rsidP="00F7493D">
            <w:pPr>
              <w:spacing w:line="360" w:lineRule="auto"/>
              <w:rPr>
                <w:rFonts w:ascii="Times New Roman" w:eastAsia="Times New Roman" w:hAnsi="Times New Roman" w:cs="Times New Roman"/>
                <w:sz w:val="24"/>
                <w:szCs w:val="24"/>
                <w:lang w:eastAsia="fr-FR"/>
              </w:rPr>
            </w:pPr>
            <w:r w:rsidRPr="003F6A97">
              <w:rPr>
                <w:rFonts w:ascii="Times New Roman" w:eastAsia="Times New Roman" w:hAnsi="Times New Roman" w:cs="Times New Roman"/>
                <w:sz w:val="24"/>
                <w:szCs w:val="24"/>
                <w:lang w:eastAsia="fr-FR"/>
              </w:rPr>
              <w:t>Le responsable du service qualité et certification</w:t>
            </w:r>
          </w:p>
          <w:p w:rsidR="005236B6" w:rsidRPr="00F831CB" w:rsidRDefault="005236B6" w:rsidP="00F7493D">
            <w:pPr>
              <w:spacing w:line="360" w:lineRule="auto"/>
              <w:rPr>
                <w:rFonts w:ascii="Times New Roman" w:eastAsia="Times New Roman" w:hAnsi="Times New Roman" w:cs="Times New Roman"/>
                <w:sz w:val="24"/>
                <w:szCs w:val="24"/>
                <w:lang w:eastAsia="fr-FR"/>
              </w:rPr>
            </w:pP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11</w:t>
            </w:r>
            <w:r w:rsidRPr="00F831CB">
              <w:rPr>
                <w:rFonts w:ascii="Times New Roman" w:eastAsia="Times New Roman" w:hAnsi="Times New Roman" w:cs="Times New Roman"/>
                <w:sz w:val="24"/>
                <w:szCs w:val="24"/>
                <w:lang w:eastAsia="fr-FR"/>
              </w:rPr>
              <w:t xml:space="preserve"> ans</w:t>
            </w: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2 heures</w:t>
            </w:r>
          </w:p>
        </w:tc>
      </w:tr>
      <w:tr w:rsidR="005236B6" w:rsidRPr="00F831CB" w:rsidTr="00EC7780">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Enquêté 04</w:t>
            </w:r>
          </w:p>
        </w:tc>
        <w:tc>
          <w:tcPr>
            <w:tcW w:w="0" w:type="auto"/>
            <w:hideMark/>
          </w:tcPr>
          <w:p w:rsidR="005236B6" w:rsidRPr="00A94EC7" w:rsidRDefault="005236B6" w:rsidP="00F7493D">
            <w:pPr>
              <w:spacing w:line="360" w:lineRule="auto"/>
              <w:rPr>
                <w:rFonts w:ascii="Times New Roman" w:eastAsia="Times New Roman" w:hAnsi="Times New Roman" w:cs="Times New Roman"/>
                <w:sz w:val="24"/>
                <w:szCs w:val="24"/>
                <w:lang w:eastAsia="fr-FR"/>
              </w:rPr>
            </w:pPr>
            <w:r w:rsidRPr="00A94EC7">
              <w:rPr>
                <w:rFonts w:ascii="Times New Roman" w:eastAsia="Times New Roman" w:hAnsi="Times New Roman" w:cs="Times New Roman"/>
                <w:sz w:val="24"/>
                <w:szCs w:val="24"/>
                <w:lang w:eastAsia="fr-FR"/>
              </w:rPr>
              <w:t>Le responsable du service commercial et exportation</w:t>
            </w:r>
          </w:p>
          <w:p w:rsidR="005236B6" w:rsidRPr="00F831CB" w:rsidRDefault="005236B6" w:rsidP="00F7493D">
            <w:pPr>
              <w:spacing w:line="360" w:lineRule="auto"/>
              <w:rPr>
                <w:rFonts w:ascii="Times New Roman" w:eastAsia="Times New Roman" w:hAnsi="Times New Roman" w:cs="Times New Roman"/>
                <w:sz w:val="24"/>
                <w:szCs w:val="24"/>
                <w:lang w:eastAsia="fr-FR"/>
              </w:rPr>
            </w:pP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w:t>
            </w:r>
            <w:r w:rsidRPr="00F831CB">
              <w:rPr>
                <w:rFonts w:ascii="Times New Roman" w:eastAsia="Times New Roman" w:hAnsi="Times New Roman" w:cs="Times New Roman"/>
                <w:sz w:val="24"/>
                <w:szCs w:val="24"/>
                <w:lang w:eastAsia="fr-FR"/>
              </w:rPr>
              <w:t xml:space="preserve"> ans</w:t>
            </w:r>
          </w:p>
        </w:tc>
        <w:tc>
          <w:tcPr>
            <w:tcW w:w="0" w:type="auto"/>
            <w:hideMark/>
          </w:tcPr>
          <w:p w:rsidR="005236B6" w:rsidRPr="00F831CB" w:rsidRDefault="005236B6" w:rsidP="00F7493D">
            <w:pPr>
              <w:spacing w:line="360" w:lineRule="auto"/>
              <w:rPr>
                <w:rFonts w:ascii="Times New Roman" w:eastAsia="Times New Roman" w:hAnsi="Times New Roman" w:cs="Times New Roman"/>
                <w:sz w:val="24"/>
                <w:szCs w:val="24"/>
                <w:lang w:eastAsia="fr-FR"/>
              </w:rPr>
            </w:pPr>
            <w:r w:rsidRPr="00F831CB">
              <w:rPr>
                <w:rFonts w:ascii="Times New Roman" w:eastAsia="Times New Roman" w:hAnsi="Times New Roman" w:cs="Times New Roman"/>
                <w:sz w:val="24"/>
                <w:szCs w:val="24"/>
                <w:lang w:eastAsia="fr-FR"/>
              </w:rPr>
              <w:t>1 heure</w:t>
            </w:r>
          </w:p>
        </w:tc>
      </w:tr>
    </w:tbl>
    <w:p w:rsidR="005236B6" w:rsidRPr="00975EF7" w:rsidRDefault="005236B6" w:rsidP="001C06BD">
      <w:pPr>
        <w:pStyle w:val="NormalWeb"/>
        <w:spacing w:line="360" w:lineRule="auto"/>
        <w:jc w:val="lowKashida"/>
        <w:rPr>
          <w:sz w:val="20"/>
          <w:szCs w:val="20"/>
        </w:rPr>
      </w:pPr>
      <w:r w:rsidRPr="00975EF7">
        <w:rPr>
          <w:b/>
          <w:bCs/>
          <w:sz w:val="20"/>
          <w:szCs w:val="20"/>
        </w:rPr>
        <w:t>Source :</w:t>
      </w:r>
      <w:r w:rsidRPr="00975EF7">
        <w:rPr>
          <w:sz w:val="20"/>
          <w:szCs w:val="20"/>
        </w:rPr>
        <w:t xml:space="preserve"> élaboré par les étudiantes sur la base </w:t>
      </w:r>
      <w:r w:rsidRPr="00975EF7">
        <w:rPr>
          <w:rFonts w:asciiTheme="majorBidi" w:hAnsiTheme="majorBidi" w:cstheme="majorBidi"/>
          <w:sz w:val="20"/>
          <w:szCs w:val="20"/>
        </w:rPr>
        <w:t>des données issues des entretiens réalisés sur le terrain.</w:t>
      </w:r>
    </w:p>
    <w:p w:rsidR="005236B6" w:rsidRPr="00E06313" w:rsidRDefault="003B04F1" w:rsidP="001C06BD">
      <w:pPr>
        <w:pStyle w:val="Titre3"/>
        <w:spacing w:line="360" w:lineRule="auto"/>
        <w:jc w:val="lowKashida"/>
        <w:rPr>
          <w:rFonts w:ascii="Times New Roman" w:hAnsi="Times New Roman"/>
          <w:b/>
          <w:bCs/>
          <w:color w:val="auto"/>
          <w:sz w:val="24"/>
          <w:szCs w:val="24"/>
          <w:lang w:eastAsia="fr-FR"/>
        </w:rPr>
      </w:pPr>
      <w:bookmarkStart w:id="274" w:name="_Toc230558723"/>
      <w:bookmarkStart w:id="275" w:name="_Toc230900357"/>
      <w:r w:rsidRPr="00E06313">
        <w:rPr>
          <w:rFonts w:ascii="Times New Roman" w:hAnsi="Times New Roman"/>
          <w:b/>
          <w:bCs/>
          <w:color w:val="auto"/>
          <w:sz w:val="24"/>
          <w:szCs w:val="24"/>
        </w:rPr>
        <w:t>2.</w:t>
      </w:r>
      <w:r w:rsidR="005236B6" w:rsidRPr="00E06313">
        <w:rPr>
          <w:rFonts w:ascii="Times New Roman" w:hAnsi="Times New Roman"/>
          <w:b/>
          <w:bCs/>
          <w:color w:val="auto"/>
          <w:sz w:val="24"/>
          <w:szCs w:val="24"/>
        </w:rPr>
        <w:t xml:space="preserve">Présentation générale de l'entreprise </w:t>
      </w:r>
      <w:r w:rsidR="005236B6" w:rsidRPr="00E06313">
        <w:rPr>
          <w:rFonts w:ascii="Times New Roman" w:hAnsi="Times New Roman"/>
          <w:b/>
          <w:bCs/>
          <w:color w:val="auto"/>
          <w:sz w:val="24"/>
          <w:szCs w:val="24"/>
          <w:lang w:eastAsia="fr-FR"/>
        </w:rPr>
        <w:t>Dahbia Huile et son organigramme</w:t>
      </w:r>
      <w:bookmarkEnd w:id="274"/>
      <w:bookmarkEnd w:id="275"/>
    </w:p>
    <w:p w:rsidR="005236B6" w:rsidRPr="00EF42E4" w:rsidRDefault="003B04F1" w:rsidP="001C06BD">
      <w:pPr>
        <w:pStyle w:val="Titre4"/>
        <w:spacing w:line="360" w:lineRule="auto"/>
        <w:jc w:val="lowKashida"/>
        <w:rPr>
          <w:rFonts w:ascii="Times New Roman" w:hAnsi="Times New Roman"/>
          <w:b/>
          <w:bCs/>
          <w:i w:val="0"/>
          <w:iCs w:val="0"/>
          <w:color w:val="auto"/>
          <w:sz w:val="24"/>
          <w:szCs w:val="24"/>
          <w:rtl/>
          <w:lang w:eastAsia="fr-FR"/>
        </w:rPr>
      </w:pPr>
      <w:bookmarkStart w:id="276" w:name="_Toc230558724"/>
      <w:bookmarkStart w:id="277" w:name="_Toc230900358"/>
      <w:r w:rsidRPr="00EF42E4">
        <w:rPr>
          <w:rFonts w:ascii="Times New Roman" w:hAnsi="Times New Roman"/>
          <w:b/>
          <w:bCs/>
          <w:i w:val="0"/>
          <w:iCs w:val="0"/>
          <w:color w:val="auto"/>
          <w:sz w:val="24"/>
          <w:szCs w:val="24"/>
        </w:rPr>
        <w:t>2.1.</w:t>
      </w:r>
      <w:r w:rsidR="005236B6" w:rsidRPr="00EF42E4">
        <w:rPr>
          <w:rFonts w:ascii="Times New Roman" w:hAnsi="Times New Roman"/>
          <w:b/>
          <w:bCs/>
          <w:i w:val="0"/>
          <w:iCs w:val="0"/>
          <w:color w:val="auto"/>
          <w:sz w:val="24"/>
          <w:szCs w:val="24"/>
        </w:rPr>
        <w:t xml:space="preserve">Présentation générale de l'entreprise </w:t>
      </w:r>
      <w:r w:rsidR="005236B6" w:rsidRPr="00EF42E4">
        <w:rPr>
          <w:rFonts w:ascii="Times New Roman" w:hAnsi="Times New Roman"/>
          <w:b/>
          <w:bCs/>
          <w:i w:val="0"/>
          <w:iCs w:val="0"/>
          <w:color w:val="auto"/>
          <w:sz w:val="24"/>
          <w:szCs w:val="24"/>
          <w:lang w:eastAsia="fr-FR"/>
        </w:rPr>
        <w:t>Dahbia Huile</w:t>
      </w:r>
      <w:bookmarkEnd w:id="276"/>
      <w:bookmarkEnd w:id="277"/>
    </w:p>
    <w:p w:rsidR="005236B6" w:rsidRDefault="005236B6" w:rsidP="001C06BD">
      <w:pPr>
        <w:spacing w:after="0" w:line="360" w:lineRule="auto"/>
        <w:jc w:val="lowKashida"/>
        <w:rPr>
          <w:rFonts w:ascii="Times New Roman" w:eastAsia="Times New Roman" w:hAnsi="Times New Roman" w:cs="Times New Roman"/>
          <w:sz w:val="24"/>
          <w:szCs w:val="24"/>
          <w:rtl/>
          <w:lang w:eastAsia="fr-FR"/>
        </w:rPr>
      </w:pPr>
      <w:r w:rsidRPr="000846B7">
        <w:rPr>
          <w:rFonts w:ascii="Times New Roman" w:eastAsia="Times New Roman" w:hAnsi="Times New Roman" w:cs="Times New Roman"/>
          <w:sz w:val="24"/>
          <w:szCs w:val="24"/>
          <w:lang w:eastAsia="fr-FR"/>
        </w:rPr>
        <w:t xml:space="preserve">L’entreprise Dahbia </w:t>
      </w:r>
      <w:r>
        <w:rPr>
          <w:rFonts w:ascii="Times New Roman" w:eastAsia="Times New Roman" w:hAnsi="Times New Roman" w:cs="Times New Roman"/>
          <w:sz w:val="24"/>
          <w:szCs w:val="24"/>
          <w:lang w:eastAsia="fr-FR"/>
        </w:rPr>
        <w:t>Huile</w:t>
      </w:r>
      <w:r w:rsidRPr="000846B7">
        <w:rPr>
          <w:rFonts w:ascii="Times New Roman" w:eastAsia="Times New Roman" w:hAnsi="Times New Roman" w:cs="Times New Roman"/>
          <w:sz w:val="24"/>
          <w:szCs w:val="24"/>
          <w:lang w:eastAsia="fr-FR"/>
        </w:rPr>
        <w:t xml:space="preserve"> est une entreprise économique algérienne spécialisée dans la production et la commercialisation de l’huile d’olive vierge extra biologique. Elle opère dans le domaine des industries agroalimentaires et vise la production d’un produit de haute qualité, répondant aux normes modernes de qualité, de sécurité sanitaire et de respect de l’environnement. L’entreprise est située dans la wilaya de Djelfa, au sein d’une région agricole reconnue pour la culture de l’olivier, ce qui lui confère un environnement naturel favorable à son activité. Elle s’appuie sur des techniques de production modernes permettant d’assurer la qualité du produit et de répondre aux exigences des marchés nationaux et internationaux. De manière générale, l’entreprise Dahbia représente un modèle d’entreprise agricole moderne, cherchant à concilier performance de production et exigences du marketing contemporain des produits biologiques.</w:t>
      </w:r>
    </w:p>
    <w:p w:rsidR="00D1049F" w:rsidRDefault="00D1049F" w:rsidP="001C06BD">
      <w:pPr>
        <w:spacing w:after="0" w:line="360" w:lineRule="auto"/>
        <w:jc w:val="lowKashida"/>
        <w:rPr>
          <w:rFonts w:ascii="Times New Roman" w:eastAsia="Times New Roman" w:hAnsi="Times New Roman" w:cs="Times New Roman"/>
          <w:sz w:val="24"/>
          <w:szCs w:val="24"/>
          <w:rtl/>
          <w:lang w:eastAsia="fr-FR"/>
        </w:rPr>
      </w:pPr>
    </w:p>
    <w:p w:rsidR="00D1049F" w:rsidRPr="000846B7" w:rsidRDefault="00D1049F" w:rsidP="001C06BD">
      <w:pPr>
        <w:spacing w:after="0" w:line="360" w:lineRule="auto"/>
        <w:jc w:val="lowKashida"/>
        <w:rPr>
          <w:rFonts w:ascii="Times New Roman" w:eastAsia="Times New Roman" w:hAnsi="Times New Roman" w:cs="Times New Roman"/>
          <w:sz w:val="24"/>
          <w:szCs w:val="24"/>
          <w:lang w:eastAsia="fr-FR"/>
        </w:rPr>
      </w:pPr>
    </w:p>
    <w:p w:rsidR="005236B6" w:rsidRPr="00347DCC" w:rsidRDefault="005236B6" w:rsidP="001C06BD">
      <w:pPr>
        <w:pStyle w:val="NormalWeb"/>
        <w:spacing w:line="360" w:lineRule="auto"/>
        <w:ind w:left="360"/>
        <w:jc w:val="lowKashida"/>
        <w:rPr>
          <w:b/>
          <w:bCs/>
        </w:rPr>
      </w:pPr>
      <w:r w:rsidRPr="00347DCC">
        <w:rPr>
          <w:b/>
          <w:bCs/>
        </w:rPr>
        <w:lastRenderedPageBreak/>
        <w:t xml:space="preserve">  Localisation stratégique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D67408">
        <w:rPr>
          <w:rFonts w:ascii="Times New Roman" w:eastAsia="Times New Roman" w:hAnsi="Times New Roman" w:cs="Times New Roman"/>
          <w:sz w:val="24"/>
          <w:szCs w:val="24"/>
          <w:lang w:eastAsia="fr-FR"/>
        </w:rPr>
        <w:t xml:space="preserve">L’entreprise Dahbia </w:t>
      </w:r>
      <w:r>
        <w:rPr>
          <w:rFonts w:ascii="Times New Roman" w:eastAsia="Times New Roman" w:hAnsi="Times New Roman" w:cs="Times New Roman"/>
          <w:sz w:val="24"/>
          <w:szCs w:val="24"/>
          <w:lang w:eastAsia="fr-FR"/>
        </w:rPr>
        <w:t xml:space="preserve">Huile d’olive </w:t>
      </w:r>
      <w:r w:rsidRPr="00D67408">
        <w:rPr>
          <w:rFonts w:ascii="Times New Roman" w:eastAsia="Times New Roman" w:hAnsi="Times New Roman" w:cs="Times New Roman"/>
          <w:sz w:val="24"/>
          <w:szCs w:val="24"/>
          <w:lang w:eastAsia="fr-FR"/>
        </w:rPr>
        <w:t xml:space="preserve">est située dans la région d’Aïn Oussera, relevant de la wilaya de Djelfa, au sein des Hauts Plateaux algériens. Cette zone se caractérise par un climat semi-aride à continental, avec des variations de température importantes entre l’hiver et l’été, ainsi qu’une pluviométrie relativement faible. </w:t>
      </w:r>
    </w:p>
    <w:p w:rsidR="005236B6" w:rsidRPr="00D67408" w:rsidRDefault="005236B6" w:rsidP="001C06BD">
      <w:pPr>
        <w:spacing w:after="0" w:line="360" w:lineRule="auto"/>
        <w:jc w:val="lowKashida"/>
        <w:rPr>
          <w:rFonts w:ascii="Times New Roman" w:eastAsia="Times New Roman" w:hAnsi="Times New Roman" w:cs="Times New Roman"/>
          <w:sz w:val="24"/>
          <w:szCs w:val="24"/>
          <w:lang w:eastAsia="fr-FR"/>
        </w:rPr>
      </w:pPr>
      <w:r w:rsidRPr="00D67408">
        <w:rPr>
          <w:rFonts w:ascii="Times New Roman" w:eastAsia="Times New Roman" w:hAnsi="Times New Roman" w:cs="Times New Roman"/>
          <w:sz w:val="24"/>
          <w:szCs w:val="24"/>
          <w:lang w:eastAsia="fr-FR"/>
        </w:rPr>
        <w:t>Ce positionnement géographique confère à la région des conditions naturelles particulières, favorables à la culture de l’olivier, notamment en raison de la rusticité de cet arbre et de son adaptation aux milieux secs. Les Hauts Plateaux de Djelfa sont également reconnus pour leurs terres agricoles extensives et leur potentiel oléicole important. Ainsi, l’implantation de l’entreprise dans cette région lui permet de bénéficier d’un environnement naturel propice à la production d’une huile d’olive de qualité, tout en valorisant les ressources agricoles locales.</w:t>
      </w:r>
    </w:p>
    <w:p w:rsidR="005236B6" w:rsidRPr="00EF42E4" w:rsidRDefault="003B04F1" w:rsidP="001C06BD">
      <w:pPr>
        <w:pStyle w:val="Titre4"/>
        <w:spacing w:line="360" w:lineRule="auto"/>
        <w:jc w:val="lowKashida"/>
        <w:rPr>
          <w:rFonts w:ascii="Times New Roman" w:hAnsi="Times New Roman"/>
          <w:b/>
          <w:bCs/>
          <w:i w:val="0"/>
          <w:iCs w:val="0"/>
          <w:color w:val="auto"/>
          <w:sz w:val="24"/>
          <w:szCs w:val="24"/>
          <w:rtl/>
          <w:lang w:bidi="ar-DZ"/>
        </w:rPr>
      </w:pPr>
      <w:bookmarkStart w:id="278" w:name="_Toc230558725"/>
      <w:bookmarkStart w:id="279" w:name="_Toc230900359"/>
      <w:r w:rsidRPr="00EF42E4">
        <w:rPr>
          <w:rFonts w:ascii="Times New Roman" w:hAnsi="Times New Roman"/>
          <w:b/>
          <w:bCs/>
          <w:i w:val="0"/>
          <w:iCs w:val="0"/>
          <w:color w:val="auto"/>
          <w:sz w:val="24"/>
          <w:szCs w:val="24"/>
        </w:rPr>
        <w:t>2.2</w:t>
      </w:r>
      <w:r w:rsidR="005236B6" w:rsidRPr="00EF42E4">
        <w:rPr>
          <w:rFonts w:ascii="Times New Roman" w:hAnsi="Times New Roman"/>
          <w:b/>
          <w:bCs/>
          <w:i w:val="0"/>
          <w:iCs w:val="0"/>
          <w:color w:val="auto"/>
          <w:sz w:val="24"/>
          <w:szCs w:val="24"/>
        </w:rPr>
        <w:t>Organigramme de l’entreprise Dahbia</w:t>
      </w:r>
      <w:bookmarkEnd w:id="278"/>
      <w:bookmarkEnd w:id="279"/>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sz w:val="24"/>
          <w:szCs w:val="24"/>
          <w:lang w:eastAsia="fr-FR"/>
        </w:rPr>
        <w:t xml:space="preserve">L’entreprise </w:t>
      </w:r>
      <w:r w:rsidRPr="00D67408">
        <w:rPr>
          <w:rFonts w:ascii="Times New Roman" w:eastAsia="Times New Roman" w:hAnsi="Times New Roman" w:cs="Times New Roman"/>
          <w:sz w:val="24"/>
          <w:szCs w:val="24"/>
          <w:lang w:eastAsia="fr-FR"/>
        </w:rPr>
        <w:t xml:space="preserve">Dahbia </w:t>
      </w:r>
      <w:r>
        <w:rPr>
          <w:rFonts w:ascii="Times New Roman" w:eastAsia="Times New Roman" w:hAnsi="Times New Roman" w:cs="Times New Roman"/>
          <w:sz w:val="24"/>
          <w:szCs w:val="24"/>
          <w:lang w:eastAsia="fr-FR"/>
        </w:rPr>
        <w:t xml:space="preserve">Huile d’olive </w:t>
      </w:r>
      <w:r w:rsidRPr="003C3B2A">
        <w:rPr>
          <w:rFonts w:ascii="Times New Roman" w:eastAsia="Times New Roman" w:hAnsi="Times New Roman" w:cs="Times New Roman"/>
          <w:sz w:val="24"/>
          <w:szCs w:val="24"/>
          <w:lang w:eastAsia="fr-FR"/>
        </w:rPr>
        <w:t xml:space="preserve">est structurée selon une organisation fonctionnelle visant à assurer une gestion efficace de ses différentes activités liées à la production et à la commercialisation de l’huile d’olive vierge extra biologique, dans un contexte orienté vers la qualité et l’exportation.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sz w:val="24"/>
          <w:szCs w:val="24"/>
          <w:lang w:eastAsia="fr-FR"/>
        </w:rPr>
        <w:t>L’organigramme de l’entreprise se présente comme suit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b/>
          <w:bCs/>
          <w:sz w:val="24"/>
          <w:szCs w:val="24"/>
          <w:lang w:eastAsia="fr-FR"/>
        </w:rPr>
        <w:t>Direction générale :</w:t>
      </w:r>
      <w:r w:rsidRPr="003C3B2A">
        <w:rPr>
          <w:rFonts w:ascii="Times New Roman" w:eastAsia="Times New Roman" w:hAnsi="Times New Roman" w:cs="Times New Roman"/>
          <w:sz w:val="24"/>
          <w:szCs w:val="24"/>
          <w:lang w:eastAsia="fr-FR"/>
        </w:rPr>
        <w:t xml:space="preserve"> Elle définit la stratégie globale de l’entreprise, prend les décisions principales et assure la coordination et la supervision de l’ensemble des services.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b/>
          <w:bCs/>
          <w:sz w:val="24"/>
          <w:szCs w:val="24"/>
          <w:lang w:eastAsia="fr-FR"/>
        </w:rPr>
        <w:t>Service des ressources humaines :</w:t>
      </w:r>
      <w:r w:rsidRPr="003C3B2A">
        <w:rPr>
          <w:rFonts w:ascii="Times New Roman" w:eastAsia="Times New Roman" w:hAnsi="Times New Roman" w:cs="Times New Roman"/>
          <w:sz w:val="24"/>
          <w:szCs w:val="24"/>
          <w:lang w:eastAsia="fr-FR"/>
        </w:rPr>
        <w:t xml:space="preserve"> Il est chargé de la gestion du personnel, notamment le recrutement (y compris saisonnier), l’administration des salariés, la gestion des contrats, des salaires et de l’organisation interne.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b/>
          <w:bCs/>
          <w:sz w:val="24"/>
          <w:szCs w:val="24"/>
          <w:lang w:eastAsia="fr-FR"/>
        </w:rPr>
        <w:t>Service de production et d’agriculture :</w:t>
      </w:r>
      <w:r w:rsidRPr="003C3B2A">
        <w:rPr>
          <w:rFonts w:ascii="Times New Roman" w:eastAsia="Times New Roman" w:hAnsi="Times New Roman" w:cs="Times New Roman"/>
          <w:sz w:val="24"/>
          <w:szCs w:val="24"/>
          <w:lang w:eastAsia="fr-FR"/>
        </w:rPr>
        <w:t xml:space="preserve"> Il assure le suivi des oliveraies, l’organisation de la récolte, notamment la récolte précoce (Early Harvest), ainsi que la gestion du processus de transformation des olives et le contrôle des différentes étapes de production.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b/>
          <w:bCs/>
          <w:sz w:val="24"/>
          <w:szCs w:val="24"/>
          <w:lang w:eastAsia="fr-FR"/>
        </w:rPr>
        <w:t xml:space="preserve">Service qualité et certification : </w:t>
      </w:r>
      <w:r w:rsidRPr="003C3B2A">
        <w:rPr>
          <w:rFonts w:ascii="Times New Roman" w:eastAsia="Times New Roman" w:hAnsi="Times New Roman" w:cs="Times New Roman"/>
          <w:sz w:val="24"/>
          <w:szCs w:val="24"/>
          <w:lang w:eastAsia="fr-FR"/>
        </w:rPr>
        <w:t xml:space="preserve">Il veille au contrôle de la qualité des produits, à la réalisation des analyses en laboratoire, ainsi qu’à la conformité aux normes biologiques internationales telles que Ecocert et USDA Organic.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b/>
          <w:bCs/>
          <w:sz w:val="24"/>
          <w:szCs w:val="24"/>
          <w:lang w:eastAsia="fr-FR"/>
        </w:rPr>
        <w:t>Service marketing et communication :</w:t>
      </w:r>
      <w:r w:rsidRPr="003C3B2A">
        <w:rPr>
          <w:rFonts w:ascii="Times New Roman" w:eastAsia="Times New Roman" w:hAnsi="Times New Roman" w:cs="Times New Roman"/>
          <w:sz w:val="24"/>
          <w:szCs w:val="24"/>
          <w:lang w:eastAsia="fr-FR"/>
        </w:rPr>
        <w:t xml:space="preserve"> Il s’occupe de la promotion de la marque, de la gestion des réseaux sociaux et de la valorisation de l’image de l’entreprise sur le marché. Service commercial et exportation : Il développe les ventes, gère la relation avec les clients, recherche de nouveaux marchés nationaux et internationaux et assure le suivi des opérations d’exportation. </w:t>
      </w:r>
    </w:p>
    <w:p w:rsidR="005236B6" w:rsidRDefault="005236B6" w:rsidP="001C06BD">
      <w:pPr>
        <w:spacing w:after="0" w:line="360" w:lineRule="auto"/>
        <w:jc w:val="lowKashida"/>
        <w:rPr>
          <w:rFonts w:ascii="Times New Roman" w:eastAsia="Times New Roman" w:hAnsi="Times New Roman" w:cs="Times New Roman"/>
          <w:sz w:val="24"/>
          <w:szCs w:val="24"/>
          <w:lang w:eastAsia="fr-FR"/>
        </w:rPr>
      </w:pPr>
      <w:r w:rsidRPr="003C3B2A">
        <w:rPr>
          <w:rFonts w:ascii="Times New Roman" w:eastAsia="Times New Roman" w:hAnsi="Times New Roman" w:cs="Times New Roman"/>
          <w:b/>
          <w:bCs/>
          <w:sz w:val="24"/>
          <w:szCs w:val="24"/>
          <w:lang w:eastAsia="fr-FR"/>
        </w:rPr>
        <w:lastRenderedPageBreak/>
        <w:t>Service logistique et conditionnement :</w:t>
      </w:r>
      <w:r w:rsidRPr="003C3B2A">
        <w:rPr>
          <w:rFonts w:ascii="Times New Roman" w:eastAsia="Times New Roman" w:hAnsi="Times New Roman" w:cs="Times New Roman"/>
          <w:sz w:val="24"/>
          <w:szCs w:val="24"/>
          <w:lang w:eastAsia="fr-FR"/>
        </w:rPr>
        <w:t xml:space="preserve"> Il organise le stockage, le conditionnement, l’emballage et le transport des produits afin de garantir leur qualité jusqu’à leur livraison finale. Ainsi, cette organisation fonctionnelle permet une coordination efficace entre les différents services et contribue à la performance globale de l’entreprise.</w:t>
      </w:r>
    </w:p>
    <w:p w:rsidR="005236B6" w:rsidRPr="000642B0" w:rsidRDefault="000642B0" w:rsidP="001C06BD">
      <w:pPr>
        <w:pStyle w:val="Lgende"/>
        <w:spacing w:line="360" w:lineRule="auto"/>
        <w:jc w:val="lowKashida"/>
        <w:rPr>
          <w:rFonts w:ascii="Times New Roman" w:eastAsia="Calibri" w:hAnsi="Times New Roman" w:cs="Times New Roman"/>
          <w:b/>
          <w:bCs/>
          <w:i w:val="0"/>
          <w:iCs w:val="0"/>
          <w:color w:val="auto"/>
          <w:kern w:val="3"/>
          <w:sz w:val="24"/>
          <w:szCs w:val="24"/>
        </w:rPr>
      </w:pPr>
      <w:bookmarkStart w:id="280" w:name="_Toc230399442"/>
      <w:r w:rsidRPr="000642B0">
        <w:rPr>
          <w:rFonts w:ascii="Times New Roman" w:eastAsia="Calibri" w:hAnsi="Times New Roman" w:cs="Times New Roman"/>
          <w:b/>
          <w:bCs/>
          <w:i w:val="0"/>
          <w:iCs w:val="0"/>
          <w:color w:val="auto"/>
          <w:kern w:val="3"/>
          <w:sz w:val="24"/>
          <w:szCs w:val="24"/>
        </w:rPr>
        <w:t xml:space="preserve">Figure </w:t>
      </w:r>
      <w:r w:rsidR="007B5998" w:rsidRPr="000642B0">
        <w:rPr>
          <w:rFonts w:ascii="Times New Roman" w:eastAsia="Calibri" w:hAnsi="Times New Roman" w:cs="Times New Roman"/>
          <w:b/>
          <w:bCs/>
          <w:i w:val="0"/>
          <w:iCs w:val="0"/>
          <w:color w:val="auto"/>
          <w:kern w:val="3"/>
          <w:sz w:val="24"/>
          <w:szCs w:val="24"/>
        </w:rPr>
        <w:fldChar w:fldCharType="begin"/>
      </w:r>
      <w:r w:rsidRPr="000642B0">
        <w:rPr>
          <w:rFonts w:ascii="Times New Roman" w:eastAsia="Calibri" w:hAnsi="Times New Roman" w:cs="Times New Roman"/>
          <w:b/>
          <w:bCs/>
          <w:i w:val="0"/>
          <w:iCs w:val="0"/>
          <w:color w:val="auto"/>
          <w:kern w:val="3"/>
          <w:sz w:val="24"/>
          <w:szCs w:val="24"/>
        </w:rPr>
        <w:instrText xml:space="preserve"> SEQ Figure \* ARABIC </w:instrText>
      </w:r>
      <w:r w:rsidR="007B5998" w:rsidRPr="000642B0">
        <w:rPr>
          <w:rFonts w:ascii="Times New Roman" w:eastAsia="Calibri" w:hAnsi="Times New Roman" w:cs="Times New Roman"/>
          <w:b/>
          <w:bCs/>
          <w:i w:val="0"/>
          <w:iCs w:val="0"/>
          <w:color w:val="auto"/>
          <w:kern w:val="3"/>
          <w:sz w:val="24"/>
          <w:szCs w:val="24"/>
        </w:rPr>
        <w:fldChar w:fldCharType="separate"/>
      </w:r>
      <w:r w:rsidR="00515B25">
        <w:rPr>
          <w:rFonts w:ascii="Times New Roman" w:eastAsia="Calibri" w:hAnsi="Times New Roman" w:cs="Times New Roman"/>
          <w:b/>
          <w:bCs/>
          <w:i w:val="0"/>
          <w:iCs w:val="0"/>
          <w:noProof/>
          <w:color w:val="auto"/>
          <w:kern w:val="3"/>
          <w:sz w:val="24"/>
          <w:szCs w:val="24"/>
        </w:rPr>
        <w:t>6</w:t>
      </w:r>
      <w:r w:rsidR="007B5998" w:rsidRPr="000642B0">
        <w:rPr>
          <w:rFonts w:ascii="Times New Roman" w:eastAsia="Calibri" w:hAnsi="Times New Roman" w:cs="Times New Roman"/>
          <w:b/>
          <w:bCs/>
          <w:i w:val="0"/>
          <w:iCs w:val="0"/>
          <w:color w:val="auto"/>
          <w:kern w:val="3"/>
          <w:sz w:val="24"/>
          <w:szCs w:val="24"/>
        </w:rPr>
        <w:fldChar w:fldCharType="end"/>
      </w:r>
      <w:r w:rsidRPr="000642B0">
        <w:rPr>
          <w:rFonts w:ascii="Times New Roman" w:eastAsia="Calibri" w:hAnsi="Times New Roman" w:cs="Times New Roman"/>
          <w:b/>
          <w:bCs/>
          <w:i w:val="0"/>
          <w:iCs w:val="0"/>
          <w:color w:val="auto"/>
          <w:kern w:val="3"/>
          <w:sz w:val="24"/>
          <w:szCs w:val="24"/>
        </w:rPr>
        <w:t xml:space="preserve"> : </w:t>
      </w:r>
      <w:r w:rsidRPr="000642B0">
        <w:rPr>
          <w:rFonts w:ascii="Times New Roman" w:eastAsia="Calibri" w:hAnsi="Times New Roman" w:cs="Times New Roman"/>
          <w:i w:val="0"/>
          <w:iCs w:val="0"/>
          <w:color w:val="auto"/>
          <w:kern w:val="3"/>
          <w:sz w:val="24"/>
          <w:szCs w:val="24"/>
        </w:rPr>
        <w:t>Organigramme de l’entreprise Dahbia</w:t>
      </w:r>
      <w:bookmarkEnd w:id="280"/>
    </w:p>
    <w:p w:rsidR="005236B6" w:rsidRPr="000642B0" w:rsidRDefault="007B5998" w:rsidP="00F7493D">
      <w:pPr>
        <w:bidi/>
        <w:spacing w:line="360" w:lineRule="auto"/>
        <w:rPr>
          <w:rFonts w:ascii="Times New Roman" w:hAnsi="Times New Roman" w:cs="Times New Roman"/>
          <w:sz w:val="28"/>
          <w:szCs w:val="28"/>
        </w:rPr>
      </w:pPr>
      <w:r>
        <w:rPr>
          <w:rFonts w:ascii="Times New Roman" w:hAnsi="Times New Roman" w:cs="Times New Roman"/>
          <w:noProof/>
          <w:sz w:val="28"/>
          <w:szCs w:val="28"/>
          <w:lang w:eastAsia="fr-FR"/>
        </w:rPr>
        <w:pict>
          <v:group id="_x0000_s1100" style="position:absolute;left:0;text-align:left;margin-left:-55.25pt;margin-top:17pt;width:564.25pt;height:329.15pt;z-index:251734528" coordorigin="312,4027" coordsize="11285,6583">
            <v:shape id="Rectangle : coins arrondis 14" o:spid="_x0000_s1063" style="position:absolute;left:2074;top:6971;width:1603;height:876;visibility:visible" coordsize="1017900,55625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" adj="-11796480,,5400" path="m92709,at,,185418,185418,92709,,,92709l,463547at,370838,185418,556256,,463547,92709,556256l925191,556256at832482,370838,1017900,556256,925191,556256,1017900,463547l1017900,92709at832482,,1017900,185418,1017900,92709,925191,l92709,xe" strokeweight=".08811mm">
              <v:stroke joinstyle="round"/>
              <v:shadow on="t" color="#7f7f7f" opacity=".5" origin="-.5,-.5" offset=".35281mm,.70561mm"/>
              <v:formulas/>
              <v:path arrowok="t" o:connecttype="custom" o:connectlocs="508950,0;1017900,278128;508950,556256;0,278128" o:connectangles="270,0,90,180" textboxrect="27154,27154,990746,529102"/>
              <v:textbox style="mso-next-textbox:#Rectangle : coins arrondis 14">
                <w:txbxContent>
                  <w:p w:rsidR="00B54D3C" w:rsidRPr="00DD0328" w:rsidRDefault="00B54D3C" w:rsidP="00CE2D91">
                    <w:pPr>
                      <w:jc w:val="center"/>
                      <w:rPr>
                        <w:rFonts w:asciiTheme="majorBidi" w:hAnsiTheme="majorBidi" w:cstheme="majorBidi"/>
                        <w:b/>
                        <w:bCs/>
                        <w:sz w:val="20"/>
                        <w:szCs w:val="20"/>
                      </w:rPr>
                    </w:pPr>
                    <w:r w:rsidRPr="00DD0328">
                      <w:rPr>
                        <w:rFonts w:asciiTheme="majorBidi" w:hAnsiTheme="majorBidi" w:cstheme="majorBidi"/>
                        <w:b/>
                        <w:bCs/>
                        <w:sz w:val="20"/>
                        <w:szCs w:val="20"/>
                      </w:rPr>
                      <w:t>Production et Agriculture</w:t>
                    </w:r>
                  </w:p>
                  <w:p w:rsidR="00B54D3C" w:rsidRDefault="00B54D3C" w:rsidP="00EC7780">
                    <w:pPr>
                      <w:jc w:val="center"/>
                      <w:rPr>
                        <w:rFonts w:ascii="Times New Roman" w:hAnsi="Times New Roman" w:cs="Times New Roman"/>
                        <w:b/>
                        <w:bCs/>
                        <w:sz w:val="32"/>
                        <w:szCs w:val="32"/>
                      </w:rPr>
                    </w:pPr>
                  </w:p>
                </w:txbxContent>
              </v:textbox>
            </v:shape>
            <v:shape id="Rectangle : coins arrondis 13" o:spid="_x0000_s1062" style="position:absolute;left:312;top:6971;width:1541;height:876;visibility:visible" coordsize="978536,55625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" adj="-11796480,,5400" path="m92709,at,,185418,185418,92709,,,92709l,463547at,370838,185418,556256,,463547,92709,556256l885827,556256at793118,370838,978536,556256,885827,556256,978536,463547l978536,92709at793118,,978536,185418,978536,92709,885827,l92709,xe" strokeweight=".08811mm">
              <v:stroke joinstyle="round"/>
              <v:shadow on="t" color="#7f7f7f" opacity=".5" origin="-.5,-.5" offset=".35281mm,.70561mm"/>
              <v:formulas/>
              <v:path arrowok="t" o:connecttype="custom" o:connectlocs="489268,0;978536,278128;489268,556256;0,278128" o:connectangles="270,0,90,180" textboxrect="27154,27154,951382,529102"/>
              <v:textbox style="mso-next-textbox:#Rectangle : coins arrondis 13">
                <w:txbxContent>
                  <w:p w:rsidR="00B54D3C" w:rsidRPr="00DD0328" w:rsidRDefault="00B54D3C" w:rsidP="00CE2D91">
                    <w:pPr>
                      <w:jc w:val="center"/>
                      <w:rPr>
                        <w:rFonts w:asciiTheme="majorBidi" w:hAnsiTheme="majorBidi" w:cstheme="majorBidi"/>
                        <w:b/>
                        <w:bCs/>
                        <w:sz w:val="20"/>
                        <w:szCs w:val="20"/>
                      </w:rPr>
                    </w:pPr>
                    <w:r w:rsidRPr="00DD0328">
                      <w:rPr>
                        <w:rFonts w:asciiTheme="majorBidi" w:hAnsiTheme="majorBidi" w:cstheme="majorBidi"/>
                        <w:b/>
                        <w:bCs/>
                        <w:sz w:val="20"/>
                        <w:szCs w:val="20"/>
                      </w:rPr>
                      <w:t>Ressources Humaines</w:t>
                    </w:r>
                  </w:p>
                  <w:p w:rsidR="00B54D3C" w:rsidRDefault="00B54D3C" w:rsidP="00EC7780">
                    <w:pPr>
                      <w:jc w:val="center"/>
                      <w:rPr>
                        <w:rFonts w:ascii="Times New Roman" w:hAnsi="Times New Roman" w:cs="Times New Roman"/>
                        <w:b/>
                        <w:bCs/>
                        <w:sz w:val="32"/>
                        <w:szCs w:val="32"/>
                      </w:rPr>
                    </w:pPr>
                  </w:p>
                </w:txbxContent>
              </v:textbox>
            </v:shape>
            <v:shape id="Rectangle : coins arrondis 31" o:spid="_x0000_s1076" style="position:absolute;left:3677;top:4027;width:4739;height:653;visibility:visible" coordsize="3009262,4146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" adj="-11796480,,5400" path="m69109,at,,138218,138218,69109,,,69109l,345543at,276434,138218,414652,,345543,69109,414652l2940153,414652at2871044,276434,3009262,414652,2940153,414652,3009262,345543l3009262,69109at2871044,,3009262,138218,3009262,69109,2940153,l69109,xe" fillcolor="#a9d18e" strokeweight=".08811mm">
              <v:stroke joinstyle="round"/>
              <v:shadow on="t" color="#7f7f7f" opacity=".5" origin="-.5,-.5" offset=".35281mm,.70561mm"/>
              <v:formulas/>
              <v:path arrowok="t" o:connecttype="custom" o:connectlocs="1504631,0;3009262,207326;1504631,414652;0,207326" o:connectangles="270,0,90,180" textboxrect="20242,20242,2989020,394410"/>
              <v:textbox style="mso-next-textbox:#Rectangle : coins arrondis 31">
                <w:txbxContent>
                  <w:p w:rsidR="00B54D3C" w:rsidRDefault="00B54D3C" w:rsidP="00EC7780">
                    <w:pPr>
                      <w:jc w:val="center"/>
                      <w:rPr>
                        <w:rFonts w:ascii="Times New Roman" w:hAnsi="Times New Roman" w:cs="Times New Roman"/>
                        <w:b/>
                        <w:bCs/>
                        <w:sz w:val="32"/>
                        <w:szCs w:val="32"/>
                      </w:rPr>
                    </w:pPr>
                    <w:r>
                      <w:rPr>
                        <w:rFonts w:ascii="Times New Roman" w:hAnsi="Times New Roman" w:cs="Times New Roman"/>
                        <w:b/>
                        <w:bCs/>
                        <w:sz w:val="32"/>
                        <w:szCs w:val="32"/>
                      </w:rPr>
                      <w:t>Directeur</w:t>
                    </w:r>
                  </w:p>
                </w:txbxContent>
              </v:textbox>
            </v:shape>
            <v:shape id="Rectangle : coins arrondis 29" o:spid="_x0000_s1074" style="position:absolute;left:3677;top:5109;width:4739;height:653;visibility:visible" coordsize="3009262,4146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" adj="-11796480,,5400" path="m69109,at,,138218,138218,69109,,,69109l,345543at,276434,138218,414652,,345543,69109,414652l2940153,414652at2871044,276434,3009262,414652,2940153,414652,3009262,345543l3009262,69109at2871044,,3009262,138218,3009262,69109,2940153,l69109,xe" fillcolor="#a9d18e" strokeweight=".08811mm">
              <v:stroke joinstyle="round"/>
              <v:shadow on="t" color="#7f7f7f" opacity=".5" origin="-.5,-.5" offset=".35281mm,.70561mm"/>
              <v:formulas/>
              <v:path arrowok="t" o:connecttype="custom" o:connectlocs="1504631,0;3009262,207326;1504631,414652;0,207326" o:connectangles="270,0,90,180" textboxrect="20242,20242,2989020,394410"/>
              <v:textbox style="mso-next-textbox:#Rectangle : coins arrondis 29">
                <w:txbxContent>
                  <w:p w:rsidR="00B54D3C" w:rsidRPr="001932C2" w:rsidRDefault="00B54D3C" w:rsidP="00CE2D91">
                    <w:pPr>
                      <w:jc w:val="center"/>
                      <w:rPr>
                        <w:rFonts w:asciiTheme="majorBidi" w:hAnsiTheme="majorBidi" w:cstheme="majorBidi"/>
                        <w:b/>
                        <w:bCs/>
                        <w:sz w:val="32"/>
                        <w:szCs w:val="32"/>
                      </w:rPr>
                    </w:pPr>
                    <w:r w:rsidRPr="001932C2">
                      <w:rPr>
                        <w:rFonts w:asciiTheme="majorBidi" w:hAnsiTheme="majorBidi" w:cstheme="majorBidi"/>
                        <w:b/>
                        <w:bCs/>
                        <w:sz w:val="32"/>
                        <w:szCs w:val="32"/>
                      </w:rPr>
                      <w:t>Direction Générale</w:t>
                    </w:r>
                  </w:p>
                  <w:p w:rsidR="00B54D3C" w:rsidRDefault="00B54D3C" w:rsidP="00EC7780">
                    <w:pPr>
                      <w:jc w:val="center"/>
                      <w:rPr>
                        <w:rFonts w:ascii="Times New Roman" w:hAnsi="Times New Roman" w:cs="Times New Roman"/>
                        <w:b/>
                        <w:bCs/>
                        <w:sz w:val="32"/>
                        <w:szCs w:val="32"/>
                      </w:rPr>
                    </w:pPr>
                  </w:p>
                </w:txbxContent>
              </v:textbox>
            </v:shape>
            <v:shape id="Connecteur droit avec flèche 30" o:spid="_x0000_s1075" type="#_x0000_t32" style="position:absolute;left:6055;top:4668;width:17;height: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" strokeweight=".26467mm">
              <v:stroke endarrow="open"/>
            </v:shape>
            <v:shape id="Rectangle : coins arrondis 15" o:spid="_x0000_s1064" style="position:absolute;left:3912;top:6971;width:1725;height:876;visibility:visible" coordsize="1095378,55625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" adj="-11796480,,5400" path="m92709,at,,185418,185418,92709,,,92709l,463547at,370838,185418,556256,,463547,92709,556256l1002669,556256at909960,370838,1095378,556256,1002669,556256,1095378,463547l1095378,92709at909960,,1095378,185418,1095378,92709,1002669,l92709,xe" strokeweight=".08811mm">
              <v:stroke joinstyle="round"/>
              <v:shadow on="t" color="#7f7f7f" opacity=".5" origin="-.5,-.5" offset=".35281mm,.70561mm"/>
              <v:formulas/>
              <v:path arrowok="t" o:connecttype="custom" o:connectlocs="547689,0;1095378,278128;547689,556256;0,278128" o:connectangles="270,0,90,180" textboxrect="27154,27154,1068224,529102"/>
              <v:textbox style="mso-next-textbox:#Rectangle : coins arrondis 15">
                <w:txbxContent>
                  <w:p w:rsidR="00B54D3C" w:rsidRPr="00DD0328" w:rsidRDefault="00B54D3C" w:rsidP="00CE2D91">
                    <w:pPr>
                      <w:jc w:val="center"/>
                      <w:rPr>
                        <w:rFonts w:asciiTheme="majorBidi" w:hAnsiTheme="majorBidi" w:cstheme="majorBidi"/>
                        <w:b/>
                        <w:bCs/>
                        <w:sz w:val="20"/>
                        <w:szCs w:val="20"/>
                      </w:rPr>
                    </w:pPr>
                    <w:r w:rsidRPr="00DD0328">
                      <w:rPr>
                        <w:rFonts w:asciiTheme="majorBidi" w:hAnsiTheme="majorBidi" w:cstheme="majorBidi"/>
                        <w:b/>
                        <w:bCs/>
                        <w:sz w:val="20"/>
                        <w:szCs w:val="20"/>
                      </w:rPr>
                      <w:t>Qualité et Certification</w:t>
                    </w:r>
                  </w:p>
                  <w:p w:rsidR="00B54D3C" w:rsidRDefault="00B54D3C" w:rsidP="00EC7780">
                    <w:pPr>
                      <w:jc w:val="center"/>
                      <w:rPr>
                        <w:rFonts w:ascii="Times New Roman" w:hAnsi="Times New Roman" w:cs="Times New Roman"/>
                        <w:b/>
                        <w:bCs/>
                        <w:sz w:val="32"/>
                        <w:szCs w:val="32"/>
                      </w:rPr>
                    </w:pPr>
                  </w:p>
                </w:txbxContent>
              </v:textbox>
            </v:shape>
            <v:shape id="Rectangle : coins arrondis 11" o:spid="_x0000_s1060" style="position:absolute;left:7830;top:6971;width:1708;height:876;visibility:visible" coordsize="1084578,55625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" adj="-11796480,,5400" path="m92709,at,,185418,185418,92709,,,92709l,463547at,370838,185418,556256,,463547,92709,556256l991869,556256at899160,370838,1084578,556256,991869,556256,1084578,463547l1084578,92709at899160,,1084578,185418,1084578,92709,991869,l92709,xe" strokeweight=".08811mm">
              <v:stroke joinstyle="round"/>
              <v:shadow on="t" color="#7f7f7f" opacity=".5" origin="-.5,-.5" offset=".35281mm,.70561mm"/>
              <v:formulas/>
              <v:path arrowok="t" o:connecttype="custom" o:connectlocs="542289,0;1084578,278128;542289,556256;0,278128" o:connectangles="270,0,90,180" textboxrect="27154,27154,1057424,529102"/>
              <v:textbox style="mso-next-textbox:#Rectangle : coins arrondis 11">
                <w:txbxContent>
                  <w:p w:rsidR="00B54D3C" w:rsidRPr="00CE2D91" w:rsidRDefault="00B54D3C" w:rsidP="00CE2D91">
                    <w:pPr>
                      <w:jc w:val="center"/>
                      <w:rPr>
                        <w:rFonts w:asciiTheme="majorBidi" w:hAnsiTheme="majorBidi" w:cstheme="majorBidi"/>
                      </w:rPr>
                    </w:pPr>
                    <w:r w:rsidRPr="00CE2D91">
                      <w:rPr>
                        <w:rFonts w:asciiTheme="majorBidi" w:hAnsiTheme="majorBidi" w:cstheme="majorBidi"/>
                      </w:rPr>
                      <w:t>Commercial et Export</w:t>
                    </w:r>
                  </w:p>
                  <w:p w:rsidR="00B54D3C" w:rsidRDefault="00B54D3C"/>
                </w:txbxContent>
              </v:textbox>
            </v:shape>
            <v:shape id="Rectangle : coins arrondis 12" o:spid="_x0000_s1061" style="position:absolute;left:9655;top:6971;width:1942;height:876;visibility:visible" coordsize="1233168,55625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" adj="-11796480,,5400" path="m92709,at,,185418,185418,92709,,,92709l,463547at,370838,185418,556256,,463547,92709,556256l1140459,556256at1047750,370838,1233168,556256,1140459,556256,1233168,463547l1233168,92709at1047750,,1233168,185418,1233168,92709,1140459,l92709,xe" strokeweight=".08811mm">
              <v:stroke joinstyle="round"/>
              <v:shadow on="t" color="#7f7f7f" opacity=".5" origin="-.5,-.5" offset=".35281mm,.70561mm"/>
              <v:formulas/>
              <v:path arrowok="t" o:connecttype="custom" o:connectlocs="616584,0;1233168,278128;616584,556256;0,278128" o:connectangles="270,0,90,180" textboxrect="27154,27154,1206014,529102"/>
              <v:textbox style="mso-next-textbox:#Rectangle : coins arrondis 12">
                <w:txbxContent>
                  <w:p w:rsidR="00B54D3C" w:rsidRPr="00CE2D91" w:rsidRDefault="00B54D3C" w:rsidP="00CE2D91">
                    <w:pPr>
                      <w:rPr>
                        <w:rFonts w:asciiTheme="majorBidi" w:hAnsiTheme="majorBidi" w:cstheme="majorBidi"/>
                        <w:sz w:val="20"/>
                        <w:szCs w:val="20"/>
                      </w:rPr>
                    </w:pPr>
                    <w:r w:rsidRPr="00CE2D91">
                      <w:rPr>
                        <w:rFonts w:asciiTheme="majorBidi" w:hAnsiTheme="majorBidi" w:cstheme="majorBidi"/>
                        <w:sz w:val="20"/>
                        <w:szCs w:val="20"/>
                      </w:rPr>
                      <w:t>Logistique et Conditionnement</w:t>
                    </w:r>
                  </w:p>
                  <w:p w:rsidR="00B54D3C" w:rsidRDefault="00B54D3C" w:rsidP="00EC7780">
                    <w:pPr>
                      <w:jc w:val="center"/>
                      <w:rPr>
                        <w:rFonts w:ascii="Times New Roman" w:hAnsi="Times New Roman" w:cs="Times New Roman"/>
                        <w:b/>
                        <w:bCs/>
                        <w:sz w:val="32"/>
                        <w:szCs w:val="32"/>
                      </w:rPr>
                    </w:pPr>
                  </w:p>
                </w:txbxContent>
              </v:textbox>
            </v:shape>
            <v:shape id="Rectangle : coins arrondis 16" o:spid="_x0000_s1065" style="position:absolute;left:5775;top:6971;width:1837;height:876;visibility:visible" coordsize="1166490,55625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" adj="-11796480,,5400" path="m92709,at,,185418,185418,92709,,,92709l,463547at,370838,185418,556256,,463547,92709,556256l1073781,556256at981072,370838,1166490,556256,1073781,556256,1166490,463547l1166490,92709at981072,,1166490,185418,1166490,92709,1073781,l92709,xe" strokeweight=".08811mm">
              <v:stroke joinstyle="round"/>
              <v:shadow on="t" color="#7f7f7f" opacity=".5" origin="-.5,-.5" offset=".35281mm,.70561mm"/>
              <v:formulas/>
              <v:path arrowok="t" o:connecttype="custom" o:connectlocs="583245,0;1166490,278128;583245,556256;0,278128" o:connectangles="270,0,90,180" textboxrect="27154,27154,1139336,529102"/>
              <v:textbox style="mso-next-textbox:#Rectangle : coins arrondis 16">
                <w:txbxContent>
                  <w:p w:rsidR="00B54D3C" w:rsidRPr="00F26835" w:rsidRDefault="00B54D3C" w:rsidP="00CE2D91">
                    <w:pPr>
                      <w:rPr>
                        <w:rFonts w:asciiTheme="majorBidi" w:hAnsiTheme="majorBidi" w:cstheme="majorBidi"/>
                        <w:b/>
                        <w:bCs/>
                        <w:sz w:val="20"/>
                        <w:szCs w:val="20"/>
                      </w:rPr>
                    </w:pPr>
                    <w:r w:rsidRPr="00F26835">
                      <w:rPr>
                        <w:rFonts w:asciiTheme="majorBidi" w:hAnsiTheme="majorBidi" w:cstheme="majorBidi"/>
                        <w:b/>
                        <w:bCs/>
                        <w:sz w:val="20"/>
                        <w:szCs w:val="20"/>
                      </w:rPr>
                      <w:t>Marketing et Communication</w:t>
                    </w:r>
                  </w:p>
                  <w:p w:rsidR="00B54D3C" w:rsidRDefault="00B54D3C" w:rsidP="00EC7780">
                    <w:pPr>
                      <w:jc w:val="center"/>
                      <w:rPr>
                        <w:rFonts w:ascii="Times New Roman" w:hAnsi="Times New Roman" w:cs="Times New Roman"/>
                        <w:b/>
                        <w:bCs/>
                        <w:sz w:val="32"/>
                        <w:szCs w:val="32"/>
                      </w:rPr>
                    </w:pPr>
                  </w:p>
                </w:txbxContent>
              </v:textbox>
            </v:shape>
            <v:shape id="Connecteur droit avec flèche 5" o:spid="_x0000_s1055" type="#_x0000_t32" style="position:absolute;left:1316;top:5826;width:4739;height:1145;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" strokeweight=".26467mm">
              <v:stroke endarrow="open"/>
            </v:shape>
            <v:shape id="Connecteur droit avec flèche 6" o:spid="_x0000_s1056" type="#_x0000_t32" style="position:absolute;left:3058;top:5826;width:2980;height:1145;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" strokeweight=".26467mm">
              <v:stroke endarrow="open"/>
            </v:shape>
            <v:shape id="Connecteur droit avec flèche 10" o:spid="_x0000_s1059" type="#_x0000_t32" style="position:absolute;left:5017;top:5826;width:1004;height:1145;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" strokeweight=".26467mm">
              <v:stroke endarrow="open"/>
            </v:shape>
            <v:shape id="Connecteur droit avec flèche 7" o:spid="_x0000_s1057" type="#_x0000_t32" style="position:absolute;left:6004;top:5826;width:587;height:1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" strokeweight=".26467mm">
              <v:stroke endarrow="open"/>
            </v:shape>
            <v:shape id="Connecteur droit avec flèche 8" o:spid="_x0000_s1058" type="#_x0000_t32" style="position:absolute;left:5987;top:5826;width:2597;height:1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" strokeweight=".26467mm">
              <v:stroke endarrow="open"/>
            </v:shape>
            <v:shape id="Connecteur droit avec flèche 9" o:spid="_x0000_s1073" type="#_x0000_t32" style="position:absolute;left:5980;top:5871;width:4489;height:1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" strokeweight=".26467mm">
              <v:stroke endarrow="open"/>
            </v:shape>
            <v:shape id="Rectangle : coins arrondis 28" o:spid="_x0000_s1072" style="position:absolute;left:312;top:8249;width:1641;height:2361;visibility:visible" coordsize="1042031,14992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" adj="-11796480,,5400" path="m173672,at,,347344,347344,173672,,,173672l,1325559at,1151887,347344,1499231,,1325559,173672,1499231l868359,1499231at694687,1151887,1042031,1499231,868359,1499231,1042031,1325559l1042031,173672at694687,,1042031,347344,1042031,173672,868359,l173672,xe" strokeweight=".26467mm">
              <v:stroke joinstyle="round"/>
              <v:formulas/>
              <v:path arrowok="t" o:connecttype="custom" o:connectlocs="521016,0;1042031,749616;521016,1499231;0,749616" o:connectangles="270,0,90,180" textboxrect="50868,50868,991163,1448363"/>
              <v:textbox style="mso-next-textbox:#Rectangle : coins arrondis 28">
                <w:txbxContent>
                  <w:p w:rsidR="00B54D3C" w:rsidRPr="006E6DED" w:rsidRDefault="00B54D3C" w:rsidP="00CE2D91">
                    <w:pPr>
                      <w:rPr>
                        <w:rFonts w:asciiTheme="majorBidi" w:hAnsiTheme="majorBidi" w:cstheme="majorBidi"/>
                        <w:b/>
                        <w:bCs/>
                        <w:sz w:val="20"/>
                        <w:szCs w:val="20"/>
                      </w:rPr>
                    </w:pPr>
                    <w:r w:rsidRPr="005E214B">
                      <w:rPr>
                        <w:rFonts w:asciiTheme="majorBidi" w:hAnsiTheme="majorBidi" w:cstheme="majorBidi"/>
                        <w:b/>
                        <w:bCs/>
                        <w:sz w:val="20"/>
                        <w:szCs w:val="20"/>
                      </w:rPr>
                      <w:t>•</w:t>
                    </w:r>
                    <w:r w:rsidRPr="006E6DED">
                      <w:rPr>
                        <w:rFonts w:asciiTheme="majorBidi" w:hAnsiTheme="majorBidi" w:cstheme="majorBidi"/>
                        <w:b/>
                        <w:bCs/>
                        <w:sz w:val="20"/>
                        <w:szCs w:val="20"/>
                      </w:rPr>
                      <w:t xml:space="preserve">Recrutement </w:t>
                    </w:r>
                  </w:p>
                  <w:p w:rsidR="00B54D3C" w:rsidRPr="006E6DED" w:rsidRDefault="00B54D3C" w:rsidP="00CE2D91">
                    <w:pPr>
                      <w:rPr>
                        <w:rFonts w:asciiTheme="majorBidi" w:hAnsiTheme="majorBidi" w:cstheme="majorBidi"/>
                        <w:sz w:val="20"/>
                        <w:szCs w:val="20"/>
                      </w:rPr>
                    </w:pPr>
                    <w:r w:rsidRPr="005E214B">
                      <w:rPr>
                        <w:rFonts w:asciiTheme="majorBidi" w:hAnsiTheme="majorBidi" w:cstheme="majorBidi"/>
                        <w:b/>
                        <w:bCs/>
                        <w:sz w:val="20"/>
                        <w:szCs w:val="20"/>
                      </w:rPr>
                      <w:t>•</w:t>
                    </w:r>
                    <w:r w:rsidRPr="006E6DED">
                      <w:rPr>
                        <w:rFonts w:asciiTheme="majorBidi" w:hAnsiTheme="majorBidi" w:cstheme="majorBidi"/>
                        <w:b/>
                        <w:bCs/>
                        <w:sz w:val="20"/>
                        <w:szCs w:val="20"/>
                      </w:rPr>
                      <w:t>Formation</w:t>
                    </w:r>
                  </w:p>
                  <w:p w:rsidR="00B54D3C" w:rsidRPr="006E6DED" w:rsidRDefault="00B54D3C" w:rsidP="00CE2D91">
                    <w:pPr>
                      <w:rPr>
                        <w:rFonts w:asciiTheme="majorBidi" w:hAnsiTheme="majorBidi" w:cstheme="majorBidi"/>
                        <w:b/>
                        <w:bCs/>
                        <w:sz w:val="20"/>
                        <w:szCs w:val="20"/>
                      </w:rPr>
                    </w:pPr>
                    <w:r w:rsidRPr="005E214B">
                      <w:rPr>
                        <w:rFonts w:asciiTheme="majorBidi" w:hAnsiTheme="majorBidi" w:cstheme="majorBidi"/>
                        <w:b/>
                        <w:bCs/>
                        <w:sz w:val="20"/>
                        <w:szCs w:val="20"/>
                      </w:rPr>
                      <w:t>•</w:t>
                    </w:r>
                    <w:r w:rsidRPr="006E6DED">
                      <w:rPr>
                        <w:rFonts w:asciiTheme="majorBidi" w:hAnsiTheme="majorBidi" w:cstheme="majorBidi"/>
                        <w:b/>
                        <w:bCs/>
                        <w:sz w:val="20"/>
                        <w:szCs w:val="20"/>
                      </w:rPr>
                      <w:t>Gestion du personne</w:t>
                    </w:r>
                  </w:p>
                  <w:p w:rsidR="00B54D3C" w:rsidRDefault="00B54D3C" w:rsidP="00EC7780">
                    <w:pPr>
                      <w:jc w:val="center"/>
                      <w:rPr>
                        <w:rFonts w:ascii="Times New Roman" w:hAnsi="Times New Roman" w:cs="Times New Roman"/>
                        <w:b/>
                        <w:bCs/>
                        <w:sz w:val="32"/>
                        <w:szCs w:val="32"/>
                      </w:rPr>
                    </w:pPr>
                  </w:p>
                </w:txbxContent>
              </v:textbox>
            </v:shape>
            <v:shape id="Rectangle : coins arrondis 17" o:spid="_x0000_s1066" style="position:absolute;left:2074;top:8249;width:1603;height:2361;visibility:visible" coordsize="1017900,14992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" adj="-11796480,,5400" path="m169650,at,,339300,339300,169650,,,169650l,1329581at,1159931,339300,1499231,,1329581,169650,1499231l848250,1499231at678600,1159931,1017900,1499231,848250,1499231,1017900,1329581l1017900,169650at678600,,1017900,339300,1017900,169650,848250,l169650,xe" strokeweight=".26467mm">
              <v:stroke joinstyle="round"/>
              <v:formulas/>
              <v:path arrowok="t" o:connecttype="custom" o:connectlocs="508950,0;1017900,749616;508950,1499231;0,749616" o:connectangles="270,0,90,180" textboxrect="49690,49690,968210,1449541"/>
              <v:textbox style="mso-next-textbox:#Rectangle : coins arrondis 17">
                <w:txbxContent>
                  <w:p w:rsidR="00B54D3C" w:rsidRPr="005E214B" w:rsidRDefault="00B54D3C" w:rsidP="00CE2D91">
                    <w:pPr>
                      <w:rPr>
                        <w:rFonts w:asciiTheme="majorBidi" w:hAnsiTheme="majorBidi" w:cstheme="majorBidi"/>
                        <w:b/>
                        <w:bCs/>
                        <w:sz w:val="20"/>
                        <w:szCs w:val="20"/>
                      </w:rPr>
                    </w:pPr>
                    <w:r w:rsidRPr="005E214B">
                      <w:rPr>
                        <w:rFonts w:asciiTheme="majorBidi" w:hAnsiTheme="majorBidi" w:cstheme="majorBidi"/>
                        <w:b/>
                        <w:bCs/>
                        <w:sz w:val="20"/>
                        <w:szCs w:val="20"/>
                      </w:rPr>
                      <w:t xml:space="preserve">• Récolte (Early Harvest) </w:t>
                    </w:r>
                  </w:p>
                  <w:p w:rsidR="00B54D3C" w:rsidRDefault="00B54D3C" w:rsidP="00CE2D91">
                    <w:pPr>
                      <w:rPr>
                        <w:rFonts w:asciiTheme="majorBidi" w:hAnsiTheme="majorBidi" w:cstheme="majorBidi"/>
                        <w:b/>
                        <w:bCs/>
                        <w:sz w:val="20"/>
                        <w:szCs w:val="20"/>
                      </w:rPr>
                    </w:pPr>
                    <w:r w:rsidRPr="005E214B">
                      <w:rPr>
                        <w:rFonts w:asciiTheme="majorBidi" w:hAnsiTheme="majorBidi" w:cstheme="majorBidi"/>
                        <w:b/>
                        <w:bCs/>
                        <w:sz w:val="20"/>
                        <w:szCs w:val="20"/>
                      </w:rPr>
                      <w:t>• Trituration</w:t>
                    </w:r>
                  </w:p>
                  <w:p w:rsidR="00B54D3C" w:rsidRPr="005E214B" w:rsidRDefault="00B54D3C" w:rsidP="00CE2D91">
                    <w:pPr>
                      <w:rPr>
                        <w:rFonts w:asciiTheme="majorBidi" w:hAnsiTheme="majorBidi" w:cstheme="majorBidi"/>
                        <w:b/>
                        <w:bCs/>
                        <w:sz w:val="20"/>
                        <w:szCs w:val="20"/>
                      </w:rPr>
                    </w:pPr>
                    <w:r w:rsidRPr="005E214B">
                      <w:rPr>
                        <w:rFonts w:asciiTheme="majorBidi" w:hAnsiTheme="majorBidi" w:cstheme="majorBidi"/>
                        <w:b/>
                        <w:bCs/>
                        <w:sz w:val="20"/>
                        <w:szCs w:val="20"/>
                      </w:rPr>
                      <w:t xml:space="preserve"> • Gestion des oliveraies</w:t>
                    </w:r>
                  </w:p>
                  <w:p w:rsidR="00B54D3C" w:rsidRDefault="00B54D3C" w:rsidP="00EC7780">
                    <w:pPr>
                      <w:jc w:val="center"/>
                      <w:rPr>
                        <w:rFonts w:ascii="Times New Roman" w:hAnsi="Times New Roman" w:cs="Times New Roman"/>
                        <w:b/>
                        <w:bCs/>
                        <w:sz w:val="32"/>
                        <w:szCs w:val="32"/>
                      </w:rPr>
                    </w:pPr>
                  </w:p>
                </w:txbxContent>
              </v:textbox>
            </v:shape>
            <v:shape id="Rectangle : coins arrondis 18" o:spid="_x0000_s1067" style="position:absolute;left:3912;top:8249;width:1725;height:2361;visibility:visible" coordsize="1095378,14992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" adj="-11796480,,5400" path="m182563,at,,365126,365126,182563,,,182563l,1316668at,1134105,365126,1499231,,1316668,182563,1499231l912815,1499231at730252,1134105,1095378,1499231,912815,1499231,1095378,1316668l1095378,182563at730252,,1095378,365126,1095378,182563,912815,l182563,xe" strokeweight=".26467mm">
              <v:stroke joinstyle="round"/>
              <v:formulas/>
              <v:path arrowok="t" o:connecttype="custom" o:connectlocs="547689,0;1095378,749616;547689,1499231;0,749616" o:connectangles="270,0,90,180" textboxrect="53473,53473,1041905,1445758"/>
              <v:textbox style="mso-next-textbox:#Rectangle : coins arrondis 18">
                <w:txbxContent>
                  <w:p w:rsidR="00B54D3C" w:rsidRPr="00B1129A" w:rsidRDefault="00B54D3C" w:rsidP="00CE2D91">
                    <w:pPr>
                      <w:rPr>
                        <w:rFonts w:asciiTheme="majorBidi" w:hAnsiTheme="majorBidi" w:cstheme="majorBidi"/>
                        <w:b/>
                        <w:bCs/>
                        <w:sz w:val="20"/>
                        <w:szCs w:val="20"/>
                      </w:rPr>
                    </w:pPr>
                    <w:r w:rsidRPr="00B1129A">
                      <w:rPr>
                        <w:rFonts w:asciiTheme="majorBidi" w:hAnsiTheme="majorBidi" w:cstheme="majorBidi"/>
                        <w:b/>
                        <w:bCs/>
                        <w:sz w:val="20"/>
                        <w:szCs w:val="20"/>
                      </w:rPr>
                      <w:t>• Contrôle qualité</w:t>
                    </w:r>
                  </w:p>
                  <w:p w:rsidR="00B54D3C" w:rsidRPr="00B1129A" w:rsidRDefault="00B54D3C" w:rsidP="00CE2D91">
                    <w:pPr>
                      <w:rPr>
                        <w:rFonts w:asciiTheme="majorBidi" w:hAnsiTheme="majorBidi" w:cstheme="majorBidi"/>
                        <w:b/>
                        <w:bCs/>
                        <w:sz w:val="20"/>
                        <w:szCs w:val="20"/>
                      </w:rPr>
                    </w:pPr>
                    <w:r w:rsidRPr="00B1129A">
                      <w:rPr>
                        <w:rFonts w:asciiTheme="majorBidi" w:hAnsiTheme="majorBidi" w:cstheme="majorBidi"/>
                        <w:b/>
                        <w:bCs/>
                        <w:sz w:val="20"/>
                        <w:szCs w:val="20"/>
                      </w:rPr>
                      <w:t xml:space="preserve"> •Certifications bio (Ecocert, USDA)</w:t>
                    </w:r>
                  </w:p>
                  <w:p w:rsidR="00B54D3C" w:rsidRDefault="00B54D3C" w:rsidP="00EC7780">
                    <w:pPr>
                      <w:jc w:val="center"/>
                      <w:rPr>
                        <w:rFonts w:ascii="Times New Roman" w:hAnsi="Times New Roman" w:cs="Times New Roman"/>
                        <w:b/>
                        <w:bCs/>
                        <w:sz w:val="32"/>
                        <w:szCs w:val="32"/>
                      </w:rPr>
                    </w:pPr>
                  </w:p>
                </w:txbxContent>
              </v:textbox>
            </v:shape>
            <v:shape id="Rectangle : coins arrondis 19" o:spid="_x0000_s1068" style="position:absolute;left:5775;top:8249;width:1737;height:2361;visibility:visible" coordsize="1102995,14992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" adj="-11796480,,5400" path="m183833,at,,367666,367666,183833,,,183833l,1315398at,1131565,367666,1499231,,1315398,183833,1499231l919163,1499231at735330,1131565,1102996,1499231,919163,1499231,1102996,1315398l1102995,183833at735329,,1102995,367666,1102995,183833,919162,l183833,xe" strokeweight=".26467mm">
              <v:stroke joinstyle="round"/>
              <v:formulas/>
              <v:path arrowok="t" o:connecttype="custom" o:connectlocs="551498,0;1102995,749616;551498,1499231;0,749616" o:connectangles="270,0,90,180" textboxrect="53844,53844,1049151,1445387"/>
              <v:textbox style="mso-next-textbox:#Rectangle : coins arrondis 19">
                <w:txbxContent>
                  <w:p w:rsidR="00B54D3C" w:rsidRPr="006F31A4" w:rsidRDefault="00B54D3C" w:rsidP="00CE2D91">
                    <w:pPr>
                      <w:rPr>
                        <w:rFonts w:asciiTheme="majorBidi" w:hAnsiTheme="majorBidi" w:cstheme="majorBidi"/>
                        <w:b/>
                        <w:bCs/>
                      </w:rPr>
                    </w:pPr>
                    <w:r>
                      <w:t xml:space="preserve">• </w:t>
                    </w:r>
                    <w:r w:rsidRPr="006F31A4">
                      <w:rPr>
                        <w:rFonts w:asciiTheme="majorBidi" w:hAnsiTheme="majorBidi" w:cstheme="majorBidi"/>
                        <w:b/>
                        <w:bCs/>
                      </w:rPr>
                      <w:t xml:space="preserve">Réseaux sociaux </w:t>
                    </w:r>
                  </w:p>
                  <w:p w:rsidR="00B54D3C" w:rsidRPr="006F31A4" w:rsidRDefault="00B54D3C" w:rsidP="00CE2D91">
                    <w:pPr>
                      <w:rPr>
                        <w:rFonts w:asciiTheme="majorBidi" w:hAnsiTheme="majorBidi" w:cstheme="majorBidi"/>
                        <w:b/>
                        <w:bCs/>
                      </w:rPr>
                    </w:pPr>
                    <w:r w:rsidRPr="006F31A4">
                      <w:rPr>
                        <w:rFonts w:asciiTheme="majorBidi" w:hAnsiTheme="majorBidi" w:cstheme="majorBidi"/>
                        <w:b/>
                        <w:bCs/>
                      </w:rPr>
                      <w:t>• Branding</w:t>
                    </w:r>
                  </w:p>
                  <w:p w:rsidR="00B54D3C" w:rsidRPr="006F31A4" w:rsidRDefault="00B54D3C" w:rsidP="00CE2D91">
                    <w:pPr>
                      <w:rPr>
                        <w:rFonts w:asciiTheme="majorBidi" w:hAnsiTheme="majorBidi" w:cstheme="majorBidi"/>
                        <w:b/>
                        <w:bCs/>
                      </w:rPr>
                    </w:pPr>
                    <w:r w:rsidRPr="006F31A4">
                      <w:rPr>
                        <w:rFonts w:asciiTheme="majorBidi" w:hAnsiTheme="majorBidi" w:cstheme="majorBidi"/>
                        <w:b/>
                        <w:bCs/>
                      </w:rPr>
                      <w:t xml:space="preserve"> • Promotion</w:t>
                    </w:r>
                  </w:p>
                  <w:p w:rsidR="00B54D3C" w:rsidRDefault="00B54D3C" w:rsidP="00EC7780">
                    <w:pPr>
                      <w:jc w:val="center"/>
                      <w:rPr>
                        <w:rFonts w:ascii="Times New Roman" w:hAnsi="Times New Roman" w:cs="Times New Roman"/>
                        <w:b/>
                        <w:bCs/>
                        <w:sz w:val="32"/>
                        <w:szCs w:val="32"/>
                      </w:rPr>
                    </w:pPr>
                  </w:p>
                </w:txbxContent>
              </v:textbox>
            </v:shape>
            <v:shape id="Rectangle : coins arrondis 20" o:spid="_x0000_s1069" style="position:absolute;left:7830;top:8249;width:1708;height:2361;visibility:visible" coordsize="1084578,14992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" adj="-11796480,,5400" path="m180763,at,,361526,361526,180763,,,180763l,1318468at,1137705,361526,1499231,,1318468,180763,1499231l903815,1499231at723052,1137705,1084578,1499231,903815,1499231,1084578,1318468l1084578,180763at723052,,1084578,361526,1084578,180763,903815,l180763,xe" strokeweight=".26467mm">
              <v:stroke joinstyle="round"/>
              <v:formulas/>
              <v:path arrowok="t" o:connecttype="custom" o:connectlocs="542289,0;1084578,749616;542289,1499231;0,749616" o:connectangles="270,0,90,180" textboxrect="52945,52945,1031633,1446286"/>
              <v:textbox style="mso-next-textbox:#Rectangle : coins arrondis 20">
                <w:txbxContent>
                  <w:p w:rsidR="00B54D3C" w:rsidRPr="006F31A4" w:rsidRDefault="00B54D3C" w:rsidP="00CE2D91">
                    <w:pPr>
                      <w:rPr>
                        <w:rFonts w:asciiTheme="majorBidi" w:hAnsiTheme="majorBidi" w:cstheme="majorBidi"/>
                        <w:b/>
                        <w:bCs/>
                        <w:sz w:val="20"/>
                        <w:szCs w:val="20"/>
                      </w:rPr>
                    </w:pPr>
                    <w:r>
                      <w:t xml:space="preserve">• </w:t>
                    </w:r>
                    <w:r w:rsidRPr="006F31A4">
                      <w:rPr>
                        <w:rFonts w:asciiTheme="majorBidi" w:hAnsiTheme="majorBidi" w:cstheme="majorBidi"/>
                        <w:b/>
                        <w:bCs/>
                        <w:sz w:val="20"/>
                        <w:szCs w:val="20"/>
                      </w:rPr>
                      <w:t>Vente nationale</w:t>
                    </w:r>
                  </w:p>
                  <w:p w:rsidR="00B54D3C" w:rsidRPr="006F31A4" w:rsidRDefault="00B54D3C" w:rsidP="00CE2D91">
                    <w:pPr>
                      <w:rPr>
                        <w:rFonts w:asciiTheme="majorBidi" w:hAnsiTheme="majorBidi" w:cstheme="majorBidi"/>
                        <w:b/>
                        <w:bCs/>
                        <w:sz w:val="20"/>
                        <w:szCs w:val="20"/>
                      </w:rPr>
                    </w:pPr>
                    <w:r w:rsidRPr="006F31A4">
                      <w:rPr>
                        <w:rFonts w:asciiTheme="majorBidi" w:hAnsiTheme="majorBidi" w:cstheme="majorBidi"/>
                        <w:b/>
                        <w:bCs/>
                        <w:sz w:val="20"/>
                        <w:szCs w:val="20"/>
                      </w:rPr>
                      <w:t xml:space="preserve"> • Export international </w:t>
                    </w:r>
                  </w:p>
                  <w:p w:rsidR="00B54D3C" w:rsidRPr="006F31A4" w:rsidRDefault="00B54D3C" w:rsidP="00CE2D91">
                    <w:pPr>
                      <w:rPr>
                        <w:rFonts w:asciiTheme="majorBidi" w:hAnsiTheme="majorBidi" w:cstheme="majorBidi"/>
                        <w:b/>
                        <w:bCs/>
                        <w:sz w:val="20"/>
                        <w:szCs w:val="20"/>
                      </w:rPr>
                    </w:pPr>
                    <w:r w:rsidRPr="006F31A4">
                      <w:rPr>
                        <w:rFonts w:asciiTheme="majorBidi" w:hAnsiTheme="majorBidi" w:cstheme="majorBidi"/>
                        <w:b/>
                        <w:bCs/>
                        <w:sz w:val="20"/>
                        <w:szCs w:val="20"/>
                      </w:rPr>
                      <w:t>• Partenariats</w:t>
                    </w:r>
                  </w:p>
                  <w:p w:rsidR="00B54D3C" w:rsidRDefault="00B54D3C" w:rsidP="00EC7780">
                    <w:pPr>
                      <w:jc w:val="center"/>
                      <w:rPr>
                        <w:rFonts w:ascii="Times New Roman" w:hAnsi="Times New Roman" w:cs="Times New Roman"/>
                        <w:b/>
                        <w:bCs/>
                        <w:sz w:val="32"/>
                        <w:szCs w:val="32"/>
                      </w:rPr>
                    </w:pPr>
                  </w:p>
                </w:txbxContent>
              </v:textbox>
            </v:shape>
            <v:shape id="Rectangle : coins arrondis 21" o:spid="_x0000_s1070" style="position:absolute;left:9740;top:8249;width:1757;height:2361;visibility:visible" coordsize="1115696,14992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" adj="-11796480,,5400" path="m185949,at,,371898,371898,185949,,,185949l,1313282at,1127333,371898,1499231,,1313282,185949,1499231l929747,1499231at743798,1127333,1115696,1499231,929747,1499231,1115696,1313282l1115696,185949at743798,,1115696,371898,1115696,185949,929747,l185949,xe" strokeweight=".26467mm">
              <v:stroke joinstyle="round"/>
              <v:formulas/>
              <v:path arrowok="t" o:connecttype="custom" o:connectlocs="557848,0;1115696,749616;557848,1499231;0,749616" o:connectangles="270,0,90,180" textboxrect="54464,54464,1061232,1444767"/>
              <v:textbox style="mso-next-textbox:#Rectangle : coins arrondis 21">
                <w:txbxContent>
                  <w:p w:rsidR="00B54D3C" w:rsidRPr="001824C9" w:rsidRDefault="00B54D3C" w:rsidP="00CE2D91">
                    <w:pPr>
                      <w:rPr>
                        <w:rFonts w:asciiTheme="majorBidi" w:hAnsiTheme="majorBidi" w:cstheme="majorBidi"/>
                        <w:b/>
                        <w:bCs/>
                      </w:rPr>
                    </w:pPr>
                    <w:r w:rsidRPr="001824C9">
                      <w:rPr>
                        <w:rFonts w:asciiTheme="majorBidi" w:hAnsiTheme="majorBidi" w:cstheme="majorBidi"/>
                        <w:b/>
                        <w:bCs/>
                      </w:rPr>
                      <w:t xml:space="preserve">• Stockage </w:t>
                    </w:r>
                  </w:p>
                  <w:p w:rsidR="00B54D3C" w:rsidRPr="001824C9" w:rsidRDefault="00B54D3C" w:rsidP="00CE2D91">
                    <w:pPr>
                      <w:rPr>
                        <w:rFonts w:asciiTheme="majorBidi" w:hAnsiTheme="majorBidi" w:cstheme="majorBidi"/>
                        <w:b/>
                        <w:bCs/>
                      </w:rPr>
                    </w:pPr>
                    <w:r w:rsidRPr="001824C9">
                      <w:rPr>
                        <w:rFonts w:asciiTheme="majorBidi" w:hAnsiTheme="majorBidi" w:cstheme="majorBidi"/>
                        <w:b/>
                        <w:bCs/>
                      </w:rPr>
                      <w:t>• Emballage</w:t>
                    </w:r>
                  </w:p>
                  <w:p w:rsidR="00B54D3C" w:rsidRPr="001824C9" w:rsidRDefault="00B54D3C" w:rsidP="00CE2D91">
                    <w:pPr>
                      <w:rPr>
                        <w:rFonts w:asciiTheme="majorBidi" w:hAnsiTheme="majorBidi" w:cstheme="majorBidi"/>
                        <w:b/>
                        <w:bCs/>
                      </w:rPr>
                    </w:pPr>
                    <w:r w:rsidRPr="001824C9">
                      <w:rPr>
                        <w:rFonts w:asciiTheme="majorBidi" w:hAnsiTheme="majorBidi" w:cstheme="majorBidi"/>
                        <w:b/>
                        <w:bCs/>
                      </w:rPr>
                      <w:t xml:space="preserve"> • Transport</w:t>
                    </w:r>
                  </w:p>
                  <w:p w:rsidR="00B54D3C" w:rsidRDefault="00B54D3C" w:rsidP="00EC7780">
                    <w:pPr>
                      <w:jc w:val="center"/>
                      <w:rPr>
                        <w:rFonts w:ascii="Times New Roman" w:hAnsi="Times New Roman" w:cs="Times New Roman"/>
                        <w:b/>
                        <w:bCs/>
                        <w:sz w:val="32"/>
                        <w:szCs w:val="32"/>
                      </w:rPr>
                    </w:pPr>
                  </w:p>
                </w:txbxContent>
              </v:textbox>
            </v:shape>
            <v:shape id="Connecteur droit avec flèche 22" o:spid="_x0000_s1071" type="#_x0000_t32" style="position:absolute;left:1032;top:7847;width:0;height:4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" strokeweight=".26467mm">
              <v:stroke endarrow="open"/>
            </v:shape>
            <v:shape id="Connecteur droit avec flèche 23" o:spid="_x0000_s1048" type="#_x0000_t32" style="position:absolute;left:2807;top:7847;width:0;height:4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" strokeweight=".26467mm">
              <v:stroke endarrow="open"/>
            </v:shape>
            <v:shape id="Connecteur droit avec flèche 24" o:spid="_x0000_s1049" type="#_x0000_t32" style="position:absolute;left:4732;top:7847;width:0;height:4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" strokeweight=".26467mm">
              <v:stroke endarrow="open"/>
            </v:shape>
            <v:shape id="Connecteur droit avec flèche 25" o:spid="_x0000_s1050" type="#_x0000_t32" style="position:absolute;left:6591;top:7847;width:0;height:4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" strokeweight=".26467mm">
              <v:stroke endarrow="open"/>
            </v:shape>
            <v:shape id="Connecteur droit avec flèche 26" o:spid="_x0000_s1051" type="#_x0000_t32" style="position:absolute;left:8684;top:7847;width:0;height:4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" strokeweight=".26467mm">
              <v:stroke endarrow="open"/>
            </v:shape>
            <v:shape id="Connecteur droit avec flèche 27" o:spid="_x0000_s1052" type="#_x0000_t32" style="position:absolute;left:10660;top:7847;width:0;height:40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" strokeweight=".26467mm">
              <v:stroke endarrow="open"/>
            </v:shape>
          </v:group>
        </w:pict>
      </w:r>
    </w:p>
    <w:p w:rsidR="005236B6" w:rsidRDefault="005236B6" w:rsidP="00F7493D">
      <w:pPr>
        <w:bidi/>
        <w:spacing w:line="360" w:lineRule="auto"/>
      </w:pPr>
    </w:p>
    <w:p w:rsidR="005236B6" w:rsidRDefault="005236B6" w:rsidP="00F7493D">
      <w:pPr>
        <w:bidi/>
        <w:spacing w:line="360" w:lineRule="auto"/>
      </w:pPr>
    </w:p>
    <w:p w:rsidR="005236B6" w:rsidRDefault="005236B6" w:rsidP="00F7493D">
      <w:pPr>
        <w:tabs>
          <w:tab w:val="left" w:pos="5309"/>
        </w:tabs>
        <w:bidi/>
        <w:spacing w:line="360" w:lineRule="auto"/>
      </w:pPr>
      <w:r>
        <w:rPr>
          <w:rFonts w:ascii="Times New Roman" w:hAnsi="Times New Roman" w:cs="Times New Roman"/>
          <w:sz w:val="28"/>
          <w:szCs w:val="28"/>
          <w:rtl/>
        </w:rPr>
        <w:tab/>
      </w:r>
    </w:p>
    <w:p w:rsidR="005236B6" w:rsidRDefault="005236B6" w:rsidP="00F7493D">
      <w:pPr>
        <w:tabs>
          <w:tab w:val="left" w:pos="2962"/>
        </w:tabs>
        <w:spacing w:line="360" w:lineRule="auto"/>
        <w:rPr>
          <w:rFonts w:ascii="Times New Roman" w:hAnsi="Times New Roman" w:cs="Times New Roman"/>
          <w:sz w:val="24"/>
          <w:szCs w:val="24"/>
        </w:rPr>
      </w:pPr>
    </w:p>
    <w:p w:rsidR="005236B6" w:rsidRDefault="005236B6" w:rsidP="00F7493D">
      <w:pPr>
        <w:spacing w:line="360" w:lineRule="auto"/>
      </w:pPr>
    </w:p>
    <w:p w:rsidR="005236B6" w:rsidRDefault="005236B6" w:rsidP="00F7493D">
      <w:pPr>
        <w:spacing w:line="360" w:lineRule="auto"/>
        <w:rPr>
          <w:rFonts w:ascii="Times New Roman" w:hAnsi="Times New Roman" w:cs="Times New Roman"/>
          <w:b/>
          <w:bCs/>
          <w:sz w:val="24"/>
          <w:szCs w:val="24"/>
        </w:rPr>
      </w:pPr>
    </w:p>
    <w:p w:rsidR="005236B6" w:rsidRDefault="005236B6" w:rsidP="00F7493D">
      <w:pPr>
        <w:spacing w:line="360" w:lineRule="auto"/>
        <w:rPr>
          <w:rFonts w:ascii="Times New Roman" w:hAnsi="Times New Roman" w:cs="Times New Roman"/>
          <w:b/>
          <w:bCs/>
          <w:sz w:val="24"/>
          <w:szCs w:val="24"/>
        </w:rPr>
      </w:pPr>
    </w:p>
    <w:p w:rsidR="005236B6" w:rsidRDefault="005236B6" w:rsidP="00F7493D">
      <w:pPr>
        <w:spacing w:line="360" w:lineRule="auto"/>
        <w:rPr>
          <w:rFonts w:ascii="Times New Roman" w:hAnsi="Times New Roman" w:cs="Times New Roman"/>
          <w:b/>
          <w:bCs/>
          <w:sz w:val="24"/>
          <w:szCs w:val="24"/>
        </w:rPr>
      </w:pPr>
    </w:p>
    <w:p w:rsidR="005236B6" w:rsidRDefault="005236B6" w:rsidP="00F7493D">
      <w:pPr>
        <w:spacing w:line="360" w:lineRule="auto"/>
        <w:rPr>
          <w:rFonts w:ascii="Times New Roman" w:hAnsi="Times New Roman" w:cs="Times New Roman"/>
          <w:sz w:val="24"/>
          <w:szCs w:val="24"/>
        </w:rPr>
      </w:pPr>
    </w:p>
    <w:p w:rsidR="005236B6" w:rsidRDefault="005236B6" w:rsidP="00F7493D">
      <w:pPr>
        <w:spacing w:line="360" w:lineRule="auto"/>
      </w:pPr>
    </w:p>
    <w:p w:rsidR="005236B6" w:rsidRDefault="005236B6" w:rsidP="00F7493D">
      <w:pPr>
        <w:spacing w:line="360" w:lineRule="auto"/>
      </w:pPr>
    </w:p>
    <w:p w:rsidR="005236B6" w:rsidRPr="00975EF7" w:rsidRDefault="005236B6" w:rsidP="00F7493D">
      <w:pPr>
        <w:spacing w:line="360" w:lineRule="auto"/>
        <w:rPr>
          <w:rFonts w:asciiTheme="majorBidi" w:hAnsiTheme="majorBidi" w:cstheme="majorBidi"/>
          <w:sz w:val="20"/>
          <w:szCs w:val="20"/>
        </w:rPr>
      </w:pPr>
      <w:r w:rsidRPr="00975EF7">
        <w:rPr>
          <w:rFonts w:asciiTheme="majorBidi" w:hAnsiTheme="majorBidi" w:cstheme="majorBidi"/>
          <w:b/>
          <w:bCs/>
          <w:sz w:val="20"/>
          <w:szCs w:val="20"/>
        </w:rPr>
        <w:t>Source :</w:t>
      </w:r>
      <w:r w:rsidRPr="00975EF7">
        <w:rPr>
          <w:rFonts w:asciiTheme="majorBidi" w:hAnsiTheme="majorBidi" w:cstheme="majorBidi"/>
          <w:sz w:val="20"/>
          <w:szCs w:val="20"/>
        </w:rPr>
        <w:t xml:space="preserve"> notre élaboration à partir des données de l’entreprise.</w:t>
      </w:r>
    </w:p>
    <w:p w:rsidR="005236B6" w:rsidRPr="000642B0" w:rsidRDefault="000642B0" w:rsidP="00F7493D">
      <w:pPr>
        <w:pStyle w:val="Lgende"/>
        <w:spacing w:after="0" w:line="360" w:lineRule="auto"/>
        <w:jc w:val="lowKashida"/>
        <w:rPr>
          <w:rFonts w:asciiTheme="majorBidi" w:eastAsia="Calibri" w:hAnsiTheme="majorBidi" w:cstheme="majorBidi"/>
          <w:i w:val="0"/>
          <w:iCs w:val="0"/>
          <w:color w:val="auto"/>
          <w:kern w:val="3"/>
          <w:sz w:val="24"/>
          <w:szCs w:val="24"/>
        </w:rPr>
      </w:pPr>
      <w:bookmarkStart w:id="281" w:name="_Toc230400750"/>
      <w:r w:rsidRPr="000642B0">
        <w:rPr>
          <w:rFonts w:asciiTheme="majorBidi" w:eastAsia="Calibri" w:hAnsiTheme="majorBidi" w:cstheme="majorBidi"/>
          <w:b/>
          <w:bCs/>
          <w:i w:val="0"/>
          <w:iCs w:val="0"/>
          <w:color w:val="auto"/>
          <w:kern w:val="3"/>
          <w:sz w:val="24"/>
          <w:szCs w:val="24"/>
        </w:rPr>
        <w:t xml:space="preserve">Tableau </w:t>
      </w:r>
      <w:r w:rsidR="007B5998" w:rsidRPr="000642B0">
        <w:rPr>
          <w:rFonts w:asciiTheme="majorBidi" w:eastAsia="Calibri" w:hAnsiTheme="majorBidi" w:cstheme="majorBidi"/>
          <w:b/>
          <w:bCs/>
          <w:i w:val="0"/>
          <w:iCs w:val="0"/>
          <w:color w:val="auto"/>
          <w:kern w:val="3"/>
          <w:sz w:val="24"/>
          <w:szCs w:val="24"/>
        </w:rPr>
        <w:fldChar w:fldCharType="begin"/>
      </w:r>
      <w:r w:rsidRPr="000642B0">
        <w:rPr>
          <w:rFonts w:asciiTheme="majorBidi" w:eastAsia="Calibri" w:hAnsiTheme="majorBidi" w:cstheme="majorBidi"/>
          <w:b/>
          <w:bCs/>
          <w:i w:val="0"/>
          <w:iCs w:val="0"/>
          <w:color w:val="auto"/>
          <w:kern w:val="3"/>
          <w:sz w:val="24"/>
          <w:szCs w:val="24"/>
        </w:rPr>
        <w:instrText xml:space="preserve"> SEQ Tableau \* ARABIC </w:instrText>
      </w:r>
      <w:r w:rsidR="007B5998" w:rsidRPr="000642B0">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12</w:t>
      </w:r>
      <w:r w:rsidR="007B5998" w:rsidRPr="000642B0">
        <w:rPr>
          <w:rFonts w:asciiTheme="majorBidi" w:eastAsia="Calibri" w:hAnsiTheme="majorBidi" w:cstheme="majorBidi"/>
          <w:b/>
          <w:bCs/>
          <w:i w:val="0"/>
          <w:iCs w:val="0"/>
          <w:color w:val="auto"/>
          <w:kern w:val="3"/>
          <w:sz w:val="24"/>
          <w:szCs w:val="24"/>
        </w:rPr>
        <w:fldChar w:fldCharType="end"/>
      </w:r>
      <w:r w:rsidRPr="000642B0">
        <w:rPr>
          <w:rFonts w:asciiTheme="majorBidi" w:eastAsia="Calibri" w:hAnsiTheme="majorBidi" w:cstheme="majorBidi"/>
          <w:b/>
          <w:bCs/>
          <w:i w:val="0"/>
          <w:iCs w:val="0"/>
          <w:color w:val="auto"/>
          <w:kern w:val="3"/>
          <w:sz w:val="24"/>
          <w:szCs w:val="24"/>
        </w:rPr>
        <w:t xml:space="preserve"> :</w:t>
      </w:r>
      <w:r w:rsidRPr="000642B0">
        <w:rPr>
          <w:rFonts w:asciiTheme="majorBidi" w:eastAsia="Calibri" w:hAnsiTheme="majorBidi" w:cstheme="majorBidi"/>
          <w:i w:val="0"/>
          <w:iCs w:val="0"/>
          <w:color w:val="auto"/>
          <w:kern w:val="3"/>
          <w:sz w:val="24"/>
          <w:szCs w:val="24"/>
        </w:rPr>
        <w:t xml:space="preserve"> tableau représentatif de l’entreprise Dahbia huile</w:t>
      </w:r>
      <w:bookmarkEnd w:id="281"/>
    </w:p>
    <w:tbl>
      <w:tblPr>
        <w:tblStyle w:val="Grilledutableau"/>
        <w:tblW w:w="9072" w:type="dxa"/>
        <w:tblInd w:w="-5" w:type="dxa"/>
        <w:tblLook w:val="04A0"/>
      </w:tblPr>
      <w:tblGrid>
        <w:gridCol w:w="2334"/>
        <w:gridCol w:w="6738"/>
      </w:tblGrid>
      <w:tr w:rsidR="005236B6" w:rsidRPr="00E635E9" w:rsidTr="000642B0">
        <w:tc>
          <w:tcPr>
            <w:tcW w:w="2334" w:type="dxa"/>
            <w:hideMark/>
          </w:tcPr>
          <w:p w:rsidR="005236B6" w:rsidRPr="00E635E9" w:rsidRDefault="005236B6" w:rsidP="00F7493D">
            <w:pPr>
              <w:spacing w:line="360" w:lineRule="auto"/>
              <w:jc w:val="center"/>
              <w:rPr>
                <w:rFonts w:ascii="Times New Roman" w:eastAsia="Times New Roman" w:hAnsi="Times New Roman" w:cs="Times New Roman"/>
                <w:b/>
                <w:bCs/>
                <w:sz w:val="24"/>
                <w:szCs w:val="24"/>
                <w:lang w:eastAsia="fr-FR"/>
              </w:rPr>
            </w:pPr>
            <w:r w:rsidRPr="00E635E9">
              <w:rPr>
                <w:rFonts w:ascii="Times New Roman" w:eastAsia="Times New Roman" w:hAnsi="Times New Roman" w:cs="Times New Roman"/>
                <w:b/>
                <w:bCs/>
                <w:sz w:val="24"/>
                <w:szCs w:val="24"/>
                <w:lang w:eastAsia="fr-FR"/>
              </w:rPr>
              <w:t>Élément</w:t>
            </w:r>
          </w:p>
        </w:tc>
        <w:tc>
          <w:tcPr>
            <w:tcW w:w="6738" w:type="dxa"/>
            <w:hideMark/>
          </w:tcPr>
          <w:p w:rsidR="005236B6" w:rsidRPr="00E635E9" w:rsidRDefault="005236B6" w:rsidP="00F7493D">
            <w:pPr>
              <w:spacing w:line="360" w:lineRule="auto"/>
              <w:jc w:val="center"/>
              <w:rPr>
                <w:rFonts w:ascii="Times New Roman" w:eastAsia="Times New Roman" w:hAnsi="Times New Roman" w:cs="Times New Roman"/>
                <w:b/>
                <w:bCs/>
                <w:sz w:val="24"/>
                <w:szCs w:val="24"/>
                <w:lang w:eastAsia="fr-FR"/>
              </w:rPr>
            </w:pPr>
            <w:r w:rsidRPr="00E635E9">
              <w:rPr>
                <w:rFonts w:ascii="Times New Roman" w:eastAsia="Times New Roman" w:hAnsi="Times New Roman" w:cs="Times New Roman"/>
                <w:b/>
                <w:bCs/>
                <w:sz w:val="24"/>
                <w:szCs w:val="24"/>
                <w:lang w:eastAsia="fr-FR"/>
              </w:rPr>
              <w:t>Informations</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Nom de l’entreprise</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D67408">
              <w:rPr>
                <w:rFonts w:ascii="Times New Roman" w:eastAsia="Times New Roman" w:hAnsi="Times New Roman" w:cs="Times New Roman"/>
                <w:sz w:val="24"/>
                <w:szCs w:val="24"/>
                <w:lang w:eastAsia="fr-FR"/>
              </w:rPr>
              <w:t xml:space="preserve">Dahbia </w:t>
            </w:r>
            <w:r>
              <w:rPr>
                <w:rFonts w:ascii="Times New Roman" w:eastAsia="Times New Roman" w:hAnsi="Times New Roman" w:cs="Times New Roman"/>
                <w:sz w:val="24"/>
                <w:szCs w:val="24"/>
                <w:lang w:eastAsia="fr-FR"/>
              </w:rPr>
              <w:t>Huile d’olive</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Forme juridique</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Entreprise économique privée</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Secteur d’activité</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Production et commercialisation d’huile d’olive vierge biologique</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Année de création</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2017</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Fondateur</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Investisseur agricole Hakim Aliliche</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Localisation géographique</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Aïn Oussara, wilaya de Djelfa, Algérie (Hauts Plateaux)</w:t>
            </w:r>
          </w:p>
        </w:tc>
      </w:tr>
      <w:tr w:rsidR="005236B6" w:rsidRPr="000549E0" w:rsidTr="000642B0">
        <w:trPr>
          <w:trHeight w:val="568"/>
        </w:trPr>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lastRenderedPageBreak/>
              <w:t>Type de produit</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val="en-GB" w:eastAsia="fr-FR"/>
              </w:rPr>
            </w:pPr>
            <w:r w:rsidRPr="00E635E9">
              <w:rPr>
                <w:rFonts w:ascii="Times New Roman" w:eastAsia="Times New Roman" w:hAnsi="Times New Roman" w:cs="Times New Roman"/>
                <w:sz w:val="24"/>
                <w:szCs w:val="24"/>
                <w:lang w:val="en-GB" w:eastAsia="fr-FR"/>
              </w:rPr>
              <w:t>Huile d’olive vierge extra biologique (Extra Virgin Organic Olive Oil)</w:t>
            </w:r>
          </w:p>
        </w:tc>
      </w:tr>
      <w:tr w:rsidR="005236B6" w:rsidRPr="000549E0" w:rsidTr="000642B0">
        <w:tc>
          <w:tcPr>
            <w:tcW w:w="2334" w:type="dxa"/>
            <w:hideMark/>
          </w:tcPr>
          <w:p w:rsidR="005236B6" w:rsidRPr="00FF4448" w:rsidRDefault="005236B6" w:rsidP="00F7493D">
            <w:pPr>
              <w:spacing w:line="360" w:lineRule="auto"/>
              <w:rPr>
                <w:rFonts w:ascii="Times New Roman" w:eastAsia="Times New Roman" w:hAnsi="Times New Roman" w:cs="Times New Roman"/>
                <w:sz w:val="24"/>
                <w:szCs w:val="24"/>
                <w:lang w:val="en-GB" w:eastAsia="fr-FR"/>
              </w:rPr>
            </w:pPr>
          </w:p>
        </w:tc>
        <w:tc>
          <w:tcPr>
            <w:tcW w:w="6738" w:type="dxa"/>
            <w:hideMark/>
          </w:tcPr>
          <w:p w:rsidR="005236B6" w:rsidRPr="00FF4448" w:rsidRDefault="005236B6" w:rsidP="00F7493D">
            <w:pPr>
              <w:spacing w:line="360" w:lineRule="auto"/>
              <w:rPr>
                <w:rFonts w:ascii="Times New Roman" w:eastAsia="Times New Roman" w:hAnsi="Times New Roman" w:cs="Times New Roman"/>
                <w:sz w:val="24"/>
                <w:szCs w:val="24"/>
                <w:lang w:val="en-GB" w:eastAsia="fr-FR"/>
              </w:rPr>
            </w:pPr>
          </w:p>
        </w:tc>
      </w:tr>
      <w:tr w:rsidR="005236B6" w:rsidRPr="000549E0" w:rsidTr="000642B0">
        <w:tc>
          <w:tcPr>
            <w:tcW w:w="2334" w:type="dxa"/>
            <w:hideMark/>
          </w:tcPr>
          <w:p w:rsidR="005236B6" w:rsidRPr="00FF4448" w:rsidRDefault="005236B6" w:rsidP="00F7493D">
            <w:pPr>
              <w:spacing w:line="360" w:lineRule="auto"/>
              <w:rPr>
                <w:rFonts w:ascii="Times New Roman" w:eastAsia="Times New Roman" w:hAnsi="Times New Roman" w:cs="Times New Roman"/>
                <w:sz w:val="24"/>
                <w:szCs w:val="24"/>
                <w:lang w:val="en-GB" w:eastAsia="fr-FR"/>
              </w:rPr>
            </w:pPr>
          </w:p>
        </w:tc>
        <w:tc>
          <w:tcPr>
            <w:tcW w:w="6738" w:type="dxa"/>
            <w:hideMark/>
          </w:tcPr>
          <w:p w:rsidR="005236B6" w:rsidRPr="00FF4448" w:rsidRDefault="005236B6" w:rsidP="00F7493D">
            <w:pPr>
              <w:spacing w:line="360" w:lineRule="auto"/>
              <w:rPr>
                <w:rFonts w:ascii="Times New Roman" w:eastAsia="Times New Roman" w:hAnsi="Times New Roman" w:cs="Times New Roman"/>
                <w:sz w:val="24"/>
                <w:szCs w:val="24"/>
                <w:lang w:val="en-GB" w:eastAsia="fr-FR"/>
              </w:rPr>
            </w:pP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Marché cib</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Marché national et international (notamment l’exportation)</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Superficie agricole</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Environ 40 hectares</w:t>
            </w:r>
          </w:p>
        </w:tc>
      </w:tr>
      <w:tr w:rsidR="005236B6" w:rsidRPr="00E635E9" w:rsidTr="000642B0">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Nombre d’oliviers</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Environ 20 000 oliviers</w:t>
            </w:r>
          </w:p>
        </w:tc>
      </w:tr>
      <w:tr w:rsidR="005236B6" w:rsidRPr="00E635E9" w:rsidTr="000642B0">
        <w:trPr>
          <w:trHeight w:val="373"/>
        </w:trPr>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Stratégie de l’entreprise</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Accent sur la qualité, le marketing biologique et l’exportation</w:t>
            </w:r>
          </w:p>
        </w:tc>
      </w:tr>
      <w:tr w:rsidR="005236B6" w:rsidRPr="00E635E9" w:rsidTr="000642B0">
        <w:trPr>
          <w:trHeight w:val="704"/>
        </w:trPr>
        <w:tc>
          <w:tcPr>
            <w:tcW w:w="2334"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Objectif général</w:t>
            </w:r>
          </w:p>
        </w:tc>
        <w:tc>
          <w:tcPr>
            <w:tcW w:w="6738" w:type="dxa"/>
            <w:hideMark/>
          </w:tcPr>
          <w:p w:rsidR="005236B6" w:rsidRPr="00E635E9" w:rsidRDefault="005236B6" w:rsidP="00F7493D">
            <w:pPr>
              <w:spacing w:line="360" w:lineRule="auto"/>
              <w:rPr>
                <w:rFonts w:ascii="Times New Roman" w:eastAsia="Times New Roman" w:hAnsi="Times New Roman" w:cs="Times New Roman"/>
                <w:sz w:val="24"/>
                <w:szCs w:val="24"/>
                <w:lang w:eastAsia="fr-FR"/>
              </w:rPr>
            </w:pPr>
            <w:r w:rsidRPr="00E635E9">
              <w:rPr>
                <w:rFonts w:ascii="Times New Roman" w:eastAsia="Times New Roman" w:hAnsi="Times New Roman" w:cs="Times New Roman"/>
                <w:sz w:val="24"/>
                <w:szCs w:val="24"/>
                <w:lang w:eastAsia="fr-FR"/>
              </w:rPr>
              <w:t>Produire une huile d’olive de haute qualité, compétitive sur les marchés locaux et internationaux</w:t>
            </w:r>
          </w:p>
        </w:tc>
      </w:tr>
    </w:tbl>
    <w:p w:rsidR="005236B6" w:rsidRPr="00E02AA2" w:rsidRDefault="005236B6" w:rsidP="00F7493D">
      <w:pPr>
        <w:pStyle w:val="NormalWeb"/>
        <w:spacing w:line="360" w:lineRule="auto"/>
        <w:rPr>
          <w:sz w:val="22"/>
          <w:szCs w:val="22"/>
        </w:rPr>
      </w:pPr>
      <w:r w:rsidRPr="0074138D">
        <w:rPr>
          <w:b/>
          <w:bCs/>
          <w:sz w:val="20"/>
          <w:szCs w:val="20"/>
        </w:rPr>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0642B0" w:rsidRDefault="005236B6" w:rsidP="00F7493D">
      <w:pPr>
        <w:pStyle w:val="Titre2"/>
        <w:spacing w:before="0" w:after="0" w:line="360" w:lineRule="auto"/>
        <w:jc w:val="lowKashida"/>
        <w:rPr>
          <w:rFonts w:asciiTheme="majorBidi" w:hAnsiTheme="majorBidi" w:cstheme="majorBidi"/>
          <w:b/>
          <w:bCs/>
          <w:color w:val="000000" w:themeColor="text1"/>
          <w:sz w:val="24"/>
          <w:szCs w:val="24"/>
        </w:rPr>
      </w:pPr>
      <w:bookmarkStart w:id="282" w:name="_Toc230558726"/>
      <w:bookmarkStart w:id="283" w:name="_Toc230900360"/>
      <w:bookmarkStart w:id="284" w:name="_Toc230900925"/>
      <w:r w:rsidRPr="000642B0">
        <w:rPr>
          <w:rFonts w:asciiTheme="majorBidi" w:hAnsiTheme="majorBidi" w:cstheme="majorBidi"/>
          <w:b/>
          <w:bCs/>
          <w:color w:val="000000" w:themeColor="text1"/>
          <w:sz w:val="24"/>
          <w:szCs w:val="24"/>
        </w:rPr>
        <w:t xml:space="preserve">Section 2 : </w:t>
      </w:r>
      <w:r w:rsidRPr="000642B0">
        <w:rPr>
          <w:rFonts w:asciiTheme="majorBidi" w:hAnsiTheme="majorBidi" w:cstheme="majorBidi"/>
          <w:color w:val="000000" w:themeColor="text1"/>
          <w:sz w:val="24"/>
          <w:szCs w:val="24"/>
        </w:rPr>
        <w:t>Analyse des résultats de terrain et présentation de l’étude de cas.</w:t>
      </w:r>
      <w:bookmarkEnd w:id="282"/>
      <w:bookmarkEnd w:id="283"/>
      <w:bookmarkEnd w:id="284"/>
    </w:p>
    <w:p w:rsidR="005236B6" w:rsidRPr="001609F8" w:rsidRDefault="005236B6" w:rsidP="00F7493D">
      <w:pPr>
        <w:spacing w:after="0" w:line="360" w:lineRule="auto"/>
        <w:rPr>
          <w:rFonts w:ascii="Times New Roman" w:eastAsia="Times New Roman" w:hAnsi="Times New Roman" w:cs="Times New Roman"/>
          <w:b/>
          <w:bCs/>
          <w:sz w:val="24"/>
          <w:szCs w:val="24"/>
          <w:lang w:eastAsia="fr-FR"/>
        </w:rPr>
      </w:pPr>
      <w:r w:rsidRPr="001609F8">
        <w:rPr>
          <w:rFonts w:ascii="Times New Roman" w:eastAsia="Times New Roman" w:hAnsi="Times New Roman" w:cs="Times New Roman"/>
          <w:b/>
          <w:bCs/>
          <w:sz w:val="24"/>
          <w:szCs w:val="24"/>
          <w:lang w:eastAsia="fr-FR"/>
        </w:rPr>
        <w:t xml:space="preserve">Introduction </w:t>
      </w:r>
    </w:p>
    <w:p w:rsidR="005236B6" w:rsidRDefault="005236B6" w:rsidP="00F7493D">
      <w:pPr>
        <w:spacing w:after="0" w:line="360" w:lineRule="auto"/>
        <w:jc w:val="lowKashida"/>
        <w:rPr>
          <w:rFonts w:ascii="Times New Roman" w:eastAsia="Times New Roman" w:hAnsi="Times New Roman" w:cs="Times New Roman"/>
          <w:sz w:val="24"/>
          <w:szCs w:val="24"/>
          <w:lang w:eastAsia="fr-FR"/>
        </w:rPr>
      </w:pPr>
      <w:r w:rsidRPr="001609F8">
        <w:rPr>
          <w:rFonts w:ascii="Times New Roman" w:eastAsia="Times New Roman" w:hAnsi="Times New Roman" w:cs="Times New Roman"/>
          <w:sz w:val="24"/>
          <w:szCs w:val="24"/>
          <w:lang w:eastAsia="fr-FR"/>
        </w:rPr>
        <w:t xml:space="preserve">Après avoir défini, dans les chapitres précédents, la méthodologie adoptée dans cette étude ainsi que présenté l’entreprise </w:t>
      </w:r>
      <w:r w:rsidRPr="00D67408">
        <w:rPr>
          <w:rFonts w:ascii="Times New Roman" w:eastAsia="Times New Roman" w:hAnsi="Times New Roman" w:cs="Times New Roman"/>
          <w:sz w:val="24"/>
          <w:szCs w:val="24"/>
          <w:lang w:eastAsia="fr-FR"/>
        </w:rPr>
        <w:t xml:space="preserve">Dahbia </w:t>
      </w:r>
      <w:r>
        <w:rPr>
          <w:rFonts w:ascii="Times New Roman" w:eastAsia="Times New Roman" w:hAnsi="Times New Roman" w:cs="Times New Roman"/>
          <w:sz w:val="24"/>
          <w:szCs w:val="24"/>
          <w:lang w:eastAsia="fr-FR"/>
        </w:rPr>
        <w:t>Huile d’olive</w:t>
      </w:r>
      <w:r w:rsidRPr="001609F8">
        <w:rPr>
          <w:rFonts w:ascii="Times New Roman" w:eastAsia="Times New Roman" w:hAnsi="Times New Roman" w:cs="Times New Roman"/>
          <w:sz w:val="24"/>
          <w:szCs w:val="24"/>
          <w:lang w:eastAsia="fr-FR"/>
        </w:rPr>
        <w:t>, objet de la recherche, en plus de son organisation et de ses activités, ce chapitre est consacré à la présentation et à l’analyse de</w:t>
      </w:r>
      <w:r>
        <w:rPr>
          <w:rFonts w:ascii="Times New Roman" w:eastAsia="Times New Roman" w:hAnsi="Times New Roman" w:cs="Times New Roman"/>
          <w:sz w:val="24"/>
          <w:szCs w:val="24"/>
          <w:lang w:eastAsia="fr-FR"/>
        </w:rPr>
        <w:t>s résultats empiriques obtenus.</w:t>
      </w:r>
    </w:p>
    <w:p w:rsidR="005236B6" w:rsidRDefault="005236B6" w:rsidP="00F7493D">
      <w:pPr>
        <w:spacing w:after="0" w:line="360" w:lineRule="auto"/>
        <w:jc w:val="lowKashida"/>
        <w:rPr>
          <w:rFonts w:ascii="Times New Roman" w:eastAsia="Times New Roman" w:hAnsi="Times New Roman" w:cs="Times New Roman"/>
          <w:sz w:val="24"/>
          <w:szCs w:val="24"/>
          <w:lang w:eastAsia="fr-FR"/>
        </w:rPr>
      </w:pPr>
      <w:r w:rsidRPr="001609F8">
        <w:rPr>
          <w:rFonts w:ascii="Times New Roman" w:eastAsia="Times New Roman" w:hAnsi="Times New Roman" w:cs="Times New Roman"/>
          <w:sz w:val="24"/>
          <w:szCs w:val="24"/>
          <w:lang w:eastAsia="fr-FR"/>
        </w:rPr>
        <w:t xml:space="preserve">Ce chapitre vise à analyser les données collectées à travers les entretiens réalisés avec le responsable et les chefs de services au sein de l’entreprise, ainsi que les résultats du questionnaire destiné à un échantillon de consommateurs, afin de comprendre la réalité des pratiques de marketing des produits biologiques. </w:t>
      </w:r>
    </w:p>
    <w:p w:rsidR="005236B6" w:rsidRPr="001609F8" w:rsidRDefault="005236B6" w:rsidP="00F7493D">
      <w:pPr>
        <w:spacing w:after="0" w:line="360" w:lineRule="auto"/>
        <w:jc w:val="lowKashida"/>
        <w:rPr>
          <w:rFonts w:ascii="Times New Roman" w:eastAsia="Times New Roman" w:hAnsi="Times New Roman" w:cs="Times New Roman"/>
          <w:sz w:val="24"/>
          <w:szCs w:val="24"/>
          <w:lang w:eastAsia="fr-FR"/>
        </w:rPr>
      </w:pPr>
      <w:r w:rsidRPr="001609F8">
        <w:rPr>
          <w:rFonts w:ascii="Times New Roman" w:eastAsia="Times New Roman" w:hAnsi="Times New Roman" w:cs="Times New Roman"/>
          <w:sz w:val="24"/>
          <w:szCs w:val="24"/>
          <w:lang w:eastAsia="fr-FR"/>
        </w:rPr>
        <w:t>Cette analyse a pour objectif de mettre en évidence l’impact de ces pratiques marketing sur la perception du consommateur en matière de sécurité sanitaire des aliments, ainsi que de tester les hypothèses formulées au début de la recherche, dans le but d’aboutir à des résultats scientifiques reflétant la réalité du terrain.</w:t>
      </w:r>
    </w:p>
    <w:p w:rsidR="005236B6" w:rsidRPr="00EF42E4" w:rsidRDefault="00606E4A" w:rsidP="00F7493D">
      <w:pPr>
        <w:pStyle w:val="Titre3"/>
        <w:spacing w:line="360" w:lineRule="auto"/>
        <w:rPr>
          <w:rFonts w:ascii="Times New Roman" w:hAnsi="Times New Roman"/>
          <w:b/>
          <w:bCs/>
          <w:color w:val="auto"/>
          <w:sz w:val="24"/>
          <w:szCs w:val="24"/>
          <w:lang w:eastAsia="fr-FR"/>
        </w:rPr>
      </w:pPr>
      <w:bookmarkStart w:id="285" w:name="_Toc230558727"/>
      <w:bookmarkStart w:id="286" w:name="_Toc230900361"/>
      <w:r w:rsidRPr="00EF42E4">
        <w:rPr>
          <w:rFonts w:ascii="Times New Roman" w:hAnsi="Times New Roman"/>
          <w:b/>
          <w:bCs/>
          <w:color w:val="auto"/>
          <w:sz w:val="24"/>
          <w:szCs w:val="24"/>
          <w:lang w:eastAsia="fr-FR"/>
        </w:rPr>
        <w:t>1.</w:t>
      </w:r>
      <w:r w:rsidR="005236B6" w:rsidRPr="00EF42E4">
        <w:rPr>
          <w:rFonts w:ascii="Times New Roman" w:hAnsi="Times New Roman"/>
          <w:b/>
          <w:bCs/>
          <w:color w:val="auto"/>
          <w:sz w:val="24"/>
          <w:szCs w:val="24"/>
          <w:lang w:eastAsia="fr-FR"/>
        </w:rPr>
        <w:t>Analyse et discussion des résultats des entretiens et de l’observation de terrain</w:t>
      </w:r>
      <w:bookmarkEnd w:id="285"/>
      <w:bookmarkEnd w:id="286"/>
    </w:p>
    <w:p w:rsidR="005236B6" w:rsidRDefault="005236B6" w:rsidP="00F7493D">
      <w:pPr>
        <w:spacing w:line="360" w:lineRule="auto"/>
        <w:rPr>
          <w:rFonts w:ascii="Times New Roman" w:eastAsia="Times New Roman" w:hAnsi="Times New Roman" w:cs="Times New Roman"/>
          <w:sz w:val="24"/>
          <w:szCs w:val="24"/>
          <w:lang w:eastAsia="fr-FR"/>
        </w:rPr>
      </w:pPr>
      <w:r w:rsidRPr="00405BFA">
        <w:rPr>
          <w:rFonts w:ascii="Times New Roman" w:eastAsia="Times New Roman" w:hAnsi="Times New Roman" w:cs="Times New Roman"/>
          <w:sz w:val="24"/>
          <w:szCs w:val="24"/>
          <w:lang w:eastAsia="fr-FR"/>
        </w:rPr>
        <w:t xml:space="preserve">Cette section vise à présenter et analyser les résultats issus des entretiens réalisés avec des professionnels opérant dans le domaine des produits biologiques, dans le but d’étudier le rôle du marketing dans le renforcement de la sécurité sanitaire des aliments. </w:t>
      </w:r>
    </w:p>
    <w:p w:rsidR="005236B6" w:rsidRDefault="005236B6" w:rsidP="00F7493D">
      <w:pPr>
        <w:spacing w:line="360" w:lineRule="auto"/>
        <w:rPr>
          <w:rFonts w:ascii="Times New Roman" w:eastAsia="Times New Roman" w:hAnsi="Times New Roman" w:cs="Times New Roman"/>
          <w:sz w:val="24"/>
          <w:szCs w:val="24"/>
          <w:rtl/>
          <w:lang w:eastAsia="fr-FR"/>
        </w:rPr>
      </w:pPr>
      <w:r w:rsidRPr="00405BFA">
        <w:rPr>
          <w:rFonts w:ascii="Times New Roman" w:eastAsia="Times New Roman" w:hAnsi="Times New Roman" w:cs="Times New Roman"/>
          <w:sz w:val="24"/>
          <w:szCs w:val="24"/>
          <w:lang w:eastAsia="fr-FR"/>
        </w:rPr>
        <w:t xml:space="preserve">Elle intègre également les résultats de l’observation de terrain, de l’étude de cas, ainsi que l’analyse des documents collectés durant la période d’étude. </w:t>
      </w:r>
    </w:p>
    <w:p w:rsidR="00D1049F" w:rsidRDefault="00D1049F" w:rsidP="00F7493D">
      <w:pPr>
        <w:spacing w:line="360" w:lineRule="auto"/>
        <w:rPr>
          <w:rFonts w:ascii="Times New Roman" w:eastAsia="Times New Roman" w:hAnsi="Times New Roman" w:cs="Times New Roman"/>
          <w:sz w:val="24"/>
          <w:szCs w:val="24"/>
          <w:lang w:eastAsia="fr-FR"/>
        </w:rPr>
      </w:pPr>
    </w:p>
    <w:p w:rsidR="00A737E4" w:rsidRPr="00D1049F" w:rsidRDefault="00606E4A" w:rsidP="00D1049F">
      <w:pPr>
        <w:pStyle w:val="Titre4"/>
        <w:spacing w:line="360" w:lineRule="auto"/>
        <w:rPr>
          <w:rFonts w:ascii="Times New Roman" w:hAnsi="Times New Roman"/>
          <w:b/>
          <w:bCs/>
          <w:i w:val="0"/>
          <w:iCs w:val="0"/>
          <w:color w:val="auto"/>
          <w:sz w:val="24"/>
          <w:szCs w:val="24"/>
          <w:rtl/>
          <w:lang w:bidi="ar-DZ"/>
        </w:rPr>
      </w:pPr>
      <w:bookmarkStart w:id="287" w:name="_Toc230558728"/>
      <w:bookmarkStart w:id="288" w:name="_Toc230900362"/>
      <w:r w:rsidRPr="00EF42E4">
        <w:rPr>
          <w:rFonts w:ascii="Times New Roman" w:hAnsi="Times New Roman"/>
          <w:b/>
          <w:bCs/>
          <w:i w:val="0"/>
          <w:iCs w:val="0"/>
          <w:color w:val="auto"/>
          <w:sz w:val="24"/>
          <w:szCs w:val="24"/>
        </w:rPr>
        <w:lastRenderedPageBreak/>
        <w:t>1.1.</w:t>
      </w:r>
      <w:r w:rsidR="005236B6" w:rsidRPr="00EF42E4">
        <w:rPr>
          <w:rFonts w:ascii="Times New Roman" w:hAnsi="Times New Roman"/>
          <w:b/>
          <w:bCs/>
          <w:i w:val="0"/>
          <w:iCs w:val="0"/>
          <w:color w:val="auto"/>
          <w:sz w:val="24"/>
          <w:szCs w:val="24"/>
        </w:rPr>
        <w:t>Les entretiens :</w:t>
      </w:r>
      <w:bookmarkEnd w:id="287"/>
      <w:bookmarkEnd w:id="288"/>
    </w:p>
    <w:p w:rsidR="000642B0" w:rsidRPr="00A737E4" w:rsidRDefault="005236B6" w:rsidP="00F7493D">
      <w:pPr>
        <w:spacing w:line="360" w:lineRule="auto"/>
        <w:rPr>
          <w:rFonts w:ascii="Times New Roman" w:hAnsi="Times New Roman" w:cs="Times New Roman"/>
          <w:sz w:val="24"/>
          <w:szCs w:val="24"/>
          <w:lang w:eastAsia="fr-FR"/>
        </w:rPr>
      </w:pPr>
      <w:r w:rsidRPr="00A737E4">
        <w:rPr>
          <w:rFonts w:ascii="Times New Roman" w:hAnsi="Times New Roman" w:cs="Times New Roman"/>
          <w:sz w:val="24"/>
          <w:szCs w:val="24"/>
          <w:lang w:eastAsia="fr-FR"/>
        </w:rPr>
        <w:t xml:space="preserve"> Dans le cadre de cette étude, des entretiens semi-directifs ont été menés auprès de quatre (04) professionnels issus de spécialités différentes en lien avec le marché des produits biologiques, afin de recueillir des données qualitatives reflétant les pratiques marketing et leur impact sur la sécurité sanitaire des aliments. Chaque entretien comprenait entre douze (12) et quatorze (14) questions, élaborées en adéquation avec les objectifs et la problématique de la recherche. La durée de chaque entretien variait entre 45 minutes et deux heures et demie, ce qui a permis d’obtenir des réponses détaillées et approfondies, contribuant ainsi à enrichir l’analyse et à établir un lien entre les résultats empiriques et le cadre théorique.</w:t>
      </w:r>
    </w:p>
    <w:p w:rsidR="005236B6" w:rsidRPr="00A737E4" w:rsidRDefault="000642B0" w:rsidP="00F7493D">
      <w:pPr>
        <w:spacing w:line="360" w:lineRule="auto"/>
        <w:rPr>
          <w:rFonts w:ascii="Times New Roman" w:eastAsia="Times New Roman" w:hAnsi="Times New Roman" w:cs="Times New Roman"/>
          <w:b/>
          <w:bCs/>
          <w:sz w:val="24"/>
          <w:szCs w:val="24"/>
          <w:lang w:eastAsia="fr-FR"/>
        </w:rPr>
      </w:pPr>
      <w:bookmarkStart w:id="289" w:name="_Toc230400751"/>
      <w:r w:rsidRPr="00A737E4">
        <w:rPr>
          <w:rFonts w:ascii="Times New Roman" w:eastAsia="Times New Roman" w:hAnsi="Times New Roman" w:cs="Times New Roman"/>
          <w:b/>
          <w:bCs/>
          <w:sz w:val="24"/>
          <w:szCs w:val="24"/>
          <w:lang w:eastAsia="fr-FR"/>
        </w:rPr>
        <w:t xml:space="preserve">Tableau </w:t>
      </w:r>
      <w:r w:rsidR="007B5998" w:rsidRPr="00A737E4">
        <w:rPr>
          <w:rFonts w:ascii="Times New Roman" w:eastAsia="Times New Roman" w:hAnsi="Times New Roman" w:cs="Times New Roman"/>
          <w:b/>
          <w:bCs/>
          <w:sz w:val="24"/>
          <w:szCs w:val="24"/>
          <w:lang w:eastAsia="fr-FR"/>
        </w:rPr>
        <w:fldChar w:fldCharType="begin"/>
      </w:r>
      <w:r w:rsidRPr="00A737E4">
        <w:rPr>
          <w:rFonts w:ascii="Times New Roman" w:eastAsia="Times New Roman" w:hAnsi="Times New Roman" w:cs="Times New Roman"/>
          <w:b/>
          <w:bCs/>
          <w:sz w:val="24"/>
          <w:szCs w:val="24"/>
          <w:lang w:eastAsia="fr-FR"/>
        </w:rPr>
        <w:instrText xml:space="preserve"> SEQ Tableau \* ARABIC </w:instrText>
      </w:r>
      <w:r w:rsidR="007B5998" w:rsidRPr="00A737E4">
        <w:rPr>
          <w:rFonts w:ascii="Times New Roman" w:eastAsia="Times New Roman" w:hAnsi="Times New Roman" w:cs="Times New Roman"/>
          <w:b/>
          <w:bCs/>
          <w:sz w:val="24"/>
          <w:szCs w:val="24"/>
          <w:lang w:eastAsia="fr-FR"/>
        </w:rPr>
        <w:fldChar w:fldCharType="separate"/>
      </w:r>
      <w:r w:rsidR="00515B25">
        <w:rPr>
          <w:rFonts w:ascii="Times New Roman" w:eastAsia="Times New Roman" w:hAnsi="Times New Roman" w:cs="Times New Roman"/>
          <w:b/>
          <w:bCs/>
          <w:noProof/>
          <w:sz w:val="24"/>
          <w:szCs w:val="24"/>
          <w:lang w:eastAsia="fr-FR"/>
        </w:rPr>
        <w:t>13</w:t>
      </w:r>
      <w:r w:rsidR="007B5998" w:rsidRPr="00A737E4">
        <w:rPr>
          <w:rFonts w:ascii="Times New Roman" w:eastAsia="Times New Roman" w:hAnsi="Times New Roman" w:cs="Times New Roman"/>
          <w:b/>
          <w:bCs/>
          <w:sz w:val="24"/>
          <w:szCs w:val="24"/>
          <w:lang w:eastAsia="fr-FR"/>
        </w:rPr>
        <w:fldChar w:fldCharType="end"/>
      </w:r>
      <w:r w:rsidRPr="00A737E4">
        <w:rPr>
          <w:rFonts w:ascii="Times New Roman" w:eastAsia="Times New Roman" w:hAnsi="Times New Roman" w:cs="Times New Roman"/>
          <w:b/>
          <w:bCs/>
          <w:sz w:val="24"/>
          <w:szCs w:val="24"/>
          <w:lang w:eastAsia="fr-FR"/>
        </w:rPr>
        <w:t xml:space="preserve"> :</w:t>
      </w:r>
      <w:r w:rsidRPr="00A737E4">
        <w:rPr>
          <w:rFonts w:ascii="Times New Roman" w:eastAsia="Times New Roman" w:hAnsi="Times New Roman" w:cs="Times New Roman"/>
          <w:sz w:val="24"/>
          <w:szCs w:val="24"/>
          <w:lang w:eastAsia="fr-FR"/>
        </w:rPr>
        <w:t xml:space="preserve"> Profil professionnel et présentation de l’entreprise</w:t>
      </w:r>
      <w:bookmarkEnd w:id="289"/>
    </w:p>
    <w:tbl>
      <w:tblPr>
        <w:tblStyle w:val="Grilledutableau"/>
        <w:tblW w:w="9386" w:type="dxa"/>
        <w:tblInd w:w="-318" w:type="dxa"/>
        <w:tblLayout w:type="fixed"/>
        <w:tblLook w:val="04A0"/>
      </w:tblPr>
      <w:tblGrid>
        <w:gridCol w:w="1448"/>
        <w:gridCol w:w="1559"/>
        <w:gridCol w:w="1417"/>
        <w:gridCol w:w="1701"/>
        <w:gridCol w:w="1701"/>
        <w:gridCol w:w="1560"/>
      </w:tblGrid>
      <w:tr w:rsidR="005236B6" w:rsidTr="00D1049F">
        <w:trPr>
          <w:trHeight w:val="1311"/>
        </w:trPr>
        <w:tc>
          <w:tcPr>
            <w:tcW w:w="1448" w:type="dxa"/>
            <w:vAlign w:val="center"/>
          </w:tcPr>
          <w:p w:rsidR="005236B6" w:rsidRPr="00C03EE0" w:rsidRDefault="005236B6" w:rsidP="00D1049F">
            <w:pPr>
              <w:spacing w:line="276" w:lineRule="auto"/>
              <w:jc w:val="center"/>
              <w:rPr>
                <w:rFonts w:asciiTheme="majorBidi" w:hAnsiTheme="majorBidi" w:cstheme="majorBidi"/>
                <w:b/>
                <w:bCs/>
                <w:sz w:val="24"/>
                <w:szCs w:val="24"/>
              </w:rPr>
            </w:pPr>
            <w:r w:rsidRPr="00C03EE0">
              <w:rPr>
                <w:rFonts w:asciiTheme="majorBidi" w:hAnsiTheme="majorBidi" w:cstheme="majorBidi"/>
                <w:b/>
                <w:bCs/>
                <w:sz w:val="24"/>
                <w:szCs w:val="24"/>
              </w:rPr>
              <w:t>Enquêté</w:t>
            </w:r>
          </w:p>
        </w:tc>
        <w:tc>
          <w:tcPr>
            <w:tcW w:w="1559" w:type="dxa"/>
            <w:vAlign w:val="center"/>
          </w:tcPr>
          <w:p w:rsidR="005236B6" w:rsidRPr="00C03EE0" w:rsidRDefault="005236B6" w:rsidP="00D1049F">
            <w:pPr>
              <w:spacing w:line="276" w:lineRule="auto"/>
              <w:jc w:val="center"/>
              <w:rPr>
                <w:rFonts w:asciiTheme="majorBidi" w:hAnsiTheme="majorBidi" w:cstheme="majorBidi"/>
                <w:b/>
                <w:bCs/>
                <w:sz w:val="24"/>
                <w:szCs w:val="24"/>
              </w:rPr>
            </w:pPr>
            <w:r w:rsidRPr="00C03EE0">
              <w:rPr>
                <w:rFonts w:asciiTheme="majorBidi" w:hAnsiTheme="majorBidi" w:cstheme="majorBidi"/>
                <w:b/>
                <w:bCs/>
                <w:sz w:val="24"/>
                <w:szCs w:val="24"/>
              </w:rPr>
              <w:t>Poste et missions</w:t>
            </w:r>
          </w:p>
        </w:tc>
        <w:tc>
          <w:tcPr>
            <w:tcW w:w="1417" w:type="dxa"/>
            <w:vAlign w:val="center"/>
          </w:tcPr>
          <w:p w:rsidR="005236B6" w:rsidRPr="00C03EE0" w:rsidRDefault="005236B6" w:rsidP="00D1049F">
            <w:pPr>
              <w:spacing w:line="276" w:lineRule="auto"/>
              <w:jc w:val="center"/>
              <w:rPr>
                <w:rFonts w:asciiTheme="majorBidi" w:hAnsiTheme="majorBidi" w:cstheme="majorBidi"/>
                <w:b/>
                <w:bCs/>
                <w:sz w:val="24"/>
                <w:szCs w:val="24"/>
              </w:rPr>
            </w:pPr>
            <w:r w:rsidRPr="00C03EE0">
              <w:rPr>
                <w:rFonts w:asciiTheme="majorBidi" w:hAnsiTheme="majorBidi" w:cstheme="majorBidi"/>
                <w:b/>
                <w:bCs/>
                <w:sz w:val="24"/>
                <w:szCs w:val="24"/>
              </w:rPr>
              <w:t>Ancienneté dans l’entreprise</w:t>
            </w:r>
          </w:p>
        </w:tc>
        <w:tc>
          <w:tcPr>
            <w:tcW w:w="1701" w:type="dxa"/>
            <w:vAlign w:val="center"/>
          </w:tcPr>
          <w:p w:rsidR="005236B6" w:rsidRPr="00C03EE0" w:rsidRDefault="005236B6" w:rsidP="00D1049F">
            <w:pPr>
              <w:spacing w:line="276" w:lineRule="auto"/>
              <w:jc w:val="center"/>
              <w:rPr>
                <w:rFonts w:asciiTheme="majorBidi" w:hAnsiTheme="majorBidi" w:cstheme="majorBidi"/>
                <w:b/>
                <w:bCs/>
                <w:sz w:val="24"/>
                <w:szCs w:val="24"/>
              </w:rPr>
            </w:pPr>
            <w:r w:rsidRPr="00A52CAE">
              <w:rPr>
                <w:rFonts w:asciiTheme="majorBidi" w:hAnsiTheme="majorBidi" w:cstheme="majorBidi"/>
                <w:b/>
                <w:bCs/>
              </w:rPr>
              <w:t>Responsabilités quotidiennes</w:t>
            </w:r>
          </w:p>
        </w:tc>
        <w:tc>
          <w:tcPr>
            <w:tcW w:w="1701" w:type="dxa"/>
            <w:vAlign w:val="center"/>
          </w:tcPr>
          <w:p w:rsidR="005236B6" w:rsidRPr="00C03EE0" w:rsidRDefault="005236B6" w:rsidP="00D1049F">
            <w:pPr>
              <w:spacing w:line="276" w:lineRule="auto"/>
              <w:jc w:val="center"/>
              <w:rPr>
                <w:rFonts w:asciiTheme="majorBidi" w:hAnsiTheme="majorBidi" w:cstheme="majorBidi"/>
                <w:b/>
                <w:bCs/>
                <w:sz w:val="24"/>
                <w:szCs w:val="24"/>
              </w:rPr>
            </w:pPr>
            <w:r w:rsidRPr="00C03EE0">
              <w:rPr>
                <w:rFonts w:asciiTheme="majorBidi" w:hAnsiTheme="majorBidi" w:cstheme="majorBidi"/>
                <w:b/>
                <w:bCs/>
                <w:sz w:val="24"/>
                <w:szCs w:val="24"/>
              </w:rPr>
              <w:t>Objectifs du service</w:t>
            </w:r>
          </w:p>
        </w:tc>
        <w:tc>
          <w:tcPr>
            <w:tcW w:w="1560" w:type="dxa"/>
            <w:vAlign w:val="center"/>
          </w:tcPr>
          <w:p w:rsidR="005236B6" w:rsidRPr="00C03EE0" w:rsidRDefault="005236B6" w:rsidP="00D1049F">
            <w:pPr>
              <w:spacing w:line="276" w:lineRule="auto"/>
              <w:jc w:val="center"/>
              <w:rPr>
                <w:rFonts w:asciiTheme="majorBidi" w:hAnsiTheme="majorBidi" w:cstheme="majorBidi"/>
                <w:b/>
                <w:bCs/>
                <w:sz w:val="24"/>
                <w:szCs w:val="24"/>
              </w:rPr>
            </w:pPr>
            <w:r w:rsidRPr="00C03EE0">
              <w:rPr>
                <w:rFonts w:asciiTheme="majorBidi" w:hAnsiTheme="majorBidi" w:cstheme="majorBidi"/>
                <w:b/>
                <w:bCs/>
                <w:sz w:val="24"/>
                <w:szCs w:val="24"/>
              </w:rPr>
              <w:t>Activités principales de l’entreprise</w:t>
            </w:r>
          </w:p>
        </w:tc>
      </w:tr>
      <w:tr w:rsidR="005236B6" w:rsidTr="00D1049F">
        <w:trPr>
          <w:trHeight w:val="1615"/>
        </w:trPr>
        <w:tc>
          <w:tcPr>
            <w:tcW w:w="1448" w:type="dxa"/>
            <w:vAlign w:val="center"/>
          </w:tcPr>
          <w:p w:rsidR="005236B6" w:rsidRPr="00C03EE0" w:rsidRDefault="005236B6" w:rsidP="00D1049F">
            <w:pPr>
              <w:spacing w:line="276" w:lineRule="auto"/>
              <w:rPr>
                <w:rFonts w:asciiTheme="majorBidi" w:hAnsiTheme="majorBidi" w:cstheme="majorBidi"/>
                <w:sz w:val="24"/>
                <w:szCs w:val="24"/>
              </w:rPr>
            </w:pPr>
            <w:r w:rsidRPr="00C03EE0">
              <w:rPr>
                <w:rStyle w:val="lev"/>
                <w:rFonts w:asciiTheme="majorBidi" w:hAnsiTheme="majorBidi" w:cstheme="majorBidi"/>
                <w:sz w:val="24"/>
                <w:szCs w:val="24"/>
              </w:rPr>
              <w:t>Enquêté 01</w:t>
            </w:r>
          </w:p>
        </w:tc>
        <w:tc>
          <w:tcPr>
            <w:tcW w:w="1559"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Directeur de Dahbia Huile, responsable de la gestion globale et de la stratégie</w:t>
            </w:r>
          </w:p>
        </w:tc>
        <w:tc>
          <w:tcPr>
            <w:tcW w:w="1417"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Depuis 2017</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Prise de décision stratégique et coordination des services</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Développement de l’entreprise et positionnement premium/international</w:t>
            </w:r>
          </w:p>
        </w:tc>
        <w:tc>
          <w:tcPr>
            <w:tcW w:w="1560"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Production et commercialisation de l’huile d’olive biologique</w:t>
            </w:r>
          </w:p>
        </w:tc>
      </w:tr>
      <w:tr w:rsidR="005236B6" w:rsidTr="00D1049F">
        <w:trPr>
          <w:trHeight w:val="153"/>
        </w:trPr>
        <w:tc>
          <w:tcPr>
            <w:tcW w:w="1448" w:type="dxa"/>
            <w:vAlign w:val="center"/>
          </w:tcPr>
          <w:p w:rsidR="005236B6" w:rsidRPr="00C03EE0" w:rsidRDefault="005236B6" w:rsidP="00D1049F">
            <w:pPr>
              <w:spacing w:line="276" w:lineRule="auto"/>
              <w:rPr>
                <w:rFonts w:asciiTheme="majorBidi" w:hAnsiTheme="majorBidi" w:cstheme="majorBidi"/>
                <w:sz w:val="24"/>
                <w:szCs w:val="24"/>
              </w:rPr>
            </w:pPr>
            <w:r w:rsidRPr="00C03EE0">
              <w:rPr>
                <w:rStyle w:val="lev"/>
                <w:rFonts w:asciiTheme="majorBidi" w:hAnsiTheme="majorBidi" w:cstheme="majorBidi"/>
                <w:sz w:val="24"/>
                <w:szCs w:val="24"/>
              </w:rPr>
              <w:t>Enquêté 02</w:t>
            </w:r>
          </w:p>
        </w:tc>
        <w:tc>
          <w:tcPr>
            <w:tcW w:w="1559"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Responsable du service de production, supervision de la fabrication</w:t>
            </w:r>
          </w:p>
        </w:tc>
        <w:tc>
          <w:tcPr>
            <w:tcW w:w="1417"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Environ 8 ans</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Gestion des étapes de production (récolte, extraction, stockage)</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Assurer une production de qualité biologique</w:t>
            </w:r>
          </w:p>
        </w:tc>
        <w:tc>
          <w:tcPr>
            <w:tcW w:w="1560"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Production d’huile d’olive biologique extra vierge</w:t>
            </w:r>
          </w:p>
        </w:tc>
      </w:tr>
      <w:tr w:rsidR="005236B6" w:rsidTr="00D1049F">
        <w:trPr>
          <w:trHeight w:val="153"/>
        </w:trPr>
        <w:tc>
          <w:tcPr>
            <w:tcW w:w="1448" w:type="dxa"/>
            <w:vAlign w:val="center"/>
          </w:tcPr>
          <w:p w:rsidR="005236B6" w:rsidRPr="00C03EE0" w:rsidRDefault="005236B6" w:rsidP="00D1049F">
            <w:pPr>
              <w:spacing w:line="276" w:lineRule="auto"/>
              <w:rPr>
                <w:rFonts w:asciiTheme="majorBidi" w:hAnsiTheme="majorBidi" w:cstheme="majorBidi"/>
                <w:sz w:val="24"/>
                <w:szCs w:val="24"/>
              </w:rPr>
            </w:pPr>
            <w:r w:rsidRPr="00C03EE0">
              <w:rPr>
                <w:rStyle w:val="lev"/>
                <w:rFonts w:asciiTheme="majorBidi" w:hAnsiTheme="majorBidi" w:cstheme="majorBidi"/>
                <w:sz w:val="24"/>
                <w:szCs w:val="24"/>
              </w:rPr>
              <w:t>Enquêté 03</w:t>
            </w:r>
          </w:p>
        </w:tc>
        <w:tc>
          <w:tcPr>
            <w:tcW w:w="1559"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Responsable qualité et certification, contrôle des normes</w:t>
            </w:r>
          </w:p>
        </w:tc>
        <w:tc>
          <w:tcPr>
            <w:tcW w:w="1417"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Environ 9 ans</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Contrôle qualité, analyses et suivi des certifications</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Garantir la conformité aux normes internationales</w:t>
            </w:r>
          </w:p>
        </w:tc>
        <w:tc>
          <w:tcPr>
            <w:tcW w:w="1560"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Production et certification de l’huile d’olive biologique</w:t>
            </w:r>
          </w:p>
        </w:tc>
      </w:tr>
      <w:tr w:rsidR="005236B6" w:rsidTr="00D1049F">
        <w:trPr>
          <w:trHeight w:val="2414"/>
        </w:trPr>
        <w:tc>
          <w:tcPr>
            <w:tcW w:w="1448" w:type="dxa"/>
            <w:vAlign w:val="center"/>
          </w:tcPr>
          <w:p w:rsidR="005236B6" w:rsidRPr="00C03EE0" w:rsidRDefault="005236B6" w:rsidP="00D1049F">
            <w:pPr>
              <w:spacing w:line="276" w:lineRule="auto"/>
              <w:rPr>
                <w:rFonts w:asciiTheme="majorBidi" w:hAnsiTheme="majorBidi" w:cstheme="majorBidi"/>
                <w:sz w:val="24"/>
                <w:szCs w:val="24"/>
              </w:rPr>
            </w:pPr>
            <w:r w:rsidRPr="00C03EE0">
              <w:rPr>
                <w:rStyle w:val="lev"/>
                <w:rFonts w:asciiTheme="majorBidi" w:hAnsiTheme="majorBidi" w:cstheme="majorBidi"/>
                <w:sz w:val="24"/>
                <w:szCs w:val="24"/>
              </w:rPr>
              <w:t>Enquêté 04</w:t>
            </w:r>
          </w:p>
        </w:tc>
        <w:tc>
          <w:tcPr>
            <w:tcW w:w="1559"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Responsable commercial et exportation, gestion des ventes</w:t>
            </w:r>
          </w:p>
        </w:tc>
        <w:tc>
          <w:tcPr>
            <w:tcW w:w="1417"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Environ 7 ans</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Gestion des clients, exportation et communication</w:t>
            </w:r>
          </w:p>
        </w:tc>
        <w:tc>
          <w:tcPr>
            <w:tcW w:w="1701"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Développement des marchés nationaux et internationaux</w:t>
            </w:r>
          </w:p>
        </w:tc>
        <w:tc>
          <w:tcPr>
            <w:tcW w:w="1560" w:type="dxa"/>
            <w:vAlign w:val="center"/>
          </w:tcPr>
          <w:p w:rsidR="005236B6" w:rsidRPr="00272EF8" w:rsidRDefault="005236B6" w:rsidP="00D1049F">
            <w:pPr>
              <w:spacing w:line="276" w:lineRule="auto"/>
              <w:rPr>
                <w:rFonts w:asciiTheme="majorBidi" w:hAnsiTheme="majorBidi" w:cstheme="majorBidi"/>
              </w:rPr>
            </w:pPr>
            <w:r w:rsidRPr="00272EF8">
              <w:rPr>
                <w:rFonts w:asciiTheme="majorBidi" w:hAnsiTheme="majorBidi" w:cstheme="majorBidi"/>
              </w:rPr>
              <w:t>Commercialisation de l’huile d’olive biologique</w:t>
            </w:r>
          </w:p>
        </w:tc>
      </w:tr>
    </w:tbl>
    <w:p w:rsidR="00606E4A" w:rsidRDefault="005236B6" w:rsidP="00F7493D">
      <w:pPr>
        <w:pStyle w:val="NormalWeb"/>
        <w:spacing w:line="360" w:lineRule="auto"/>
        <w:rPr>
          <w:b/>
          <w:bCs/>
          <w:kern w:val="36"/>
          <w:sz w:val="28"/>
          <w:szCs w:val="28"/>
        </w:rPr>
      </w:pPr>
      <w:r w:rsidRPr="00975EF7">
        <w:rPr>
          <w:b/>
          <w:bCs/>
          <w:sz w:val="20"/>
          <w:szCs w:val="20"/>
        </w:rPr>
        <w:t>Source :</w:t>
      </w:r>
      <w:r w:rsidRPr="00975EF7">
        <w:rPr>
          <w:sz w:val="20"/>
          <w:szCs w:val="20"/>
        </w:rPr>
        <w:t xml:space="preserve"> élaboré par les étudiantes sur la base </w:t>
      </w:r>
      <w:r w:rsidRPr="00975EF7">
        <w:rPr>
          <w:rFonts w:asciiTheme="majorBidi" w:hAnsiTheme="majorBidi" w:cstheme="majorBidi"/>
          <w:sz w:val="20"/>
          <w:szCs w:val="20"/>
        </w:rPr>
        <w:t>des données issues des entretiens réalisés sur le terrain.</w:t>
      </w:r>
    </w:p>
    <w:p w:rsidR="005236B6" w:rsidRPr="00EF42E4" w:rsidRDefault="00606E4A" w:rsidP="00F7493D">
      <w:pPr>
        <w:pStyle w:val="Titre4"/>
        <w:spacing w:line="360" w:lineRule="auto"/>
        <w:rPr>
          <w:rFonts w:ascii="Times New Roman" w:hAnsi="Times New Roman"/>
          <w:b/>
          <w:bCs/>
          <w:i w:val="0"/>
          <w:iCs w:val="0"/>
          <w:color w:val="auto"/>
          <w:sz w:val="24"/>
          <w:szCs w:val="24"/>
        </w:rPr>
      </w:pPr>
      <w:bookmarkStart w:id="290" w:name="_Toc230558729"/>
      <w:bookmarkStart w:id="291" w:name="_Toc230900363"/>
      <w:r w:rsidRPr="00EF42E4">
        <w:rPr>
          <w:rFonts w:ascii="Times New Roman" w:hAnsi="Times New Roman"/>
          <w:b/>
          <w:bCs/>
          <w:i w:val="0"/>
          <w:iCs w:val="0"/>
          <w:color w:val="auto"/>
          <w:sz w:val="24"/>
          <w:szCs w:val="24"/>
        </w:rPr>
        <w:lastRenderedPageBreak/>
        <w:t>1.2. </w:t>
      </w:r>
      <w:r w:rsidR="005236B6" w:rsidRPr="00EF42E4">
        <w:rPr>
          <w:rFonts w:ascii="Times New Roman" w:hAnsi="Times New Roman"/>
          <w:b/>
          <w:bCs/>
          <w:i w:val="0"/>
          <w:iCs w:val="0"/>
          <w:color w:val="auto"/>
          <w:sz w:val="24"/>
          <w:szCs w:val="24"/>
        </w:rPr>
        <w:t>Production biologique et respect des normes</w:t>
      </w:r>
      <w:bookmarkEnd w:id="290"/>
      <w:bookmarkEnd w:id="291"/>
    </w:p>
    <w:p w:rsidR="005236B6" w:rsidRPr="000642B0" w:rsidRDefault="000642B0" w:rsidP="00F7493D">
      <w:pPr>
        <w:pStyle w:val="Lgende"/>
        <w:spacing w:after="0" w:line="360" w:lineRule="auto"/>
        <w:jc w:val="lowKashida"/>
        <w:rPr>
          <w:rFonts w:ascii="Times New Roman" w:eastAsia="Times New Roman" w:hAnsi="Times New Roman" w:cs="Times New Roman"/>
          <w:b/>
          <w:bCs/>
          <w:i w:val="0"/>
          <w:iCs w:val="0"/>
          <w:color w:val="auto"/>
          <w:kern w:val="3"/>
          <w:sz w:val="24"/>
          <w:szCs w:val="24"/>
          <w:lang w:eastAsia="fr-FR"/>
        </w:rPr>
      </w:pPr>
      <w:bookmarkStart w:id="292" w:name="_Toc230400752"/>
      <w:r w:rsidRPr="000642B0">
        <w:rPr>
          <w:rFonts w:ascii="Times New Roman" w:eastAsia="Times New Roman" w:hAnsi="Times New Roman" w:cs="Times New Roman"/>
          <w:b/>
          <w:bCs/>
          <w:i w:val="0"/>
          <w:iCs w:val="0"/>
          <w:color w:val="auto"/>
          <w:kern w:val="3"/>
          <w:sz w:val="24"/>
          <w:szCs w:val="24"/>
          <w:lang w:eastAsia="fr-FR"/>
        </w:rPr>
        <w:t xml:space="preserve">Tableau </w:t>
      </w:r>
      <w:r w:rsidR="007B5998" w:rsidRPr="000642B0">
        <w:rPr>
          <w:rFonts w:ascii="Times New Roman" w:eastAsia="Times New Roman" w:hAnsi="Times New Roman" w:cs="Times New Roman"/>
          <w:b/>
          <w:bCs/>
          <w:i w:val="0"/>
          <w:iCs w:val="0"/>
          <w:color w:val="auto"/>
          <w:kern w:val="3"/>
          <w:sz w:val="24"/>
          <w:szCs w:val="24"/>
          <w:lang w:eastAsia="fr-FR"/>
        </w:rPr>
        <w:fldChar w:fldCharType="begin"/>
      </w:r>
      <w:r w:rsidRPr="000642B0">
        <w:rPr>
          <w:rFonts w:ascii="Times New Roman" w:eastAsia="Times New Roman" w:hAnsi="Times New Roman" w:cs="Times New Roman"/>
          <w:b/>
          <w:bCs/>
          <w:i w:val="0"/>
          <w:iCs w:val="0"/>
          <w:color w:val="auto"/>
          <w:kern w:val="3"/>
          <w:sz w:val="24"/>
          <w:szCs w:val="24"/>
          <w:lang w:eastAsia="fr-FR"/>
        </w:rPr>
        <w:instrText xml:space="preserve"> SEQ Tableau \* ARABIC </w:instrText>
      </w:r>
      <w:r w:rsidR="007B5998" w:rsidRPr="000642B0">
        <w:rPr>
          <w:rFonts w:ascii="Times New Roman" w:eastAsia="Times New Roman" w:hAnsi="Times New Roman" w:cs="Times New Roman"/>
          <w:b/>
          <w:bCs/>
          <w:i w:val="0"/>
          <w:iCs w:val="0"/>
          <w:color w:val="auto"/>
          <w:kern w:val="3"/>
          <w:sz w:val="24"/>
          <w:szCs w:val="24"/>
          <w:lang w:eastAsia="fr-FR"/>
        </w:rPr>
        <w:fldChar w:fldCharType="separate"/>
      </w:r>
      <w:r w:rsidR="00515B25">
        <w:rPr>
          <w:rFonts w:ascii="Times New Roman" w:eastAsia="Times New Roman" w:hAnsi="Times New Roman" w:cs="Times New Roman"/>
          <w:b/>
          <w:bCs/>
          <w:i w:val="0"/>
          <w:iCs w:val="0"/>
          <w:noProof/>
          <w:color w:val="auto"/>
          <w:kern w:val="3"/>
          <w:sz w:val="24"/>
          <w:szCs w:val="24"/>
          <w:lang w:eastAsia="fr-FR"/>
        </w:rPr>
        <w:t>14</w:t>
      </w:r>
      <w:r w:rsidR="007B5998" w:rsidRPr="000642B0">
        <w:rPr>
          <w:rFonts w:ascii="Times New Roman" w:eastAsia="Times New Roman" w:hAnsi="Times New Roman" w:cs="Times New Roman"/>
          <w:b/>
          <w:bCs/>
          <w:i w:val="0"/>
          <w:iCs w:val="0"/>
          <w:color w:val="auto"/>
          <w:kern w:val="3"/>
          <w:sz w:val="24"/>
          <w:szCs w:val="24"/>
          <w:lang w:eastAsia="fr-FR"/>
        </w:rPr>
        <w:fldChar w:fldCharType="end"/>
      </w:r>
      <w:r w:rsidRPr="000642B0">
        <w:rPr>
          <w:rFonts w:ascii="Times New Roman" w:eastAsia="Times New Roman" w:hAnsi="Times New Roman" w:cs="Times New Roman"/>
          <w:b/>
          <w:bCs/>
          <w:i w:val="0"/>
          <w:iCs w:val="0"/>
          <w:color w:val="auto"/>
          <w:kern w:val="3"/>
          <w:sz w:val="24"/>
          <w:szCs w:val="24"/>
          <w:lang w:eastAsia="fr-FR"/>
        </w:rPr>
        <w:t xml:space="preserve"> : Mise en œuvre du système de production biologique</w:t>
      </w:r>
      <w:bookmarkEnd w:id="292"/>
    </w:p>
    <w:tbl>
      <w:tblPr>
        <w:tblStyle w:val="Grilledutableau"/>
        <w:tblW w:w="9072" w:type="dxa"/>
        <w:tblInd w:w="-5" w:type="dxa"/>
        <w:tblLook w:val="04A0"/>
      </w:tblPr>
      <w:tblGrid>
        <w:gridCol w:w="1673"/>
        <w:gridCol w:w="7399"/>
      </w:tblGrid>
      <w:tr w:rsidR="005236B6" w:rsidTr="00D1049F">
        <w:tc>
          <w:tcPr>
            <w:tcW w:w="1673"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399"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673" w:type="dxa"/>
            <w:vAlign w:val="center"/>
          </w:tcPr>
          <w:p w:rsidR="005236B6" w:rsidRPr="00731EFD" w:rsidRDefault="005236B6" w:rsidP="00F7493D">
            <w:pPr>
              <w:spacing w:line="360" w:lineRule="auto"/>
              <w:rPr>
                <w:rFonts w:asciiTheme="majorBidi" w:hAnsiTheme="majorBidi" w:cstheme="majorBidi"/>
                <w:b/>
                <w:bCs/>
                <w:sz w:val="24"/>
                <w:szCs w:val="24"/>
              </w:rPr>
            </w:pPr>
            <w:r w:rsidRPr="00731EFD">
              <w:rPr>
                <w:rFonts w:asciiTheme="majorBidi" w:hAnsiTheme="majorBidi" w:cstheme="majorBidi"/>
                <w:b/>
                <w:bCs/>
                <w:sz w:val="24"/>
                <w:szCs w:val="24"/>
              </w:rPr>
              <w:t>Pratiques agricoles biologiques</w:t>
            </w:r>
          </w:p>
        </w:tc>
        <w:tc>
          <w:tcPr>
            <w:tcW w:w="7399" w:type="dxa"/>
          </w:tcPr>
          <w:p w:rsidR="005236B6" w:rsidRDefault="005236B6" w:rsidP="00F7493D">
            <w:pPr>
              <w:spacing w:line="360" w:lineRule="auto"/>
              <w:rPr>
                <w:rFonts w:asciiTheme="majorBidi" w:hAnsiTheme="majorBidi" w:cstheme="majorBidi"/>
                <w:sz w:val="24"/>
                <w:szCs w:val="24"/>
                <w:rtl/>
              </w:rPr>
            </w:pPr>
            <w:r w:rsidRPr="00B92FA4">
              <w:rPr>
                <w:rFonts w:asciiTheme="majorBidi" w:hAnsiTheme="majorBidi" w:cstheme="majorBidi"/>
                <w:sz w:val="24"/>
                <w:szCs w:val="24"/>
              </w:rPr>
              <w:t>Les entretiens réalisés au sein de l’entreprise Dahbia montrent que le système de production biologique repose sur une démarche stricte conforme aux normes internationales de l’agriculture biologique. L’entreprise a obtenu la certification Ecocert, garantissant une production sans résidus chimiques et respectueuse des exigences environnementales.</w:t>
            </w:r>
          </w:p>
          <w:p w:rsidR="005236B6" w:rsidRDefault="005236B6" w:rsidP="00F7493D">
            <w:pPr>
              <w:spacing w:line="360" w:lineRule="auto"/>
              <w:rPr>
                <w:rFonts w:ascii="Times New Roman" w:eastAsia="Times New Roman" w:hAnsi="Times New Roman" w:cs="Times New Roman"/>
                <w:sz w:val="24"/>
                <w:szCs w:val="24"/>
                <w:rtl/>
                <w:lang w:eastAsia="fr-FR"/>
              </w:rPr>
            </w:pPr>
          </w:p>
          <w:p w:rsidR="005236B6" w:rsidRPr="00B92FA4" w:rsidRDefault="005236B6" w:rsidP="00F7493D">
            <w:pPr>
              <w:spacing w:line="360" w:lineRule="auto"/>
              <w:rPr>
                <w:rFonts w:asciiTheme="majorBidi" w:hAnsiTheme="majorBidi" w:cstheme="majorBidi"/>
                <w:sz w:val="24"/>
                <w:szCs w:val="24"/>
              </w:rPr>
            </w:pPr>
            <w:r w:rsidRPr="00B92FA4">
              <w:rPr>
                <w:rFonts w:ascii="Times New Roman" w:eastAsia="Times New Roman" w:hAnsi="Times New Roman" w:cs="Times New Roman"/>
                <w:sz w:val="24"/>
                <w:szCs w:val="24"/>
                <w:lang w:eastAsia="fr-FR"/>
              </w:rPr>
              <w:t>Les pratiques agricoles adoptées reposent principalement sur l’exclusion des pesticides et des engrais de synthèse. À leur place, l’entreprise utilise des fertilisants organiques tels que le fumier naturel et les résidus recyclés de l’huilerie. Des techniques d’économie d’eau sont également appliquées afin d’assurer une gestion durable des ressources.</w:t>
            </w:r>
            <w:r>
              <w:rPr>
                <w:rStyle w:val="Appelnotedebasdep"/>
                <w:rFonts w:ascii="Times New Roman" w:hAnsi="Times New Roman"/>
                <w:sz w:val="24"/>
                <w:szCs w:val="24"/>
                <w:lang w:eastAsia="fr-FR"/>
              </w:rPr>
              <w:footnoteReference w:id="246"/>
            </w:r>
          </w:p>
          <w:p w:rsidR="005236B6" w:rsidRPr="00B92FA4" w:rsidRDefault="005236B6" w:rsidP="00F7493D">
            <w:pPr>
              <w:spacing w:before="100" w:beforeAutospacing="1" w:after="100" w:afterAutospacing="1" w:line="360" w:lineRule="auto"/>
              <w:rPr>
                <w:rFonts w:ascii="Times New Roman" w:eastAsia="Times New Roman" w:hAnsi="Times New Roman" w:cs="Times New Roman"/>
                <w:sz w:val="24"/>
                <w:szCs w:val="24"/>
                <w:lang w:eastAsia="fr-FR"/>
              </w:rPr>
            </w:pPr>
            <w:r w:rsidRPr="00B92FA4">
              <w:rPr>
                <w:rFonts w:ascii="Times New Roman" w:eastAsia="Times New Roman" w:hAnsi="Times New Roman" w:cs="Times New Roman"/>
                <w:sz w:val="24"/>
                <w:szCs w:val="24"/>
                <w:lang w:eastAsia="fr-FR"/>
              </w:rPr>
              <w:t xml:space="preserve">La production est organisée autour d’un verger d’environ 20 000 oliviers </w:t>
            </w:r>
            <w:r>
              <w:rPr>
                <w:rFonts w:ascii="Times New Roman" w:eastAsia="Times New Roman" w:hAnsi="Times New Roman" w:cs="Times New Roman"/>
                <w:sz w:val="24"/>
                <w:szCs w:val="24"/>
                <w:lang w:eastAsia="fr-FR"/>
              </w:rPr>
              <w:t xml:space="preserve">, </w:t>
            </w:r>
            <w:r w:rsidRPr="00057456">
              <w:rPr>
                <w:rFonts w:ascii="Times New Roman" w:eastAsia="Times New Roman" w:hAnsi="Times New Roman" w:cs="Times New Roman"/>
                <w:sz w:val="24"/>
                <w:szCs w:val="24"/>
                <w:lang w:eastAsia="fr-FR"/>
              </w:rPr>
              <w:t>dont 80 % sont en production</w:t>
            </w:r>
            <w:r>
              <w:rPr>
                <w:rFonts w:ascii="Times New Roman" w:eastAsia="Times New Roman" w:hAnsi="Times New Roman" w:cs="Times New Roman"/>
                <w:sz w:val="24"/>
                <w:szCs w:val="24"/>
                <w:lang w:eastAsia="fr-FR"/>
              </w:rPr>
              <w:t xml:space="preserve"> ,</w:t>
            </w:r>
            <w:r w:rsidRPr="00B92FA4">
              <w:rPr>
                <w:rFonts w:ascii="Times New Roman" w:eastAsia="Times New Roman" w:hAnsi="Times New Roman" w:cs="Times New Roman"/>
                <w:sz w:val="24"/>
                <w:szCs w:val="24"/>
                <w:lang w:eastAsia="fr-FR"/>
              </w:rPr>
              <w:t>répartis sur 40 hectares.</w:t>
            </w:r>
            <w:r>
              <w:rPr>
                <w:rStyle w:val="Appelnotedebasdep"/>
                <w:rFonts w:ascii="Times New Roman" w:hAnsi="Times New Roman"/>
                <w:sz w:val="24"/>
                <w:szCs w:val="24"/>
                <w:lang w:eastAsia="fr-FR"/>
              </w:rPr>
              <w:footnoteReference w:id="247"/>
            </w:r>
            <w:r w:rsidRPr="00B92FA4">
              <w:rPr>
                <w:rFonts w:ascii="Times New Roman" w:eastAsia="Times New Roman" w:hAnsi="Times New Roman" w:cs="Times New Roman"/>
                <w:sz w:val="24"/>
                <w:szCs w:val="24"/>
                <w:lang w:eastAsia="fr-FR"/>
              </w:rPr>
              <w:t xml:space="preserve"> Selon les responsables interrogés, certaines variétés peuvent atteindre un rendement moyen de 1,5 quintal d’olives par arbre, ce qui reflète une performance relativement importante dans le cadre d’une agriculture biologique.</w:t>
            </w:r>
          </w:p>
          <w:p w:rsidR="005236B6" w:rsidRPr="00B92FA4" w:rsidRDefault="005236B6" w:rsidP="00F7493D">
            <w:pPr>
              <w:spacing w:before="100" w:beforeAutospacing="1" w:after="100" w:afterAutospacing="1" w:line="360" w:lineRule="auto"/>
              <w:rPr>
                <w:rFonts w:ascii="Times New Roman" w:eastAsia="Times New Roman" w:hAnsi="Times New Roman" w:cs="Times New Roman"/>
                <w:sz w:val="24"/>
                <w:szCs w:val="24"/>
                <w:lang w:eastAsia="fr-FR"/>
              </w:rPr>
            </w:pPr>
            <w:r w:rsidRPr="00B92FA4">
              <w:rPr>
                <w:rFonts w:ascii="Times New Roman" w:eastAsia="Times New Roman" w:hAnsi="Times New Roman" w:cs="Times New Roman"/>
                <w:sz w:val="24"/>
                <w:szCs w:val="24"/>
                <w:lang w:eastAsia="fr-FR"/>
              </w:rPr>
              <w:t>Les résultats des entretiens indiquent également que la qualité du produit repose sur une récolte précoce suivie d’une trituration à froid réalisée dans un délai inférieur à une heure après la cueillette. Cette rapidité permet de préserver les qualités nutritionnelles et organoleptiques de l’huile, notamment sa teneur élevée en polyphénols.</w:t>
            </w:r>
            <w:r>
              <w:rPr>
                <w:rStyle w:val="Appelnotedebasdep"/>
                <w:rFonts w:ascii="Times New Roman" w:hAnsi="Times New Roman"/>
                <w:sz w:val="24"/>
                <w:szCs w:val="24"/>
                <w:lang w:eastAsia="fr-FR"/>
              </w:rPr>
              <w:footnoteReference w:id="248"/>
            </w:r>
          </w:p>
          <w:p w:rsidR="005236B6" w:rsidRPr="008853AD" w:rsidRDefault="005236B6" w:rsidP="00F7493D">
            <w:pPr>
              <w:spacing w:before="100" w:beforeAutospacing="1" w:after="100" w:afterAutospacing="1" w:line="360" w:lineRule="auto"/>
              <w:rPr>
                <w:rFonts w:ascii="Times New Roman" w:eastAsia="Times New Roman" w:hAnsi="Times New Roman" w:cs="Times New Roman"/>
                <w:sz w:val="24"/>
                <w:szCs w:val="24"/>
                <w:lang w:eastAsia="fr-FR"/>
              </w:rPr>
            </w:pPr>
            <w:r w:rsidRPr="00B92FA4">
              <w:rPr>
                <w:rFonts w:ascii="Times New Roman" w:eastAsia="Times New Roman" w:hAnsi="Times New Roman" w:cs="Times New Roman"/>
                <w:sz w:val="24"/>
                <w:szCs w:val="24"/>
                <w:lang w:eastAsia="fr-FR"/>
              </w:rPr>
              <w:t xml:space="preserve">Par ailleurs, l’entreprise dispose actuellement d’une capacité de </w:t>
            </w:r>
            <w:r w:rsidRPr="00B92FA4">
              <w:rPr>
                <w:rFonts w:ascii="Times New Roman" w:eastAsia="Times New Roman" w:hAnsi="Times New Roman" w:cs="Times New Roman"/>
                <w:sz w:val="24"/>
                <w:szCs w:val="24"/>
                <w:lang w:eastAsia="fr-FR"/>
              </w:rPr>
              <w:lastRenderedPageBreak/>
              <w:t xml:space="preserve">production estimée à </w:t>
            </w:r>
            <w:r w:rsidRPr="00057456">
              <w:rPr>
                <w:rFonts w:ascii="Times New Roman" w:eastAsia="Times New Roman" w:hAnsi="Times New Roman" w:cs="Times New Roman"/>
                <w:color w:val="FF0000"/>
                <w:sz w:val="24"/>
                <w:szCs w:val="24"/>
                <w:lang w:eastAsia="fr-FR"/>
              </w:rPr>
              <w:t>7 tonnes</w:t>
            </w:r>
            <w:r w:rsidRPr="00B92FA4">
              <w:rPr>
                <w:rFonts w:ascii="Times New Roman" w:eastAsia="Times New Roman" w:hAnsi="Times New Roman" w:cs="Times New Roman"/>
                <w:sz w:val="24"/>
                <w:szCs w:val="24"/>
                <w:lang w:eastAsia="fr-FR"/>
              </w:rPr>
              <w:t xml:space="preserve"> par jour, avec des projets d’extension visant à augmenter cette capacité. Les nombreuses distinctions internationales obtenues par l’entreprise traduisent l’importance des pratiques biologiques dans la valorisation de la qualité du produit et dans le renforcement de sa compétitivité sur les marchés internationaux.</w:t>
            </w:r>
          </w:p>
        </w:tc>
      </w:tr>
      <w:tr w:rsidR="005236B6" w:rsidTr="00D1049F">
        <w:tc>
          <w:tcPr>
            <w:tcW w:w="1673" w:type="dxa"/>
            <w:vAlign w:val="center"/>
          </w:tcPr>
          <w:p w:rsidR="005236B6" w:rsidRPr="00731EFD" w:rsidRDefault="005236B6" w:rsidP="00F7493D">
            <w:pPr>
              <w:spacing w:line="360" w:lineRule="auto"/>
              <w:rPr>
                <w:rFonts w:asciiTheme="majorBidi" w:hAnsiTheme="majorBidi" w:cstheme="majorBidi"/>
                <w:b/>
                <w:bCs/>
                <w:sz w:val="24"/>
                <w:szCs w:val="24"/>
              </w:rPr>
            </w:pPr>
            <w:r w:rsidRPr="00731EFD">
              <w:rPr>
                <w:rFonts w:asciiTheme="majorBidi" w:hAnsiTheme="majorBidi" w:cstheme="majorBidi"/>
                <w:b/>
                <w:bCs/>
                <w:sz w:val="24"/>
                <w:szCs w:val="24"/>
              </w:rPr>
              <w:lastRenderedPageBreak/>
              <w:t>Absence de produits chimiques</w:t>
            </w:r>
          </w:p>
        </w:tc>
        <w:tc>
          <w:tcPr>
            <w:tcW w:w="7399" w:type="dxa"/>
          </w:tcPr>
          <w:p w:rsidR="005236B6" w:rsidRPr="00BF4C8E" w:rsidRDefault="005236B6" w:rsidP="00F7493D">
            <w:pPr>
              <w:pStyle w:val="NormalWeb"/>
              <w:spacing w:line="360" w:lineRule="auto"/>
            </w:pPr>
            <w:r w:rsidRPr="00BF4C8E">
              <w:t>Les résultats des entretiens montrent que l’entreprise Dahbia applique un système de production fondé sur l’exclusion totale des produits chimiques de synthèse. Cette orientation s’inscrit dans le respect des normes de l’agriculture biologique et dans une logique de préservation de la qualité sanitaire du produit.</w:t>
            </w:r>
            <w:r>
              <w:rPr>
                <w:rStyle w:val="Appelnotedebasdep"/>
              </w:rPr>
              <w:footnoteReference w:id="249"/>
            </w:r>
          </w:p>
          <w:p w:rsidR="005236B6" w:rsidRPr="00BF4C8E" w:rsidRDefault="005236B6" w:rsidP="00F7493D">
            <w:pPr>
              <w:pStyle w:val="NormalWeb"/>
              <w:spacing w:line="360" w:lineRule="auto"/>
            </w:pPr>
            <w:r w:rsidRPr="00BF4C8E">
              <w:t>Pour assurer cette conformité, l’entreprise adopte plusieurs pratiques agroécologiques, notamment le compostage des résidus organiques, l’utilisation du fumier naturel et la valorisation des sous-produits issus de l’huilerie afin d’enrichir les sols de manière naturelle.</w:t>
            </w:r>
          </w:p>
          <w:p w:rsidR="005236B6" w:rsidRPr="00BF4C8E" w:rsidRDefault="005236B6" w:rsidP="00F7493D">
            <w:pPr>
              <w:pStyle w:val="NormalWeb"/>
              <w:spacing w:line="360" w:lineRule="auto"/>
            </w:pPr>
            <w:r w:rsidRPr="00BF4C8E">
              <w:t>Les responsables interrogés soulignent également que cette démarche est encadrée par des mécanismes de contrôle réguliers à travers les certific</w:t>
            </w:r>
            <w:r w:rsidRPr="00BF4C8E">
              <w:t>a</w:t>
            </w:r>
            <w:r w:rsidRPr="00BF4C8E">
              <w:t>tions Ecocert et USDA Organic. Ces certifications impliquent des audits techniques, des analyses de sols ainsi que des contrôles du produit final afin de vérifier l’absence de résidus chimiques et la conformité aux sta</w:t>
            </w:r>
            <w:r w:rsidRPr="00BF4C8E">
              <w:t>n</w:t>
            </w:r>
            <w:r w:rsidRPr="00BF4C8E">
              <w:t>dards biologiques internationaux.</w:t>
            </w:r>
          </w:p>
          <w:p w:rsidR="005236B6" w:rsidRPr="00BF4C8E" w:rsidRDefault="005236B6" w:rsidP="00F7493D">
            <w:pPr>
              <w:pStyle w:val="NormalWeb"/>
              <w:spacing w:line="360" w:lineRule="auto"/>
            </w:pPr>
            <w:r w:rsidRPr="00BF4C8E">
              <w:t>Cependant, les données recueillies révèlent que ce mode de production exige davantage d’efforts techniques et organisationnels comparativement à l’agriculture conventionnelle. La transition vers ce modèle a nécessité une période d’adaptation estimée à environ deux années afin de restruct</w:t>
            </w:r>
            <w:r w:rsidRPr="00BF4C8E">
              <w:t>u</w:t>
            </w:r>
            <w:r w:rsidRPr="00BF4C8E">
              <w:t>rer les pratiques agricoles et d’intégrer des méthodes alternatives aux i</w:t>
            </w:r>
            <w:r w:rsidRPr="00BF4C8E">
              <w:t>n</w:t>
            </w:r>
            <w:r w:rsidRPr="00BF4C8E">
              <w:t>trants chimiques.</w:t>
            </w:r>
          </w:p>
          <w:p w:rsidR="005236B6" w:rsidRDefault="005236B6" w:rsidP="00F7493D">
            <w:pPr>
              <w:pStyle w:val="NormalWeb"/>
              <w:spacing w:line="360" w:lineRule="auto"/>
            </w:pPr>
            <w:r w:rsidRPr="00BF4C8E">
              <w:t xml:space="preserve">Malgré ces contraintes, les résultats obtenus montrent que cette orientation biologique a contribué à renforcer la reconnaissance internationale de l’entreprise à travers plusieurs distinctions obtenues dans des concours spécialisés. Cela confirme que l’absence de produits chimiques constitue </w:t>
            </w:r>
            <w:r w:rsidRPr="00BF4C8E">
              <w:lastRenderedPageBreak/>
              <w:t>un élément important dans la valorisation de la qualité et de l’image du produit</w:t>
            </w:r>
          </w:p>
        </w:tc>
      </w:tr>
      <w:tr w:rsidR="005236B6" w:rsidTr="00D1049F">
        <w:tc>
          <w:tcPr>
            <w:tcW w:w="1673" w:type="dxa"/>
            <w:vAlign w:val="center"/>
          </w:tcPr>
          <w:p w:rsidR="005236B6" w:rsidRPr="00731EFD" w:rsidRDefault="005236B6" w:rsidP="00F7493D">
            <w:pPr>
              <w:spacing w:line="360" w:lineRule="auto"/>
              <w:rPr>
                <w:rFonts w:asciiTheme="majorBidi" w:hAnsiTheme="majorBidi" w:cstheme="majorBidi"/>
                <w:b/>
                <w:bCs/>
                <w:sz w:val="24"/>
                <w:szCs w:val="24"/>
              </w:rPr>
            </w:pPr>
            <w:r w:rsidRPr="00731EFD">
              <w:rPr>
                <w:rFonts w:asciiTheme="majorBidi" w:hAnsiTheme="majorBidi" w:cstheme="majorBidi"/>
                <w:b/>
                <w:bCs/>
                <w:sz w:val="24"/>
                <w:szCs w:val="24"/>
              </w:rPr>
              <w:lastRenderedPageBreak/>
              <w:t>Contraintes de production</w:t>
            </w:r>
          </w:p>
        </w:tc>
        <w:tc>
          <w:tcPr>
            <w:tcW w:w="7399" w:type="dxa"/>
          </w:tcPr>
          <w:p w:rsidR="005236B6" w:rsidRPr="00BF4C8E" w:rsidRDefault="005236B6" w:rsidP="00F7493D">
            <w:pPr>
              <w:pStyle w:val="NormalWeb"/>
              <w:spacing w:line="360" w:lineRule="auto"/>
            </w:pPr>
            <w:r w:rsidRPr="00BF4C8E">
              <w:t>Les entretiens réalisés mettent en évidence plusieurs contraintes liées à la production biologique au sein de l’entreprise Dahbia. Les responsables interrogés indiquent que ce mode de production dépend fortement des conditions naturelles et nécessite un contrôle rigoureux des intrants et des différentes étapes de production.</w:t>
            </w:r>
          </w:p>
          <w:p w:rsidR="005236B6" w:rsidRPr="00BF4C8E" w:rsidRDefault="005236B6" w:rsidP="00F7493D">
            <w:pPr>
              <w:pStyle w:val="NormalWeb"/>
              <w:spacing w:line="360" w:lineRule="auto"/>
            </w:pPr>
            <w:r w:rsidRPr="00BF4C8E">
              <w:t>L’absence de produits chimiques de synthèse rend également la production plus sensible aux variations climatiques. Les périodes de sécheresse ainsi que l’irrégularité des précipitations influencent directement la floraison et le rendement des oliviers, ce qui peut entraîner des fluctuations impo</w:t>
            </w:r>
            <w:r w:rsidRPr="00BF4C8E">
              <w:t>r</w:t>
            </w:r>
            <w:r w:rsidRPr="00BF4C8E">
              <w:t>tantes de la production selon les saisons.</w:t>
            </w:r>
          </w:p>
          <w:p w:rsidR="005236B6" w:rsidRPr="00BF4C8E" w:rsidRDefault="005236B6" w:rsidP="00F7493D">
            <w:pPr>
              <w:pStyle w:val="NormalWeb"/>
              <w:spacing w:line="360" w:lineRule="auto"/>
            </w:pPr>
            <w:r w:rsidRPr="00BF4C8E">
              <w:t>Les résultats montrent aussi que les coûts de production demeurent relat</w:t>
            </w:r>
            <w:r w:rsidRPr="00BF4C8E">
              <w:t>i</w:t>
            </w:r>
            <w:r w:rsidRPr="00BF4C8E">
              <w:t>vement élevés en raison de l’importance de la main-d’œuvre nécessaire pour le désherbage mécanique, la fertilisation organique et la récolte m</w:t>
            </w:r>
            <w:r w:rsidRPr="00BF4C8E">
              <w:t>a</w:t>
            </w:r>
            <w:r w:rsidRPr="00BF4C8E">
              <w:t>nuelle. À cela s’ajoutent les exigences liées aux procédures de contrôle et de certification biologique, qui impliquent des audits réguliers et des an</w:t>
            </w:r>
            <w:r w:rsidRPr="00BF4C8E">
              <w:t>a</w:t>
            </w:r>
            <w:r w:rsidRPr="00BF4C8E">
              <w:t>lyses de conformité.</w:t>
            </w:r>
          </w:p>
          <w:p w:rsidR="005236B6" w:rsidRPr="00BF4C8E" w:rsidRDefault="005236B6" w:rsidP="00F7493D">
            <w:pPr>
              <w:pStyle w:val="NormalWeb"/>
              <w:spacing w:line="360" w:lineRule="auto"/>
            </w:pPr>
            <w:r w:rsidRPr="00BF4C8E">
              <w:t>Les personnes interrogées soulignent également que la gestion des rend</w:t>
            </w:r>
            <w:r w:rsidRPr="00BF4C8E">
              <w:t>e</w:t>
            </w:r>
            <w:r w:rsidRPr="00BF4C8E">
              <w:t>ments représente une difficulté importante dans le cadre de la production biologique. Malgré l’organisation technique et les certifications obtenues, les performances productives restent influencées par des facteurs clim</w:t>
            </w:r>
            <w:r w:rsidRPr="00BF4C8E">
              <w:t>a</w:t>
            </w:r>
            <w:r w:rsidRPr="00BF4C8E">
              <w:t>tiques et environnementaux difficilement maîtrisables.</w:t>
            </w:r>
          </w:p>
          <w:p w:rsidR="005236B6" w:rsidRDefault="005236B6" w:rsidP="00F7493D">
            <w:pPr>
              <w:pStyle w:val="NormalWeb"/>
              <w:spacing w:line="360" w:lineRule="auto"/>
            </w:pPr>
            <w:r w:rsidRPr="00BF4C8E">
              <w:t>Ainsi, les résultats de terrain montrent que la production biologique pe</w:t>
            </w:r>
            <w:r w:rsidRPr="00BF4C8E">
              <w:t>r</w:t>
            </w:r>
            <w:r w:rsidRPr="00BF4C8E">
              <w:t>met d’obtenir une huile d’olive de qualité élevée et reconnue à l’international, mais qu’elle exige en contrepartie une organisation tec</w:t>
            </w:r>
            <w:r w:rsidRPr="00BF4C8E">
              <w:t>h</w:t>
            </w:r>
            <w:r w:rsidRPr="00BF4C8E">
              <w:t>nique rigoureuse, des coûts plus importants et une adaptation permanente aux contraintes naturelles.</w:t>
            </w:r>
          </w:p>
        </w:tc>
      </w:tr>
    </w:tbl>
    <w:p w:rsidR="00606E4A" w:rsidRPr="007878B9" w:rsidRDefault="005236B6" w:rsidP="00F7493D">
      <w:pPr>
        <w:pStyle w:val="NormalWeb"/>
        <w:spacing w:line="360" w:lineRule="auto"/>
        <w:rPr>
          <w:rFonts w:asciiTheme="majorBidi" w:hAnsiTheme="majorBidi" w:cstheme="majorBidi"/>
          <w:sz w:val="20"/>
          <w:szCs w:val="20"/>
        </w:rPr>
      </w:pPr>
      <w:r w:rsidRPr="00975EF7">
        <w:rPr>
          <w:b/>
          <w:bCs/>
          <w:sz w:val="20"/>
          <w:szCs w:val="20"/>
        </w:rPr>
        <w:t>Source :</w:t>
      </w:r>
      <w:r w:rsidRPr="00975EF7">
        <w:rPr>
          <w:sz w:val="20"/>
          <w:szCs w:val="20"/>
        </w:rPr>
        <w:t xml:space="preserve"> élaboré par les étudiantes sur la base </w:t>
      </w:r>
      <w:r w:rsidRPr="00975EF7">
        <w:rPr>
          <w:rFonts w:asciiTheme="majorBidi" w:hAnsiTheme="majorBidi" w:cstheme="majorBidi"/>
          <w:sz w:val="20"/>
          <w:szCs w:val="20"/>
        </w:rPr>
        <w:t>des données issues des entretiens réalisés sur le terrain.</w:t>
      </w:r>
      <w:bookmarkStart w:id="293" w:name="_Toc230400753"/>
    </w:p>
    <w:p w:rsidR="00606E4A" w:rsidRDefault="00606E4A" w:rsidP="00F7493D">
      <w:pPr>
        <w:pStyle w:val="Lgende"/>
        <w:spacing w:after="0" w:line="360" w:lineRule="auto"/>
        <w:jc w:val="lowKashida"/>
        <w:rPr>
          <w:rFonts w:asciiTheme="majorBidi" w:hAnsiTheme="majorBidi" w:cstheme="majorBidi"/>
          <w:b/>
          <w:bCs/>
          <w:i w:val="0"/>
          <w:iCs w:val="0"/>
          <w:color w:val="000000" w:themeColor="text1"/>
          <w:sz w:val="24"/>
          <w:szCs w:val="24"/>
          <w:rtl/>
        </w:rPr>
      </w:pPr>
    </w:p>
    <w:p w:rsidR="00D1049F" w:rsidRDefault="00D1049F" w:rsidP="00D1049F">
      <w:pPr>
        <w:rPr>
          <w:rtl/>
          <w:lang w:bidi="ar-DZ"/>
        </w:rPr>
      </w:pPr>
    </w:p>
    <w:p w:rsidR="00D1049F" w:rsidRPr="00D1049F" w:rsidRDefault="00D1049F" w:rsidP="00D1049F">
      <w:pPr>
        <w:rPr>
          <w:lang w:bidi="ar-DZ"/>
        </w:rPr>
      </w:pPr>
    </w:p>
    <w:p w:rsidR="00606E4A" w:rsidRPr="00EF42E4" w:rsidRDefault="00606E4A" w:rsidP="00F7493D">
      <w:pPr>
        <w:pStyle w:val="Titre4"/>
        <w:spacing w:line="360" w:lineRule="auto"/>
        <w:rPr>
          <w:rFonts w:ascii="Times New Roman" w:hAnsi="Times New Roman"/>
          <w:b/>
          <w:bCs/>
          <w:i w:val="0"/>
          <w:iCs w:val="0"/>
          <w:color w:val="auto"/>
          <w:sz w:val="24"/>
          <w:szCs w:val="24"/>
        </w:rPr>
      </w:pPr>
      <w:bookmarkStart w:id="294" w:name="_Toc230558730"/>
      <w:bookmarkStart w:id="295" w:name="_Toc230900364"/>
      <w:r w:rsidRPr="00EF42E4">
        <w:rPr>
          <w:rFonts w:ascii="Times New Roman" w:hAnsi="Times New Roman"/>
          <w:b/>
          <w:bCs/>
          <w:i w:val="0"/>
          <w:iCs w:val="0"/>
          <w:color w:val="auto"/>
          <w:sz w:val="24"/>
          <w:szCs w:val="24"/>
        </w:rPr>
        <w:lastRenderedPageBreak/>
        <w:t>1.3. Certifications et conformité aux normes internationales</w:t>
      </w:r>
      <w:bookmarkEnd w:id="294"/>
      <w:bookmarkEnd w:id="295"/>
    </w:p>
    <w:p w:rsidR="00606E4A" w:rsidRDefault="00606E4A" w:rsidP="00F7493D">
      <w:pPr>
        <w:pStyle w:val="Lgende"/>
        <w:spacing w:after="0" w:line="360" w:lineRule="auto"/>
        <w:jc w:val="lowKashida"/>
        <w:rPr>
          <w:rFonts w:asciiTheme="majorBidi" w:hAnsiTheme="majorBidi" w:cstheme="majorBidi"/>
          <w:b/>
          <w:bCs/>
          <w:i w:val="0"/>
          <w:iCs w:val="0"/>
          <w:color w:val="000000" w:themeColor="text1"/>
          <w:sz w:val="24"/>
          <w:szCs w:val="24"/>
        </w:rPr>
      </w:pPr>
    </w:p>
    <w:p w:rsidR="00B40036" w:rsidRPr="00606E4A" w:rsidRDefault="00B40036" w:rsidP="00F7493D">
      <w:pPr>
        <w:pStyle w:val="Lgende"/>
        <w:spacing w:after="0" w:line="360" w:lineRule="auto"/>
        <w:jc w:val="lowKashida"/>
        <w:rPr>
          <w:rFonts w:asciiTheme="majorBidi" w:hAnsiTheme="majorBidi" w:cstheme="majorBidi"/>
          <w:i w:val="0"/>
          <w:iCs w:val="0"/>
          <w:color w:val="000000" w:themeColor="text1"/>
          <w:sz w:val="24"/>
          <w:szCs w:val="24"/>
        </w:rPr>
      </w:pPr>
      <w:r w:rsidRPr="00B40036">
        <w:rPr>
          <w:rFonts w:asciiTheme="majorBidi" w:hAnsiTheme="majorBidi" w:cstheme="majorBidi"/>
          <w:b/>
          <w:bCs/>
          <w:i w:val="0"/>
          <w:iCs w:val="0"/>
          <w:color w:val="000000" w:themeColor="text1"/>
          <w:sz w:val="24"/>
          <w:szCs w:val="24"/>
        </w:rPr>
        <w:t xml:space="preserve">Tableau </w:t>
      </w:r>
      <w:r w:rsidR="007B5998" w:rsidRPr="00B40036">
        <w:rPr>
          <w:rFonts w:asciiTheme="majorBidi" w:hAnsiTheme="majorBidi" w:cstheme="majorBidi"/>
          <w:b/>
          <w:bCs/>
          <w:i w:val="0"/>
          <w:iCs w:val="0"/>
          <w:color w:val="000000" w:themeColor="text1"/>
          <w:sz w:val="24"/>
          <w:szCs w:val="24"/>
        </w:rPr>
        <w:fldChar w:fldCharType="begin"/>
      </w:r>
      <w:r w:rsidRPr="00B40036">
        <w:rPr>
          <w:rFonts w:asciiTheme="majorBidi" w:hAnsiTheme="majorBidi" w:cstheme="majorBidi"/>
          <w:b/>
          <w:bCs/>
          <w:i w:val="0"/>
          <w:iCs w:val="0"/>
          <w:color w:val="000000" w:themeColor="text1"/>
          <w:sz w:val="24"/>
          <w:szCs w:val="24"/>
        </w:rPr>
        <w:instrText xml:space="preserve"> SEQ Tableau \* ARABIC </w:instrText>
      </w:r>
      <w:r w:rsidR="007B5998" w:rsidRPr="00B40036">
        <w:rPr>
          <w:rFonts w:asciiTheme="majorBidi" w:hAnsiTheme="majorBidi" w:cstheme="majorBidi"/>
          <w:b/>
          <w:bCs/>
          <w:i w:val="0"/>
          <w:iCs w:val="0"/>
          <w:color w:val="000000" w:themeColor="text1"/>
          <w:sz w:val="24"/>
          <w:szCs w:val="24"/>
        </w:rPr>
        <w:fldChar w:fldCharType="separate"/>
      </w:r>
      <w:r w:rsidR="00515B25">
        <w:rPr>
          <w:rFonts w:asciiTheme="majorBidi" w:hAnsiTheme="majorBidi" w:cstheme="majorBidi"/>
          <w:b/>
          <w:bCs/>
          <w:i w:val="0"/>
          <w:iCs w:val="0"/>
          <w:noProof/>
          <w:color w:val="000000" w:themeColor="text1"/>
          <w:sz w:val="24"/>
          <w:szCs w:val="24"/>
        </w:rPr>
        <w:t>15</w:t>
      </w:r>
      <w:r w:rsidR="007B5998" w:rsidRPr="00B40036">
        <w:rPr>
          <w:rFonts w:asciiTheme="majorBidi" w:hAnsiTheme="majorBidi" w:cstheme="majorBidi"/>
          <w:b/>
          <w:bCs/>
          <w:i w:val="0"/>
          <w:iCs w:val="0"/>
          <w:color w:val="000000" w:themeColor="text1"/>
          <w:sz w:val="24"/>
          <w:szCs w:val="24"/>
        </w:rPr>
        <w:fldChar w:fldCharType="end"/>
      </w:r>
      <w:r w:rsidRPr="00B40036">
        <w:rPr>
          <w:rFonts w:asciiTheme="majorBidi" w:hAnsiTheme="majorBidi" w:cstheme="majorBidi"/>
          <w:b/>
          <w:bCs/>
          <w:i w:val="0"/>
          <w:iCs w:val="0"/>
          <w:color w:val="000000" w:themeColor="text1"/>
          <w:sz w:val="24"/>
          <w:szCs w:val="24"/>
        </w:rPr>
        <w:t xml:space="preserve"> : </w:t>
      </w:r>
      <w:r w:rsidRPr="00B40036">
        <w:rPr>
          <w:rFonts w:asciiTheme="majorBidi" w:hAnsiTheme="majorBidi" w:cstheme="majorBidi"/>
          <w:i w:val="0"/>
          <w:iCs w:val="0"/>
          <w:color w:val="000000" w:themeColor="text1"/>
          <w:sz w:val="24"/>
          <w:szCs w:val="24"/>
        </w:rPr>
        <w:t>Certifications et conformité aux normes internationales</w:t>
      </w:r>
      <w:bookmarkEnd w:id="293"/>
    </w:p>
    <w:tbl>
      <w:tblPr>
        <w:tblStyle w:val="Grilledutableau"/>
        <w:tblW w:w="9072" w:type="dxa"/>
        <w:tblInd w:w="-5" w:type="dxa"/>
        <w:tblLook w:val="04A0"/>
      </w:tblPr>
      <w:tblGrid>
        <w:gridCol w:w="1830"/>
        <w:gridCol w:w="7242"/>
      </w:tblGrid>
      <w:tr w:rsidR="005236B6" w:rsidTr="00D1049F">
        <w:tc>
          <w:tcPr>
            <w:tcW w:w="1830"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242"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830" w:type="dxa"/>
          </w:tcPr>
          <w:p w:rsidR="005236B6" w:rsidRDefault="005236B6" w:rsidP="00F7493D">
            <w:pPr>
              <w:pStyle w:val="NormalWeb"/>
              <w:spacing w:line="360" w:lineRule="auto"/>
              <w:rPr>
                <w:rFonts w:asciiTheme="majorBidi" w:hAnsiTheme="majorBidi" w:cstheme="majorBidi"/>
                <w:b/>
                <w:bCs/>
                <w:rtl/>
              </w:rPr>
            </w:pPr>
          </w:p>
          <w:p w:rsidR="005236B6" w:rsidRPr="004B7971" w:rsidRDefault="005236B6" w:rsidP="00F7493D">
            <w:pPr>
              <w:pStyle w:val="NormalWeb"/>
              <w:spacing w:line="360" w:lineRule="auto"/>
              <w:rPr>
                <w:b/>
                <w:bCs/>
              </w:rPr>
            </w:pPr>
            <w:r w:rsidRPr="004B7971">
              <w:rPr>
                <w:rFonts w:asciiTheme="majorBidi" w:hAnsiTheme="majorBidi" w:cstheme="majorBidi"/>
                <w:b/>
                <w:bCs/>
              </w:rPr>
              <w:t>Certifications biologiques</w:t>
            </w:r>
          </w:p>
        </w:tc>
        <w:tc>
          <w:tcPr>
            <w:tcW w:w="7242" w:type="dxa"/>
          </w:tcPr>
          <w:p w:rsidR="005236B6" w:rsidRPr="00BF4C8E" w:rsidRDefault="005236B6" w:rsidP="00F7493D">
            <w:pPr>
              <w:pStyle w:val="NormalWeb"/>
              <w:spacing w:line="360" w:lineRule="auto"/>
            </w:pPr>
            <w:r w:rsidRPr="00BF4C8E">
              <w:t>l’entreprise Dahbia montrent que les certifications biologiques occupent une place importante dans l’organisation et la valorisation de la produ</w:t>
            </w:r>
            <w:r w:rsidRPr="00BF4C8E">
              <w:t>c</w:t>
            </w:r>
            <w:r w:rsidRPr="00BF4C8E">
              <w:t>tion. Elles constituent une garantie officielle du respect des normes i</w:t>
            </w:r>
            <w:r w:rsidRPr="00BF4C8E">
              <w:t>n</w:t>
            </w:r>
            <w:r w:rsidRPr="00BF4C8E">
              <w:t>ternationales de l’agriculture biologique et contribuent à renforcer la confiance des consommateurs ainsi que la crédibilité de l’entreprise sur les marchés internationaux.</w:t>
            </w:r>
          </w:p>
          <w:p w:rsidR="005236B6" w:rsidRPr="00BF4C8E" w:rsidRDefault="005236B6" w:rsidP="00F7493D">
            <w:pPr>
              <w:pStyle w:val="NormalWeb"/>
              <w:spacing w:line="360" w:lineRule="auto"/>
            </w:pPr>
            <w:r w:rsidRPr="00BF4C8E">
              <w:t>L’entreprise dispose principalement des certifications Ecocert et USDA Organic. Les responsables interrogés indiquent que l’obtention de ces certifications nécessite un processus rigoureux comprenant l’inspection des exploitations agricoles, l’analyse des sols et de l’eau, le suivi de la chaîne de production ainsi que le contrôle du produit final par des org</w:t>
            </w:r>
            <w:r w:rsidRPr="00BF4C8E">
              <w:t>a</w:t>
            </w:r>
            <w:r w:rsidRPr="00BF4C8E">
              <w:t>nismes spécialisés.</w:t>
            </w:r>
          </w:p>
          <w:p w:rsidR="005236B6" w:rsidRPr="00BF4C8E" w:rsidRDefault="005236B6" w:rsidP="00F7493D">
            <w:pPr>
              <w:pStyle w:val="NormalWeb"/>
              <w:spacing w:line="360" w:lineRule="auto"/>
            </w:pPr>
            <w:r w:rsidRPr="00BF4C8E">
              <w:t>Les résultats montrent également que ces certifications facilitent l’accès aux marchés internationaux et améliorent le positionnement commercial de l’entreprise dans les circuits de distribution spécialisés en produits biologiques premium. Les nombreuses distinctions internationales obt</w:t>
            </w:r>
            <w:r w:rsidRPr="00BF4C8E">
              <w:t>e</w:t>
            </w:r>
            <w:r w:rsidRPr="00BF4C8E">
              <w:t>nues par l’entreprise renforcent davantage cette valorisation comme</w:t>
            </w:r>
            <w:r w:rsidRPr="00BF4C8E">
              <w:t>r</w:t>
            </w:r>
            <w:r w:rsidRPr="00BF4C8E">
              <w:t>ciale et témoignent du respect des standards de qualité exigés à l’échelle internationale.</w:t>
            </w:r>
          </w:p>
          <w:p w:rsidR="005236B6" w:rsidRDefault="005236B6" w:rsidP="00F7493D">
            <w:pPr>
              <w:pStyle w:val="NormalWeb"/>
              <w:spacing w:line="360" w:lineRule="auto"/>
            </w:pPr>
            <w:r w:rsidRPr="00BF4C8E">
              <w:t>Ainsi, les certifications biologiques apparaissent comme un élément ce</w:t>
            </w:r>
            <w:r w:rsidRPr="00BF4C8E">
              <w:t>n</w:t>
            </w:r>
            <w:r w:rsidRPr="00BF4C8E">
              <w:t>tral dans la stratégie de qualité de l’entreprise Dahbia, en contribuant à la fois à la crédibilité du produit et au développement de sa compétitivité internationale.</w:t>
            </w:r>
          </w:p>
        </w:tc>
      </w:tr>
      <w:tr w:rsidR="005236B6" w:rsidTr="00D1049F">
        <w:trPr>
          <w:trHeight w:val="64"/>
        </w:trPr>
        <w:tc>
          <w:tcPr>
            <w:tcW w:w="1830" w:type="dxa"/>
          </w:tcPr>
          <w:p w:rsidR="005236B6" w:rsidRDefault="005236B6" w:rsidP="00F7493D">
            <w:pPr>
              <w:pStyle w:val="NormalWeb"/>
              <w:spacing w:line="360" w:lineRule="auto"/>
              <w:jc w:val="center"/>
              <w:rPr>
                <w:rFonts w:asciiTheme="majorBidi" w:hAnsiTheme="majorBidi" w:cstheme="majorBidi"/>
                <w:b/>
                <w:bCs/>
                <w:rtl/>
              </w:rPr>
            </w:pPr>
          </w:p>
          <w:p w:rsidR="005236B6" w:rsidRDefault="005236B6" w:rsidP="00F7493D">
            <w:pPr>
              <w:pStyle w:val="NormalWeb"/>
              <w:spacing w:line="360" w:lineRule="auto"/>
              <w:jc w:val="center"/>
              <w:rPr>
                <w:rFonts w:asciiTheme="majorBidi" w:hAnsiTheme="majorBidi" w:cstheme="majorBidi"/>
                <w:b/>
                <w:bCs/>
                <w:rtl/>
              </w:rPr>
            </w:pPr>
          </w:p>
          <w:p w:rsidR="005236B6" w:rsidRDefault="005236B6" w:rsidP="00F7493D">
            <w:pPr>
              <w:pStyle w:val="NormalWeb"/>
              <w:spacing w:line="360" w:lineRule="auto"/>
              <w:jc w:val="center"/>
              <w:rPr>
                <w:rFonts w:asciiTheme="majorBidi" w:hAnsiTheme="majorBidi" w:cstheme="majorBidi"/>
                <w:b/>
                <w:bCs/>
                <w:rtl/>
              </w:rPr>
            </w:pPr>
          </w:p>
          <w:p w:rsidR="005236B6" w:rsidRDefault="005236B6" w:rsidP="00F7493D">
            <w:pPr>
              <w:pStyle w:val="NormalWeb"/>
              <w:spacing w:line="360" w:lineRule="auto"/>
              <w:jc w:val="center"/>
              <w:rPr>
                <w:rFonts w:asciiTheme="majorBidi" w:hAnsiTheme="majorBidi" w:cstheme="majorBidi"/>
                <w:b/>
                <w:bCs/>
              </w:rPr>
            </w:pPr>
            <w:r w:rsidRPr="00FE560A">
              <w:rPr>
                <w:rFonts w:asciiTheme="majorBidi" w:hAnsiTheme="majorBidi" w:cstheme="majorBidi"/>
                <w:b/>
                <w:bCs/>
              </w:rPr>
              <w:t>Confiance des consommateurs</w:t>
            </w: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Default="005236B6" w:rsidP="00F7493D">
            <w:pPr>
              <w:spacing w:line="360" w:lineRule="auto"/>
              <w:rPr>
                <w:rFonts w:asciiTheme="majorBidi" w:eastAsia="Times New Roman" w:hAnsiTheme="majorBidi" w:cstheme="majorBidi"/>
                <w:b/>
                <w:bCs/>
                <w:sz w:val="24"/>
                <w:szCs w:val="24"/>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Pr="001C03D4" w:rsidRDefault="005236B6" w:rsidP="00F7493D">
            <w:pPr>
              <w:spacing w:line="360" w:lineRule="auto"/>
              <w:rPr>
                <w:lang w:eastAsia="fr-FR"/>
              </w:rPr>
            </w:pPr>
          </w:p>
          <w:p w:rsidR="005236B6" w:rsidRDefault="005236B6" w:rsidP="00F7493D">
            <w:pPr>
              <w:spacing w:line="360" w:lineRule="auto"/>
              <w:rPr>
                <w:rFonts w:asciiTheme="majorBidi" w:eastAsia="Times New Roman" w:hAnsiTheme="majorBidi" w:cstheme="majorBidi"/>
                <w:b/>
                <w:bCs/>
                <w:sz w:val="24"/>
                <w:szCs w:val="24"/>
                <w:lang w:eastAsia="fr-FR"/>
              </w:rPr>
            </w:pPr>
          </w:p>
          <w:p w:rsidR="005236B6" w:rsidRDefault="005236B6" w:rsidP="00F7493D">
            <w:pPr>
              <w:spacing w:line="360" w:lineRule="auto"/>
              <w:rPr>
                <w:rFonts w:asciiTheme="majorBidi" w:eastAsia="Times New Roman" w:hAnsiTheme="majorBidi" w:cstheme="majorBidi"/>
                <w:b/>
                <w:bCs/>
                <w:sz w:val="24"/>
                <w:szCs w:val="24"/>
                <w:lang w:eastAsia="fr-FR"/>
              </w:rPr>
            </w:pPr>
          </w:p>
          <w:p w:rsidR="005236B6" w:rsidRPr="001C03D4" w:rsidRDefault="005236B6" w:rsidP="00F7493D">
            <w:pPr>
              <w:spacing w:line="360" w:lineRule="auto"/>
              <w:jc w:val="right"/>
              <w:rPr>
                <w:lang w:eastAsia="fr-FR"/>
              </w:rPr>
            </w:pPr>
          </w:p>
        </w:tc>
        <w:tc>
          <w:tcPr>
            <w:tcW w:w="7242" w:type="dxa"/>
          </w:tcPr>
          <w:p w:rsidR="005236B6" w:rsidRPr="00F33AAB" w:rsidRDefault="005236B6" w:rsidP="00F7493D">
            <w:pPr>
              <w:pStyle w:val="NormalWeb"/>
              <w:spacing w:line="360" w:lineRule="auto"/>
            </w:pPr>
            <w:r w:rsidRPr="00F33AAB">
              <w:lastRenderedPageBreak/>
              <w:t>Les résultats des entretiens montrent que les certifications biologiques jouent un rôle important dans le renforcement de la confiance des co</w:t>
            </w:r>
            <w:r w:rsidRPr="00F33AAB">
              <w:t>n</w:t>
            </w:r>
            <w:r w:rsidRPr="00F33AAB">
              <w:t>sommateurs envers les produits de l’entreprise Dahbia. Les labels tels que Ecocert et USDA Organic constituent des garanties objectives co</w:t>
            </w:r>
            <w:r w:rsidRPr="00F33AAB">
              <w:t>n</w:t>
            </w:r>
            <w:r w:rsidRPr="00F33AAB">
              <w:t>cernant la conformité du produit aux normes internationales de l’agriculture biologique.</w:t>
            </w:r>
          </w:p>
          <w:p w:rsidR="005236B6" w:rsidRPr="00F33AAB" w:rsidRDefault="005236B6" w:rsidP="00F7493D">
            <w:pPr>
              <w:pStyle w:val="NormalWeb"/>
              <w:spacing w:line="360" w:lineRule="auto"/>
            </w:pPr>
            <w:r w:rsidRPr="00F33AAB">
              <w:lastRenderedPageBreak/>
              <w:t>Selon les responsables interrogés, ces certifications permettent de r</w:t>
            </w:r>
            <w:r w:rsidRPr="00F33AAB">
              <w:t>é</w:t>
            </w:r>
            <w:r w:rsidRPr="00F33AAB">
              <w:t>duire les doutes liés à la qualité et à l’authenticité du produit grâce aux mécanismes de contrôle, à la traçabilité de la chaîne de production et à la garantie de l’absence de substances chimiques.</w:t>
            </w:r>
          </w:p>
          <w:p w:rsidR="005236B6" w:rsidRPr="00F33AAB" w:rsidRDefault="005236B6" w:rsidP="00F7493D">
            <w:pPr>
              <w:pStyle w:val="NormalWeb"/>
              <w:spacing w:line="360" w:lineRule="auto"/>
            </w:pPr>
            <w:r w:rsidRPr="00F33AAB">
              <w:t>Les données recueillies indiquent également que les consommateurs des marchés internationaux, notamment en Europe, aux États-Unis et dans les pays du Golfe, accordent une importance particulière aux certific</w:t>
            </w:r>
            <w:r w:rsidRPr="00F33AAB">
              <w:t>a</w:t>
            </w:r>
            <w:r w:rsidRPr="00F33AAB">
              <w:t>tions biologiques et aux critères de sécurité sanitaire des aliments. Cette situation contribue à renforcer la crédibilité de l’entreprise et à améliorer son intégration dans les marchés spécialisés.</w:t>
            </w:r>
          </w:p>
          <w:p w:rsidR="005236B6" w:rsidRPr="00F33AAB" w:rsidRDefault="005236B6" w:rsidP="00F7493D">
            <w:pPr>
              <w:pStyle w:val="NormalWeb"/>
              <w:spacing w:line="360" w:lineRule="auto"/>
            </w:pPr>
            <w:r w:rsidRPr="00F33AAB">
              <w:t>Par ailleurs, les distinctions internationales obtenues par l’entreprise participent également au renforcement de cette confiance en valorisant l’image de qualité du produit. Les résultats observés montrent ainsi une évolution positive de la visibilité et de la demande pour les produits de l’entreprise Dahbia sur les marchés internationaux.</w:t>
            </w:r>
          </w:p>
          <w:p w:rsidR="005236B6" w:rsidRDefault="005236B6" w:rsidP="00F7493D">
            <w:pPr>
              <w:pStyle w:val="NormalWeb"/>
              <w:spacing w:line="360" w:lineRule="auto"/>
            </w:pPr>
            <w:r w:rsidRPr="00F33AAB">
              <w:t>Ainsi, les certifications biologiques apparaissent comme un facteur i</w:t>
            </w:r>
            <w:r w:rsidRPr="00F33AAB">
              <w:t>m</w:t>
            </w:r>
            <w:r w:rsidRPr="00F33AAB">
              <w:t>portant dans la construction de la confiance des consommateurs et dans le renforcement du positionnement commercial de l’entreprise</w:t>
            </w:r>
          </w:p>
        </w:tc>
      </w:tr>
    </w:tbl>
    <w:p w:rsidR="005236B6" w:rsidRPr="001C03D4" w:rsidRDefault="005236B6" w:rsidP="00F7493D">
      <w:pPr>
        <w:pStyle w:val="NormalWeb"/>
        <w:spacing w:line="360" w:lineRule="auto"/>
        <w:rPr>
          <w:sz w:val="22"/>
          <w:szCs w:val="22"/>
        </w:rPr>
      </w:pPr>
      <w:r w:rsidRPr="0074138D">
        <w:rPr>
          <w:b/>
          <w:bCs/>
          <w:sz w:val="20"/>
          <w:szCs w:val="20"/>
        </w:rPr>
        <w:lastRenderedPageBreak/>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EF42E4" w:rsidRDefault="00606E4A" w:rsidP="00F7493D">
      <w:pPr>
        <w:pStyle w:val="Titre4"/>
        <w:spacing w:line="360" w:lineRule="auto"/>
        <w:rPr>
          <w:rFonts w:ascii="Times New Roman" w:hAnsi="Times New Roman"/>
          <w:b/>
          <w:bCs/>
          <w:i w:val="0"/>
          <w:iCs w:val="0"/>
          <w:color w:val="auto"/>
          <w:sz w:val="24"/>
          <w:szCs w:val="24"/>
        </w:rPr>
      </w:pPr>
      <w:bookmarkStart w:id="296" w:name="_Toc230558731"/>
      <w:bookmarkStart w:id="297" w:name="_Toc230900365"/>
      <w:r w:rsidRPr="00EF42E4">
        <w:rPr>
          <w:rFonts w:ascii="Times New Roman" w:hAnsi="Times New Roman"/>
          <w:b/>
          <w:bCs/>
          <w:i w:val="0"/>
          <w:iCs w:val="0"/>
          <w:color w:val="auto"/>
          <w:sz w:val="24"/>
          <w:szCs w:val="24"/>
        </w:rPr>
        <w:t>1.4.</w:t>
      </w:r>
      <w:r w:rsidR="005236B6" w:rsidRPr="00EF42E4">
        <w:rPr>
          <w:rFonts w:ascii="Times New Roman" w:hAnsi="Times New Roman"/>
          <w:b/>
          <w:bCs/>
          <w:i w:val="0"/>
          <w:iCs w:val="0"/>
          <w:color w:val="auto"/>
          <w:sz w:val="24"/>
          <w:szCs w:val="24"/>
        </w:rPr>
        <w:t>Processus de production et conservation</w:t>
      </w:r>
      <w:bookmarkEnd w:id="296"/>
      <w:bookmarkEnd w:id="297"/>
    </w:p>
    <w:p w:rsidR="005236B6" w:rsidRPr="00B40036" w:rsidRDefault="00B40036" w:rsidP="00F7493D">
      <w:pPr>
        <w:pStyle w:val="Lgende"/>
        <w:spacing w:line="360" w:lineRule="auto"/>
        <w:rPr>
          <w:rFonts w:ascii="Times New Roman" w:hAnsi="Times New Roman" w:cs="Times New Roman"/>
          <w:i w:val="0"/>
          <w:iCs w:val="0"/>
          <w:color w:val="auto"/>
          <w:kern w:val="2"/>
          <w:sz w:val="24"/>
          <w:szCs w:val="24"/>
        </w:rPr>
      </w:pPr>
      <w:bookmarkStart w:id="298" w:name="_Toc230400754"/>
      <w:r w:rsidRPr="00B40036">
        <w:rPr>
          <w:rFonts w:ascii="Times New Roman" w:hAnsi="Times New Roman" w:cs="Times New Roman"/>
          <w:b/>
          <w:bCs/>
          <w:i w:val="0"/>
          <w:iCs w:val="0"/>
          <w:color w:val="auto"/>
          <w:kern w:val="2"/>
          <w:sz w:val="24"/>
          <w:szCs w:val="24"/>
        </w:rPr>
        <w:t xml:space="preserve">Tableau </w:t>
      </w:r>
      <w:r w:rsidR="007B5998" w:rsidRPr="00B40036">
        <w:rPr>
          <w:rFonts w:ascii="Times New Roman" w:hAnsi="Times New Roman" w:cs="Times New Roman"/>
          <w:b/>
          <w:bCs/>
          <w:i w:val="0"/>
          <w:iCs w:val="0"/>
          <w:color w:val="auto"/>
          <w:kern w:val="2"/>
          <w:sz w:val="24"/>
          <w:szCs w:val="24"/>
        </w:rPr>
        <w:fldChar w:fldCharType="begin"/>
      </w:r>
      <w:r w:rsidRPr="00B40036">
        <w:rPr>
          <w:rFonts w:ascii="Times New Roman" w:hAnsi="Times New Roman" w:cs="Times New Roman"/>
          <w:b/>
          <w:bCs/>
          <w:i w:val="0"/>
          <w:iCs w:val="0"/>
          <w:color w:val="auto"/>
          <w:kern w:val="2"/>
          <w:sz w:val="24"/>
          <w:szCs w:val="24"/>
        </w:rPr>
        <w:instrText xml:space="preserve"> SEQ Tableau \* ARABIC </w:instrText>
      </w:r>
      <w:r w:rsidR="007B5998" w:rsidRPr="00B40036">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16</w:t>
      </w:r>
      <w:r w:rsidR="007B5998" w:rsidRPr="00B40036">
        <w:rPr>
          <w:rFonts w:ascii="Times New Roman" w:hAnsi="Times New Roman" w:cs="Times New Roman"/>
          <w:b/>
          <w:bCs/>
          <w:i w:val="0"/>
          <w:iCs w:val="0"/>
          <w:color w:val="auto"/>
          <w:kern w:val="2"/>
          <w:sz w:val="24"/>
          <w:szCs w:val="24"/>
        </w:rPr>
        <w:fldChar w:fldCharType="end"/>
      </w:r>
      <w:r w:rsidRPr="00B40036">
        <w:rPr>
          <w:rFonts w:ascii="Times New Roman" w:hAnsi="Times New Roman" w:cs="Times New Roman"/>
          <w:b/>
          <w:bCs/>
          <w:i w:val="0"/>
          <w:iCs w:val="0"/>
          <w:color w:val="auto"/>
          <w:kern w:val="2"/>
          <w:sz w:val="24"/>
          <w:szCs w:val="24"/>
        </w:rPr>
        <w:t xml:space="preserve"> :</w:t>
      </w:r>
      <w:r w:rsidRPr="00B40036">
        <w:rPr>
          <w:rFonts w:ascii="Times New Roman" w:hAnsi="Times New Roman" w:cs="Times New Roman"/>
          <w:i w:val="0"/>
          <w:iCs w:val="0"/>
          <w:color w:val="auto"/>
          <w:kern w:val="2"/>
          <w:sz w:val="24"/>
          <w:szCs w:val="24"/>
        </w:rPr>
        <w:t xml:space="preserve"> Étapes de production de l’huile d’olive</w:t>
      </w:r>
      <w:bookmarkEnd w:id="298"/>
    </w:p>
    <w:tbl>
      <w:tblPr>
        <w:tblStyle w:val="Grilledutableau"/>
        <w:tblW w:w="9072" w:type="dxa"/>
        <w:tblInd w:w="-5" w:type="dxa"/>
        <w:tblLook w:val="04A0"/>
      </w:tblPr>
      <w:tblGrid>
        <w:gridCol w:w="1389"/>
        <w:gridCol w:w="7683"/>
      </w:tblGrid>
      <w:tr w:rsidR="005236B6" w:rsidTr="00D1049F">
        <w:tc>
          <w:tcPr>
            <w:tcW w:w="1389"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683"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389" w:type="dxa"/>
            <w:vAlign w:val="center"/>
          </w:tcPr>
          <w:p w:rsidR="005236B6" w:rsidRPr="002F29C4" w:rsidRDefault="005236B6" w:rsidP="00F7493D">
            <w:pPr>
              <w:spacing w:line="360" w:lineRule="auto"/>
              <w:rPr>
                <w:rFonts w:asciiTheme="majorBidi" w:hAnsiTheme="majorBidi" w:cstheme="majorBidi"/>
                <w:b/>
                <w:bCs/>
                <w:sz w:val="24"/>
                <w:szCs w:val="24"/>
              </w:rPr>
            </w:pPr>
            <w:r w:rsidRPr="002F29C4">
              <w:rPr>
                <w:rFonts w:asciiTheme="majorBidi" w:hAnsiTheme="majorBidi" w:cstheme="majorBidi"/>
                <w:b/>
                <w:bCs/>
                <w:sz w:val="24"/>
                <w:szCs w:val="24"/>
              </w:rPr>
              <w:t>Processus de production</w:t>
            </w:r>
          </w:p>
        </w:tc>
        <w:tc>
          <w:tcPr>
            <w:tcW w:w="7683" w:type="dxa"/>
          </w:tcPr>
          <w:p w:rsidR="005236B6" w:rsidRPr="00F33AAB" w:rsidRDefault="005236B6" w:rsidP="00F7493D">
            <w:pPr>
              <w:pStyle w:val="NormalWeb"/>
              <w:spacing w:line="360" w:lineRule="auto"/>
            </w:pPr>
            <w:r w:rsidRPr="00F33AAB">
              <w:t>Les entretiens réalisés montrent que la production de l’huile d’olive au sein de l’entreprise Dahbia repose sur un processus technique rigoureux visant à préserver la qualité biologique et nutritionnelle du produit.</w:t>
            </w:r>
          </w:p>
          <w:p w:rsidR="005236B6" w:rsidRPr="00F33AAB" w:rsidRDefault="005236B6" w:rsidP="00F7493D">
            <w:pPr>
              <w:pStyle w:val="NormalWeb"/>
              <w:spacing w:line="360" w:lineRule="auto"/>
            </w:pPr>
            <w:r w:rsidRPr="00F33AAB">
              <w:t>La production débute par une récolte manuelle des olives, suivie d’un tri et d’un transport rapide vers l’huilerie. Les olives sont ensuite lavées, broyées puis transformées par extraction à froid avant le stockage et le conditionn</w:t>
            </w:r>
            <w:r w:rsidRPr="00F33AAB">
              <w:t>e</w:t>
            </w:r>
            <w:r w:rsidRPr="00F33AAB">
              <w:t>ment.</w:t>
            </w:r>
          </w:p>
          <w:p w:rsidR="005236B6" w:rsidRPr="00F33AAB" w:rsidRDefault="005236B6" w:rsidP="00F7493D">
            <w:pPr>
              <w:pStyle w:val="NormalWeb"/>
              <w:spacing w:line="360" w:lineRule="auto"/>
            </w:pPr>
            <w:r w:rsidRPr="00F33AAB">
              <w:t xml:space="preserve">L’entreprise privilégie la méthode </w:t>
            </w:r>
            <w:r w:rsidRPr="00F33AAB">
              <w:rPr>
                <w:i/>
                <w:iCs/>
              </w:rPr>
              <w:t>Early Harvest</w:t>
            </w:r>
            <w:r w:rsidRPr="00F33AAB">
              <w:t>, fondée sur une récolte pr</w:t>
            </w:r>
            <w:r w:rsidRPr="00F33AAB">
              <w:t>é</w:t>
            </w:r>
            <w:r w:rsidRPr="00F33AAB">
              <w:t>coce permettant d’obtenir une huile plus riche en polyphénols et en antiox</w:t>
            </w:r>
            <w:r w:rsidRPr="00F33AAB">
              <w:t>y</w:t>
            </w:r>
            <w:r w:rsidRPr="00F33AAB">
              <w:t xml:space="preserve">dants naturels. Les responsables interrogés soulignent également que les </w:t>
            </w:r>
            <w:r w:rsidRPr="00F33AAB">
              <w:lastRenderedPageBreak/>
              <w:t>olives sont triturées moins d’une heure après la récolte afin de limiter l’oxydation et de préserver les propriétés organoleptiques de l’huile, nota</w:t>
            </w:r>
            <w:r w:rsidRPr="00F33AAB">
              <w:t>m</w:t>
            </w:r>
            <w:r w:rsidRPr="00F33AAB">
              <w:t>ment les arômes et le faible taux d’acidité.</w:t>
            </w:r>
          </w:p>
          <w:p w:rsidR="005236B6" w:rsidRDefault="005236B6" w:rsidP="00F7493D">
            <w:pPr>
              <w:pStyle w:val="NormalWeb"/>
              <w:spacing w:line="360" w:lineRule="auto"/>
            </w:pPr>
            <w:r w:rsidRPr="00F33AAB">
              <w:t>La maîtrise de l’ensemble de la chaîne de production permet à l’entreprise de maintenir des standards élevés de qualité et de renforcer son positionnement sur les marchés internationaux, comme le montrent les distinctions obtenues dans plusieurs concours spécialisés.</w:t>
            </w:r>
          </w:p>
        </w:tc>
      </w:tr>
      <w:tr w:rsidR="005236B6" w:rsidTr="00D1049F">
        <w:tc>
          <w:tcPr>
            <w:tcW w:w="1389" w:type="dxa"/>
            <w:vAlign w:val="center"/>
          </w:tcPr>
          <w:p w:rsidR="005236B6" w:rsidRPr="002F29C4" w:rsidRDefault="005236B6" w:rsidP="00F7493D">
            <w:pPr>
              <w:spacing w:line="360" w:lineRule="auto"/>
              <w:rPr>
                <w:rFonts w:asciiTheme="majorBidi" w:hAnsiTheme="majorBidi" w:cstheme="majorBidi"/>
                <w:b/>
                <w:bCs/>
                <w:sz w:val="24"/>
                <w:szCs w:val="24"/>
              </w:rPr>
            </w:pPr>
            <w:r w:rsidRPr="002F29C4">
              <w:rPr>
                <w:rFonts w:asciiTheme="majorBidi" w:hAnsiTheme="majorBidi" w:cstheme="majorBidi"/>
                <w:b/>
                <w:bCs/>
                <w:sz w:val="24"/>
                <w:szCs w:val="24"/>
              </w:rPr>
              <w:lastRenderedPageBreak/>
              <w:t>Extraction à froid</w:t>
            </w:r>
          </w:p>
        </w:tc>
        <w:tc>
          <w:tcPr>
            <w:tcW w:w="7683" w:type="dxa"/>
          </w:tcPr>
          <w:p w:rsidR="005236B6" w:rsidRPr="0093634B" w:rsidRDefault="005236B6" w:rsidP="00F7493D">
            <w:pPr>
              <w:pStyle w:val="NormalWeb"/>
              <w:spacing w:line="360" w:lineRule="auto"/>
              <w:rPr>
                <w:color w:val="FF0000"/>
              </w:rPr>
            </w:pPr>
          </w:p>
          <w:p w:rsidR="005236B6" w:rsidRPr="00FC22FE" w:rsidRDefault="005236B6" w:rsidP="00F7493D">
            <w:pPr>
              <w:pStyle w:val="NormalWeb"/>
              <w:spacing w:line="360" w:lineRule="auto"/>
              <w:rPr>
                <w:color w:val="000000" w:themeColor="text1"/>
              </w:rPr>
            </w:pPr>
            <w:r w:rsidRPr="00FC22FE">
              <w:rPr>
                <w:color w:val="000000" w:themeColor="text1"/>
              </w:rPr>
              <w:t>Les résultats des entretiens montrent que l’extraction à froid est considérée comme une condition essentielle de la stratégie qualité mise en œuvre par la société Dahbia pour sa production d’huile d’olive, car elle préserve les qual</w:t>
            </w:r>
            <w:r w:rsidRPr="00FC22FE">
              <w:rPr>
                <w:color w:val="000000" w:themeColor="text1"/>
              </w:rPr>
              <w:t>i</w:t>
            </w:r>
            <w:r w:rsidRPr="00FC22FE">
              <w:rPr>
                <w:color w:val="000000" w:themeColor="text1"/>
              </w:rPr>
              <w:t>tés nutritionnelles et organoleptiques de l’huile d’olive.</w:t>
            </w:r>
          </w:p>
          <w:p w:rsidR="005236B6" w:rsidRPr="00FC22FE" w:rsidRDefault="005236B6" w:rsidP="00F7493D">
            <w:pPr>
              <w:pStyle w:val="NormalWeb"/>
              <w:spacing w:line="360" w:lineRule="auto"/>
              <w:rPr>
                <w:color w:val="000000" w:themeColor="text1"/>
              </w:rPr>
            </w:pPr>
            <w:r w:rsidRPr="00FC22FE">
              <w:rPr>
                <w:color w:val="000000" w:themeColor="text1"/>
              </w:rPr>
              <w:t>Après la récolte, les olives sont acheminées, dans les meilleurs délais, à l’usine pour éviter une éventuelle dégradation, elles sont ensuite lavées, triées, puis broyées afin d’obtenir une pâte, qui sera ensuite malaxée sous température contrôlée. La technique mise en œuvre, pour les responsables interrogés, permet de protéger la concentration en antioxydants naturels, en vitamines, en arômes dans l’huile, mais aussi de réduire les risques d’oxydation et de maintenir la stabilité du produit du fait de la rapidité de transformation. Les performances des huiles sur les concours internationaux montrent que cette stratégie contribue à maintenir les exigences de qualité élevée retenues par l’entreprise.</w:t>
            </w:r>
          </w:p>
          <w:p w:rsidR="005236B6" w:rsidRDefault="005236B6" w:rsidP="00F7493D">
            <w:pPr>
              <w:pStyle w:val="NormalWeb"/>
              <w:spacing w:line="360" w:lineRule="auto"/>
            </w:pPr>
          </w:p>
        </w:tc>
      </w:tr>
    </w:tbl>
    <w:p w:rsidR="005236B6" w:rsidRDefault="005236B6" w:rsidP="00F7493D">
      <w:pPr>
        <w:pStyle w:val="NormalWeb"/>
        <w:spacing w:line="360" w:lineRule="auto"/>
        <w:rPr>
          <w:rFonts w:asciiTheme="majorBidi" w:hAnsiTheme="majorBidi" w:cstheme="majorBidi"/>
          <w:sz w:val="22"/>
          <w:szCs w:val="22"/>
        </w:rPr>
      </w:pPr>
      <w:r w:rsidRPr="0074138D">
        <w:rPr>
          <w:b/>
          <w:bCs/>
          <w:sz w:val="20"/>
          <w:szCs w:val="20"/>
        </w:rPr>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B40036" w:rsidRDefault="00B40036" w:rsidP="00F7493D">
      <w:pPr>
        <w:pStyle w:val="Lgende"/>
        <w:spacing w:after="0" w:line="360" w:lineRule="auto"/>
        <w:jc w:val="lowKashida"/>
        <w:rPr>
          <w:rFonts w:asciiTheme="majorBidi" w:eastAsia="Calibri" w:hAnsiTheme="majorBidi" w:cstheme="majorBidi"/>
          <w:b/>
          <w:bCs/>
          <w:i w:val="0"/>
          <w:iCs w:val="0"/>
          <w:color w:val="auto"/>
          <w:kern w:val="3"/>
          <w:sz w:val="24"/>
          <w:szCs w:val="24"/>
        </w:rPr>
      </w:pPr>
      <w:bookmarkStart w:id="299" w:name="_Toc230400755"/>
      <w:r w:rsidRPr="00B40036">
        <w:rPr>
          <w:rFonts w:asciiTheme="majorBidi" w:eastAsia="Calibri" w:hAnsiTheme="majorBidi" w:cstheme="majorBidi"/>
          <w:b/>
          <w:bCs/>
          <w:i w:val="0"/>
          <w:iCs w:val="0"/>
          <w:color w:val="auto"/>
          <w:kern w:val="3"/>
          <w:sz w:val="24"/>
          <w:szCs w:val="24"/>
        </w:rPr>
        <w:t xml:space="preserve">Tableau </w:t>
      </w:r>
      <w:r w:rsidR="007B5998" w:rsidRPr="00B40036">
        <w:rPr>
          <w:rFonts w:asciiTheme="majorBidi" w:eastAsia="Calibri" w:hAnsiTheme="majorBidi" w:cstheme="majorBidi"/>
          <w:b/>
          <w:bCs/>
          <w:i w:val="0"/>
          <w:iCs w:val="0"/>
          <w:color w:val="auto"/>
          <w:kern w:val="3"/>
          <w:sz w:val="24"/>
          <w:szCs w:val="24"/>
        </w:rPr>
        <w:fldChar w:fldCharType="begin"/>
      </w:r>
      <w:r w:rsidRPr="00B40036">
        <w:rPr>
          <w:rFonts w:asciiTheme="majorBidi" w:eastAsia="Calibri" w:hAnsiTheme="majorBidi" w:cstheme="majorBidi"/>
          <w:b/>
          <w:bCs/>
          <w:i w:val="0"/>
          <w:iCs w:val="0"/>
          <w:color w:val="auto"/>
          <w:kern w:val="3"/>
          <w:sz w:val="24"/>
          <w:szCs w:val="24"/>
        </w:rPr>
        <w:instrText xml:space="preserve"> SEQ Tableau \* ARABIC </w:instrText>
      </w:r>
      <w:r w:rsidR="007B5998" w:rsidRPr="00B40036">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17</w:t>
      </w:r>
      <w:r w:rsidR="007B5998" w:rsidRPr="00B40036">
        <w:rPr>
          <w:rFonts w:asciiTheme="majorBidi" w:eastAsia="Calibri" w:hAnsiTheme="majorBidi" w:cstheme="majorBidi"/>
          <w:b/>
          <w:bCs/>
          <w:i w:val="0"/>
          <w:iCs w:val="0"/>
          <w:color w:val="auto"/>
          <w:kern w:val="3"/>
          <w:sz w:val="24"/>
          <w:szCs w:val="24"/>
        </w:rPr>
        <w:fldChar w:fldCharType="end"/>
      </w:r>
      <w:r w:rsidRPr="00B40036">
        <w:rPr>
          <w:rFonts w:asciiTheme="majorBidi" w:eastAsia="Calibri" w:hAnsiTheme="majorBidi" w:cstheme="majorBidi"/>
          <w:b/>
          <w:bCs/>
          <w:i w:val="0"/>
          <w:iCs w:val="0"/>
          <w:color w:val="auto"/>
          <w:kern w:val="3"/>
          <w:sz w:val="24"/>
          <w:szCs w:val="24"/>
        </w:rPr>
        <w:t xml:space="preserve"> : </w:t>
      </w:r>
      <w:r w:rsidRPr="00B40036">
        <w:rPr>
          <w:rFonts w:asciiTheme="majorBidi" w:eastAsia="Calibri" w:hAnsiTheme="majorBidi" w:cstheme="majorBidi"/>
          <w:i w:val="0"/>
          <w:iCs w:val="0"/>
          <w:color w:val="auto"/>
          <w:kern w:val="3"/>
          <w:sz w:val="24"/>
          <w:szCs w:val="24"/>
        </w:rPr>
        <w:t>Stockage et conditionnement</w:t>
      </w:r>
      <w:bookmarkEnd w:id="299"/>
    </w:p>
    <w:tbl>
      <w:tblPr>
        <w:tblStyle w:val="Grilledutableau"/>
        <w:tblW w:w="9072" w:type="dxa"/>
        <w:tblInd w:w="-5" w:type="dxa"/>
        <w:tblLook w:val="04A0"/>
      </w:tblPr>
      <w:tblGrid>
        <w:gridCol w:w="1590"/>
        <w:gridCol w:w="7482"/>
      </w:tblGrid>
      <w:tr w:rsidR="005236B6" w:rsidTr="00D1049F">
        <w:tc>
          <w:tcPr>
            <w:tcW w:w="1590"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482"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590" w:type="dxa"/>
            <w:vAlign w:val="center"/>
          </w:tcPr>
          <w:p w:rsidR="005236B6" w:rsidRPr="005D7CE5" w:rsidRDefault="005236B6" w:rsidP="00F7493D">
            <w:pPr>
              <w:spacing w:line="360" w:lineRule="auto"/>
              <w:rPr>
                <w:rFonts w:asciiTheme="majorBidi" w:hAnsiTheme="majorBidi" w:cstheme="majorBidi"/>
                <w:b/>
                <w:bCs/>
                <w:sz w:val="24"/>
                <w:szCs w:val="24"/>
              </w:rPr>
            </w:pPr>
            <w:r w:rsidRPr="005D7CE5">
              <w:rPr>
                <w:rFonts w:asciiTheme="majorBidi" w:hAnsiTheme="majorBidi" w:cstheme="majorBidi"/>
                <w:b/>
                <w:bCs/>
                <w:sz w:val="24"/>
                <w:szCs w:val="24"/>
              </w:rPr>
              <w:t>Conservation de la qualité</w:t>
            </w:r>
          </w:p>
        </w:tc>
        <w:tc>
          <w:tcPr>
            <w:tcW w:w="7482" w:type="dxa"/>
          </w:tcPr>
          <w:p w:rsidR="005236B6" w:rsidRPr="00D61AE9" w:rsidRDefault="005236B6" w:rsidP="00F7493D">
            <w:pPr>
              <w:pStyle w:val="NormalWeb"/>
              <w:spacing w:line="360" w:lineRule="auto"/>
            </w:pPr>
            <w:r w:rsidRPr="00D61AE9">
              <w:t>Les entretiens réalisés montrent que la conservation de la qualité représente une étape essentielle dans le processus de production de l’entreprise Da</w:t>
            </w:r>
            <w:r w:rsidRPr="00D61AE9">
              <w:t>h</w:t>
            </w:r>
            <w:r w:rsidRPr="00D61AE9">
              <w:t>bia. La stabilité chimique et sensorielle de l’huile dépend principalement des conditions de stockage et de conditionnement.</w:t>
            </w:r>
          </w:p>
          <w:p w:rsidR="005236B6" w:rsidRPr="00D61AE9" w:rsidRDefault="005236B6" w:rsidP="00F7493D">
            <w:pPr>
              <w:pStyle w:val="NormalWeb"/>
              <w:spacing w:line="360" w:lineRule="auto"/>
            </w:pPr>
            <w:r w:rsidRPr="00D61AE9">
              <w:t>Afin de préserver les propriétés nutritionnelles et organoleptiques du pr</w:t>
            </w:r>
            <w:r w:rsidRPr="00D61AE9">
              <w:t>o</w:t>
            </w:r>
            <w:r w:rsidRPr="00D61AE9">
              <w:t xml:space="preserve">duit, l’huile est stockée dans des cuves en acier inoxydable placées dans des espaces protégés de la lumière, de l’air, de l’humidité et des variations </w:t>
            </w:r>
            <w:r w:rsidRPr="00D61AE9">
              <w:lastRenderedPageBreak/>
              <w:t>de température.</w:t>
            </w:r>
          </w:p>
          <w:p w:rsidR="005236B6" w:rsidRPr="00D61AE9" w:rsidRDefault="005236B6" w:rsidP="00F7493D">
            <w:pPr>
              <w:pStyle w:val="NormalWeb"/>
              <w:spacing w:line="360" w:lineRule="auto"/>
            </w:pPr>
            <w:r w:rsidRPr="00D61AE9">
              <w:t>Les responsables interrogés indiquent également que l’utilisation de bo</w:t>
            </w:r>
            <w:r w:rsidRPr="00D61AE9">
              <w:t>u</w:t>
            </w:r>
            <w:r w:rsidRPr="00D61AE9">
              <w:t>teilles en verre foncé permet de limiter l’exposition aux rayons lumineux susceptibles d’altérer certains composants sensibles comme les polyph</w:t>
            </w:r>
            <w:r w:rsidRPr="00D61AE9">
              <w:t>é</w:t>
            </w:r>
            <w:r w:rsidRPr="00D61AE9">
              <w:t>nols, les vitamines et les arômes naturels.</w:t>
            </w:r>
          </w:p>
          <w:p w:rsidR="005236B6" w:rsidRDefault="005236B6" w:rsidP="00F7493D">
            <w:pPr>
              <w:pStyle w:val="NormalWeb"/>
              <w:spacing w:line="360" w:lineRule="auto"/>
            </w:pPr>
            <w:r w:rsidRPr="00D61AE9">
              <w:t>Selon les données recueillies, le respect de ces conditions permet de pr</w:t>
            </w:r>
            <w:r w:rsidRPr="00D61AE9">
              <w:t>é</w:t>
            </w:r>
            <w:r w:rsidRPr="00D61AE9">
              <w:t>server un faible taux d’acidité, de maintenir les qualités gustatives de l’huile et d’assurer une meilleure stabilité du produit destiné aux marchés premium.</w:t>
            </w:r>
          </w:p>
        </w:tc>
      </w:tr>
      <w:tr w:rsidR="005236B6" w:rsidTr="00D1049F">
        <w:tc>
          <w:tcPr>
            <w:tcW w:w="1590" w:type="dxa"/>
            <w:vAlign w:val="center"/>
          </w:tcPr>
          <w:p w:rsidR="005236B6" w:rsidRPr="005D7CE5" w:rsidRDefault="005236B6" w:rsidP="00F7493D">
            <w:pPr>
              <w:spacing w:line="360" w:lineRule="auto"/>
              <w:rPr>
                <w:rFonts w:asciiTheme="majorBidi" w:hAnsiTheme="majorBidi" w:cstheme="majorBidi"/>
                <w:b/>
                <w:bCs/>
                <w:sz w:val="24"/>
                <w:szCs w:val="24"/>
              </w:rPr>
            </w:pPr>
            <w:r w:rsidRPr="005D7CE5">
              <w:rPr>
                <w:rFonts w:asciiTheme="majorBidi" w:hAnsiTheme="majorBidi" w:cstheme="majorBidi"/>
                <w:b/>
                <w:bCs/>
                <w:sz w:val="24"/>
                <w:szCs w:val="24"/>
              </w:rPr>
              <w:lastRenderedPageBreak/>
              <w:t>Conditions de stockage</w:t>
            </w:r>
          </w:p>
        </w:tc>
        <w:tc>
          <w:tcPr>
            <w:tcW w:w="7482" w:type="dxa"/>
          </w:tcPr>
          <w:p w:rsidR="005236B6" w:rsidRPr="00D61AE9" w:rsidRDefault="005236B6" w:rsidP="00F7493D">
            <w:pPr>
              <w:pStyle w:val="NormalWeb"/>
              <w:spacing w:line="360" w:lineRule="auto"/>
            </w:pPr>
            <w:r w:rsidRPr="00D61AE9">
              <w:t>Les résultats des entretiens montrent que le stockage constitue un élément stratégique dans la chaîne de valeur de l’huile d’olive, car il contribue à préserver la stabilité physico-chimique et la qualité du produit. L’entreprise Dahbia adopte des conditions de conservation rigoureuses fondées sur le stockage de l’huile dans des cuves hermétiques en acier inoxydable, pl</w:t>
            </w:r>
            <w:r w:rsidRPr="00D61AE9">
              <w:t>a</w:t>
            </w:r>
            <w:r w:rsidRPr="00D61AE9">
              <w:t>cées dans des espaces contrôlés et protégés de la lumière, de l’air et de l’humidité, avec une température stable afin de limiter les phénomènes d’oxydation.</w:t>
            </w:r>
          </w:p>
          <w:p w:rsidR="005236B6" w:rsidRPr="00D61AE9" w:rsidRDefault="005236B6" w:rsidP="00F7493D">
            <w:pPr>
              <w:pStyle w:val="NormalWeb"/>
              <w:spacing w:line="360" w:lineRule="auto"/>
            </w:pPr>
            <w:r w:rsidRPr="00D61AE9">
              <w:t>Ce système est renforcé par un contrôle régulier des conditions de sto</w:t>
            </w:r>
            <w:r w:rsidRPr="00D61AE9">
              <w:t>c</w:t>
            </w:r>
            <w:r w:rsidRPr="00D61AE9">
              <w:t>kage, notamment la surveillance de la température, de l’état des contenants et de l’exposition lumineuse, ainsi que par des analyses périodiques pe</w:t>
            </w:r>
            <w:r w:rsidRPr="00D61AE9">
              <w:t>r</w:t>
            </w:r>
            <w:r w:rsidRPr="00D61AE9">
              <w:t>mettant de suivre l’évolution des caractéristiques chimiques et sensorielles de l’huile.</w:t>
            </w:r>
          </w:p>
          <w:p w:rsidR="005236B6" w:rsidRPr="00D078FF" w:rsidRDefault="005236B6" w:rsidP="00F7493D">
            <w:pPr>
              <w:pStyle w:val="NormalWeb"/>
              <w:spacing w:line="360" w:lineRule="auto"/>
            </w:pPr>
            <w:r w:rsidRPr="00D078FF">
              <w:t>Les responsables interrogés soulignent également que le non-respect de ces conditions peut entraîner une augmentation de l’acidité, une altération des arômes et une diminution des composés antioxydants, ce qui influence d</w:t>
            </w:r>
            <w:r w:rsidRPr="00D078FF">
              <w:t>i</w:t>
            </w:r>
            <w:r w:rsidRPr="00D078FF">
              <w:t>rectement la qualité nutritionnelle et la valeur commerciale du produit.</w:t>
            </w:r>
          </w:p>
          <w:p w:rsidR="005236B6" w:rsidRDefault="005236B6" w:rsidP="00F7493D">
            <w:pPr>
              <w:pStyle w:val="NormalWeb"/>
              <w:spacing w:line="360" w:lineRule="auto"/>
            </w:pPr>
            <w:r w:rsidRPr="00D078FF">
              <w:t>Ainsi, la maîtrise des conditions de stockage contribue au maintien de la compétitivité de l’huile d’olive Dahbia sur les marchés internationaux, n</w:t>
            </w:r>
            <w:r w:rsidRPr="00D078FF">
              <w:t>o</w:t>
            </w:r>
            <w:r w:rsidRPr="00D078FF">
              <w:t xml:space="preserve">tamment dans le segment des produits premium.     </w:t>
            </w:r>
          </w:p>
        </w:tc>
      </w:tr>
    </w:tbl>
    <w:p w:rsidR="005236B6" w:rsidRDefault="005236B6" w:rsidP="00F7493D">
      <w:pPr>
        <w:pStyle w:val="NormalWeb"/>
        <w:spacing w:line="360" w:lineRule="auto"/>
        <w:rPr>
          <w:rFonts w:asciiTheme="majorBidi" w:hAnsiTheme="majorBidi" w:cstheme="majorBidi"/>
          <w:sz w:val="22"/>
          <w:szCs w:val="22"/>
          <w:rtl/>
        </w:rPr>
      </w:pPr>
      <w:r w:rsidRPr="0074138D">
        <w:rPr>
          <w:b/>
          <w:bCs/>
          <w:sz w:val="20"/>
          <w:szCs w:val="20"/>
        </w:rPr>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D1049F" w:rsidRDefault="00D1049F" w:rsidP="00F7493D">
      <w:pPr>
        <w:pStyle w:val="NormalWeb"/>
        <w:spacing w:line="360" w:lineRule="auto"/>
        <w:rPr>
          <w:rFonts w:asciiTheme="majorBidi" w:hAnsiTheme="majorBidi" w:cstheme="majorBidi"/>
          <w:sz w:val="22"/>
          <w:szCs w:val="22"/>
          <w:rtl/>
        </w:rPr>
      </w:pPr>
    </w:p>
    <w:p w:rsidR="00D1049F" w:rsidRDefault="00D1049F" w:rsidP="00F7493D">
      <w:pPr>
        <w:pStyle w:val="NormalWeb"/>
        <w:spacing w:line="360" w:lineRule="auto"/>
        <w:rPr>
          <w:rFonts w:asciiTheme="majorBidi" w:hAnsiTheme="majorBidi" w:cstheme="majorBidi"/>
          <w:sz w:val="22"/>
          <w:szCs w:val="22"/>
        </w:rPr>
      </w:pPr>
    </w:p>
    <w:p w:rsidR="005236B6" w:rsidRPr="00EF42E4" w:rsidRDefault="00606E4A" w:rsidP="00F7493D">
      <w:pPr>
        <w:pStyle w:val="Titre4"/>
        <w:spacing w:line="360" w:lineRule="auto"/>
        <w:rPr>
          <w:rFonts w:ascii="Times New Roman" w:hAnsi="Times New Roman"/>
          <w:b/>
          <w:bCs/>
          <w:i w:val="0"/>
          <w:iCs w:val="0"/>
          <w:color w:val="auto"/>
          <w:sz w:val="24"/>
          <w:szCs w:val="24"/>
        </w:rPr>
      </w:pPr>
      <w:bookmarkStart w:id="300" w:name="_Toc230558732"/>
      <w:bookmarkStart w:id="301" w:name="_Toc230900366"/>
      <w:r w:rsidRPr="00EF42E4">
        <w:rPr>
          <w:rFonts w:ascii="Times New Roman" w:hAnsi="Times New Roman"/>
          <w:b/>
          <w:bCs/>
          <w:i w:val="0"/>
          <w:iCs w:val="0"/>
          <w:color w:val="auto"/>
          <w:sz w:val="24"/>
          <w:szCs w:val="24"/>
        </w:rPr>
        <w:lastRenderedPageBreak/>
        <w:t>1.5. </w:t>
      </w:r>
      <w:r w:rsidR="005236B6" w:rsidRPr="00EF42E4">
        <w:rPr>
          <w:rFonts w:ascii="Times New Roman" w:hAnsi="Times New Roman"/>
          <w:b/>
          <w:bCs/>
          <w:i w:val="0"/>
          <w:iCs w:val="0"/>
          <w:color w:val="auto"/>
          <w:sz w:val="24"/>
          <w:szCs w:val="24"/>
        </w:rPr>
        <w:t>Système de qualité et performance</w:t>
      </w:r>
      <w:bookmarkEnd w:id="300"/>
      <w:bookmarkEnd w:id="301"/>
    </w:p>
    <w:p w:rsidR="005236B6" w:rsidRPr="00B40036" w:rsidRDefault="00B40036" w:rsidP="00F7493D">
      <w:pPr>
        <w:pStyle w:val="Lgende"/>
        <w:spacing w:after="0" w:line="360" w:lineRule="auto"/>
        <w:jc w:val="lowKashida"/>
        <w:rPr>
          <w:rFonts w:ascii="Times New Roman" w:hAnsi="Times New Roman" w:cs="Times New Roman"/>
          <w:b/>
          <w:bCs/>
          <w:i w:val="0"/>
          <w:iCs w:val="0"/>
          <w:color w:val="auto"/>
          <w:kern w:val="2"/>
          <w:sz w:val="24"/>
          <w:szCs w:val="24"/>
        </w:rPr>
      </w:pPr>
      <w:bookmarkStart w:id="302" w:name="_Toc230400756"/>
      <w:r w:rsidRPr="00B40036">
        <w:rPr>
          <w:rFonts w:ascii="Times New Roman" w:hAnsi="Times New Roman" w:cs="Times New Roman"/>
          <w:b/>
          <w:bCs/>
          <w:i w:val="0"/>
          <w:iCs w:val="0"/>
          <w:color w:val="auto"/>
          <w:kern w:val="2"/>
          <w:sz w:val="24"/>
          <w:szCs w:val="24"/>
        </w:rPr>
        <w:t xml:space="preserve">Tableau </w:t>
      </w:r>
      <w:r w:rsidR="007B5998" w:rsidRPr="00B40036">
        <w:rPr>
          <w:rFonts w:ascii="Times New Roman" w:hAnsi="Times New Roman" w:cs="Times New Roman"/>
          <w:b/>
          <w:bCs/>
          <w:i w:val="0"/>
          <w:iCs w:val="0"/>
          <w:color w:val="auto"/>
          <w:kern w:val="2"/>
          <w:sz w:val="24"/>
          <w:szCs w:val="24"/>
        </w:rPr>
        <w:fldChar w:fldCharType="begin"/>
      </w:r>
      <w:r w:rsidRPr="00B40036">
        <w:rPr>
          <w:rFonts w:ascii="Times New Roman" w:hAnsi="Times New Roman" w:cs="Times New Roman"/>
          <w:b/>
          <w:bCs/>
          <w:i w:val="0"/>
          <w:iCs w:val="0"/>
          <w:color w:val="auto"/>
          <w:kern w:val="2"/>
          <w:sz w:val="24"/>
          <w:szCs w:val="24"/>
        </w:rPr>
        <w:instrText xml:space="preserve"> SEQ Tableau \* ARABIC </w:instrText>
      </w:r>
      <w:r w:rsidR="007B5998" w:rsidRPr="00B40036">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18</w:t>
      </w:r>
      <w:r w:rsidR="007B5998" w:rsidRPr="00B40036">
        <w:rPr>
          <w:rFonts w:ascii="Times New Roman" w:hAnsi="Times New Roman" w:cs="Times New Roman"/>
          <w:b/>
          <w:bCs/>
          <w:i w:val="0"/>
          <w:iCs w:val="0"/>
          <w:color w:val="auto"/>
          <w:kern w:val="2"/>
          <w:sz w:val="24"/>
          <w:szCs w:val="24"/>
        </w:rPr>
        <w:fldChar w:fldCharType="end"/>
      </w:r>
      <w:r w:rsidRPr="00B40036">
        <w:rPr>
          <w:rFonts w:ascii="Times New Roman" w:hAnsi="Times New Roman" w:cs="Times New Roman"/>
          <w:b/>
          <w:bCs/>
          <w:i w:val="0"/>
          <w:iCs w:val="0"/>
          <w:color w:val="auto"/>
          <w:kern w:val="2"/>
          <w:sz w:val="24"/>
          <w:szCs w:val="24"/>
        </w:rPr>
        <w:t xml:space="preserve"> : </w:t>
      </w:r>
      <w:r w:rsidRPr="00B40036">
        <w:rPr>
          <w:rFonts w:ascii="Times New Roman" w:hAnsi="Times New Roman" w:cs="Times New Roman"/>
          <w:i w:val="0"/>
          <w:iCs w:val="0"/>
          <w:color w:val="auto"/>
          <w:kern w:val="2"/>
          <w:sz w:val="24"/>
          <w:szCs w:val="24"/>
        </w:rPr>
        <w:t>Normes et exigences de qualité</w:t>
      </w:r>
      <w:bookmarkEnd w:id="302"/>
    </w:p>
    <w:tbl>
      <w:tblPr>
        <w:tblStyle w:val="Grilledutableau"/>
        <w:tblW w:w="9072" w:type="dxa"/>
        <w:tblInd w:w="-5" w:type="dxa"/>
        <w:tblLook w:val="04A0"/>
      </w:tblPr>
      <w:tblGrid>
        <w:gridCol w:w="1389"/>
        <w:gridCol w:w="7683"/>
      </w:tblGrid>
      <w:tr w:rsidR="005236B6" w:rsidTr="00D1049F">
        <w:tc>
          <w:tcPr>
            <w:tcW w:w="1389"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683"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389" w:type="dxa"/>
            <w:vAlign w:val="center"/>
          </w:tcPr>
          <w:p w:rsidR="005236B6" w:rsidRPr="0034253C" w:rsidRDefault="005236B6" w:rsidP="00F7493D">
            <w:pPr>
              <w:spacing w:line="360" w:lineRule="auto"/>
              <w:rPr>
                <w:rFonts w:asciiTheme="majorBidi" w:hAnsiTheme="majorBidi" w:cstheme="majorBidi"/>
                <w:b/>
                <w:bCs/>
                <w:sz w:val="24"/>
                <w:szCs w:val="24"/>
              </w:rPr>
            </w:pPr>
            <w:r w:rsidRPr="0034253C">
              <w:rPr>
                <w:rFonts w:asciiTheme="majorBidi" w:hAnsiTheme="majorBidi" w:cstheme="majorBidi"/>
                <w:b/>
                <w:bCs/>
                <w:sz w:val="24"/>
                <w:szCs w:val="24"/>
              </w:rPr>
              <w:t>Qualité du produit</w:t>
            </w:r>
          </w:p>
        </w:tc>
        <w:tc>
          <w:tcPr>
            <w:tcW w:w="7683" w:type="dxa"/>
          </w:tcPr>
          <w:p w:rsidR="005236B6" w:rsidRPr="00E64BEB" w:rsidRDefault="005236B6" w:rsidP="00F7493D">
            <w:pPr>
              <w:pStyle w:val="NormalWeb"/>
              <w:spacing w:line="360" w:lineRule="auto"/>
            </w:pPr>
            <w:r w:rsidRPr="00E64BEB">
              <w:t>Dans la société Dahbia, la qualité est assurée par une maîtrise complète de la chaîne de production, du verger jusqu’au conditionnement final. Cette d</w:t>
            </w:r>
            <w:r w:rsidRPr="00E64BEB">
              <w:t>é</w:t>
            </w:r>
            <w:r w:rsidRPr="00E64BEB">
              <w:t>marche repose sur l’agriculture biologique, l’absence d’intrants chimiques, la récolte précoce, ainsi que l’extraction à froid et une transformation rapide, afin de préserver les propriétés physico-chimiques et organoleptiques de l’huile.</w:t>
            </w:r>
          </w:p>
          <w:p w:rsidR="005236B6" w:rsidRPr="00E64BEB" w:rsidRDefault="005236B6" w:rsidP="00F7493D">
            <w:pPr>
              <w:pStyle w:val="NormalWeb"/>
              <w:spacing w:line="360" w:lineRule="auto"/>
            </w:pPr>
            <w:r w:rsidRPr="00E64BEB">
              <w:t>Le contrôle qualité est renforcé par des analyses internes et externes en lab</w:t>
            </w:r>
            <w:r w:rsidRPr="00E64BEB">
              <w:t>o</w:t>
            </w:r>
            <w:r w:rsidRPr="00E64BEB">
              <w:t>ratoire, garantissant la conformité aux standards internationaux.</w:t>
            </w:r>
          </w:p>
          <w:p w:rsidR="005236B6" w:rsidRPr="00E64BEB" w:rsidRDefault="005236B6" w:rsidP="00F7493D">
            <w:pPr>
              <w:pStyle w:val="NormalWeb"/>
              <w:spacing w:line="360" w:lineRule="auto"/>
            </w:pPr>
            <w:r w:rsidRPr="00E64BEB">
              <w:t>Sur le plan technique, l’acidité et les polyphénols constituent des indicateurs essentiels. Un faible taux d’acidité traduit une bonne qualité des olives et une maîtrise du procédé, tandis qu’une forte teneur en polyphénols indique une richesse en antioxydants, améliorant la stabilité, la valeur nutritionnelle et les qualités gustatives de l’huile.</w:t>
            </w:r>
          </w:p>
          <w:p w:rsidR="005236B6" w:rsidRDefault="005236B6" w:rsidP="00F7493D">
            <w:pPr>
              <w:pStyle w:val="NormalWeb"/>
              <w:spacing w:line="360" w:lineRule="auto"/>
            </w:pPr>
            <w:r w:rsidRPr="00E64BEB">
              <w:t>Les analyses confirment des performances élevées, avec des scores atteignant jusqu’à 99/100 et des distinctions internationales comme la médaille de pl</w:t>
            </w:r>
            <w:r w:rsidRPr="00E64BEB">
              <w:t>a</w:t>
            </w:r>
            <w:r w:rsidRPr="00E64BEB">
              <w:t>tine. Ces résultats attestent la qualité premium du produit et l’efficacité du système de contrôle mis en place.</w:t>
            </w:r>
          </w:p>
        </w:tc>
      </w:tr>
      <w:tr w:rsidR="005236B6" w:rsidTr="00D1049F">
        <w:tc>
          <w:tcPr>
            <w:tcW w:w="1389" w:type="dxa"/>
            <w:vAlign w:val="center"/>
          </w:tcPr>
          <w:p w:rsidR="005236B6" w:rsidRPr="0034253C" w:rsidRDefault="005236B6" w:rsidP="00F7493D">
            <w:pPr>
              <w:spacing w:line="360" w:lineRule="auto"/>
              <w:rPr>
                <w:rFonts w:asciiTheme="majorBidi" w:hAnsiTheme="majorBidi" w:cstheme="majorBidi"/>
                <w:b/>
                <w:bCs/>
                <w:sz w:val="24"/>
                <w:szCs w:val="24"/>
              </w:rPr>
            </w:pPr>
            <w:r w:rsidRPr="0034253C">
              <w:rPr>
                <w:rFonts w:asciiTheme="majorBidi" w:hAnsiTheme="majorBidi" w:cstheme="majorBidi"/>
                <w:b/>
                <w:bCs/>
                <w:sz w:val="24"/>
                <w:szCs w:val="24"/>
              </w:rPr>
              <w:t>Stratégie qualité</w:t>
            </w:r>
          </w:p>
        </w:tc>
        <w:tc>
          <w:tcPr>
            <w:tcW w:w="7683" w:type="dxa"/>
          </w:tcPr>
          <w:p w:rsidR="005236B6" w:rsidRPr="00E64BEB" w:rsidRDefault="005236B6" w:rsidP="00F7493D">
            <w:pPr>
              <w:pStyle w:val="NormalWeb"/>
              <w:spacing w:line="360" w:lineRule="auto"/>
            </w:pPr>
            <w:r w:rsidRPr="00E64BEB">
              <w:t>L’entreprise Dahbia adopte une stratégie centrée sur la valorisation qualit</w:t>
            </w:r>
            <w:r w:rsidRPr="00E64BEB">
              <w:t>a</w:t>
            </w:r>
            <w:r w:rsidRPr="00E64BEB">
              <w:t>tive de son huile d’olive plutôt que sur l’augmentation des volumes de pr</w:t>
            </w:r>
            <w:r w:rsidRPr="00E64BEB">
              <w:t>o</w:t>
            </w:r>
            <w:r w:rsidRPr="00E64BEB">
              <w:t>duction. Elle met en œuvre des pratiques agricoles et industrielles conformes aux exigences de l’agriculture biologique et aux standards des marchés inte</w:t>
            </w:r>
            <w:r w:rsidRPr="00E64BEB">
              <w:t>r</w:t>
            </w:r>
            <w:r w:rsidRPr="00E64BEB">
              <w:t>nationaux, où les critères organoleptiques et nutritionnels déterminent fort</w:t>
            </w:r>
            <w:r w:rsidRPr="00E64BEB">
              <w:t>e</w:t>
            </w:r>
            <w:r w:rsidRPr="00E64BEB">
              <w:t>ment la compétitivité du produit.</w:t>
            </w:r>
          </w:p>
          <w:p w:rsidR="005236B6" w:rsidRPr="00E64BEB" w:rsidRDefault="005236B6" w:rsidP="00F7493D">
            <w:pPr>
              <w:pStyle w:val="NormalWeb"/>
              <w:spacing w:line="360" w:lineRule="auto"/>
            </w:pPr>
            <w:r w:rsidRPr="00E64BEB">
              <w:t>Cette orientation implique mécaniquement une production plus limitée, en raison de choix techniques tels que la récolte précoce, la maîtrise des rend</w:t>
            </w:r>
            <w:r w:rsidRPr="00E64BEB">
              <w:t>e</w:t>
            </w:r>
            <w:r w:rsidRPr="00E64BEB">
              <w:t>ments par arbre et l’extraction à froid, qui privilégient la qualité au détriment d’une logique intensive. La production obtenue est ainsi plus sélective, mais bénéficie d’une meilleure valorisation économique.</w:t>
            </w:r>
          </w:p>
          <w:p w:rsidR="005236B6" w:rsidRDefault="005236B6" w:rsidP="00F7493D">
            <w:pPr>
              <w:pStyle w:val="NormalWeb"/>
              <w:spacing w:line="360" w:lineRule="auto"/>
            </w:pPr>
            <w:r w:rsidRPr="00E64BEB">
              <w:t xml:space="preserve">Ce positionnement stratégique renforce la différenciation de la marque sur le segment des huiles d’olive premium. Les distinctions obtenues à l’échelle </w:t>
            </w:r>
            <w:r w:rsidRPr="00E64BEB">
              <w:lastRenderedPageBreak/>
              <w:t>internationale viennent consolider cette image d’excellence et attestent la conformité du produit aux standards de qualité élevés. Ainsi, la qualité con</w:t>
            </w:r>
            <w:r w:rsidRPr="00E64BEB">
              <w:t>s</w:t>
            </w:r>
            <w:r w:rsidRPr="00E64BEB">
              <w:t>titue un facteur clé de compétitivité et de positionnement sur les marchés internationaux.</w:t>
            </w:r>
          </w:p>
        </w:tc>
      </w:tr>
    </w:tbl>
    <w:p w:rsidR="005236B6" w:rsidRDefault="005236B6" w:rsidP="00F7493D">
      <w:pPr>
        <w:pStyle w:val="NormalWeb"/>
        <w:spacing w:line="360" w:lineRule="auto"/>
        <w:rPr>
          <w:rFonts w:asciiTheme="majorBidi" w:hAnsiTheme="majorBidi" w:cstheme="majorBidi"/>
          <w:sz w:val="22"/>
          <w:szCs w:val="22"/>
        </w:rPr>
      </w:pPr>
      <w:r w:rsidRPr="0074138D">
        <w:rPr>
          <w:b/>
          <w:bCs/>
          <w:sz w:val="20"/>
          <w:szCs w:val="20"/>
        </w:rPr>
        <w:lastRenderedPageBreak/>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A511C9" w:rsidRDefault="00A511C9" w:rsidP="00F7493D">
      <w:pPr>
        <w:pStyle w:val="Lgende"/>
        <w:spacing w:after="0" w:line="360" w:lineRule="auto"/>
        <w:jc w:val="lowKashida"/>
        <w:rPr>
          <w:rFonts w:ascii="Times New Roman" w:hAnsi="Times New Roman" w:cs="Times New Roman"/>
          <w:i w:val="0"/>
          <w:iCs w:val="0"/>
          <w:color w:val="auto"/>
          <w:kern w:val="2"/>
          <w:sz w:val="24"/>
          <w:szCs w:val="24"/>
        </w:rPr>
      </w:pPr>
      <w:bookmarkStart w:id="303" w:name="_Toc230400757"/>
      <w:r w:rsidRPr="00A511C9">
        <w:rPr>
          <w:rFonts w:ascii="Times New Roman" w:hAnsi="Times New Roman" w:cs="Times New Roman"/>
          <w:b/>
          <w:bCs/>
          <w:i w:val="0"/>
          <w:iCs w:val="0"/>
          <w:color w:val="auto"/>
          <w:kern w:val="2"/>
          <w:sz w:val="24"/>
          <w:szCs w:val="24"/>
        </w:rPr>
        <w:t xml:space="preserve">Tableau </w:t>
      </w:r>
      <w:r w:rsidR="007B5998" w:rsidRPr="00A511C9">
        <w:rPr>
          <w:rFonts w:ascii="Times New Roman" w:hAnsi="Times New Roman" w:cs="Times New Roman"/>
          <w:b/>
          <w:bCs/>
          <w:i w:val="0"/>
          <w:iCs w:val="0"/>
          <w:color w:val="auto"/>
          <w:kern w:val="2"/>
          <w:sz w:val="24"/>
          <w:szCs w:val="24"/>
        </w:rPr>
        <w:fldChar w:fldCharType="begin"/>
      </w:r>
      <w:r w:rsidRPr="00A511C9">
        <w:rPr>
          <w:rFonts w:ascii="Times New Roman" w:hAnsi="Times New Roman" w:cs="Times New Roman"/>
          <w:b/>
          <w:bCs/>
          <w:i w:val="0"/>
          <w:iCs w:val="0"/>
          <w:color w:val="auto"/>
          <w:kern w:val="2"/>
          <w:sz w:val="24"/>
          <w:szCs w:val="24"/>
        </w:rPr>
        <w:instrText xml:space="preserve"> SEQ Tableau \* ARABIC </w:instrText>
      </w:r>
      <w:r w:rsidR="007B5998" w:rsidRPr="00A511C9">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19</w:t>
      </w:r>
      <w:r w:rsidR="007B5998" w:rsidRPr="00A511C9">
        <w:rPr>
          <w:rFonts w:ascii="Times New Roman" w:hAnsi="Times New Roman" w:cs="Times New Roman"/>
          <w:b/>
          <w:bCs/>
          <w:i w:val="0"/>
          <w:iCs w:val="0"/>
          <w:color w:val="auto"/>
          <w:kern w:val="2"/>
          <w:sz w:val="24"/>
          <w:szCs w:val="24"/>
        </w:rPr>
        <w:fldChar w:fldCharType="end"/>
      </w:r>
      <w:r w:rsidRPr="00A511C9">
        <w:rPr>
          <w:rFonts w:ascii="Times New Roman" w:hAnsi="Times New Roman" w:cs="Times New Roman"/>
          <w:b/>
          <w:bCs/>
          <w:i w:val="0"/>
          <w:iCs w:val="0"/>
          <w:color w:val="auto"/>
          <w:kern w:val="2"/>
          <w:sz w:val="24"/>
          <w:szCs w:val="24"/>
        </w:rPr>
        <w:t xml:space="preserve"> :</w:t>
      </w:r>
      <w:r w:rsidRPr="00A511C9">
        <w:rPr>
          <w:rFonts w:ascii="Times New Roman" w:hAnsi="Times New Roman" w:cs="Times New Roman"/>
          <w:i w:val="0"/>
          <w:iCs w:val="0"/>
          <w:color w:val="auto"/>
          <w:kern w:val="2"/>
          <w:sz w:val="24"/>
          <w:szCs w:val="24"/>
        </w:rPr>
        <w:t xml:space="preserve"> Contrôle qualité</w:t>
      </w:r>
      <w:bookmarkEnd w:id="303"/>
    </w:p>
    <w:tbl>
      <w:tblPr>
        <w:tblStyle w:val="Grilledutableau"/>
        <w:tblW w:w="9072" w:type="dxa"/>
        <w:tblInd w:w="-5" w:type="dxa"/>
        <w:tblLook w:val="04A0"/>
      </w:tblPr>
      <w:tblGrid>
        <w:gridCol w:w="1247"/>
        <w:gridCol w:w="7825"/>
      </w:tblGrid>
      <w:tr w:rsidR="005236B6" w:rsidTr="00D1049F">
        <w:tc>
          <w:tcPr>
            <w:tcW w:w="1247"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825"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247" w:type="dxa"/>
          </w:tcPr>
          <w:p w:rsidR="005236B6" w:rsidRPr="00650F35" w:rsidRDefault="005236B6" w:rsidP="00F7493D">
            <w:pPr>
              <w:spacing w:line="360" w:lineRule="auto"/>
              <w:rPr>
                <w:b/>
                <w:bCs/>
                <w:lang w:eastAsia="fr-FR"/>
              </w:rPr>
            </w:pPr>
            <w:r w:rsidRPr="00650F35">
              <w:rPr>
                <w:rFonts w:asciiTheme="majorBidi" w:hAnsiTheme="majorBidi" w:cstheme="majorBidi"/>
                <w:b/>
                <w:bCs/>
                <w:sz w:val="24"/>
                <w:szCs w:val="24"/>
              </w:rPr>
              <w:t>Système de contrôle</w:t>
            </w:r>
          </w:p>
        </w:tc>
        <w:tc>
          <w:tcPr>
            <w:tcW w:w="7825" w:type="dxa"/>
          </w:tcPr>
          <w:p w:rsidR="005236B6" w:rsidRPr="00E64BEB" w:rsidRDefault="005236B6" w:rsidP="00F7493D">
            <w:pPr>
              <w:pStyle w:val="NormalWeb"/>
              <w:spacing w:line="360" w:lineRule="auto"/>
            </w:pPr>
            <w:r w:rsidRPr="00E64BEB">
              <w:t>Le contrôle de qualité au sein de l’entreprise Dahbia s’inscrit dans une d</w:t>
            </w:r>
            <w:r w:rsidRPr="00E64BEB">
              <w:t>é</w:t>
            </w:r>
            <w:r w:rsidRPr="00E64BEB">
              <w:t>marche continue et transversale couvrant l’ensemble du processus de produ</w:t>
            </w:r>
            <w:r w:rsidRPr="00E64BEB">
              <w:t>c</w:t>
            </w:r>
            <w:r w:rsidRPr="00E64BEB">
              <w:t>tion, de la réception des olives jusqu’au conditionnement final. Il repose sur des points de contrôle successifs à chaque étape clé (réception, trituration, s</w:t>
            </w:r>
            <w:r w:rsidRPr="00E64BEB">
              <w:t>é</w:t>
            </w:r>
            <w:r w:rsidRPr="00E64BEB">
              <w:t>paration, stockage et conditionnement), où des critères précis sont systémat</w:t>
            </w:r>
            <w:r w:rsidRPr="00E64BEB">
              <w:t>i</w:t>
            </w:r>
            <w:r w:rsidRPr="00E64BEB">
              <w:t>quement vérifiés afin d’assurer la conformité aux exigences biologiques et aux standards de qualité.</w:t>
            </w:r>
          </w:p>
          <w:p w:rsidR="005236B6" w:rsidRPr="00E64BEB" w:rsidRDefault="005236B6" w:rsidP="00F7493D">
            <w:pPr>
              <w:pStyle w:val="NormalWeb"/>
              <w:spacing w:line="360" w:lineRule="auto"/>
            </w:pPr>
            <w:r w:rsidRPr="00E64BEB">
              <w:t>Les analyses en laboratoire interviennent principalement comme outil de val</w:t>
            </w:r>
            <w:r w:rsidRPr="00E64BEB">
              <w:t>i</w:t>
            </w:r>
            <w:r w:rsidRPr="00E64BEB">
              <w:t>dation et de confirmation. Elles permettent d’évaluer certains indicateurs de stabilité et de conformité aux normes internationales, tout en complétant un contrôle opérationnel et visuel réalisé en continu sur le terrain.</w:t>
            </w:r>
          </w:p>
          <w:p w:rsidR="005236B6" w:rsidRPr="00E64BEB" w:rsidRDefault="005236B6" w:rsidP="00F7493D">
            <w:pPr>
              <w:pStyle w:val="NormalWeb"/>
              <w:spacing w:line="360" w:lineRule="auto"/>
            </w:pPr>
            <w:r w:rsidRPr="00E64BEB">
              <w:t>Le service qualité joue un rôle central de coordination et de supervision. Il assure non seulement le contrôle technique, mais également l’organisation des procédures, la documentation des opérations et le suivi du respect des cahiers des charges et des exigences des organismes de certification. Il agit ainsi comme interface entre la production, les laboratoires et les organismes e</w:t>
            </w:r>
            <w:r w:rsidRPr="00E64BEB">
              <w:t>x</w:t>
            </w:r>
            <w:r w:rsidRPr="00E64BEB">
              <w:t>ternes.</w:t>
            </w:r>
          </w:p>
          <w:p w:rsidR="005236B6" w:rsidRDefault="005236B6" w:rsidP="00F7493D">
            <w:pPr>
              <w:pStyle w:val="NormalWeb"/>
              <w:spacing w:line="360" w:lineRule="auto"/>
            </w:pPr>
            <w:r w:rsidRPr="00E64BEB">
              <w:t>À titre d’exemple, lors de la mise en cuve après extraction, un contrôle est effectué sur la stabilité du produit, notamment l’absence d’anomalies ph</w:t>
            </w:r>
            <w:r w:rsidRPr="00E64BEB">
              <w:t>y</w:t>
            </w:r>
            <w:r w:rsidRPr="00E64BEB">
              <w:t>siques et la cohérence des caractéristiques visuelles et olfactives avec les sta</w:t>
            </w:r>
            <w:r w:rsidRPr="00E64BEB">
              <w:t>n</w:t>
            </w:r>
            <w:r w:rsidRPr="00E64BEB">
              <w:t>dards définis, afin de garantir la conservation des propriétés avant conditio</w:t>
            </w:r>
            <w:r w:rsidRPr="00E64BEB">
              <w:t>n</w:t>
            </w:r>
            <w:r w:rsidRPr="00E64BEB">
              <w:t>nement final.</w:t>
            </w:r>
          </w:p>
        </w:tc>
      </w:tr>
    </w:tbl>
    <w:p w:rsidR="005236B6" w:rsidRDefault="005236B6" w:rsidP="00F7493D">
      <w:pPr>
        <w:pStyle w:val="NormalWeb"/>
        <w:spacing w:line="360" w:lineRule="auto"/>
        <w:rPr>
          <w:rFonts w:asciiTheme="majorBidi" w:hAnsiTheme="majorBidi" w:cstheme="majorBidi"/>
          <w:sz w:val="22"/>
          <w:szCs w:val="22"/>
          <w:rtl/>
        </w:rPr>
      </w:pPr>
      <w:r w:rsidRPr="0074138D">
        <w:rPr>
          <w:b/>
          <w:bCs/>
          <w:sz w:val="20"/>
          <w:szCs w:val="20"/>
        </w:rPr>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D1049F" w:rsidRDefault="00D1049F" w:rsidP="00F7493D">
      <w:pPr>
        <w:pStyle w:val="NormalWeb"/>
        <w:spacing w:line="360" w:lineRule="auto"/>
        <w:rPr>
          <w:rFonts w:asciiTheme="majorBidi" w:hAnsiTheme="majorBidi" w:cstheme="majorBidi"/>
          <w:sz w:val="22"/>
          <w:szCs w:val="22"/>
          <w:rtl/>
        </w:rPr>
      </w:pPr>
    </w:p>
    <w:p w:rsidR="00D1049F" w:rsidRPr="001C03D4" w:rsidRDefault="00D1049F" w:rsidP="00F7493D">
      <w:pPr>
        <w:pStyle w:val="NormalWeb"/>
        <w:spacing w:line="360" w:lineRule="auto"/>
        <w:rPr>
          <w:sz w:val="22"/>
          <w:szCs w:val="22"/>
        </w:rPr>
      </w:pPr>
    </w:p>
    <w:p w:rsidR="005236B6" w:rsidRPr="00EF42E4" w:rsidRDefault="00606E4A" w:rsidP="00F7493D">
      <w:pPr>
        <w:pStyle w:val="Titre4"/>
        <w:spacing w:line="360" w:lineRule="auto"/>
        <w:rPr>
          <w:rFonts w:ascii="Times New Roman" w:hAnsi="Times New Roman"/>
          <w:b/>
          <w:bCs/>
          <w:i w:val="0"/>
          <w:iCs w:val="0"/>
          <w:color w:val="auto"/>
          <w:sz w:val="24"/>
          <w:szCs w:val="24"/>
        </w:rPr>
      </w:pPr>
      <w:bookmarkStart w:id="304" w:name="_Toc230558733"/>
      <w:bookmarkStart w:id="305" w:name="_Toc230900367"/>
      <w:r w:rsidRPr="00EF42E4">
        <w:rPr>
          <w:rFonts w:ascii="Times New Roman" w:hAnsi="Times New Roman"/>
          <w:b/>
          <w:bCs/>
          <w:i w:val="0"/>
          <w:iCs w:val="0"/>
          <w:color w:val="auto"/>
          <w:sz w:val="24"/>
          <w:szCs w:val="24"/>
        </w:rPr>
        <w:lastRenderedPageBreak/>
        <w:t>1.6.</w:t>
      </w:r>
      <w:r w:rsidR="005236B6" w:rsidRPr="00EF42E4">
        <w:rPr>
          <w:rFonts w:ascii="Times New Roman" w:hAnsi="Times New Roman"/>
          <w:b/>
          <w:bCs/>
          <w:i w:val="0"/>
          <w:iCs w:val="0"/>
          <w:color w:val="auto"/>
          <w:sz w:val="24"/>
          <w:szCs w:val="24"/>
        </w:rPr>
        <w:t xml:space="preserve"> Récompenses et reconnaissance internationale</w:t>
      </w:r>
      <w:bookmarkEnd w:id="304"/>
      <w:bookmarkEnd w:id="305"/>
    </w:p>
    <w:p w:rsidR="005236B6" w:rsidRPr="00A511C9" w:rsidRDefault="00A511C9" w:rsidP="00F7493D">
      <w:pPr>
        <w:pStyle w:val="Lgende"/>
        <w:spacing w:after="0" w:line="360" w:lineRule="auto"/>
        <w:jc w:val="lowKashida"/>
        <w:rPr>
          <w:rFonts w:asciiTheme="majorBidi" w:eastAsia="Calibri" w:hAnsiTheme="majorBidi" w:cstheme="majorBidi"/>
          <w:i w:val="0"/>
          <w:iCs w:val="0"/>
          <w:color w:val="auto"/>
          <w:kern w:val="3"/>
          <w:sz w:val="24"/>
          <w:szCs w:val="24"/>
        </w:rPr>
      </w:pPr>
      <w:bookmarkStart w:id="306" w:name="_Toc230400758"/>
      <w:r w:rsidRPr="00A511C9">
        <w:rPr>
          <w:rFonts w:asciiTheme="majorBidi" w:eastAsia="Calibri" w:hAnsiTheme="majorBidi" w:cstheme="majorBidi"/>
          <w:b/>
          <w:bCs/>
          <w:i w:val="0"/>
          <w:iCs w:val="0"/>
          <w:color w:val="auto"/>
          <w:kern w:val="3"/>
          <w:sz w:val="24"/>
          <w:szCs w:val="24"/>
        </w:rPr>
        <w:t xml:space="preserve">Tableau </w:t>
      </w:r>
      <w:r w:rsidR="007B5998" w:rsidRPr="00A511C9">
        <w:rPr>
          <w:rFonts w:asciiTheme="majorBidi" w:eastAsia="Calibri" w:hAnsiTheme="majorBidi" w:cstheme="majorBidi"/>
          <w:b/>
          <w:bCs/>
          <w:i w:val="0"/>
          <w:iCs w:val="0"/>
          <w:color w:val="auto"/>
          <w:kern w:val="3"/>
          <w:sz w:val="24"/>
          <w:szCs w:val="24"/>
        </w:rPr>
        <w:fldChar w:fldCharType="begin"/>
      </w:r>
      <w:r w:rsidRPr="00A511C9">
        <w:rPr>
          <w:rFonts w:asciiTheme="majorBidi" w:eastAsia="Calibri" w:hAnsiTheme="majorBidi" w:cstheme="majorBidi"/>
          <w:b/>
          <w:bCs/>
          <w:i w:val="0"/>
          <w:iCs w:val="0"/>
          <w:color w:val="auto"/>
          <w:kern w:val="3"/>
          <w:sz w:val="24"/>
          <w:szCs w:val="24"/>
        </w:rPr>
        <w:instrText xml:space="preserve"> SEQ Tableau \* ARABIC </w:instrText>
      </w:r>
      <w:r w:rsidR="007B5998" w:rsidRPr="00A511C9">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20</w:t>
      </w:r>
      <w:r w:rsidR="007B5998" w:rsidRPr="00A511C9">
        <w:rPr>
          <w:rFonts w:asciiTheme="majorBidi" w:eastAsia="Calibri" w:hAnsiTheme="majorBidi" w:cstheme="majorBidi"/>
          <w:b/>
          <w:bCs/>
          <w:i w:val="0"/>
          <w:iCs w:val="0"/>
          <w:color w:val="auto"/>
          <w:kern w:val="3"/>
          <w:sz w:val="24"/>
          <w:szCs w:val="24"/>
        </w:rPr>
        <w:fldChar w:fldCharType="end"/>
      </w:r>
      <w:r w:rsidRPr="00A511C9">
        <w:rPr>
          <w:rFonts w:asciiTheme="majorBidi" w:eastAsia="Calibri" w:hAnsiTheme="majorBidi" w:cstheme="majorBidi"/>
          <w:b/>
          <w:bCs/>
          <w:i w:val="0"/>
          <w:iCs w:val="0"/>
          <w:color w:val="auto"/>
          <w:kern w:val="3"/>
          <w:sz w:val="24"/>
          <w:szCs w:val="24"/>
        </w:rPr>
        <w:t xml:space="preserve"> : </w:t>
      </w:r>
      <w:r w:rsidRPr="00A511C9">
        <w:rPr>
          <w:rFonts w:asciiTheme="majorBidi" w:eastAsia="Calibri" w:hAnsiTheme="majorBidi" w:cstheme="majorBidi"/>
          <w:i w:val="0"/>
          <w:iCs w:val="0"/>
          <w:color w:val="auto"/>
          <w:kern w:val="3"/>
          <w:sz w:val="24"/>
          <w:szCs w:val="24"/>
        </w:rPr>
        <w:t>Impact des récompenses internationales sur la notoriété de la marque</w:t>
      </w:r>
      <w:bookmarkEnd w:id="306"/>
    </w:p>
    <w:tbl>
      <w:tblPr>
        <w:tblStyle w:val="Grilledutableau"/>
        <w:tblW w:w="9851" w:type="dxa"/>
        <w:tblInd w:w="-459" w:type="dxa"/>
        <w:tblLook w:val="04A0"/>
      </w:tblPr>
      <w:tblGrid>
        <w:gridCol w:w="2268"/>
        <w:gridCol w:w="7583"/>
      </w:tblGrid>
      <w:tr w:rsidR="005236B6" w:rsidTr="00D1049F">
        <w:tc>
          <w:tcPr>
            <w:tcW w:w="2268"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583"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2268" w:type="dxa"/>
            <w:vAlign w:val="center"/>
          </w:tcPr>
          <w:p w:rsidR="005236B6" w:rsidRPr="00D4161B" w:rsidRDefault="005236B6" w:rsidP="00F7493D">
            <w:pPr>
              <w:spacing w:line="360" w:lineRule="auto"/>
              <w:rPr>
                <w:rFonts w:asciiTheme="majorBidi" w:hAnsiTheme="majorBidi" w:cstheme="majorBidi"/>
                <w:b/>
                <w:bCs/>
                <w:sz w:val="24"/>
                <w:szCs w:val="24"/>
              </w:rPr>
            </w:pPr>
            <w:r w:rsidRPr="00D4161B">
              <w:rPr>
                <w:rFonts w:asciiTheme="majorBidi" w:hAnsiTheme="majorBidi" w:cstheme="majorBidi"/>
                <w:b/>
                <w:bCs/>
                <w:sz w:val="24"/>
                <w:szCs w:val="24"/>
              </w:rPr>
              <w:t>Récompenses internationales</w:t>
            </w:r>
          </w:p>
        </w:tc>
        <w:tc>
          <w:tcPr>
            <w:tcW w:w="7583" w:type="dxa"/>
          </w:tcPr>
          <w:p w:rsidR="005236B6" w:rsidRDefault="005236B6" w:rsidP="00F7493D">
            <w:pPr>
              <w:pStyle w:val="NormalWeb"/>
              <w:spacing w:line="360" w:lineRule="auto"/>
              <w:ind w:firstLine="567"/>
            </w:pPr>
            <w:r>
              <w:t xml:space="preserve">      Les récompenses internationales constituent un indicateur majeur de la qualité et de l’excellence du produit, obtenues à travers des concours spécialisés où les huiles d’olive sont évaluées selon des critères stricts de dégustation sensorielle, d’équilibre aromatique et de qualité nutritionnelle. L’entreprise participe notamment dans des catégories prestigieuses telles que </w:t>
            </w:r>
            <w:r>
              <w:rPr>
                <w:rStyle w:val="lev"/>
              </w:rPr>
              <w:t>Early Harvest</w:t>
            </w:r>
            <w:r>
              <w:t>, qui regroupe des huiles issues d’une récolte précoce, reconnues pour leur richesse en polyphénols et leur haute valeur nutritio</w:t>
            </w:r>
            <w:r>
              <w:t>n</w:t>
            </w:r>
            <w:r>
              <w:t>nelle.</w:t>
            </w:r>
          </w:p>
          <w:p w:rsidR="005236B6" w:rsidRDefault="005236B6" w:rsidP="00F7493D">
            <w:pPr>
              <w:pStyle w:val="NormalWeb"/>
              <w:spacing w:line="360" w:lineRule="auto"/>
            </w:pPr>
            <w:r>
              <w:t xml:space="preserve">    Sur le plan des distinctions, la marque a obtenu en </w:t>
            </w:r>
            <w:r>
              <w:rPr>
                <w:rStyle w:val="lev"/>
              </w:rPr>
              <w:t>2021 une médaille d’argent au New York International Olive Oil Competition</w:t>
            </w:r>
            <w:r>
              <w:t>, considéré comme l’un des concours les plus exigeants au niveau mondial, particuli</w:t>
            </w:r>
            <w:r>
              <w:t>è</w:t>
            </w:r>
            <w:r>
              <w:t>rement dans la catégorie Early Harvest, ce qui confirme sa capacité à rival</w:t>
            </w:r>
            <w:r>
              <w:t>i</w:t>
            </w:r>
            <w:r>
              <w:t xml:space="preserve">ser avec les meilleures huiles internationales. Par la suite, elle a remporté une </w:t>
            </w:r>
            <w:r>
              <w:rPr>
                <w:rStyle w:val="lev"/>
              </w:rPr>
              <w:t>médaille d’or au Olio Nuovo d’Al Ain International Competition (édition 2025/2026 à Abu Dhabi)</w:t>
            </w:r>
            <w:r>
              <w:t>, attestant la continuité de la qualité et la conformité aux standards de l’agriculture biologique.</w:t>
            </w:r>
          </w:p>
          <w:p w:rsidR="005236B6" w:rsidRDefault="005236B6" w:rsidP="00F7493D">
            <w:pPr>
              <w:pStyle w:val="NormalWeb"/>
              <w:spacing w:line="360" w:lineRule="auto"/>
            </w:pPr>
            <w:r>
              <w:t xml:space="preserve">    Un moment marquant du parcours est enregistré le </w:t>
            </w:r>
            <w:r>
              <w:rPr>
                <w:rStyle w:val="lev"/>
              </w:rPr>
              <w:t>13 juin 2025</w:t>
            </w:r>
            <w:r>
              <w:t xml:space="preserve">, avec l’obtention d’une </w:t>
            </w:r>
            <w:r>
              <w:rPr>
                <w:rStyle w:val="lev"/>
              </w:rPr>
              <w:t>médaille d’or au Japan Olive Oil Prize à Tokyo</w:t>
            </w:r>
            <w:r>
              <w:t xml:space="preserve">, où </w:t>
            </w:r>
            <w:r>
              <w:rPr>
                <w:rStyle w:val="lev"/>
              </w:rPr>
              <w:t>577 huiles provenant de 28 pays</w:t>
            </w:r>
            <w:r>
              <w:t xml:space="preserve"> étaient en compétition, renforçant ainsi la r</w:t>
            </w:r>
            <w:r>
              <w:t>e</w:t>
            </w:r>
            <w:r>
              <w:t xml:space="preserve">connaissance internationale de l’huile algérienne. Dans la même période, l’entreprise a également obtenu une </w:t>
            </w:r>
            <w:r>
              <w:rPr>
                <w:rStyle w:val="lev"/>
              </w:rPr>
              <w:t>médaille d’argent au Concours inte</w:t>
            </w:r>
            <w:r>
              <w:rPr>
                <w:rStyle w:val="lev"/>
              </w:rPr>
              <w:t>r</w:t>
            </w:r>
            <w:r>
              <w:rPr>
                <w:rStyle w:val="lev"/>
              </w:rPr>
              <w:t>national des huiles d’olive au Canada</w:t>
            </w:r>
            <w:r>
              <w:t>, illustrant une performance sout</w:t>
            </w:r>
            <w:r>
              <w:t>e</w:t>
            </w:r>
            <w:r>
              <w:t xml:space="preserve">nue sur le plan mondial. Elle a aussi été distinguée à Londres avec une </w:t>
            </w:r>
            <w:r>
              <w:rPr>
                <w:rStyle w:val="lev"/>
              </w:rPr>
              <w:t>m</w:t>
            </w:r>
            <w:r>
              <w:rPr>
                <w:rStyle w:val="lev"/>
              </w:rPr>
              <w:t>é</w:t>
            </w:r>
            <w:r>
              <w:rPr>
                <w:rStyle w:val="lev"/>
              </w:rPr>
              <w:t>daille d’argent lors du London International Olive Oil Competition et du Global Olive Oil Stars</w:t>
            </w:r>
            <w:r>
              <w:t>, confirmant la régularité de la qualité produite.</w:t>
            </w:r>
          </w:p>
          <w:p w:rsidR="005236B6" w:rsidRDefault="005236B6" w:rsidP="00F7493D">
            <w:pPr>
              <w:pStyle w:val="NormalWeb"/>
              <w:spacing w:line="360" w:lineRule="auto"/>
            </w:pPr>
            <w:r>
              <w:t xml:space="preserve">     Ainsi, ces distinctions successives ne représentent pas uniquement des récompenses symboliques, mais traduisent une performance constante et mesurable de l’entreprise sur la scène internationale. Elles contribuent dire</w:t>
            </w:r>
            <w:r>
              <w:t>c</w:t>
            </w:r>
            <w:r>
              <w:t xml:space="preserve">tement au renforcement de la crédibilité de la marque, à l’amélioration de son positionnement sur les marchés premium, et à la consolidation de son </w:t>
            </w:r>
            <w:r>
              <w:lastRenderedPageBreak/>
              <w:t>image en tant que producteur d’huile d’olive biologique de haute qualité.</w:t>
            </w:r>
          </w:p>
        </w:tc>
      </w:tr>
      <w:tr w:rsidR="005236B6" w:rsidTr="00D1049F">
        <w:tc>
          <w:tcPr>
            <w:tcW w:w="2268" w:type="dxa"/>
            <w:vAlign w:val="center"/>
          </w:tcPr>
          <w:p w:rsidR="005236B6" w:rsidRPr="00D4161B" w:rsidRDefault="005236B6" w:rsidP="00F7493D">
            <w:pPr>
              <w:spacing w:line="360" w:lineRule="auto"/>
              <w:rPr>
                <w:rFonts w:asciiTheme="majorBidi" w:hAnsiTheme="majorBidi" w:cstheme="majorBidi"/>
                <w:b/>
                <w:bCs/>
                <w:sz w:val="24"/>
                <w:szCs w:val="24"/>
              </w:rPr>
            </w:pPr>
            <w:r w:rsidRPr="00D4161B">
              <w:rPr>
                <w:rFonts w:asciiTheme="majorBidi" w:hAnsiTheme="majorBidi" w:cstheme="majorBidi"/>
                <w:b/>
                <w:bCs/>
                <w:sz w:val="24"/>
                <w:szCs w:val="24"/>
              </w:rPr>
              <w:lastRenderedPageBreak/>
              <w:t>Notoriété de la marque</w:t>
            </w:r>
          </w:p>
        </w:tc>
        <w:tc>
          <w:tcPr>
            <w:tcW w:w="7583" w:type="dxa"/>
          </w:tcPr>
          <w:p w:rsidR="005236B6" w:rsidRPr="00C321EB" w:rsidRDefault="005236B6" w:rsidP="00F7493D">
            <w:pPr>
              <w:pStyle w:val="NormalWeb"/>
              <w:spacing w:line="360" w:lineRule="auto"/>
            </w:pPr>
            <w:r w:rsidRPr="00C321EB">
              <w:t>les récompenses internationales constituent un levier central dans la con</w:t>
            </w:r>
            <w:r w:rsidRPr="00C321EB">
              <w:t>s</w:t>
            </w:r>
            <w:r w:rsidRPr="00C321EB">
              <w:t>truction de la notoriété de la marque. Elles représentent des preuves externes de qualité, obtenues dans des concours internationaux fortement compétitifs, à l’issue d’évaluations sensorielles rigoureuses impliquant des huiles issues de nombreux pays producteurs. Ces distinctions renforcent la crédibilité de la marque et facilitent son positionnement sur le segment premium, en l’associant à l’excellence et à la reconnaissance internationale.</w:t>
            </w:r>
          </w:p>
          <w:p w:rsidR="005236B6" w:rsidRPr="00C321EB" w:rsidRDefault="005236B6" w:rsidP="00F7493D">
            <w:pPr>
              <w:pStyle w:val="NormalWeb"/>
              <w:spacing w:line="360" w:lineRule="auto"/>
            </w:pPr>
            <w:r w:rsidRPr="00C321EB">
              <w:t>Sur le plan commercial, ces distinctions jouent un rôle stratégique dans l’accès à de nouveaux marchés, notamment en Europe, en Amérique du Nord et au Moyen-Orient. Elles constituent un argument de confiance d</w:t>
            </w:r>
            <w:r w:rsidRPr="00C321EB">
              <w:t>é</w:t>
            </w:r>
            <w:r w:rsidRPr="00C321EB">
              <w:t>terminant pour les importateurs et distributeurs, qui s’appuient sur les résu</w:t>
            </w:r>
            <w:r w:rsidRPr="00C321EB">
              <w:t>l</w:t>
            </w:r>
            <w:r w:rsidRPr="00C321EB">
              <w:t>tats des concours spécialisés pour sélectionner les produits, réduisant ainsi les barrières liées à la notoriété des marques émergentes.</w:t>
            </w:r>
          </w:p>
          <w:p w:rsidR="005236B6" w:rsidRDefault="005236B6" w:rsidP="00F7493D">
            <w:pPr>
              <w:pStyle w:val="NormalWeb"/>
              <w:spacing w:line="360" w:lineRule="auto"/>
            </w:pPr>
            <w:r w:rsidRPr="00C321EB">
              <w:t>En termes de demande, les récompenses obtenues lors de compétitions telles que le New York International Olive Oil Competition, le Japan Olive Oil Prize, ainsi que les concours d’Abu Dhabi et de Londres, ont contribué à une augmentation progressive de l’intérêt pour le produit. Cette reconnai</w:t>
            </w:r>
            <w:r w:rsidRPr="00C321EB">
              <w:t>s</w:t>
            </w:r>
            <w:r w:rsidRPr="00C321EB">
              <w:t>sance répétée a renforcé la visibilité de la marque et consolidé sa présence sur les marchés internationaux, traduisant une dynamique positive de la d</w:t>
            </w:r>
            <w:r w:rsidRPr="00C321EB">
              <w:t>e</w:t>
            </w:r>
            <w:r w:rsidRPr="00C321EB">
              <w:t>mande corrélée à l’accumulation des distinctions.</w:t>
            </w:r>
          </w:p>
        </w:tc>
      </w:tr>
    </w:tbl>
    <w:p w:rsidR="005236B6" w:rsidRDefault="005236B6" w:rsidP="00F7493D">
      <w:pPr>
        <w:pStyle w:val="NormalWeb"/>
        <w:spacing w:line="360" w:lineRule="auto"/>
        <w:rPr>
          <w:rFonts w:asciiTheme="majorBidi" w:hAnsiTheme="majorBidi" w:cstheme="majorBidi"/>
          <w:sz w:val="22"/>
          <w:szCs w:val="22"/>
        </w:rPr>
      </w:pPr>
      <w:r w:rsidRPr="0074138D">
        <w:rPr>
          <w:b/>
          <w:bCs/>
          <w:sz w:val="20"/>
          <w:szCs w:val="20"/>
        </w:rPr>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EF42E4" w:rsidRDefault="00606E4A" w:rsidP="00F7493D">
      <w:pPr>
        <w:pStyle w:val="Titre4"/>
        <w:spacing w:line="360" w:lineRule="auto"/>
        <w:rPr>
          <w:rFonts w:ascii="Times New Roman" w:hAnsi="Times New Roman"/>
          <w:b/>
          <w:bCs/>
          <w:i w:val="0"/>
          <w:iCs w:val="0"/>
          <w:color w:val="auto"/>
          <w:sz w:val="24"/>
          <w:szCs w:val="24"/>
        </w:rPr>
      </w:pPr>
      <w:bookmarkStart w:id="307" w:name="_Toc230558734"/>
      <w:bookmarkStart w:id="308" w:name="_Toc230900368"/>
      <w:r w:rsidRPr="00EF42E4">
        <w:rPr>
          <w:rFonts w:ascii="Times New Roman" w:hAnsi="Times New Roman"/>
          <w:b/>
          <w:bCs/>
          <w:i w:val="0"/>
          <w:iCs w:val="0"/>
          <w:color w:val="auto"/>
          <w:sz w:val="24"/>
          <w:szCs w:val="24"/>
        </w:rPr>
        <w:t>1.7.</w:t>
      </w:r>
      <w:r w:rsidR="005236B6" w:rsidRPr="00EF42E4">
        <w:rPr>
          <w:rFonts w:ascii="Times New Roman" w:hAnsi="Times New Roman"/>
          <w:b/>
          <w:bCs/>
          <w:i w:val="0"/>
          <w:iCs w:val="0"/>
          <w:color w:val="auto"/>
          <w:sz w:val="24"/>
          <w:szCs w:val="24"/>
        </w:rPr>
        <w:t>Stratégie marketing et positionnement premium</w:t>
      </w:r>
      <w:bookmarkEnd w:id="307"/>
      <w:bookmarkEnd w:id="308"/>
    </w:p>
    <w:p w:rsidR="005236B6" w:rsidRPr="00A511C9" w:rsidRDefault="00A511C9" w:rsidP="00F7493D">
      <w:pPr>
        <w:pStyle w:val="Lgende"/>
        <w:spacing w:line="360" w:lineRule="auto"/>
        <w:rPr>
          <w:rFonts w:ascii="Times New Roman" w:hAnsi="Times New Roman" w:cs="Times New Roman"/>
          <w:i w:val="0"/>
          <w:iCs w:val="0"/>
          <w:color w:val="auto"/>
          <w:kern w:val="2"/>
          <w:sz w:val="24"/>
          <w:szCs w:val="24"/>
        </w:rPr>
      </w:pPr>
      <w:bookmarkStart w:id="309" w:name="_Toc230400759"/>
      <w:r w:rsidRPr="00A511C9">
        <w:rPr>
          <w:rFonts w:ascii="Times New Roman" w:hAnsi="Times New Roman" w:cs="Times New Roman"/>
          <w:b/>
          <w:bCs/>
          <w:i w:val="0"/>
          <w:iCs w:val="0"/>
          <w:color w:val="auto"/>
          <w:kern w:val="2"/>
          <w:sz w:val="24"/>
          <w:szCs w:val="24"/>
        </w:rPr>
        <w:t xml:space="preserve">Tableau </w:t>
      </w:r>
      <w:r w:rsidR="007B5998" w:rsidRPr="00A511C9">
        <w:rPr>
          <w:rFonts w:ascii="Times New Roman" w:hAnsi="Times New Roman" w:cs="Times New Roman"/>
          <w:b/>
          <w:bCs/>
          <w:i w:val="0"/>
          <w:iCs w:val="0"/>
          <w:color w:val="auto"/>
          <w:kern w:val="2"/>
          <w:sz w:val="24"/>
          <w:szCs w:val="24"/>
        </w:rPr>
        <w:fldChar w:fldCharType="begin"/>
      </w:r>
      <w:r w:rsidRPr="00A511C9">
        <w:rPr>
          <w:rFonts w:ascii="Times New Roman" w:hAnsi="Times New Roman" w:cs="Times New Roman"/>
          <w:b/>
          <w:bCs/>
          <w:i w:val="0"/>
          <w:iCs w:val="0"/>
          <w:color w:val="auto"/>
          <w:kern w:val="2"/>
          <w:sz w:val="24"/>
          <w:szCs w:val="24"/>
        </w:rPr>
        <w:instrText xml:space="preserve"> SEQ Tableau \* ARABIC </w:instrText>
      </w:r>
      <w:r w:rsidR="007B5998" w:rsidRPr="00A511C9">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21</w:t>
      </w:r>
      <w:r w:rsidR="007B5998" w:rsidRPr="00A511C9">
        <w:rPr>
          <w:rFonts w:ascii="Times New Roman" w:hAnsi="Times New Roman" w:cs="Times New Roman"/>
          <w:b/>
          <w:bCs/>
          <w:i w:val="0"/>
          <w:iCs w:val="0"/>
          <w:color w:val="auto"/>
          <w:kern w:val="2"/>
          <w:sz w:val="24"/>
          <w:szCs w:val="24"/>
        </w:rPr>
        <w:fldChar w:fldCharType="end"/>
      </w:r>
      <w:r w:rsidRPr="00A511C9">
        <w:rPr>
          <w:rFonts w:ascii="Times New Roman" w:hAnsi="Times New Roman" w:cs="Times New Roman"/>
          <w:b/>
          <w:bCs/>
          <w:i w:val="0"/>
          <w:iCs w:val="0"/>
          <w:color w:val="auto"/>
          <w:kern w:val="2"/>
          <w:sz w:val="24"/>
          <w:szCs w:val="24"/>
        </w:rPr>
        <w:t xml:space="preserve"> : </w:t>
      </w:r>
      <w:r w:rsidRPr="00A511C9">
        <w:rPr>
          <w:rFonts w:ascii="Times New Roman" w:hAnsi="Times New Roman" w:cs="Times New Roman"/>
          <w:i w:val="0"/>
          <w:iCs w:val="0"/>
          <w:color w:val="auto"/>
          <w:kern w:val="2"/>
          <w:sz w:val="24"/>
          <w:szCs w:val="24"/>
        </w:rPr>
        <w:t>Produit et image de marque</w:t>
      </w:r>
      <w:bookmarkEnd w:id="309"/>
    </w:p>
    <w:tbl>
      <w:tblPr>
        <w:tblStyle w:val="Grilledutableau"/>
        <w:tblW w:w="10135" w:type="dxa"/>
        <w:tblInd w:w="-459" w:type="dxa"/>
        <w:tblLayout w:type="fixed"/>
        <w:tblLook w:val="04A0"/>
      </w:tblPr>
      <w:tblGrid>
        <w:gridCol w:w="1701"/>
        <w:gridCol w:w="8434"/>
      </w:tblGrid>
      <w:tr w:rsidR="005236B6" w:rsidTr="00D1049F">
        <w:tc>
          <w:tcPr>
            <w:tcW w:w="1701"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8434"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701" w:type="dxa"/>
            <w:vAlign w:val="center"/>
          </w:tcPr>
          <w:p w:rsidR="005236B6" w:rsidRPr="00354F40" w:rsidRDefault="005236B6" w:rsidP="00F7493D">
            <w:pPr>
              <w:spacing w:line="360" w:lineRule="auto"/>
              <w:rPr>
                <w:rFonts w:asciiTheme="majorBidi" w:hAnsiTheme="majorBidi" w:cstheme="majorBidi"/>
                <w:b/>
                <w:bCs/>
                <w:sz w:val="24"/>
                <w:szCs w:val="24"/>
              </w:rPr>
            </w:pPr>
            <w:r w:rsidRPr="00354F40">
              <w:rPr>
                <w:rFonts w:asciiTheme="majorBidi" w:hAnsiTheme="majorBidi" w:cstheme="majorBidi"/>
                <w:b/>
                <w:bCs/>
                <w:sz w:val="24"/>
                <w:szCs w:val="24"/>
              </w:rPr>
              <w:t>Caractéristiques du produit</w:t>
            </w:r>
          </w:p>
        </w:tc>
        <w:tc>
          <w:tcPr>
            <w:tcW w:w="8434" w:type="dxa"/>
          </w:tcPr>
          <w:p w:rsidR="005236B6" w:rsidRPr="00C321EB" w:rsidRDefault="005236B6" w:rsidP="00F7493D">
            <w:pPr>
              <w:pStyle w:val="NormalWeb"/>
              <w:spacing w:line="360" w:lineRule="auto"/>
            </w:pPr>
            <w:r w:rsidRPr="00C321EB">
              <w:t>Le produit de l’entreprise Dahbia est une huile d’olive vierge extra biologique pos</w:t>
            </w:r>
            <w:r w:rsidRPr="00C321EB">
              <w:t>i</w:t>
            </w:r>
            <w:r w:rsidRPr="00C321EB">
              <w:t>tionnée sur le segment premium, élaborée selon une approche intégrée associant agriculture biologique, récolte précoce et extraction à froid. Ce processus de produ</w:t>
            </w:r>
            <w:r w:rsidRPr="00C321EB">
              <w:t>c</w:t>
            </w:r>
            <w:r w:rsidRPr="00C321EB">
              <w:t>tion vise à préserver les qualités aromatiques, la richesse nutritionnelle et la conce</w:t>
            </w:r>
            <w:r w:rsidRPr="00C321EB">
              <w:t>n</w:t>
            </w:r>
            <w:r w:rsidRPr="00C321EB">
              <w:t>tration en composés antioxydants, notamment les polyphénols.</w:t>
            </w:r>
          </w:p>
          <w:p w:rsidR="005236B6" w:rsidRPr="00C321EB" w:rsidRDefault="005236B6" w:rsidP="00F7493D">
            <w:pPr>
              <w:pStyle w:val="NormalWeb"/>
              <w:spacing w:line="360" w:lineRule="auto"/>
            </w:pPr>
            <w:r w:rsidRPr="00C321EB">
              <w:t xml:space="preserve">La différenciation du produit repose d’abord sur sa composition 100 % biologique, garantissant l’absence de pesticides et d’engrais chimiques. Elle se traduit également </w:t>
            </w:r>
            <w:r w:rsidRPr="00C321EB">
              <w:lastRenderedPageBreak/>
              <w:t>par des indicateurs qualitatifs élevés, tels qu’une faible acidité et une forte teneur en polyphénols, reflétant à la fois la stabilité du produit et sa valeur nutritionnelle.</w:t>
            </w:r>
          </w:p>
          <w:p w:rsidR="005236B6" w:rsidRPr="00C321EB" w:rsidRDefault="005236B6" w:rsidP="00F7493D">
            <w:pPr>
              <w:pStyle w:val="NormalWeb"/>
              <w:spacing w:line="360" w:lineRule="auto"/>
            </w:pPr>
            <w:r w:rsidRPr="00C321EB">
              <w:t>Par rapport aux huiles d’olive locales, cette huile se distingue par une maîtrise plus rigoureuse de la chaîne de production, en particulier l’adoption systématique de la récolte précoce et de l’extraction à froid. Cette approche améliore le profil sensoriel, renforce la stabilité oxydative et optimise la qualité globale du produit.</w:t>
            </w:r>
          </w:p>
          <w:p w:rsidR="005236B6" w:rsidRPr="00C321EB" w:rsidRDefault="005236B6" w:rsidP="00F7493D">
            <w:pPr>
              <w:pStyle w:val="NormalWeb"/>
              <w:spacing w:line="360" w:lineRule="auto"/>
            </w:pPr>
            <w:r w:rsidRPr="00C321EB">
              <w:t>L’emballage constitue également un élément différenciateur important. L’utilisation de bouteilles en verre foncé permet de protéger l’huile contre la lumière, la chaleur et l’oxydation, assurant ainsi la préservation de ses propriétés organoleptiques. Le pa</w:t>
            </w:r>
            <w:r w:rsidRPr="00C321EB">
              <w:t>c</w:t>
            </w:r>
            <w:r w:rsidRPr="00C321EB">
              <w:t>kaging contribue en parallèle au positionnement haut de gamme et biologique de la marque sur les marchés internationaux.</w:t>
            </w:r>
          </w:p>
          <w:p w:rsidR="005236B6" w:rsidRDefault="005236B6" w:rsidP="00F7493D">
            <w:pPr>
              <w:pStyle w:val="NormalWeb"/>
              <w:spacing w:line="360" w:lineRule="auto"/>
            </w:pPr>
            <w:r w:rsidRPr="00C321EB">
              <w:t>Enfin, la gamme est structurée autour de plusieurs références, notamment Dahbia Bio, Dahbia Early Harvest et Dahbia Premium Extra Virgin Olive Oil. Cette segme</w:t>
            </w:r>
            <w:r w:rsidRPr="00C321EB">
              <w:t>n</w:t>
            </w:r>
            <w:r w:rsidRPr="00C321EB">
              <w:t>tation permet d’adapter l’offre selon le mode de récolte et le niveau de valorisation, tout en maintenant un standard de qualité homogène et élevé.</w:t>
            </w:r>
          </w:p>
        </w:tc>
      </w:tr>
      <w:tr w:rsidR="005236B6" w:rsidTr="00D1049F">
        <w:tc>
          <w:tcPr>
            <w:tcW w:w="1701" w:type="dxa"/>
            <w:vAlign w:val="center"/>
          </w:tcPr>
          <w:p w:rsidR="005236B6" w:rsidRPr="00354F40" w:rsidRDefault="005236B6" w:rsidP="00F7493D">
            <w:pPr>
              <w:spacing w:line="360" w:lineRule="auto"/>
              <w:rPr>
                <w:rFonts w:asciiTheme="majorBidi" w:hAnsiTheme="majorBidi" w:cstheme="majorBidi"/>
                <w:b/>
                <w:bCs/>
                <w:sz w:val="24"/>
                <w:szCs w:val="24"/>
              </w:rPr>
            </w:pPr>
            <w:r w:rsidRPr="00354F40">
              <w:rPr>
                <w:rFonts w:asciiTheme="majorBidi" w:hAnsiTheme="majorBidi" w:cstheme="majorBidi"/>
                <w:b/>
                <w:bCs/>
                <w:sz w:val="24"/>
                <w:szCs w:val="24"/>
              </w:rPr>
              <w:lastRenderedPageBreak/>
              <w:t>Packaging</w:t>
            </w:r>
          </w:p>
        </w:tc>
        <w:tc>
          <w:tcPr>
            <w:tcW w:w="8434" w:type="dxa"/>
          </w:tcPr>
          <w:p w:rsidR="005236B6" w:rsidRPr="00C321EB" w:rsidRDefault="005236B6" w:rsidP="00F7493D">
            <w:pPr>
              <w:pStyle w:val="NormalWeb"/>
              <w:spacing w:line="360" w:lineRule="auto"/>
            </w:pPr>
            <w:r w:rsidRPr="00C321EB">
              <w:t>Le packaging de l’huile d’olive Dahbia constitue un élément stratégique qui dépasse la simple fonction de protection pour intervenir dans la construction de la valeur pe</w:t>
            </w:r>
            <w:r w:rsidRPr="00C321EB">
              <w:t>r</w:t>
            </w:r>
            <w:r w:rsidRPr="00C321EB">
              <w:t>çue du produit sur les marchés. Le choix de bouteilles en verre foncé répond princ</w:t>
            </w:r>
            <w:r w:rsidRPr="00C321EB">
              <w:t>i</w:t>
            </w:r>
            <w:r w:rsidRPr="00C321EB">
              <w:t>palement à une exigence technique de conservation, en réduisant l’exposition à la lumière et à l’oxygène, facteurs responsables de l’oxydation et de l’altération des composés sensibles tels que les polyphénols et les arômes naturels.</w:t>
            </w:r>
          </w:p>
          <w:p w:rsidR="005236B6" w:rsidRPr="00C321EB" w:rsidRDefault="005236B6" w:rsidP="00F7493D">
            <w:pPr>
              <w:pStyle w:val="NormalWeb"/>
              <w:spacing w:line="360" w:lineRule="auto"/>
            </w:pPr>
            <w:r w:rsidRPr="00C321EB">
              <w:t>Sur le plan commercial, ce packaging joue surtout un rôle de signal de positionn</w:t>
            </w:r>
            <w:r w:rsidRPr="00C321EB">
              <w:t>e</w:t>
            </w:r>
            <w:r w:rsidRPr="00C321EB">
              <w:t>ment. Le design sobre et épuré vise à associer le produit à des valeurs de naturalité, de qualité et de haut de gamme, en cohérence avec les attentes du segment premium. Toutefois, ces codes visuels (verre foncé, étiquettes minimalistes, tonalités neutres) étant largement répandus dans le secteur, ils limitent le potentiel de différenciation visuelle de la marque face à une concurrence internationale déjà homogène.</w:t>
            </w:r>
          </w:p>
          <w:p w:rsidR="005236B6" w:rsidRPr="006E0591" w:rsidRDefault="005236B6" w:rsidP="00F7493D">
            <w:pPr>
              <w:pStyle w:val="NormalWeb"/>
              <w:spacing w:line="360" w:lineRule="auto"/>
              <w:rPr>
                <w:color w:val="000000" w:themeColor="text1"/>
              </w:rPr>
            </w:pPr>
            <w:r w:rsidRPr="006E0591">
              <w:rPr>
                <w:color w:val="000000" w:themeColor="text1"/>
              </w:rPr>
              <w:t>Au regard des analyses critiques, l’emballage constitue en effet plus une réponse à la nomenclature du marché premium qu’un levier d’innovations. Il a d’une part dava</w:t>
            </w:r>
            <w:r w:rsidRPr="006E0591">
              <w:rPr>
                <w:color w:val="000000" w:themeColor="text1"/>
              </w:rPr>
              <w:t>n</w:t>
            </w:r>
            <w:r w:rsidRPr="006E0591">
              <w:rPr>
                <w:color w:val="000000" w:themeColor="text1"/>
              </w:rPr>
              <w:t>tage d’impact quant à sa dimension participative concernant la crédibilité et la pe</w:t>
            </w:r>
            <w:r w:rsidRPr="006E0591">
              <w:rPr>
                <w:color w:val="000000" w:themeColor="text1"/>
              </w:rPr>
              <w:t>r</w:t>
            </w:r>
            <w:r w:rsidRPr="006E0591">
              <w:rPr>
                <w:color w:val="000000" w:themeColor="text1"/>
              </w:rPr>
              <w:t>ception qualitative du produit, qu’à son inventivité formelle Pourtant, il constitue un élément fondamental au sein de la stratégie globale puisque la pertinence de la qual</w:t>
            </w:r>
            <w:r w:rsidRPr="006E0591">
              <w:rPr>
                <w:color w:val="000000" w:themeColor="text1"/>
              </w:rPr>
              <w:t>i</w:t>
            </w:r>
            <w:r w:rsidRPr="006E0591">
              <w:rPr>
                <w:color w:val="000000" w:themeColor="text1"/>
              </w:rPr>
              <w:t xml:space="preserve">té intrinsèque et de l’image visuelle participe directement à la crédibilité de la </w:t>
            </w:r>
            <w:r w:rsidRPr="006E0591">
              <w:rPr>
                <w:color w:val="000000" w:themeColor="text1"/>
              </w:rPr>
              <w:lastRenderedPageBreak/>
              <w:t>marque et au positionnement de son offre dans les différents marchés internationaux.</w:t>
            </w:r>
          </w:p>
        </w:tc>
      </w:tr>
    </w:tbl>
    <w:p w:rsidR="005236B6" w:rsidRPr="00D1049F" w:rsidRDefault="005236B6" w:rsidP="00D1049F">
      <w:pPr>
        <w:pStyle w:val="NormalWeb"/>
        <w:spacing w:line="360" w:lineRule="auto"/>
        <w:rPr>
          <w:b/>
          <w:bCs/>
          <w:sz w:val="20"/>
          <w:szCs w:val="20"/>
          <w:rtl/>
          <w:lang w:bidi="ar-DZ"/>
        </w:rPr>
      </w:pPr>
      <w:r w:rsidRPr="0074138D">
        <w:rPr>
          <w:b/>
          <w:bCs/>
          <w:sz w:val="20"/>
          <w:szCs w:val="20"/>
        </w:rPr>
        <w:lastRenderedPageBreak/>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A511C9" w:rsidRDefault="00A511C9" w:rsidP="00F7493D">
      <w:pPr>
        <w:spacing w:line="360" w:lineRule="auto"/>
        <w:rPr>
          <w:rFonts w:ascii="Times New Roman" w:hAnsi="Times New Roman" w:cs="Times New Roman"/>
          <w:b/>
          <w:bCs/>
          <w:color w:val="000000"/>
          <w:sz w:val="24"/>
          <w:szCs w:val="24"/>
        </w:rPr>
      </w:pPr>
      <w:bookmarkStart w:id="310" w:name="_Toc230400760"/>
      <w:r w:rsidRPr="00A511C9">
        <w:rPr>
          <w:rFonts w:ascii="Times New Roman" w:hAnsi="Times New Roman" w:cs="Times New Roman"/>
          <w:b/>
          <w:bCs/>
          <w:color w:val="000000"/>
          <w:sz w:val="24"/>
          <w:szCs w:val="24"/>
        </w:rPr>
        <w:t xml:space="preserve">Tableau </w:t>
      </w:r>
      <w:r w:rsidR="007B5998" w:rsidRPr="00A511C9">
        <w:rPr>
          <w:rFonts w:ascii="Times New Roman" w:hAnsi="Times New Roman" w:cs="Times New Roman"/>
          <w:b/>
          <w:bCs/>
          <w:color w:val="000000"/>
          <w:sz w:val="24"/>
          <w:szCs w:val="24"/>
        </w:rPr>
        <w:fldChar w:fldCharType="begin"/>
      </w:r>
      <w:r w:rsidRPr="00A511C9">
        <w:rPr>
          <w:rFonts w:ascii="Times New Roman" w:hAnsi="Times New Roman" w:cs="Times New Roman"/>
          <w:b/>
          <w:bCs/>
          <w:color w:val="000000"/>
          <w:sz w:val="24"/>
          <w:szCs w:val="24"/>
        </w:rPr>
        <w:instrText xml:space="preserve"> SEQ Tableau \* ARABIC </w:instrText>
      </w:r>
      <w:r w:rsidR="007B5998" w:rsidRPr="00A511C9">
        <w:rPr>
          <w:rFonts w:ascii="Times New Roman" w:hAnsi="Times New Roman" w:cs="Times New Roman"/>
          <w:b/>
          <w:bCs/>
          <w:color w:val="000000"/>
          <w:sz w:val="24"/>
          <w:szCs w:val="24"/>
        </w:rPr>
        <w:fldChar w:fldCharType="separate"/>
      </w:r>
      <w:r w:rsidR="00515B25">
        <w:rPr>
          <w:rFonts w:ascii="Times New Roman" w:hAnsi="Times New Roman" w:cs="Times New Roman"/>
          <w:b/>
          <w:bCs/>
          <w:noProof/>
          <w:color w:val="000000"/>
          <w:sz w:val="24"/>
          <w:szCs w:val="24"/>
        </w:rPr>
        <w:t>22</w:t>
      </w:r>
      <w:r w:rsidR="007B5998" w:rsidRPr="00A511C9">
        <w:rPr>
          <w:rFonts w:ascii="Times New Roman" w:hAnsi="Times New Roman" w:cs="Times New Roman"/>
          <w:b/>
          <w:bCs/>
          <w:color w:val="000000"/>
          <w:sz w:val="24"/>
          <w:szCs w:val="24"/>
        </w:rPr>
        <w:fldChar w:fldCharType="end"/>
      </w:r>
      <w:r w:rsidRPr="00A511C9">
        <w:rPr>
          <w:rFonts w:ascii="Times New Roman" w:hAnsi="Times New Roman" w:cs="Times New Roman"/>
          <w:b/>
          <w:bCs/>
          <w:color w:val="000000"/>
          <w:sz w:val="24"/>
          <w:szCs w:val="24"/>
        </w:rPr>
        <w:t xml:space="preserve"> : </w:t>
      </w:r>
      <w:r w:rsidRPr="00A511C9">
        <w:rPr>
          <w:rFonts w:ascii="Times New Roman" w:hAnsi="Times New Roman" w:cs="Times New Roman"/>
          <w:color w:val="000000"/>
          <w:sz w:val="24"/>
          <w:szCs w:val="24"/>
        </w:rPr>
        <w:t>Prix, distribution et promotion</w:t>
      </w:r>
      <w:bookmarkEnd w:id="310"/>
    </w:p>
    <w:tbl>
      <w:tblPr>
        <w:tblStyle w:val="Grilledutableau"/>
        <w:tblW w:w="9384" w:type="dxa"/>
        <w:tblInd w:w="-459" w:type="dxa"/>
        <w:tblLook w:val="04A0"/>
      </w:tblPr>
      <w:tblGrid>
        <w:gridCol w:w="1560"/>
        <w:gridCol w:w="7824"/>
      </w:tblGrid>
      <w:tr w:rsidR="005236B6" w:rsidTr="00D1049F">
        <w:tc>
          <w:tcPr>
            <w:tcW w:w="1560"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7824" w:type="dxa"/>
          </w:tcPr>
          <w:p w:rsidR="005236B6" w:rsidRDefault="005236B6" w:rsidP="00F7493D">
            <w:pPr>
              <w:pStyle w:val="NormalWeb"/>
              <w:spacing w:line="360" w:lineRule="auto"/>
              <w:jc w:val="center"/>
            </w:pPr>
            <w:r>
              <w:rPr>
                <w:rStyle w:val="lev"/>
              </w:rPr>
              <w:t>Synthèse des réponses des personnes interrogées</w:t>
            </w:r>
          </w:p>
        </w:tc>
      </w:tr>
      <w:tr w:rsidR="005236B6" w:rsidTr="00D1049F">
        <w:tc>
          <w:tcPr>
            <w:tcW w:w="1560" w:type="dxa"/>
            <w:vAlign w:val="center"/>
          </w:tcPr>
          <w:p w:rsidR="005236B6" w:rsidRPr="00DF3BF8" w:rsidRDefault="005236B6" w:rsidP="00F7493D">
            <w:pPr>
              <w:spacing w:line="360" w:lineRule="auto"/>
              <w:rPr>
                <w:rFonts w:asciiTheme="majorBidi" w:hAnsiTheme="majorBidi" w:cstheme="majorBidi"/>
                <w:b/>
                <w:bCs/>
                <w:sz w:val="24"/>
                <w:szCs w:val="24"/>
              </w:rPr>
            </w:pPr>
            <w:r w:rsidRPr="00DF3BF8">
              <w:rPr>
                <w:rFonts w:asciiTheme="majorBidi" w:hAnsiTheme="majorBidi" w:cstheme="majorBidi"/>
                <w:b/>
                <w:bCs/>
                <w:sz w:val="24"/>
                <w:szCs w:val="24"/>
              </w:rPr>
              <w:t>Stratégie de prix</w:t>
            </w:r>
          </w:p>
        </w:tc>
        <w:tc>
          <w:tcPr>
            <w:tcW w:w="7824" w:type="dxa"/>
          </w:tcPr>
          <w:p w:rsidR="005236B6" w:rsidRPr="00416BEC" w:rsidRDefault="005236B6" w:rsidP="00F7493D">
            <w:pPr>
              <w:pStyle w:val="NormalWeb"/>
              <w:spacing w:line="360" w:lineRule="auto"/>
            </w:pPr>
            <w:r w:rsidRPr="00416BEC">
              <w:t>Dans le cas de l’entreprise Dahbia, la stratégie de prix repose sur un positio</w:t>
            </w:r>
            <w:r w:rsidRPr="00416BEC">
              <w:t>n</w:t>
            </w:r>
            <w:r w:rsidRPr="00416BEC">
              <w:t>nement premium directement lié à la valeur ajoutée du produit et aux co</w:t>
            </w:r>
            <w:r w:rsidRPr="00416BEC">
              <w:t>n</w:t>
            </w:r>
            <w:r w:rsidRPr="00416BEC">
              <w:t xml:space="preserve">traintes de production. </w:t>
            </w:r>
            <w:r w:rsidRPr="00494B18">
              <w:rPr>
                <w:color w:val="000000" w:themeColor="text1"/>
              </w:rPr>
              <w:t>Ce niveau est élevé, car l’agriculture biologique, qui exclut les intrants chimiques et exige une main d’œuvre plus conséquent, se heurte à un faible rendement de la récolte.</w:t>
            </w:r>
            <w:r w:rsidRPr="00416BEC">
              <w:t>précoce (Early Harvest), où la qua</w:t>
            </w:r>
            <w:r w:rsidRPr="00416BEC">
              <w:t>n</w:t>
            </w:r>
            <w:r w:rsidRPr="00416BEC">
              <w:t>tité d’huile obtenue reste limitée (environ 6 à 10 litres pour 100 kg d’olives). À cela s’ajoute la concentration élevée en polyphénols, qui renforce la qualité nutritionnelle et la valeur perçue.</w:t>
            </w:r>
          </w:p>
          <w:p w:rsidR="005236B6" w:rsidRPr="00416BEC" w:rsidRDefault="005236B6" w:rsidP="00F7493D">
            <w:pPr>
              <w:pStyle w:val="NormalWeb"/>
              <w:spacing w:line="360" w:lineRule="auto"/>
            </w:pPr>
            <w:r w:rsidRPr="00416BEC">
              <w:t>Sur le plan de la perception, ce prix traduit un positionnement orienté vers un segment de consommateurs recherchant la qualité, l’authenticité et les bén</w:t>
            </w:r>
            <w:r w:rsidRPr="00416BEC">
              <w:t>é</w:t>
            </w:r>
            <w:r w:rsidRPr="00416BEC">
              <w:t>fices santé. Il agit ainsi comme un signal de qualité, particulièrement sur les marchés internationaux où les produits premium sont étroitement liés à la tr</w:t>
            </w:r>
            <w:r w:rsidRPr="00416BEC">
              <w:t>a</w:t>
            </w:r>
            <w:r w:rsidRPr="00416BEC">
              <w:t>çabilité et aux standards biologiques.</w:t>
            </w:r>
          </w:p>
          <w:p w:rsidR="005236B6" w:rsidRPr="00416BEC" w:rsidRDefault="005236B6" w:rsidP="00F7493D">
            <w:pPr>
              <w:pStyle w:val="NormalWeb"/>
              <w:spacing w:line="360" w:lineRule="auto"/>
            </w:pPr>
            <w:r w:rsidRPr="00416BEC">
              <w:t>Cette légitimité est renforcée par les certifications et les récompenses intern</w:t>
            </w:r>
            <w:r w:rsidRPr="00416BEC">
              <w:t>a</w:t>
            </w:r>
            <w:r w:rsidRPr="00416BEC">
              <w:t>tionales obtenues dans plusieurs pays (Italie, Japon, États-Unis, Canada et pays du Golfe), qui constituent des preuves objectives de conformité aux exigences des huiles d’olive extra vierges de haute gamme.</w:t>
            </w:r>
          </w:p>
          <w:p w:rsidR="005236B6" w:rsidRDefault="005236B6" w:rsidP="00F7493D">
            <w:pPr>
              <w:pStyle w:val="NormalWeb"/>
              <w:spacing w:line="360" w:lineRule="auto"/>
            </w:pPr>
            <w:r w:rsidRPr="00416BEC">
              <w:t>Enfin, le packaging contribue indirectement à ce positionnement. Le recours au verre foncé, en plus de ses propriétés de conservation, participe à l’image haut de gamme du produit, soutenant ainsi la cohérence globale de la stratégie tarifaire sans en être le facteur principal.</w:t>
            </w:r>
          </w:p>
        </w:tc>
      </w:tr>
      <w:tr w:rsidR="005236B6" w:rsidTr="00D1049F">
        <w:tc>
          <w:tcPr>
            <w:tcW w:w="1560" w:type="dxa"/>
            <w:vAlign w:val="center"/>
          </w:tcPr>
          <w:p w:rsidR="005236B6" w:rsidRPr="00DF3BF8" w:rsidRDefault="005236B6" w:rsidP="00F7493D">
            <w:pPr>
              <w:spacing w:line="360" w:lineRule="auto"/>
              <w:rPr>
                <w:rFonts w:asciiTheme="majorBidi" w:hAnsiTheme="majorBidi" w:cstheme="majorBidi"/>
                <w:b/>
                <w:bCs/>
                <w:sz w:val="24"/>
                <w:szCs w:val="24"/>
              </w:rPr>
            </w:pPr>
            <w:r w:rsidRPr="00DF3BF8">
              <w:rPr>
                <w:rFonts w:asciiTheme="majorBidi" w:hAnsiTheme="majorBidi" w:cstheme="majorBidi"/>
                <w:b/>
                <w:bCs/>
                <w:sz w:val="24"/>
                <w:szCs w:val="24"/>
              </w:rPr>
              <w:t>Distribution</w:t>
            </w:r>
          </w:p>
        </w:tc>
        <w:tc>
          <w:tcPr>
            <w:tcW w:w="7824" w:type="dxa"/>
          </w:tcPr>
          <w:p w:rsidR="005236B6" w:rsidRDefault="005236B6" w:rsidP="00F7493D">
            <w:pPr>
              <w:pStyle w:val="NormalWeb"/>
              <w:spacing w:line="360" w:lineRule="auto"/>
            </w:pPr>
            <w:r>
              <w:t xml:space="preserve">    Dans le cas de l’entreprise </w:t>
            </w:r>
            <w:r>
              <w:rPr>
                <w:rStyle w:val="lev"/>
              </w:rPr>
              <w:t>Dahbia</w:t>
            </w:r>
            <w:r>
              <w:t xml:space="preserve">, la stratégie de distribution repose sur un modèle mixte combinant le marché local et les marchés internationaux, ce qui permet d’assurer à la fois une présence nationale et une expansion à l’export. Au niveau des canaux, la distribution s’effectue à travers des points de vente spécialisés en Algérie, des magasins dédiés aux produits biologiques, ainsi que des plateformes de vente en ligne (e-commerce), ce qui facilite l’accessibilité du produit pour différentes catégories de consommateurs. À </w:t>
            </w:r>
            <w:r w:rsidR="00670DAA" w:rsidRPr="00F7493D">
              <w:lastRenderedPageBreak/>
              <w:t>l’international,notre</w:t>
            </w:r>
            <w:r w:rsidRPr="00F7493D">
              <w:t xml:space="preserve"> huile est aujourd’hui présente sur la plateforme Amazon, la distribution est </w:t>
            </w:r>
            <w:r>
              <w:t>assurée par des opérations d’exportation et des partenariats avec des distributeurs étrangers, ce qui permet d’intégrer l’huile dans des ci</w:t>
            </w:r>
            <w:r>
              <w:t>r</w:t>
            </w:r>
            <w:r>
              <w:t>cuits spécialisés en produits premium et biologiques.</w:t>
            </w:r>
          </w:p>
          <w:p w:rsidR="005236B6" w:rsidRDefault="005236B6" w:rsidP="00F7493D">
            <w:pPr>
              <w:pStyle w:val="NormalWeb"/>
              <w:spacing w:line="360" w:lineRule="auto"/>
            </w:pPr>
            <w:r>
              <w:t xml:space="preserve">     Les principaux marchés à l’export sont structurés autour de régions à forte demande en produits de qualité supérieure, notamment l’Europe (France, It</w:t>
            </w:r>
            <w:r>
              <w:t>a</w:t>
            </w:r>
            <w:r>
              <w:t>lie, Allemagne, Royaume-Uni), l’Amérique du Nord (États-Unis et Canada), ainsi que les marchés du Moyen-Orient et du Golfe, où la consommation de produits biologiques haut de gamme est en croissance. Ces zones représentent des débouchés stratégiques en raison de leur sensibilité aux produits certifiés et à forte valeur ajoutée.</w:t>
            </w:r>
          </w:p>
          <w:p w:rsidR="005236B6" w:rsidRDefault="005236B6" w:rsidP="00F7493D">
            <w:pPr>
              <w:pStyle w:val="NormalWeb"/>
              <w:spacing w:line="360" w:lineRule="auto"/>
            </w:pPr>
            <w:r>
              <w:t xml:space="preserve">     Parmi les marchés internationaux clés, les États-Unis constituent un espace particulièrement important, en raison de la forte demande pour les produits biologiques et premium, ainsi que de la présence de circuits de distribution spécialisés capables de valoriser ce type de produit. Le Canada représente ég</w:t>
            </w:r>
            <w:r>
              <w:t>a</w:t>
            </w:r>
            <w:r>
              <w:t>lement un marché stratégique en raison de son ouverture aux produits agroal</w:t>
            </w:r>
            <w:r>
              <w:t>i</w:t>
            </w:r>
            <w:r>
              <w:t>mentaires de qualité, tandis que l’Europe reste un marché historique et struct</w:t>
            </w:r>
            <w:r>
              <w:t>u</w:t>
            </w:r>
            <w:r>
              <w:t>rant pour l’huile d’olive.</w:t>
            </w:r>
          </w:p>
          <w:p w:rsidR="005236B6" w:rsidRDefault="005236B6" w:rsidP="00F7493D">
            <w:pPr>
              <w:pStyle w:val="NormalWeb"/>
              <w:spacing w:line="360" w:lineRule="auto"/>
            </w:pPr>
            <w:r>
              <w:t xml:space="preserve">   Ainsi, cette organisation de la distribution permet à la marque de renforcer sa visibilité internationale, d’optimiser sa logistique grâce à la proximité entre production et transformation, et de positionner son produit comme une huile d’olive biologique premium compétitive sur les marchés mondiaux.</w:t>
            </w:r>
          </w:p>
        </w:tc>
      </w:tr>
      <w:tr w:rsidR="005236B6" w:rsidTr="00D1049F">
        <w:tc>
          <w:tcPr>
            <w:tcW w:w="1560" w:type="dxa"/>
            <w:vAlign w:val="center"/>
          </w:tcPr>
          <w:p w:rsidR="005236B6" w:rsidRPr="00DF3BF8" w:rsidRDefault="005236B6" w:rsidP="00F7493D">
            <w:pPr>
              <w:spacing w:line="360" w:lineRule="auto"/>
              <w:rPr>
                <w:rFonts w:asciiTheme="majorBidi" w:hAnsiTheme="majorBidi" w:cstheme="majorBidi"/>
                <w:b/>
                <w:bCs/>
                <w:sz w:val="24"/>
                <w:szCs w:val="24"/>
              </w:rPr>
            </w:pPr>
            <w:r w:rsidRPr="00DF3BF8">
              <w:rPr>
                <w:rFonts w:asciiTheme="majorBidi" w:hAnsiTheme="majorBidi" w:cstheme="majorBidi"/>
                <w:b/>
                <w:bCs/>
                <w:sz w:val="24"/>
                <w:szCs w:val="24"/>
              </w:rPr>
              <w:lastRenderedPageBreak/>
              <w:t>Promotion</w:t>
            </w:r>
          </w:p>
        </w:tc>
        <w:tc>
          <w:tcPr>
            <w:tcW w:w="7824" w:type="dxa"/>
          </w:tcPr>
          <w:p w:rsidR="005236B6" w:rsidRPr="00416BEC" w:rsidRDefault="005236B6" w:rsidP="00F7493D">
            <w:pPr>
              <w:pStyle w:val="NormalWeb"/>
              <w:spacing w:line="360" w:lineRule="auto"/>
            </w:pPr>
            <w:r w:rsidRPr="00416BEC">
              <w:t>La stratégie de communication de l’entreprise Dahbia s’inscrit dans une l</w:t>
            </w:r>
            <w:r w:rsidRPr="00416BEC">
              <w:t>o</w:t>
            </w:r>
            <w:r w:rsidRPr="00416BEC">
              <w:t>gique de construction de valeur et non de simple diffusion d’informations. Elle repose essentiellement sur le marketing digital, notamment via Facebook et Instagram, utilisés comme canaux de démonstration du processus de produ</w:t>
            </w:r>
            <w:r w:rsidRPr="00416BEC">
              <w:t>c</w:t>
            </w:r>
            <w:r w:rsidRPr="00416BEC">
              <w:t>tion. Toutefois, au-delà de l’aspect descriptif, cette transparence fonctionne comme un outil de légitimation : elle vise à réduire l’asymétrie d’information entre producteur et consommateur en rendant visibles les étapes clés (récolte, extraction à froid, conditionnement), ce qui renforce la confiance et la perce</w:t>
            </w:r>
            <w:r w:rsidRPr="00416BEC">
              <w:t>p</w:t>
            </w:r>
            <w:r w:rsidRPr="00416BEC">
              <w:t>tion de traçabilité.</w:t>
            </w:r>
          </w:p>
          <w:p w:rsidR="005236B6" w:rsidRPr="00416BEC" w:rsidRDefault="005236B6" w:rsidP="00F7493D">
            <w:pPr>
              <w:pStyle w:val="NormalWeb"/>
              <w:spacing w:line="360" w:lineRule="auto"/>
            </w:pPr>
            <w:r w:rsidRPr="00416BEC">
              <w:t xml:space="preserve">Dans cette perspective, le storytelling constitue un levier stratégique central. Il ne s’agit pas uniquement de raconter l’histoire du produit, mais de construire </w:t>
            </w:r>
            <w:r w:rsidRPr="00416BEC">
              <w:lastRenderedPageBreak/>
              <w:t>un discours de différenciation fondé sur des valeurs (authenticité, durabilité, qualité versus volume). Cette narration transforme le produit en symbole ide</w:t>
            </w:r>
            <w:r w:rsidRPr="00416BEC">
              <w:t>n</w:t>
            </w:r>
            <w:r w:rsidRPr="00416BEC">
              <w:t>titaire et émotionnel, ce qui permet de dépasser la concurrence par le prix pour s’inscrire dans une logique de valeur perçue. Ainsi, la marque ne vend pas un</w:t>
            </w:r>
            <w:r w:rsidRPr="00416BEC">
              <w:t>i</w:t>
            </w:r>
            <w:r w:rsidRPr="00416BEC">
              <w:t>quement une huile, mais un modèle de production et un engagement agricole.</w:t>
            </w:r>
          </w:p>
          <w:p w:rsidR="005236B6" w:rsidRPr="00416BEC" w:rsidRDefault="005236B6" w:rsidP="00F7493D">
            <w:pPr>
              <w:pStyle w:val="NormalWeb"/>
              <w:spacing w:line="360" w:lineRule="auto"/>
            </w:pPr>
            <w:r w:rsidRPr="00416BEC">
              <w:t>Les récompenses internationales jouent ici un rôle de validation externe. Elles interviennent comme des mécanismes de réduction de l’incertitude pour le consommateur et les partenaires commerciaux, en transformant la qualité pe</w:t>
            </w:r>
            <w:r w:rsidRPr="00416BEC">
              <w:t>r</w:t>
            </w:r>
            <w:r w:rsidRPr="00416BEC">
              <w:t>çue en qualité certifiée par des tiers. Leur intégration dans la communication renforce donc la crédibilité du positionnement premium et soutient la stratégie de différenciation sur les marchés internationaux.</w:t>
            </w:r>
          </w:p>
          <w:p w:rsidR="005236B6" w:rsidRPr="00416BEC" w:rsidRDefault="005236B6" w:rsidP="00F7493D">
            <w:pPr>
              <w:pStyle w:val="NormalWeb"/>
              <w:spacing w:line="360" w:lineRule="auto"/>
            </w:pPr>
            <w:r w:rsidRPr="00416BEC">
              <w:t>Enfin, la médiatisation dans la presse spécialisée et les médias économiques contribue à élargir la diffusion de cette image de marque au-delà des canaux digitaux. Elle agit comme un effet de reconnaissance institutionnelle, consol</w:t>
            </w:r>
            <w:r w:rsidRPr="00416BEC">
              <w:t>i</w:t>
            </w:r>
            <w:r w:rsidRPr="00416BEC">
              <w:t>dant la légitimité de l’entreprise dans un environnement concurrentiel où la visibilité est directement liée à la réputation. Ainsi, la communication de Da</w:t>
            </w:r>
            <w:r w:rsidRPr="00416BEC">
              <w:t>h</w:t>
            </w:r>
            <w:r w:rsidRPr="00416BEC">
              <w:t>bia ne se limite pas à informer, mais structure un ensemble cohérent de s</w:t>
            </w:r>
            <w:r w:rsidRPr="00416BEC">
              <w:t>i</w:t>
            </w:r>
            <w:r w:rsidRPr="00416BEC">
              <w:t>gnaux (digital, narration, certifications, médias) visant à construire et renforcer la valeur globale de la marque.</w:t>
            </w:r>
          </w:p>
          <w:p w:rsidR="005236B6" w:rsidRDefault="005236B6" w:rsidP="00F7493D">
            <w:pPr>
              <w:pStyle w:val="NormalWeb"/>
              <w:spacing w:line="360" w:lineRule="auto"/>
            </w:pPr>
          </w:p>
        </w:tc>
      </w:tr>
    </w:tbl>
    <w:p w:rsidR="005236B6" w:rsidRPr="00EF42E4" w:rsidRDefault="005236B6" w:rsidP="00F7493D">
      <w:pPr>
        <w:pStyle w:val="NormalWeb"/>
        <w:spacing w:line="360" w:lineRule="auto"/>
        <w:rPr>
          <w:rFonts w:asciiTheme="majorBidi" w:hAnsiTheme="majorBidi" w:cstheme="majorBidi"/>
          <w:sz w:val="22"/>
          <w:szCs w:val="22"/>
        </w:rPr>
      </w:pPr>
      <w:r w:rsidRPr="0074138D">
        <w:rPr>
          <w:b/>
          <w:bCs/>
          <w:sz w:val="20"/>
          <w:szCs w:val="20"/>
        </w:rPr>
        <w:lastRenderedPageBreak/>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EF42E4" w:rsidRDefault="00606E4A" w:rsidP="00F7493D">
      <w:pPr>
        <w:pStyle w:val="Titre4"/>
        <w:spacing w:line="360" w:lineRule="auto"/>
        <w:rPr>
          <w:rFonts w:ascii="Times New Roman" w:hAnsi="Times New Roman"/>
          <w:b/>
          <w:bCs/>
          <w:i w:val="0"/>
          <w:iCs w:val="0"/>
          <w:color w:val="auto"/>
          <w:sz w:val="24"/>
          <w:szCs w:val="24"/>
        </w:rPr>
      </w:pPr>
      <w:bookmarkStart w:id="311" w:name="_Toc230558735"/>
      <w:bookmarkStart w:id="312" w:name="_Toc230900369"/>
      <w:r w:rsidRPr="00EF42E4">
        <w:rPr>
          <w:rFonts w:ascii="Times New Roman" w:hAnsi="Times New Roman"/>
          <w:b/>
          <w:bCs/>
          <w:i w:val="0"/>
          <w:iCs w:val="0"/>
          <w:color w:val="auto"/>
          <w:sz w:val="24"/>
          <w:szCs w:val="24"/>
        </w:rPr>
        <w:t>1.8. </w:t>
      </w:r>
      <w:r w:rsidR="005236B6" w:rsidRPr="00EF42E4">
        <w:rPr>
          <w:rFonts w:ascii="Times New Roman" w:hAnsi="Times New Roman"/>
          <w:b/>
          <w:bCs/>
          <w:i w:val="0"/>
          <w:iCs w:val="0"/>
          <w:color w:val="auto"/>
          <w:sz w:val="24"/>
          <w:szCs w:val="24"/>
        </w:rPr>
        <w:t>Contraintes et difficultés</w:t>
      </w:r>
      <w:bookmarkEnd w:id="311"/>
      <w:bookmarkEnd w:id="312"/>
    </w:p>
    <w:p w:rsidR="005236B6" w:rsidRPr="00A511C9" w:rsidRDefault="00A511C9" w:rsidP="00F7493D">
      <w:pPr>
        <w:pStyle w:val="Lgende"/>
        <w:spacing w:line="360" w:lineRule="auto"/>
        <w:rPr>
          <w:rFonts w:asciiTheme="majorBidi" w:eastAsia="Calibri" w:hAnsiTheme="majorBidi" w:cstheme="majorBidi"/>
          <w:b/>
          <w:bCs/>
          <w:i w:val="0"/>
          <w:iCs w:val="0"/>
          <w:color w:val="auto"/>
          <w:kern w:val="3"/>
          <w:sz w:val="24"/>
          <w:szCs w:val="24"/>
        </w:rPr>
      </w:pPr>
      <w:bookmarkStart w:id="313" w:name="_Toc230400761"/>
      <w:r w:rsidRPr="00A511C9">
        <w:rPr>
          <w:rFonts w:asciiTheme="majorBidi" w:eastAsia="Calibri" w:hAnsiTheme="majorBidi" w:cstheme="majorBidi"/>
          <w:b/>
          <w:bCs/>
          <w:i w:val="0"/>
          <w:iCs w:val="0"/>
          <w:color w:val="auto"/>
          <w:kern w:val="3"/>
          <w:sz w:val="24"/>
          <w:szCs w:val="24"/>
        </w:rPr>
        <w:t xml:space="preserve">Tableau </w:t>
      </w:r>
      <w:r w:rsidR="007B5998" w:rsidRPr="00A511C9">
        <w:rPr>
          <w:rFonts w:asciiTheme="majorBidi" w:eastAsia="Calibri" w:hAnsiTheme="majorBidi" w:cstheme="majorBidi"/>
          <w:b/>
          <w:bCs/>
          <w:i w:val="0"/>
          <w:iCs w:val="0"/>
          <w:color w:val="auto"/>
          <w:kern w:val="3"/>
          <w:sz w:val="24"/>
          <w:szCs w:val="24"/>
        </w:rPr>
        <w:fldChar w:fldCharType="begin"/>
      </w:r>
      <w:r w:rsidRPr="00A511C9">
        <w:rPr>
          <w:rFonts w:asciiTheme="majorBidi" w:eastAsia="Calibri" w:hAnsiTheme="majorBidi" w:cstheme="majorBidi"/>
          <w:b/>
          <w:bCs/>
          <w:i w:val="0"/>
          <w:iCs w:val="0"/>
          <w:color w:val="auto"/>
          <w:kern w:val="3"/>
          <w:sz w:val="24"/>
          <w:szCs w:val="24"/>
        </w:rPr>
        <w:instrText xml:space="preserve"> SEQ Tableau \* ARABIC </w:instrText>
      </w:r>
      <w:r w:rsidR="007B5998" w:rsidRPr="00A511C9">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23</w:t>
      </w:r>
      <w:r w:rsidR="007B5998" w:rsidRPr="00A511C9">
        <w:rPr>
          <w:rFonts w:asciiTheme="majorBidi" w:eastAsia="Calibri" w:hAnsiTheme="majorBidi" w:cstheme="majorBidi"/>
          <w:b/>
          <w:bCs/>
          <w:i w:val="0"/>
          <w:iCs w:val="0"/>
          <w:color w:val="auto"/>
          <w:kern w:val="3"/>
          <w:sz w:val="24"/>
          <w:szCs w:val="24"/>
        </w:rPr>
        <w:fldChar w:fldCharType="end"/>
      </w:r>
      <w:r w:rsidRPr="00A511C9">
        <w:rPr>
          <w:rFonts w:asciiTheme="majorBidi" w:eastAsia="Calibri" w:hAnsiTheme="majorBidi" w:cstheme="majorBidi"/>
          <w:b/>
          <w:bCs/>
          <w:i w:val="0"/>
          <w:iCs w:val="0"/>
          <w:color w:val="auto"/>
          <w:kern w:val="3"/>
          <w:sz w:val="24"/>
          <w:szCs w:val="24"/>
        </w:rPr>
        <w:t xml:space="preserve"> : </w:t>
      </w:r>
      <w:r w:rsidRPr="00A511C9">
        <w:rPr>
          <w:rFonts w:asciiTheme="majorBidi" w:eastAsia="Calibri" w:hAnsiTheme="majorBidi" w:cstheme="majorBidi"/>
          <w:i w:val="0"/>
          <w:iCs w:val="0"/>
          <w:color w:val="auto"/>
          <w:kern w:val="3"/>
          <w:sz w:val="24"/>
          <w:szCs w:val="24"/>
        </w:rPr>
        <w:t>Contraintes et défis de l’entreprise Dahbia</w:t>
      </w:r>
      <w:bookmarkEnd w:id="313"/>
    </w:p>
    <w:tbl>
      <w:tblPr>
        <w:tblStyle w:val="Grilledutableau"/>
        <w:tblW w:w="8931" w:type="dxa"/>
        <w:tblInd w:w="-5" w:type="dxa"/>
        <w:tblLook w:val="04A0"/>
      </w:tblPr>
      <w:tblGrid>
        <w:gridCol w:w="1956"/>
        <w:gridCol w:w="6975"/>
      </w:tblGrid>
      <w:tr w:rsidR="005236B6" w:rsidTr="00140168">
        <w:tc>
          <w:tcPr>
            <w:tcW w:w="1956" w:type="dxa"/>
          </w:tcPr>
          <w:p w:rsidR="005236B6" w:rsidRDefault="005236B6" w:rsidP="00F7493D">
            <w:pPr>
              <w:pStyle w:val="NormalWeb"/>
              <w:spacing w:line="360" w:lineRule="auto"/>
              <w:jc w:val="center"/>
            </w:pPr>
            <w:r w:rsidRPr="00B03E02">
              <w:rPr>
                <w:rFonts w:asciiTheme="majorBidi" w:hAnsiTheme="majorBidi" w:cstheme="majorBidi"/>
                <w:b/>
                <w:bCs/>
              </w:rPr>
              <w:t>Thème</w:t>
            </w:r>
          </w:p>
        </w:tc>
        <w:tc>
          <w:tcPr>
            <w:tcW w:w="6975" w:type="dxa"/>
          </w:tcPr>
          <w:p w:rsidR="005236B6" w:rsidRDefault="005236B6" w:rsidP="00F7493D">
            <w:pPr>
              <w:pStyle w:val="NormalWeb"/>
              <w:spacing w:line="360" w:lineRule="auto"/>
              <w:jc w:val="center"/>
            </w:pPr>
            <w:r>
              <w:rPr>
                <w:rStyle w:val="lev"/>
              </w:rPr>
              <w:t>Synthèse des réponses des personnes interrogées</w:t>
            </w:r>
          </w:p>
        </w:tc>
      </w:tr>
      <w:tr w:rsidR="005236B6" w:rsidTr="00140168">
        <w:tc>
          <w:tcPr>
            <w:tcW w:w="1956" w:type="dxa"/>
          </w:tcPr>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rFonts w:asciiTheme="majorBidi" w:hAnsiTheme="majorBidi" w:cstheme="majorBidi"/>
                <w:b/>
                <w:bCs/>
                <w:sz w:val="28"/>
                <w:szCs w:val="28"/>
              </w:rPr>
            </w:pPr>
          </w:p>
          <w:p w:rsidR="005236B6" w:rsidRDefault="005236B6" w:rsidP="00F7493D">
            <w:pPr>
              <w:spacing w:line="360" w:lineRule="auto"/>
              <w:rPr>
                <w:lang w:eastAsia="fr-FR"/>
              </w:rPr>
            </w:pPr>
            <w:r w:rsidRPr="00330860">
              <w:rPr>
                <w:rFonts w:asciiTheme="majorBidi" w:hAnsiTheme="majorBidi" w:cstheme="majorBidi"/>
                <w:b/>
                <w:bCs/>
                <w:sz w:val="28"/>
                <w:szCs w:val="28"/>
              </w:rPr>
              <w:t>Contraintes et difficultés</w:t>
            </w:r>
          </w:p>
        </w:tc>
        <w:tc>
          <w:tcPr>
            <w:tcW w:w="6975" w:type="dxa"/>
          </w:tcPr>
          <w:p w:rsidR="005236B6" w:rsidRDefault="005236B6" w:rsidP="00F7493D">
            <w:pPr>
              <w:pStyle w:val="NormalWeb"/>
              <w:spacing w:line="360" w:lineRule="auto"/>
            </w:pPr>
            <w:r>
              <w:lastRenderedPageBreak/>
              <w:t xml:space="preserve">      Dans le cas de l’entreprise </w:t>
            </w:r>
            <w:r>
              <w:rPr>
                <w:rStyle w:val="lev"/>
              </w:rPr>
              <w:t>Dahbia</w:t>
            </w:r>
            <w:r>
              <w:t>, la production biologique est marquée par plusieurs contraintes structurelles mesurables. Sur le plan économique, le coût de production est plus élevé que dans l’agriculture conventionnelle en raison de l’absence d’intrants ch</w:t>
            </w:r>
            <w:r>
              <w:t>i</w:t>
            </w:r>
            <w:r>
              <w:t>miques et du recours à une main-d’œuvre intensive. Cet effet est a</w:t>
            </w:r>
            <w:r>
              <w:t>c</w:t>
            </w:r>
            <w:r>
              <w:t>centué par la faiblesse du rendement liée à la récolte précoce (</w:t>
            </w:r>
            <w:r>
              <w:rPr>
                <w:rStyle w:val="Accentuation"/>
              </w:rPr>
              <w:t>Early Harvest</w:t>
            </w:r>
            <w:r>
              <w:t xml:space="preserve">), où la productivité atteint en moyenne </w:t>
            </w:r>
            <w:r>
              <w:rPr>
                <w:rStyle w:val="lev"/>
              </w:rPr>
              <w:t>6 à 10 litres d’huile pour 100 kg d’olives</w:t>
            </w:r>
            <w:r>
              <w:t xml:space="preserve">, contre des rendements plus élevés en récolte </w:t>
            </w:r>
            <w:r>
              <w:lastRenderedPageBreak/>
              <w:t>tardive, ce qui augmente mécaniquement le coût unitaire. À cela s’ajoute une forte dépendance aux conditions climatiques, notamment la pluviométrie annuelle en Algérie qui peut varier approximativ</w:t>
            </w:r>
            <w:r>
              <w:t>e</w:t>
            </w:r>
            <w:r>
              <w:t xml:space="preserve">ment entre </w:t>
            </w:r>
            <w:r>
              <w:rPr>
                <w:rStyle w:val="lev"/>
              </w:rPr>
              <w:t>200 mm et 600 mm selon les régions</w:t>
            </w:r>
            <w:r>
              <w:t>, entraînant des flu</w:t>
            </w:r>
            <w:r>
              <w:t>c</w:t>
            </w:r>
            <w:r>
              <w:t>tuations importantes de production d’une campagne à l’autre. Par exemple, une baisse de précipitations ou une période de sécheresse peut réduire significativement la charge en olives et donc la capacité de production globale, même si la qualité reste élevée.</w:t>
            </w:r>
          </w:p>
          <w:p w:rsidR="005236B6" w:rsidRDefault="005236B6" w:rsidP="00F7493D">
            <w:pPr>
              <w:pStyle w:val="NormalWeb"/>
              <w:spacing w:line="360" w:lineRule="auto"/>
            </w:pPr>
            <w:r>
              <w:t xml:space="preserve">     Concernant les défis liés à l’exportation, la concurrence internati</w:t>
            </w:r>
            <w:r>
              <w:t>o</w:t>
            </w:r>
            <w:r>
              <w:t xml:space="preserve">nale est très forte, dominée par des pays comme l’Espagne, l’Italie et la Grèce qui représentent plus de </w:t>
            </w:r>
            <w:r>
              <w:rPr>
                <w:rStyle w:val="lev"/>
              </w:rPr>
              <w:t>60 % de la production mondiale d’huile d’olive</w:t>
            </w:r>
            <w:r>
              <w:t>, ce qui impose à l’entreprise un positionnement basé sur la différenciation qualitative plutôt que sur les volumes. Les ma</w:t>
            </w:r>
            <w:r>
              <w:t>r</w:t>
            </w:r>
            <w:r>
              <w:t>chés internationaux exigent également des certifications strictes et des contrôles réguliers, ce qui implique des coûts additionnels liés à la conformité et aux audits.</w:t>
            </w:r>
          </w:p>
          <w:p w:rsidR="005236B6" w:rsidRDefault="005236B6" w:rsidP="00F7493D">
            <w:pPr>
              <w:pStyle w:val="NormalWeb"/>
              <w:spacing w:line="360" w:lineRule="auto"/>
            </w:pPr>
            <w:r>
              <w:t xml:space="preserve">    Sur le plan logistique et marketing, les contraintes concernent pri</w:t>
            </w:r>
            <w:r>
              <w:t>n</w:t>
            </w:r>
            <w:r>
              <w:t xml:space="preserve">cipalement la chaîne d’exportation, où les délais de transport maritime peuvent varier entre </w:t>
            </w:r>
            <w:r>
              <w:rPr>
                <w:rStyle w:val="lev"/>
              </w:rPr>
              <w:t>7 et 21 jours selon la destination (Europe, Amérique du Nord ou Moyen-Orient)</w:t>
            </w:r>
            <w:r>
              <w:t>, nécessitant un conditionn</w:t>
            </w:r>
            <w:r>
              <w:t>e</w:t>
            </w:r>
            <w:r>
              <w:t>ment adapté pour préserver la qualité du produit. L’huile étant se</w:t>
            </w:r>
            <w:r>
              <w:t>n</w:t>
            </w:r>
            <w:r>
              <w:t>sible à la lumière et à la chaleur, toute rupture dans la chaîne du froid ou exposition prolongée peut altérer ses propriétés organoleptiques. Pour y remédier, l’entreprise s’appuie sur un emballage en verre foncé et sur des partenaires logistiques spécialisés dans les produits agro</w:t>
            </w:r>
            <w:r>
              <w:t>a</w:t>
            </w:r>
            <w:r>
              <w:t>limentaires premium.</w:t>
            </w:r>
          </w:p>
          <w:p w:rsidR="005236B6" w:rsidRDefault="005236B6" w:rsidP="00F7493D">
            <w:pPr>
              <w:pStyle w:val="NormalWeb"/>
              <w:spacing w:line="360" w:lineRule="auto"/>
            </w:pPr>
            <w:r>
              <w:t xml:space="preserve">     Ainsi, malgré ces contraintes, la stratégie adoptée repose sur la valorisation de la qualité biologique, des certifications et du positio</w:t>
            </w:r>
            <w:r>
              <w:t>n</w:t>
            </w:r>
            <w:r>
              <w:t>nement premium, permettant de transformer ces difficultés struct</w:t>
            </w:r>
            <w:r>
              <w:t>u</w:t>
            </w:r>
            <w:r>
              <w:t>relles en avantage concurrentiel sur les marchés internationaux.</w:t>
            </w:r>
          </w:p>
        </w:tc>
      </w:tr>
    </w:tbl>
    <w:p w:rsidR="006A7554" w:rsidRPr="006A7554" w:rsidRDefault="005236B6" w:rsidP="00F7493D">
      <w:pPr>
        <w:spacing w:line="360" w:lineRule="auto"/>
        <w:rPr>
          <w:rFonts w:ascii="Times New Roman" w:hAnsi="Times New Roman" w:cs="Times New Roman"/>
          <w:sz w:val="20"/>
          <w:szCs w:val="20"/>
        </w:rPr>
      </w:pPr>
      <w:r w:rsidRPr="006A7554">
        <w:rPr>
          <w:rFonts w:ascii="Times New Roman" w:hAnsi="Times New Roman" w:cs="Times New Roman"/>
          <w:sz w:val="20"/>
          <w:szCs w:val="20"/>
        </w:rPr>
        <w:lastRenderedPageBreak/>
        <w:t xml:space="preserve">Source : élaboré par les étudiantes sur la base des données issues des entretiens réalisés sur le terrain. </w:t>
      </w:r>
    </w:p>
    <w:p w:rsidR="005236B6" w:rsidRPr="00EF42E4" w:rsidRDefault="00606E4A" w:rsidP="00F7493D">
      <w:pPr>
        <w:pStyle w:val="Titre4"/>
        <w:spacing w:line="360" w:lineRule="auto"/>
        <w:rPr>
          <w:rFonts w:ascii="Times New Roman" w:hAnsi="Times New Roman"/>
          <w:b/>
          <w:bCs/>
          <w:i w:val="0"/>
          <w:iCs w:val="0"/>
          <w:color w:val="auto"/>
          <w:sz w:val="24"/>
          <w:szCs w:val="24"/>
        </w:rPr>
      </w:pPr>
      <w:bookmarkStart w:id="314" w:name="_Toc230558736"/>
      <w:bookmarkStart w:id="315" w:name="_Toc230900370"/>
      <w:r w:rsidRPr="00EF42E4">
        <w:rPr>
          <w:rFonts w:ascii="Times New Roman" w:hAnsi="Times New Roman"/>
          <w:b/>
          <w:bCs/>
          <w:i w:val="0"/>
          <w:iCs w:val="0"/>
          <w:color w:val="auto"/>
          <w:sz w:val="24"/>
          <w:szCs w:val="24"/>
        </w:rPr>
        <w:t>1.9.</w:t>
      </w:r>
      <w:r w:rsidR="005236B6" w:rsidRPr="00EF42E4">
        <w:rPr>
          <w:rFonts w:ascii="Times New Roman" w:hAnsi="Times New Roman"/>
          <w:b/>
          <w:bCs/>
          <w:i w:val="0"/>
          <w:iCs w:val="0"/>
          <w:color w:val="auto"/>
          <w:sz w:val="24"/>
          <w:szCs w:val="24"/>
        </w:rPr>
        <w:t>Perspectives et développement futur</w:t>
      </w:r>
      <w:bookmarkEnd w:id="314"/>
      <w:bookmarkEnd w:id="315"/>
    </w:p>
    <w:p w:rsidR="005236B6" w:rsidRPr="00A511C9" w:rsidRDefault="00A511C9" w:rsidP="00F7493D">
      <w:pPr>
        <w:pStyle w:val="Lgende"/>
        <w:spacing w:line="360" w:lineRule="auto"/>
        <w:rPr>
          <w:rFonts w:ascii="Times New Roman" w:hAnsi="Times New Roman" w:cs="Times New Roman"/>
          <w:b/>
          <w:bCs/>
          <w:i w:val="0"/>
          <w:iCs w:val="0"/>
          <w:color w:val="auto"/>
          <w:kern w:val="2"/>
          <w:sz w:val="24"/>
          <w:szCs w:val="24"/>
        </w:rPr>
      </w:pPr>
      <w:bookmarkStart w:id="316" w:name="_Toc230400762"/>
      <w:r w:rsidRPr="00A511C9">
        <w:rPr>
          <w:rFonts w:ascii="Times New Roman" w:hAnsi="Times New Roman" w:cs="Times New Roman"/>
          <w:b/>
          <w:bCs/>
          <w:i w:val="0"/>
          <w:iCs w:val="0"/>
          <w:color w:val="auto"/>
          <w:kern w:val="2"/>
          <w:sz w:val="24"/>
          <w:szCs w:val="24"/>
        </w:rPr>
        <w:t xml:space="preserve">Tableau </w:t>
      </w:r>
      <w:r w:rsidR="007B5998" w:rsidRPr="00A511C9">
        <w:rPr>
          <w:rFonts w:ascii="Times New Roman" w:hAnsi="Times New Roman" w:cs="Times New Roman"/>
          <w:b/>
          <w:bCs/>
          <w:i w:val="0"/>
          <w:iCs w:val="0"/>
          <w:color w:val="auto"/>
          <w:kern w:val="2"/>
          <w:sz w:val="24"/>
          <w:szCs w:val="24"/>
        </w:rPr>
        <w:fldChar w:fldCharType="begin"/>
      </w:r>
      <w:r w:rsidRPr="00A511C9">
        <w:rPr>
          <w:rFonts w:ascii="Times New Roman" w:hAnsi="Times New Roman" w:cs="Times New Roman"/>
          <w:b/>
          <w:bCs/>
          <w:i w:val="0"/>
          <w:iCs w:val="0"/>
          <w:color w:val="auto"/>
          <w:kern w:val="2"/>
          <w:sz w:val="24"/>
          <w:szCs w:val="24"/>
        </w:rPr>
        <w:instrText xml:space="preserve"> SEQ Tableau \* ARABIC </w:instrText>
      </w:r>
      <w:r w:rsidR="007B5998" w:rsidRPr="00A511C9">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24</w:t>
      </w:r>
      <w:r w:rsidR="007B5998" w:rsidRPr="00A511C9">
        <w:rPr>
          <w:rFonts w:ascii="Times New Roman" w:hAnsi="Times New Roman" w:cs="Times New Roman"/>
          <w:b/>
          <w:bCs/>
          <w:i w:val="0"/>
          <w:iCs w:val="0"/>
          <w:color w:val="auto"/>
          <w:kern w:val="2"/>
          <w:sz w:val="24"/>
          <w:szCs w:val="24"/>
        </w:rPr>
        <w:fldChar w:fldCharType="end"/>
      </w:r>
      <w:r w:rsidRPr="00A511C9">
        <w:rPr>
          <w:rFonts w:ascii="Times New Roman" w:hAnsi="Times New Roman" w:cs="Times New Roman"/>
          <w:b/>
          <w:bCs/>
          <w:i w:val="0"/>
          <w:iCs w:val="0"/>
          <w:color w:val="auto"/>
          <w:kern w:val="2"/>
          <w:sz w:val="24"/>
          <w:szCs w:val="24"/>
        </w:rPr>
        <w:t xml:space="preserve"> : </w:t>
      </w:r>
      <w:r w:rsidRPr="00A511C9">
        <w:rPr>
          <w:rFonts w:ascii="Times New Roman" w:hAnsi="Times New Roman" w:cs="Times New Roman"/>
          <w:i w:val="0"/>
          <w:iCs w:val="0"/>
          <w:color w:val="auto"/>
          <w:kern w:val="2"/>
          <w:sz w:val="24"/>
          <w:szCs w:val="24"/>
        </w:rPr>
        <w:t>Perspectives de développement et stratégies futures de l’entreprise Dahbia</w:t>
      </w:r>
      <w:bookmarkEnd w:id="316"/>
    </w:p>
    <w:tbl>
      <w:tblPr>
        <w:tblStyle w:val="Grilledutableau"/>
        <w:tblW w:w="8931" w:type="dxa"/>
        <w:tblInd w:w="-5" w:type="dxa"/>
        <w:tblLook w:val="04A0"/>
      </w:tblPr>
      <w:tblGrid>
        <w:gridCol w:w="2269"/>
        <w:gridCol w:w="6662"/>
      </w:tblGrid>
      <w:tr w:rsidR="005236B6" w:rsidTr="00A511C9">
        <w:tc>
          <w:tcPr>
            <w:tcW w:w="2269" w:type="dxa"/>
          </w:tcPr>
          <w:p w:rsidR="005236B6" w:rsidRDefault="005236B6" w:rsidP="00F7493D">
            <w:pPr>
              <w:pStyle w:val="NormalWeb"/>
              <w:spacing w:line="360" w:lineRule="auto"/>
              <w:jc w:val="center"/>
            </w:pPr>
            <w:r w:rsidRPr="00B03E02">
              <w:rPr>
                <w:rFonts w:asciiTheme="majorBidi" w:hAnsiTheme="majorBidi" w:cstheme="majorBidi"/>
                <w:b/>
                <w:bCs/>
              </w:rPr>
              <w:lastRenderedPageBreak/>
              <w:t>Thème</w:t>
            </w:r>
          </w:p>
        </w:tc>
        <w:tc>
          <w:tcPr>
            <w:tcW w:w="6662" w:type="dxa"/>
          </w:tcPr>
          <w:p w:rsidR="005236B6" w:rsidRDefault="005236B6" w:rsidP="00F7493D">
            <w:pPr>
              <w:pStyle w:val="NormalWeb"/>
              <w:spacing w:line="360" w:lineRule="auto"/>
              <w:jc w:val="center"/>
            </w:pPr>
            <w:r>
              <w:rPr>
                <w:rStyle w:val="lev"/>
              </w:rPr>
              <w:t>Synthèse des réponses des personnes interrogées</w:t>
            </w:r>
          </w:p>
        </w:tc>
      </w:tr>
      <w:tr w:rsidR="005236B6" w:rsidTr="00A511C9">
        <w:tc>
          <w:tcPr>
            <w:tcW w:w="2269" w:type="dxa"/>
          </w:tcPr>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28"/>
                <w:szCs w:val="28"/>
              </w:rPr>
            </w:pPr>
          </w:p>
          <w:p w:rsidR="005236B6" w:rsidRDefault="005236B6" w:rsidP="00F7493D">
            <w:pPr>
              <w:spacing w:line="360" w:lineRule="auto"/>
              <w:jc w:val="center"/>
              <w:rPr>
                <w:rFonts w:asciiTheme="majorBidi" w:hAnsiTheme="majorBidi" w:cstheme="majorBidi"/>
                <w:b/>
                <w:bCs/>
                <w:sz w:val="56"/>
                <w:szCs w:val="56"/>
              </w:rPr>
            </w:pPr>
            <w:r w:rsidRPr="00330860">
              <w:rPr>
                <w:rFonts w:asciiTheme="majorBidi" w:hAnsiTheme="majorBidi" w:cstheme="majorBidi"/>
                <w:b/>
                <w:bCs/>
                <w:sz w:val="28"/>
                <w:szCs w:val="28"/>
              </w:rPr>
              <w:t>Perspectives et développement futur</w:t>
            </w:r>
          </w:p>
          <w:p w:rsidR="005236B6" w:rsidRDefault="005236B6" w:rsidP="00F7493D">
            <w:pPr>
              <w:spacing w:line="360" w:lineRule="auto"/>
              <w:rPr>
                <w:lang w:eastAsia="fr-FR"/>
              </w:rPr>
            </w:pPr>
          </w:p>
        </w:tc>
        <w:tc>
          <w:tcPr>
            <w:tcW w:w="6662" w:type="dxa"/>
          </w:tcPr>
          <w:p w:rsidR="005236B6" w:rsidRPr="00662F19" w:rsidRDefault="005236B6" w:rsidP="00F7493D">
            <w:pPr>
              <w:pStyle w:val="NormalWeb"/>
              <w:spacing w:line="360" w:lineRule="auto"/>
            </w:pPr>
            <w:r w:rsidRPr="00662F19">
              <w:t>Dans le cas de l’entreprise Dahbia, les perspectives de développ</w:t>
            </w:r>
            <w:r w:rsidRPr="00662F19">
              <w:t>e</w:t>
            </w:r>
            <w:r w:rsidRPr="00662F19">
              <w:t>ment reposent principalement sur une stratégie d’expansion inte</w:t>
            </w:r>
            <w:r w:rsidRPr="00662F19">
              <w:t>r</w:t>
            </w:r>
            <w:r w:rsidRPr="00662F19">
              <w:t>nationale et de montée en gamme. L’entreprise prévoit également d’augmenter sa capacité de production jusqu’à 60 tonnes quot</w:t>
            </w:r>
            <w:r w:rsidRPr="00662F19">
              <w:t>i</w:t>
            </w:r>
            <w:r w:rsidRPr="00662F19">
              <w:t>diennes, tout en maintenant des standards de qualité élevés, ce qui renforce sa compétitivité sur les marchés internationaux. Elle env</w:t>
            </w:r>
            <w:r w:rsidRPr="00662F19">
              <w:t>i</w:t>
            </w:r>
            <w:r w:rsidRPr="00662F19">
              <w:t>sage de consolider sa présence sur de nouveaux marchés à forte valeur ajoutée, notamment en Asie et en Amérique du Nord, en complément des marchés déjà ciblés en Europe et dans les pays du Golfe. Par ailleurs, la qualité de ses produits est confirmée par l’obtention de plus de 40 distinctions internationales, qui viennent appuyer la crédibilité et la reconnaissance mondiale de la marque. À long terme, l’objectif est de consolider la position de la marque comme acteur de référence dans l’huile d’olive biologique pr</w:t>
            </w:r>
            <w:r w:rsidRPr="00662F19">
              <w:t>e</w:t>
            </w:r>
            <w:r w:rsidRPr="00662F19">
              <w:t>mium, en s’appuyant sur ces acquis en matière de qualité, de cert</w:t>
            </w:r>
            <w:r w:rsidRPr="00662F19">
              <w:t>i</w:t>
            </w:r>
            <w:r w:rsidRPr="00662F19">
              <w:t>fications internationales et de récompenses pour soutenir sa croi</w:t>
            </w:r>
            <w:r w:rsidRPr="00662F19">
              <w:t>s</w:t>
            </w:r>
            <w:r w:rsidRPr="00662F19">
              <w:t>sance.</w:t>
            </w:r>
          </w:p>
          <w:p w:rsidR="005236B6" w:rsidRPr="00662F19" w:rsidRDefault="005236B6" w:rsidP="00F7493D">
            <w:pPr>
              <w:pStyle w:val="NormalWeb"/>
              <w:spacing w:line="360" w:lineRule="auto"/>
            </w:pPr>
            <w:r w:rsidRPr="00662F19">
              <w:t>Le projet d’écotourisme à Djelfa représente un axe stratégique important de diversification. Il consiste à valoriser le site de pr</w:t>
            </w:r>
            <w:r w:rsidRPr="00662F19">
              <w:t>o</w:t>
            </w:r>
            <w:r w:rsidRPr="00662F19">
              <w:t>duction et les oliveraies en proposant une expérience immersive autour du processus de fabrication de l’huile d’olive. Ce projet permettrait de renforcer l’image d’authenticité et de transparence de la marque, en rapprochant le consommateur de la réalité de la production biologique. Il contribue également à transformer l’activité agricole en levier économique complémentaire, en ass</w:t>
            </w:r>
            <w:r w:rsidRPr="00662F19">
              <w:t>o</w:t>
            </w:r>
            <w:r w:rsidRPr="00662F19">
              <w:t>ciant production, tourisme et valorisation du terroir. Ainsi, l’écotourisme devient un outil de communication directe qui re</w:t>
            </w:r>
            <w:r w:rsidRPr="00662F19">
              <w:t>n</w:t>
            </w:r>
            <w:r w:rsidRPr="00662F19">
              <w:t>force la notoriété de la marque tout en diversifiant ses sources de revenus.</w:t>
            </w:r>
          </w:p>
          <w:p w:rsidR="005236B6" w:rsidRPr="00662F19" w:rsidRDefault="005236B6" w:rsidP="00F7493D">
            <w:pPr>
              <w:pStyle w:val="NormalWeb"/>
              <w:spacing w:line="360" w:lineRule="auto"/>
            </w:pPr>
            <w:r w:rsidRPr="00662F19">
              <w:t xml:space="preserve">Concernant les recommandations pour améliorer la production biologique en Algérie, plusieurs axes sont proposés. D’abord, sur le plan technique, il est nécessaire d’améliorer l’encadrement des </w:t>
            </w:r>
            <w:r w:rsidRPr="00662F19">
              <w:lastRenderedPageBreak/>
              <w:t>producteurs, de renforcer la formation aux pratiques biologiques et de développer l’accès aux technologies modernes de transform</w:t>
            </w:r>
            <w:r w:rsidRPr="00662F19">
              <w:t>a</w:t>
            </w:r>
            <w:r w:rsidRPr="00662F19">
              <w:t>tion et de contrôle qualité. Ensuite, sur le plan institutionnel, la simplification des procédures de certification biologique et le re</w:t>
            </w:r>
            <w:r w:rsidRPr="00662F19">
              <w:t>n</w:t>
            </w:r>
            <w:r w:rsidRPr="00662F19">
              <w:t>forcement des dispositifs d’accompagnement à l’exportation con</w:t>
            </w:r>
            <w:r w:rsidRPr="00662F19">
              <w:t>s</w:t>
            </w:r>
            <w:r w:rsidRPr="00662F19">
              <w:t>tituent des leviers essentiels pour encourager le développement du secteur. Enfin, sur le plan organisationnel, la structuration des f</w:t>
            </w:r>
            <w:r w:rsidRPr="00662F19">
              <w:t>i</w:t>
            </w:r>
            <w:r w:rsidRPr="00662F19">
              <w:t>lières à travers des coopératives et l’amélioration des infrastru</w:t>
            </w:r>
            <w:r w:rsidRPr="00662F19">
              <w:t>c</w:t>
            </w:r>
            <w:r w:rsidRPr="00662F19">
              <w:t>tures logistiques permettraient de réduire les coûts et d’augmenter la compétitivité des producteurs.</w:t>
            </w:r>
          </w:p>
          <w:p w:rsidR="005236B6" w:rsidRDefault="005236B6" w:rsidP="00F7493D">
            <w:pPr>
              <w:pStyle w:val="NormalWeb"/>
              <w:spacing w:line="360" w:lineRule="auto"/>
              <w:rPr>
                <w:rtl/>
              </w:rPr>
            </w:pPr>
            <w:r w:rsidRPr="00662F19">
              <w:t>Ainsi, ces perspectives montrent que le développement futur de la filière ne dépend pas uniquement de la production elle-même, mais aussi de la diversification des activités, de l’ouverture à l’international et de l’intégration de nouvelles approches écon</w:t>
            </w:r>
            <w:r w:rsidRPr="00662F19">
              <w:t>o</w:t>
            </w:r>
            <w:r w:rsidRPr="00662F19">
              <w:t>miques comme l’écotourisme et la valorisation territoriale.</w:t>
            </w:r>
          </w:p>
          <w:p w:rsidR="005236B6" w:rsidRDefault="005236B6" w:rsidP="00F7493D">
            <w:pPr>
              <w:pStyle w:val="NormalWeb"/>
              <w:spacing w:line="360" w:lineRule="auto"/>
            </w:pPr>
            <w:r w:rsidRPr="00494B18">
              <w:t>Nous avons pour projet de mettre au point un éco-tourisme co</w:t>
            </w:r>
            <w:r w:rsidRPr="00494B18">
              <w:t>n</w:t>
            </w:r>
            <w:r w:rsidRPr="00494B18">
              <w:t>cernant l’oléiculture, en développant à partir de cette ferme a</w:t>
            </w:r>
            <w:r w:rsidRPr="00494B18">
              <w:t>u</w:t>
            </w:r>
            <w:r w:rsidRPr="00494B18">
              <w:t>berge des séjours sur réservation. Nous souhaitons accueillir aussi bien des familles que des touristes étrangers, qui découvriront a</w:t>
            </w:r>
            <w:r w:rsidRPr="00494B18">
              <w:t>u</w:t>
            </w:r>
            <w:r w:rsidRPr="00494B18">
              <w:t>tant l’oléiculture que la vie agricole. Nous entreprendrons bien sûr toutes les démarches pour obtenir les autorisations nécessaires.</w:t>
            </w:r>
          </w:p>
        </w:tc>
      </w:tr>
    </w:tbl>
    <w:p w:rsidR="005236B6" w:rsidRPr="00A71646" w:rsidRDefault="005236B6" w:rsidP="00F7493D">
      <w:pPr>
        <w:pStyle w:val="NormalWeb"/>
        <w:spacing w:line="360" w:lineRule="auto"/>
        <w:rPr>
          <w:sz w:val="22"/>
          <w:szCs w:val="22"/>
        </w:rPr>
      </w:pPr>
      <w:r w:rsidRPr="0074138D">
        <w:rPr>
          <w:b/>
          <w:bCs/>
          <w:sz w:val="20"/>
          <w:szCs w:val="20"/>
        </w:rPr>
        <w:lastRenderedPageBreak/>
        <w:t>Source :</w:t>
      </w:r>
      <w:r w:rsidRPr="00527445">
        <w:rPr>
          <w:sz w:val="22"/>
          <w:szCs w:val="22"/>
        </w:rPr>
        <w:t xml:space="preserve">élaboré par les étudiantes sur la base </w:t>
      </w:r>
      <w:r>
        <w:rPr>
          <w:rFonts w:asciiTheme="majorBidi" w:hAnsiTheme="majorBidi" w:cstheme="majorBidi"/>
          <w:sz w:val="22"/>
          <w:szCs w:val="22"/>
        </w:rPr>
        <w:t xml:space="preserve">des </w:t>
      </w:r>
      <w:r w:rsidRPr="0083511B">
        <w:rPr>
          <w:rFonts w:asciiTheme="majorBidi" w:hAnsiTheme="majorBidi" w:cstheme="majorBidi"/>
          <w:sz w:val="22"/>
          <w:szCs w:val="22"/>
        </w:rPr>
        <w:t>données issues des entretiens réalisés sur le terrain.</w:t>
      </w:r>
    </w:p>
    <w:p w:rsidR="005236B6" w:rsidRPr="00EF42E4" w:rsidRDefault="00606E4A" w:rsidP="00140168">
      <w:pPr>
        <w:pStyle w:val="Titre4"/>
        <w:spacing w:line="360" w:lineRule="auto"/>
        <w:jc w:val="both"/>
        <w:rPr>
          <w:rFonts w:ascii="Times New Roman" w:hAnsi="Times New Roman"/>
          <w:b/>
          <w:bCs/>
          <w:i w:val="0"/>
          <w:iCs w:val="0"/>
          <w:color w:val="auto"/>
          <w:sz w:val="24"/>
          <w:szCs w:val="24"/>
          <w:rtl/>
          <w:lang w:eastAsia="fr-FR" w:bidi="ar-DZ"/>
        </w:rPr>
      </w:pPr>
      <w:bookmarkStart w:id="317" w:name="_Toc230558737"/>
      <w:bookmarkStart w:id="318" w:name="_Toc230900371"/>
      <w:r w:rsidRPr="00EF42E4">
        <w:rPr>
          <w:rFonts w:ascii="Times New Roman" w:hAnsi="Times New Roman"/>
          <w:b/>
          <w:bCs/>
          <w:i w:val="0"/>
          <w:iCs w:val="0"/>
          <w:color w:val="auto"/>
          <w:sz w:val="24"/>
          <w:szCs w:val="24"/>
          <w:lang w:eastAsia="fr-FR" w:bidi="ar-DZ"/>
        </w:rPr>
        <w:t>1.10.</w:t>
      </w:r>
      <w:r w:rsidR="005236B6" w:rsidRPr="00EF42E4">
        <w:rPr>
          <w:rFonts w:ascii="Times New Roman" w:hAnsi="Times New Roman"/>
          <w:b/>
          <w:bCs/>
          <w:i w:val="0"/>
          <w:iCs w:val="0"/>
          <w:color w:val="auto"/>
          <w:sz w:val="24"/>
          <w:szCs w:val="24"/>
          <w:lang w:eastAsia="fr-FR" w:bidi="ar-DZ"/>
        </w:rPr>
        <w:t>Conclusion analytique de l’étude de cas de l’entreprise Dahbia</w:t>
      </w:r>
      <w:bookmarkEnd w:id="317"/>
      <w:bookmarkEnd w:id="318"/>
    </w:p>
    <w:p w:rsidR="005236B6" w:rsidRPr="00245B50" w:rsidRDefault="005236B6" w:rsidP="00140168">
      <w:pPr>
        <w:spacing w:line="360" w:lineRule="auto"/>
        <w:jc w:val="both"/>
        <w:rPr>
          <w:rFonts w:asciiTheme="majorBidi" w:hAnsiTheme="majorBidi" w:cstheme="majorBidi"/>
          <w:sz w:val="24"/>
          <w:szCs w:val="24"/>
          <w:lang w:eastAsia="fr-FR" w:bidi="ar-DZ"/>
        </w:rPr>
      </w:pPr>
      <w:r w:rsidRPr="00245B50">
        <w:rPr>
          <w:rFonts w:asciiTheme="majorBidi" w:hAnsiTheme="majorBidi" w:cstheme="majorBidi"/>
          <w:sz w:val="24"/>
          <w:szCs w:val="24"/>
          <w:lang w:eastAsia="fr-FR" w:bidi="ar-DZ"/>
        </w:rPr>
        <w:t>À travers l’étude de terrain réalisée au sein de l’entreprise Dahbia Huile, les résultats montrent que l’entreprise adopte une stratégie intégrée fondée sur la production et la commercialisation d’une huile d’olive biologique de haute qualité, tout en respectant les normes de qualité et de sécurité sanitaire.</w:t>
      </w:r>
    </w:p>
    <w:p w:rsidR="005236B6" w:rsidRPr="00245B50" w:rsidRDefault="005236B6" w:rsidP="00140168">
      <w:pPr>
        <w:spacing w:line="360" w:lineRule="auto"/>
        <w:jc w:val="both"/>
        <w:rPr>
          <w:rFonts w:asciiTheme="majorBidi" w:hAnsiTheme="majorBidi" w:cstheme="majorBidi"/>
          <w:sz w:val="24"/>
          <w:szCs w:val="24"/>
          <w:lang w:eastAsia="fr-FR" w:bidi="ar-DZ"/>
        </w:rPr>
      </w:pPr>
      <w:r w:rsidRPr="00245B50">
        <w:rPr>
          <w:rFonts w:asciiTheme="majorBidi" w:hAnsiTheme="majorBidi" w:cstheme="majorBidi"/>
          <w:sz w:val="24"/>
          <w:szCs w:val="24"/>
          <w:lang w:eastAsia="fr-FR" w:bidi="ar-DZ"/>
        </w:rPr>
        <w:t>Les données recueillies révèlent que l’entreprise accorde une grande importance à l’ensemble des étapes de production, depuis les pratiques agricoles biologiques et la récolte précoce jusqu’à l’extraction à froid, au stockage et au conditionnement, afin de préserver les qualités nutritionnelles et organoleptiques du produit. Les certifications internationales et les distinctions obtenues ont également contribué à renforcer la crédibilité de la marque et son positionnement sur les marchés nationaux et internationaux.</w:t>
      </w:r>
    </w:p>
    <w:p w:rsidR="005236B6" w:rsidRPr="00245B50" w:rsidRDefault="005236B6" w:rsidP="00140168">
      <w:pPr>
        <w:spacing w:line="360" w:lineRule="auto"/>
        <w:jc w:val="both"/>
        <w:rPr>
          <w:rFonts w:asciiTheme="majorBidi" w:hAnsiTheme="majorBidi" w:cstheme="majorBidi"/>
          <w:sz w:val="24"/>
          <w:szCs w:val="24"/>
          <w:lang w:eastAsia="fr-FR" w:bidi="ar-DZ"/>
        </w:rPr>
      </w:pPr>
      <w:r w:rsidRPr="00245B50">
        <w:rPr>
          <w:rFonts w:asciiTheme="majorBidi" w:hAnsiTheme="majorBidi" w:cstheme="majorBidi"/>
          <w:sz w:val="24"/>
          <w:szCs w:val="24"/>
          <w:lang w:eastAsia="fr-FR" w:bidi="ar-DZ"/>
        </w:rPr>
        <w:lastRenderedPageBreak/>
        <w:t>L’étude montre aussi que l’entreprise adopte une stratégie marketing reposant principalement sur la qualité et la différenciation plutôt que sur la production de masse, à travers le marketing digital, la valorisation du produit biologique et le renforcement de la confiance des consommateurs. Toutefois, l’entreprise fait face à plusieurs contraintes liées aux coûts élevés de production, aux conditions climatiques et aux exigences des marchés internationaux.</w:t>
      </w:r>
    </w:p>
    <w:p w:rsidR="005236B6" w:rsidRDefault="005236B6" w:rsidP="00140168">
      <w:pPr>
        <w:spacing w:line="360" w:lineRule="auto"/>
        <w:jc w:val="both"/>
        <w:rPr>
          <w:rFonts w:asciiTheme="majorBidi" w:hAnsiTheme="majorBidi" w:cstheme="majorBidi"/>
          <w:sz w:val="24"/>
          <w:szCs w:val="24"/>
          <w:lang w:eastAsia="fr-FR" w:bidi="ar-DZ"/>
        </w:rPr>
      </w:pPr>
      <w:r w:rsidRPr="00245B50">
        <w:rPr>
          <w:rFonts w:asciiTheme="majorBidi" w:hAnsiTheme="majorBidi" w:cstheme="majorBidi"/>
          <w:sz w:val="24"/>
          <w:szCs w:val="24"/>
          <w:lang w:eastAsia="fr-FR" w:bidi="ar-DZ"/>
        </w:rPr>
        <w:t>Ainsi, l’expérience de l’entreprise Dahbia apparaît comme un modèle réussi dans le domaine du marketing des produits biologiques, en associant qualité, certifications et stratégie marketing afin de renforcer la compétitivité du produit et la confiance des consommateurs.</w:t>
      </w:r>
    </w:p>
    <w:p w:rsidR="005236B6" w:rsidRPr="00EF42E4" w:rsidRDefault="005236B6" w:rsidP="00140168">
      <w:pPr>
        <w:pStyle w:val="Titre2"/>
        <w:spacing w:line="360" w:lineRule="auto"/>
        <w:jc w:val="both"/>
        <w:rPr>
          <w:rFonts w:ascii="Times New Roman" w:hAnsi="Times New Roman"/>
          <w:color w:val="auto"/>
          <w:sz w:val="24"/>
          <w:szCs w:val="24"/>
          <w:lang w:eastAsia="fr-FR" w:bidi="ar-DZ"/>
        </w:rPr>
      </w:pPr>
      <w:bookmarkStart w:id="319" w:name="_Toc230558738"/>
      <w:bookmarkStart w:id="320" w:name="_Toc230900372"/>
      <w:bookmarkStart w:id="321" w:name="_Toc230900926"/>
      <w:r w:rsidRPr="00EF42E4">
        <w:rPr>
          <w:rFonts w:ascii="Times New Roman" w:hAnsi="Times New Roman"/>
          <w:b/>
          <w:bCs/>
          <w:color w:val="auto"/>
          <w:sz w:val="24"/>
          <w:szCs w:val="24"/>
          <w:lang w:eastAsia="fr-FR" w:bidi="ar-DZ"/>
        </w:rPr>
        <w:t>Section 03 :</w:t>
      </w:r>
      <w:r w:rsidRPr="00EF42E4">
        <w:rPr>
          <w:rFonts w:ascii="Times New Roman" w:hAnsi="Times New Roman"/>
          <w:color w:val="auto"/>
          <w:sz w:val="24"/>
          <w:szCs w:val="24"/>
          <w:lang w:eastAsia="fr-FR" w:bidi="ar-DZ"/>
        </w:rPr>
        <w:t xml:space="preserve"> le cadre méthodologique et analyse de résultats de l’ étude</w:t>
      </w:r>
      <w:bookmarkEnd w:id="319"/>
      <w:bookmarkEnd w:id="320"/>
      <w:bookmarkEnd w:id="321"/>
    </w:p>
    <w:p w:rsidR="005236B6" w:rsidRPr="00245B50" w:rsidRDefault="005236B6" w:rsidP="00140168">
      <w:pPr>
        <w:spacing w:line="360" w:lineRule="auto"/>
        <w:jc w:val="both"/>
        <w:rPr>
          <w:rFonts w:asciiTheme="majorBidi" w:hAnsiTheme="majorBidi" w:cstheme="majorBidi"/>
          <w:sz w:val="24"/>
          <w:szCs w:val="24"/>
          <w:lang w:eastAsia="fr-FR" w:bidi="ar-DZ"/>
        </w:rPr>
      </w:pPr>
      <w:r w:rsidRPr="00606E4A">
        <w:rPr>
          <w:rFonts w:asciiTheme="majorBidi" w:hAnsiTheme="majorBidi" w:cstheme="majorBidi"/>
          <w:b/>
          <w:bCs/>
          <w:sz w:val="24"/>
          <w:szCs w:val="24"/>
          <w:lang w:eastAsia="fr-FR" w:bidi="ar-DZ"/>
        </w:rPr>
        <w:t>Partie 01 :</w:t>
      </w:r>
      <w:r w:rsidRPr="000A54BA">
        <w:rPr>
          <w:rFonts w:asciiTheme="majorBidi" w:hAnsiTheme="majorBidi" w:cstheme="majorBidi"/>
          <w:sz w:val="24"/>
          <w:szCs w:val="24"/>
          <w:lang w:eastAsia="fr-FR" w:bidi="ar-DZ"/>
        </w:rPr>
        <w:t xml:space="preserve"> le cadre méthodologique.</w:t>
      </w:r>
    </w:p>
    <w:p w:rsidR="005236B6" w:rsidRPr="00EF42E4" w:rsidRDefault="006E799B" w:rsidP="00140168">
      <w:pPr>
        <w:pStyle w:val="Titre3"/>
        <w:spacing w:line="360" w:lineRule="auto"/>
        <w:jc w:val="both"/>
        <w:rPr>
          <w:rFonts w:ascii="Times New Roman" w:hAnsi="Times New Roman"/>
          <w:b/>
          <w:bCs/>
          <w:color w:val="auto"/>
          <w:sz w:val="24"/>
          <w:szCs w:val="24"/>
          <w:lang w:eastAsia="fr-FR" w:bidi="ar-DZ"/>
        </w:rPr>
      </w:pPr>
      <w:bookmarkStart w:id="322" w:name="_Toc230558739"/>
      <w:bookmarkStart w:id="323" w:name="_Toc230900373"/>
      <w:r w:rsidRPr="00EF42E4">
        <w:rPr>
          <w:rFonts w:ascii="Times New Roman" w:hAnsi="Times New Roman"/>
          <w:b/>
          <w:bCs/>
          <w:color w:val="auto"/>
          <w:sz w:val="24"/>
          <w:szCs w:val="24"/>
          <w:lang w:eastAsia="fr-FR" w:bidi="ar-DZ"/>
        </w:rPr>
        <w:t>1.</w:t>
      </w:r>
      <w:r w:rsidR="005236B6" w:rsidRPr="00EF42E4">
        <w:rPr>
          <w:rFonts w:ascii="Times New Roman" w:hAnsi="Times New Roman"/>
          <w:b/>
          <w:bCs/>
          <w:color w:val="auto"/>
          <w:sz w:val="24"/>
          <w:szCs w:val="24"/>
          <w:lang w:eastAsia="fr-FR" w:bidi="ar-DZ"/>
        </w:rPr>
        <w:t>La démarche méthodologique :</w:t>
      </w:r>
      <w:bookmarkEnd w:id="322"/>
      <w:bookmarkEnd w:id="323"/>
      <w:r w:rsidR="005236B6" w:rsidRPr="00EF42E4">
        <w:rPr>
          <w:rFonts w:ascii="Times New Roman" w:hAnsi="Times New Roman"/>
          <w:b/>
          <w:bCs/>
          <w:vanish/>
          <w:color w:val="auto"/>
          <w:sz w:val="24"/>
          <w:szCs w:val="24"/>
          <w:lang w:eastAsia="fr-FR" w:bidi="ar-DZ"/>
        </w:rPr>
        <w:t>Haut du formulaire</w:t>
      </w:r>
    </w:p>
    <w:p w:rsidR="005236B6" w:rsidRDefault="005236B6" w:rsidP="00140168">
      <w:pPr>
        <w:spacing w:line="360" w:lineRule="auto"/>
        <w:jc w:val="both"/>
        <w:rPr>
          <w:rFonts w:asciiTheme="majorBidi" w:hAnsiTheme="majorBidi" w:cstheme="majorBidi"/>
          <w:sz w:val="24"/>
          <w:szCs w:val="24"/>
          <w:lang w:eastAsia="fr-FR" w:bidi="ar-DZ"/>
        </w:rPr>
      </w:pPr>
      <w:r w:rsidRPr="000A54BA">
        <w:rPr>
          <w:rFonts w:asciiTheme="majorBidi" w:hAnsiTheme="majorBidi" w:cstheme="majorBidi"/>
          <w:sz w:val="24"/>
          <w:szCs w:val="24"/>
          <w:lang w:eastAsia="fr-FR" w:bidi="ar-DZ"/>
        </w:rPr>
        <w:t>Dans cette section, nous allons présenter la méthodologie adoptée pour répondre à notre problématique : « Le marketing des produits biologiques et son rôle dans la sécurité sanitaire des aliments ». Cette approche vise à vérifier la validité de l’hypothèse principale ainsi que des sous-hypothèses, à travers une analyse quantitative basée sur un questionnaire destiné aux consommateurs, ainsi qu’une étude documentaire.</w:t>
      </w:r>
    </w:p>
    <w:p w:rsidR="005236B6" w:rsidRPr="00EF42E4" w:rsidRDefault="006E799B" w:rsidP="00140168">
      <w:pPr>
        <w:pStyle w:val="Titre3"/>
        <w:spacing w:line="360" w:lineRule="auto"/>
        <w:jc w:val="both"/>
        <w:rPr>
          <w:rFonts w:ascii="Times New Roman" w:hAnsi="Times New Roman"/>
          <w:b/>
          <w:bCs/>
          <w:color w:val="auto"/>
          <w:sz w:val="24"/>
          <w:szCs w:val="24"/>
          <w:lang w:eastAsia="fr-FR" w:bidi="ar-DZ"/>
        </w:rPr>
      </w:pPr>
      <w:bookmarkStart w:id="324" w:name="_Toc230558740"/>
      <w:bookmarkStart w:id="325" w:name="_Toc230900374"/>
      <w:r w:rsidRPr="00EF42E4">
        <w:rPr>
          <w:rFonts w:ascii="Times New Roman" w:hAnsi="Times New Roman"/>
          <w:b/>
          <w:bCs/>
          <w:color w:val="auto"/>
          <w:sz w:val="24"/>
          <w:szCs w:val="24"/>
          <w:lang w:eastAsia="fr-FR" w:bidi="ar-DZ"/>
        </w:rPr>
        <w:t>2.</w:t>
      </w:r>
      <w:r w:rsidR="005236B6" w:rsidRPr="00EF42E4">
        <w:rPr>
          <w:rFonts w:ascii="Times New Roman" w:hAnsi="Times New Roman"/>
          <w:b/>
          <w:bCs/>
          <w:color w:val="auto"/>
          <w:sz w:val="24"/>
          <w:szCs w:val="24"/>
          <w:lang w:eastAsia="fr-FR" w:bidi="ar-DZ"/>
        </w:rPr>
        <w:t>Les différentes parties du questionnaire :</w:t>
      </w:r>
      <w:bookmarkEnd w:id="324"/>
      <w:bookmarkEnd w:id="325"/>
    </w:p>
    <w:p w:rsidR="005236B6" w:rsidRPr="006E799B" w:rsidRDefault="005236B6" w:rsidP="00140168">
      <w:pPr>
        <w:spacing w:line="360" w:lineRule="auto"/>
        <w:jc w:val="both"/>
        <w:rPr>
          <w:rFonts w:asciiTheme="majorBidi" w:hAnsiTheme="majorBidi" w:cstheme="majorBidi"/>
          <w:sz w:val="24"/>
          <w:szCs w:val="24"/>
          <w:lang w:eastAsia="fr-FR" w:bidi="ar-DZ"/>
        </w:rPr>
      </w:pPr>
      <w:r w:rsidRPr="00902C59">
        <w:rPr>
          <w:rFonts w:asciiTheme="majorBidi" w:hAnsiTheme="majorBidi" w:cstheme="majorBidi"/>
          <w:sz w:val="24"/>
          <w:szCs w:val="24"/>
          <w:lang w:eastAsia="fr-FR" w:bidi="ar-DZ"/>
        </w:rPr>
        <w:t>Le questionnaire administré dans le cadre de cette étude est structuré en trois parties distinctes, chacune visant à recueillir des données spécifiques en lien avec la problématique de recherche : La première partie est consacrée aux caractéristiques sociodémographiques des répondants (genre, âge, niveau d’instruction et situation professionnelle), afin de ontextualiser les analyses et mieux comprendre le profil des consommateurs interrogés.</w:t>
      </w:r>
    </w:p>
    <w:p w:rsidR="005236B6" w:rsidRPr="000A54BA" w:rsidRDefault="005236B6" w:rsidP="00D078CC">
      <w:pPr>
        <w:pStyle w:val="Paragraphedeliste"/>
        <w:numPr>
          <w:ilvl w:val="0"/>
          <w:numId w:val="14"/>
        </w:numPr>
        <w:suppressAutoHyphens w:val="0"/>
        <w:autoSpaceDN/>
        <w:spacing w:after="200" w:line="360" w:lineRule="auto"/>
        <w:contextualSpacing/>
        <w:textAlignment w:val="auto"/>
        <w:rPr>
          <w:rFonts w:asciiTheme="majorBidi" w:hAnsiTheme="majorBidi" w:cstheme="majorBidi"/>
          <w:b/>
          <w:bCs/>
          <w:vanish/>
          <w:sz w:val="24"/>
          <w:szCs w:val="24"/>
          <w:lang w:eastAsia="fr-FR" w:bidi="ar-DZ"/>
        </w:rPr>
      </w:pPr>
    </w:p>
    <w:p w:rsidR="005236B6" w:rsidRDefault="005236B6" w:rsidP="00F7493D">
      <w:pPr>
        <w:suppressAutoHyphens w:val="0"/>
        <w:autoSpaceDN/>
        <w:spacing w:after="200" w:line="360" w:lineRule="auto"/>
        <w:contextualSpacing/>
        <w:textAlignment w:val="auto"/>
        <w:rPr>
          <w:rFonts w:asciiTheme="majorBidi" w:hAnsiTheme="majorBidi" w:cstheme="majorBidi"/>
          <w:sz w:val="24"/>
          <w:szCs w:val="24"/>
          <w:rtl/>
          <w:lang w:eastAsia="fr-FR" w:bidi="ar-DZ"/>
        </w:rPr>
      </w:pPr>
      <w:r w:rsidRPr="006E799B">
        <w:rPr>
          <w:rFonts w:asciiTheme="majorBidi" w:hAnsiTheme="majorBidi" w:cstheme="majorBidi"/>
          <w:sz w:val="24"/>
          <w:szCs w:val="24"/>
          <w:lang w:eastAsia="fr-FR" w:bidi="ar-DZ"/>
        </w:rPr>
        <w:t>Les questions de la deuxième et de la troisième étape ont été formulées de manière à pe</w:t>
      </w:r>
      <w:r w:rsidRPr="006E799B">
        <w:rPr>
          <w:rFonts w:asciiTheme="majorBidi" w:hAnsiTheme="majorBidi" w:cstheme="majorBidi"/>
          <w:sz w:val="24"/>
          <w:szCs w:val="24"/>
          <w:lang w:eastAsia="fr-FR" w:bidi="ar-DZ"/>
        </w:rPr>
        <w:t>r</w:t>
      </w:r>
      <w:r w:rsidRPr="006E799B">
        <w:rPr>
          <w:rFonts w:asciiTheme="majorBidi" w:hAnsiTheme="majorBidi" w:cstheme="majorBidi"/>
          <w:sz w:val="24"/>
          <w:szCs w:val="24"/>
          <w:lang w:eastAsia="fr-FR" w:bidi="ar-DZ"/>
        </w:rPr>
        <w:t>mettre aux répondants de choisir entre les options suivantes : accord, désaccord ou neutre, conformément à l'échelle de Likert.</w:t>
      </w:r>
    </w:p>
    <w:p w:rsidR="00140168" w:rsidRDefault="00140168" w:rsidP="00F7493D">
      <w:pPr>
        <w:suppressAutoHyphens w:val="0"/>
        <w:autoSpaceDN/>
        <w:spacing w:after="200" w:line="360" w:lineRule="auto"/>
        <w:contextualSpacing/>
        <w:textAlignment w:val="auto"/>
        <w:rPr>
          <w:rFonts w:asciiTheme="majorBidi" w:hAnsiTheme="majorBidi" w:cstheme="majorBidi"/>
          <w:sz w:val="24"/>
          <w:szCs w:val="24"/>
          <w:rtl/>
          <w:lang w:eastAsia="fr-FR" w:bidi="ar-DZ"/>
        </w:rPr>
      </w:pPr>
    </w:p>
    <w:p w:rsidR="00140168" w:rsidRDefault="00140168" w:rsidP="00F7493D">
      <w:pPr>
        <w:suppressAutoHyphens w:val="0"/>
        <w:autoSpaceDN/>
        <w:spacing w:after="200" w:line="360" w:lineRule="auto"/>
        <w:contextualSpacing/>
        <w:textAlignment w:val="auto"/>
        <w:rPr>
          <w:rFonts w:asciiTheme="majorBidi" w:hAnsiTheme="majorBidi" w:cstheme="majorBidi"/>
          <w:sz w:val="24"/>
          <w:szCs w:val="24"/>
          <w:rtl/>
          <w:lang w:eastAsia="fr-FR" w:bidi="ar-DZ"/>
        </w:rPr>
      </w:pPr>
    </w:p>
    <w:p w:rsidR="00140168" w:rsidRDefault="00140168" w:rsidP="00F7493D">
      <w:pPr>
        <w:suppressAutoHyphens w:val="0"/>
        <w:autoSpaceDN/>
        <w:spacing w:after="200" w:line="360" w:lineRule="auto"/>
        <w:contextualSpacing/>
        <w:textAlignment w:val="auto"/>
        <w:rPr>
          <w:rFonts w:asciiTheme="majorBidi" w:hAnsiTheme="majorBidi" w:cstheme="majorBidi"/>
          <w:sz w:val="24"/>
          <w:szCs w:val="24"/>
          <w:rtl/>
          <w:lang w:eastAsia="fr-FR" w:bidi="ar-DZ"/>
        </w:rPr>
      </w:pPr>
    </w:p>
    <w:p w:rsidR="00140168" w:rsidRDefault="00140168" w:rsidP="00F7493D">
      <w:pPr>
        <w:suppressAutoHyphens w:val="0"/>
        <w:autoSpaceDN/>
        <w:spacing w:after="200" w:line="360" w:lineRule="auto"/>
        <w:contextualSpacing/>
        <w:textAlignment w:val="auto"/>
        <w:rPr>
          <w:rFonts w:asciiTheme="majorBidi" w:hAnsiTheme="majorBidi" w:cstheme="majorBidi"/>
          <w:sz w:val="24"/>
          <w:szCs w:val="24"/>
          <w:rtl/>
          <w:lang w:eastAsia="fr-FR" w:bidi="ar-DZ"/>
        </w:rPr>
      </w:pPr>
    </w:p>
    <w:p w:rsidR="00140168" w:rsidRDefault="00140168" w:rsidP="00F7493D">
      <w:pPr>
        <w:suppressAutoHyphens w:val="0"/>
        <w:autoSpaceDN/>
        <w:spacing w:after="200" w:line="360" w:lineRule="auto"/>
        <w:contextualSpacing/>
        <w:textAlignment w:val="auto"/>
        <w:rPr>
          <w:rFonts w:asciiTheme="majorBidi" w:hAnsiTheme="majorBidi" w:cstheme="majorBidi"/>
          <w:sz w:val="24"/>
          <w:szCs w:val="24"/>
          <w:rtl/>
          <w:lang w:eastAsia="fr-FR" w:bidi="ar-DZ"/>
        </w:rPr>
      </w:pPr>
    </w:p>
    <w:p w:rsidR="00140168" w:rsidRPr="006E799B" w:rsidRDefault="00140168" w:rsidP="00F7493D">
      <w:pPr>
        <w:suppressAutoHyphens w:val="0"/>
        <w:autoSpaceDN/>
        <w:spacing w:after="200" w:line="360" w:lineRule="auto"/>
        <w:contextualSpacing/>
        <w:textAlignment w:val="auto"/>
        <w:rPr>
          <w:rFonts w:asciiTheme="majorBidi" w:hAnsiTheme="majorBidi" w:cstheme="majorBidi"/>
          <w:sz w:val="24"/>
          <w:szCs w:val="24"/>
          <w:lang w:eastAsia="fr-FR" w:bidi="ar-DZ"/>
        </w:rPr>
      </w:pPr>
    </w:p>
    <w:p w:rsidR="005236B6" w:rsidRPr="00A511C9" w:rsidRDefault="00A511C9" w:rsidP="00F7493D">
      <w:pPr>
        <w:pStyle w:val="Lgende"/>
        <w:spacing w:line="360" w:lineRule="auto"/>
        <w:rPr>
          <w:rFonts w:asciiTheme="majorBidi" w:hAnsiTheme="majorBidi" w:cstheme="majorBidi"/>
          <w:sz w:val="24"/>
          <w:szCs w:val="24"/>
          <w:lang w:eastAsia="fr-FR" w:bidi="ar-DZ"/>
        </w:rPr>
      </w:pPr>
      <w:bookmarkStart w:id="326" w:name="_Toc230400763"/>
      <w:r w:rsidRPr="00A511C9">
        <w:rPr>
          <w:rFonts w:asciiTheme="majorBidi" w:eastAsia="Calibri" w:hAnsiTheme="majorBidi" w:cstheme="majorBidi"/>
          <w:b/>
          <w:bCs/>
          <w:i w:val="0"/>
          <w:iCs w:val="0"/>
          <w:color w:val="auto"/>
          <w:kern w:val="3"/>
          <w:sz w:val="24"/>
          <w:szCs w:val="24"/>
          <w:lang w:eastAsia="fr-FR" w:bidi="ar-DZ"/>
        </w:rPr>
        <w:lastRenderedPageBreak/>
        <w:t xml:space="preserve">Tableau </w:t>
      </w:r>
      <w:r w:rsidR="007B5998" w:rsidRPr="00A511C9">
        <w:rPr>
          <w:rFonts w:asciiTheme="majorBidi" w:eastAsia="Calibri" w:hAnsiTheme="majorBidi" w:cstheme="majorBidi"/>
          <w:b/>
          <w:bCs/>
          <w:i w:val="0"/>
          <w:iCs w:val="0"/>
          <w:color w:val="auto"/>
          <w:kern w:val="3"/>
          <w:sz w:val="24"/>
          <w:szCs w:val="24"/>
          <w:lang w:eastAsia="fr-FR" w:bidi="ar-DZ"/>
        </w:rPr>
        <w:fldChar w:fldCharType="begin"/>
      </w:r>
      <w:r w:rsidRPr="00A511C9">
        <w:rPr>
          <w:rFonts w:asciiTheme="majorBidi" w:eastAsia="Calibri" w:hAnsiTheme="majorBidi" w:cstheme="majorBidi"/>
          <w:b/>
          <w:bCs/>
          <w:i w:val="0"/>
          <w:iCs w:val="0"/>
          <w:color w:val="auto"/>
          <w:kern w:val="3"/>
          <w:sz w:val="24"/>
          <w:szCs w:val="24"/>
          <w:lang w:eastAsia="fr-FR" w:bidi="ar-DZ"/>
        </w:rPr>
        <w:instrText xml:space="preserve"> SEQ Tableau \* ARABIC </w:instrText>
      </w:r>
      <w:r w:rsidR="007B5998" w:rsidRPr="00A511C9">
        <w:rPr>
          <w:rFonts w:asciiTheme="majorBidi" w:eastAsia="Calibri" w:hAnsiTheme="majorBidi" w:cstheme="majorBidi"/>
          <w:b/>
          <w:bCs/>
          <w:i w:val="0"/>
          <w:iCs w:val="0"/>
          <w:color w:val="auto"/>
          <w:kern w:val="3"/>
          <w:sz w:val="24"/>
          <w:szCs w:val="24"/>
          <w:lang w:eastAsia="fr-FR" w:bidi="ar-DZ"/>
        </w:rPr>
        <w:fldChar w:fldCharType="separate"/>
      </w:r>
      <w:r w:rsidR="00515B25">
        <w:rPr>
          <w:rFonts w:asciiTheme="majorBidi" w:eastAsia="Calibri" w:hAnsiTheme="majorBidi" w:cstheme="majorBidi"/>
          <w:b/>
          <w:bCs/>
          <w:i w:val="0"/>
          <w:iCs w:val="0"/>
          <w:noProof/>
          <w:color w:val="auto"/>
          <w:kern w:val="3"/>
          <w:sz w:val="24"/>
          <w:szCs w:val="24"/>
          <w:lang w:eastAsia="fr-FR" w:bidi="ar-DZ"/>
        </w:rPr>
        <w:t>25</w:t>
      </w:r>
      <w:r w:rsidR="007B5998" w:rsidRPr="00A511C9">
        <w:rPr>
          <w:rFonts w:asciiTheme="majorBidi" w:eastAsia="Calibri" w:hAnsiTheme="majorBidi" w:cstheme="majorBidi"/>
          <w:b/>
          <w:bCs/>
          <w:i w:val="0"/>
          <w:iCs w:val="0"/>
          <w:color w:val="auto"/>
          <w:kern w:val="3"/>
          <w:sz w:val="24"/>
          <w:szCs w:val="24"/>
          <w:lang w:eastAsia="fr-FR" w:bidi="ar-DZ"/>
        </w:rPr>
        <w:fldChar w:fldCharType="end"/>
      </w:r>
      <w:r w:rsidRPr="00A511C9">
        <w:rPr>
          <w:rFonts w:asciiTheme="majorBidi" w:eastAsia="Calibri" w:hAnsiTheme="majorBidi" w:cstheme="majorBidi"/>
          <w:b/>
          <w:bCs/>
          <w:i w:val="0"/>
          <w:iCs w:val="0"/>
          <w:color w:val="auto"/>
          <w:kern w:val="3"/>
          <w:sz w:val="24"/>
          <w:szCs w:val="24"/>
          <w:lang w:eastAsia="fr-FR" w:bidi="ar-DZ"/>
        </w:rPr>
        <w:t xml:space="preserve"> :</w:t>
      </w:r>
      <w:r w:rsidRPr="00A511C9">
        <w:rPr>
          <w:rFonts w:asciiTheme="majorBidi" w:eastAsia="Calibri" w:hAnsiTheme="majorBidi" w:cstheme="majorBidi"/>
          <w:i w:val="0"/>
          <w:iCs w:val="0"/>
          <w:color w:val="auto"/>
          <w:kern w:val="3"/>
          <w:sz w:val="24"/>
          <w:szCs w:val="24"/>
          <w:lang w:eastAsia="fr-FR" w:bidi="ar-DZ"/>
        </w:rPr>
        <w:t xml:space="preserve"> l’échelle de mesure selon « LIKERT »</w:t>
      </w:r>
      <w:bookmarkEnd w:id="326"/>
    </w:p>
    <w:tbl>
      <w:tblPr>
        <w:tblStyle w:val="Grilledutableau"/>
        <w:tblW w:w="9029" w:type="dxa"/>
        <w:tblInd w:w="38" w:type="dxa"/>
        <w:tblLook w:val="04A0"/>
      </w:tblPr>
      <w:tblGrid>
        <w:gridCol w:w="1603"/>
        <w:gridCol w:w="1575"/>
        <w:gridCol w:w="1578"/>
        <w:gridCol w:w="1572"/>
        <w:gridCol w:w="1578"/>
        <w:gridCol w:w="1123"/>
      </w:tblGrid>
      <w:tr w:rsidR="005236B6" w:rsidTr="00A511C9">
        <w:trPr>
          <w:trHeight w:val="725"/>
        </w:trPr>
        <w:tc>
          <w:tcPr>
            <w:tcW w:w="1603" w:type="dxa"/>
          </w:tcPr>
          <w:p w:rsidR="005236B6" w:rsidRDefault="005236B6" w:rsidP="00F7493D">
            <w:pPr>
              <w:spacing w:line="360" w:lineRule="auto"/>
              <w:rPr>
                <w:rFonts w:asciiTheme="majorBidi" w:hAnsiTheme="majorBidi" w:cstheme="majorBidi"/>
                <w:b/>
                <w:bCs/>
                <w:sz w:val="24"/>
                <w:szCs w:val="24"/>
                <w:lang w:eastAsia="fr-FR" w:bidi="ar-DZ"/>
              </w:rPr>
            </w:pPr>
            <w:r w:rsidRPr="00902C59">
              <w:rPr>
                <w:rFonts w:asciiTheme="majorBidi" w:hAnsiTheme="majorBidi" w:cstheme="majorBidi"/>
                <w:b/>
                <w:bCs/>
                <w:sz w:val="24"/>
                <w:szCs w:val="24"/>
                <w:lang w:eastAsia="fr-FR" w:bidi="ar-DZ"/>
              </w:rPr>
              <w:t>Classification</w:t>
            </w:r>
          </w:p>
        </w:tc>
        <w:tc>
          <w:tcPr>
            <w:tcW w:w="1581" w:type="dxa"/>
          </w:tcPr>
          <w:p w:rsidR="005236B6" w:rsidRDefault="005236B6" w:rsidP="00F7493D">
            <w:pPr>
              <w:spacing w:line="360" w:lineRule="auto"/>
              <w:jc w:val="center"/>
              <w:rPr>
                <w:rFonts w:asciiTheme="majorBidi" w:hAnsiTheme="majorBidi" w:cstheme="majorBidi"/>
                <w:b/>
                <w:bCs/>
                <w:sz w:val="24"/>
                <w:szCs w:val="24"/>
                <w:lang w:eastAsia="fr-FR" w:bidi="ar-DZ"/>
              </w:rPr>
            </w:pPr>
            <w:r w:rsidRPr="00902C59">
              <w:rPr>
                <w:rFonts w:asciiTheme="majorBidi" w:hAnsiTheme="majorBidi" w:cstheme="majorBidi"/>
                <w:b/>
                <w:bCs/>
                <w:sz w:val="24"/>
                <w:szCs w:val="24"/>
                <w:lang w:eastAsia="fr-FR" w:bidi="ar-DZ"/>
              </w:rPr>
              <w:t xml:space="preserve">Tout à fait </w:t>
            </w:r>
          </w:p>
          <w:p w:rsidR="005236B6" w:rsidRDefault="005236B6" w:rsidP="00F7493D">
            <w:pPr>
              <w:spacing w:line="360" w:lineRule="auto"/>
              <w:jc w:val="center"/>
              <w:rPr>
                <w:rFonts w:asciiTheme="majorBidi" w:hAnsiTheme="majorBidi" w:cstheme="majorBidi"/>
                <w:b/>
                <w:bCs/>
                <w:sz w:val="24"/>
                <w:szCs w:val="24"/>
                <w:lang w:eastAsia="fr-FR" w:bidi="ar-DZ"/>
              </w:rPr>
            </w:pPr>
            <w:r>
              <w:rPr>
                <w:rFonts w:asciiTheme="majorBidi" w:hAnsiTheme="majorBidi" w:cstheme="majorBidi"/>
                <w:b/>
                <w:bCs/>
                <w:sz w:val="24"/>
                <w:szCs w:val="24"/>
                <w:lang w:eastAsia="fr-FR" w:bidi="ar-DZ"/>
              </w:rPr>
              <w:t>D’accord</w:t>
            </w:r>
          </w:p>
        </w:tc>
        <w:tc>
          <w:tcPr>
            <w:tcW w:w="1583" w:type="dxa"/>
          </w:tcPr>
          <w:p w:rsidR="005236B6" w:rsidRDefault="005236B6" w:rsidP="00F7493D">
            <w:pPr>
              <w:spacing w:line="360" w:lineRule="auto"/>
              <w:jc w:val="center"/>
              <w:rPr>
                <w:rFonts w:asciiTheme="majorBidi" w:hAnsiTheme="majorBidi" w:cstheme="majorBidi"/>
                <w:b/>
                <w:bCs/>
                <w:sz w:val="24"/>
                <w:szCs w:val="24"/>
                <w:lang w:eastAsia="fr-FR" w:bidi="ar-DZ"/>
              </w:rPr>
            </w:pPr>
            <w:r w:rsidRPr="00902C59">
              <w:rPr>
                <w:rFonts w:asciiTheme="majorBidi" w:hAnsiTheme="majorBidi" w:cstheme="majorBidi"/>
                <w:b/>
                <w:bCs/>
                <w:sz w:val="24"/>
                <w:szCs w:val="24"/>
                <w:lang w:eastAsia="fr-FR" w:bidi="ar-DZ"/>
              </w:rPr>
              <w:t>D’accord</w:t>
            </w:r>
          </w:p>
        </w:tc>
        <w:tc>
          <w:tcPr>
            <w:tcW w:w="1581" w:type="dxa"/>
          </w:tcPr>
          <w:p w:rsidR="005236B6" w:rsidRDefault="005236B6" w:rsidP="00F7493D">
            <w:pPr>
              <w:spacing w:line="360" w:lineRule="auto"/>
              <w:jc w:val="center"/>
              <w:rPr>
                <w:rFonts w:asciiTheme="majorBidi" w:hAnsiTheme="majorBidi" w:cstheme="majorBidi"/>
                <w:b/>
                <w:bCs/>
                <w:sz w:val="24"/>
                <w:szCs w:val="24"/>
                <w:lang w:eastAsia="fr-FR" w:bidi="ar-DZ"/>
              </w:rPr>
            </w:pPr>
            <w:r w:rsidRPr="00902C59">
              <w:rPr>
                <w:rFonts w:asciiTheme="majorBidi" w:hAnsiTheme="majorBidi" w:cstheme="majorBidi"/>
                <w:b/>
                <w:bCs/>
                <w:sz w:val="24"/>
                <w:szCs w:val="24"/>
                <w:lang w:eastAsia="fr-FR" w:bidi="ar-DZ"/>
              </w:rPr>
              <w:t>Neutre</w:t>
            </w:r>
          </w:p>
        </w:tc>
        <w:tc>
          <w:tcPr>
            <w:tcW w:w="1583" w:type="dxa"/>
          </w:tcPr>
          <w:p w:rsidR="005236B6" w:rsidRDefault="005236B6" w:rsidP="00F7493D">
            <w:pPr>
              <w:spacing w:line="360" w:lineRule="auto"/>
              <w:jc w:val="center"/>
              <w:rPr>
                <w:rFonts w:asciiTheme="majorBidi" w:hAnsiTheme="majorBidi" w:cstheme="majorBidi"/>
                <w:b/>
                <w:bCs/>
                <w:sz w:val="24"/>
                <w:szCs w:val="24"/>
                <w:lang w:eastAsia="fr-FR" w:bidi="ar-DZ"/>
              </w:rPr>
            </w:pPr>
            <w:r w:rsidRPr="00902C59">
              <w:rPr>
                <w:rFonts w:asciiTheme="majorBidi" w:hAnsiTheme="majorBidi" w:cstheme="majorBidi"/>
                <w:b/>
                <w:bCs/>
                <w:sz w:val="24"/>
                <w:szCs w:val="24"/>
                <w:lang w:eastAsia="fr-FR" w:bidi="ar-DZ"/>
              </w:rPr>
              <w:t xml:space="preserve">Pas </w:t>
            </w:r>
          </w:p>
          <w:p w:rsidR="005236B6" w:rsidRDefault="005236B6" w:rsidP="00F7493D">
            <w:pPr>
              <w:spacing w:line="360" w:lineRule="auto"/>
              <w:jc w:val="center"/>
              <w:rPr>
                <w:rFonts w:asciiTheme="majorBidi" w:hAnsiTheme="majorBidi" w:cstheme="majorBidi"/>
                <w:b/>
                <w:bCs/>
                <w:sz w:val="24"/>
                <w:szCs w:val="24"/>
                <w:lang w:eastAsia="fr-FR" w:bidi="ar-DZ"/>
              </w:rPr>
            </w:pPr>
            <w:r>
              <w:rPr>
                <w:rFonts w:asciiTheme="majorBidi" w:hAnsiTheme="majorBidi" w:cstheme="majorBidi"/>
                <w:b/>
                <w:bCs/>
                <w:sz w:val="24"/>
                <w:szCs w:val="24"/>
                <w:lang w:eastAsia="fr-FR" w:bidi="ar-DZ"/>
              </w:rPr>
              <w:t>D’accord</w:t>
            </w:r>
          </w:p>
        </w:tc>
        <w:tc>
          <w:tcPr>
            <w:tcW w:w="1098" w:type="dxa"/>
          </w:tcPr>
          <w:p w:rsidR="005236B6" w:rsidRDefault="005236B6" w:rsidP="00F7493D">
            <w:pPr>
              <w:spacing w:line="360" w:lineRule="auto"/>
              <w:rPr>
                <w:rFonts w:asciiTheme="majorBidi" w:hAnsiTheme="majorBidi" w:cstheme="majorBidi"/>
                <w:b/>
                <w:bCs/>
                <w:sz w:val="24"/>
                <w:szCs w:val="24"/>
                <w:lang w:eastAsia="fr-FR" w:bidi="ar-DZ"/>
              </w:rPr>
            </w:pPr>
            <w:r w:rsidRPr="00902C59">
              <w:rPr>
                <w:rFonts w:asciiTheme="majorBidi" w:hAnsiTheme="majorBidi" w:cstheme="majorBidi"/>
                <w:b/>
                <w:bCs/>
                <w:sz w:val="24"/>
                <w:szCs w:val="24"/>
                <w:lang w:eastAsia="fr-FR" w:bidi="ar-DZ"/>
              </w:rPr>
              <w:t>Pas de tout d’accord</w:t>
            </w:r>
          </w:p>
        </w:tc>
      </w:tr>
      <w:tr w:rsidR="005236B6" w:rsidTr="00A511C9">
        <w:trPr>
          <w:trHeight w:val="725"/>
        </w:trPr>
        <w:tc>
          <w:tcPr>
            <w:tcW w:w="1603" w:type="dxa"/>
          </w:tcPr>
          <w:p w:rsidR="005236B6" w:rsidRDefault="005236B6" w:rsidP="00F7493D">
            <w:pPr>
              <w:spacing w:line="360" w:lineRule="auto"/>
              <w:rPr>
                <w:rFonts w:asciiTheme="majorBidi" w:hAnsiTheme="majorBidi" w:cstheme="majorBidi"/>
                <w:b/>
                <w:bCs/>
                <w:sz w:val="24"/>
                <w:szCs w:val="24"/>
                <w:lang w:eastAsia="fr-FR" w:bidi="ar-DZ"/>
              </w:rPr>
            </w:pPr>
            <w:r w:rsidRPr="00902C59">
              <w:rPr>
                <w:rFonts w:asciiTheme="majorBidi" w:hAnsiTheme="majorBidi" w:cstheme="majorBidi"/>
                <w:b/>
                <w:bCs/>
                <w:sz w:val="24"/>
                <w:szCs w:val="24"/>
                <w:lang w:eastAsia="fr-FR" w:bidi="ar-DZ"/>
              </w:rPr>
              <w:t>Degré</w:t>
            </w:r>
          </w:p>
        </w:tc>
        <w:tc>
          <w:tcPr>
            <w:tcW w:w="1581" w:type="dxa"/>
          </w:tcPr>
          <w:p w:rsidR="005236B6" w:rsidRDefault="005236B6" w:rsidP="00F7493D">
            <w:pPr>
              <w:spacing w:line="360" w:lineRule="auto"/>
              <w:jc w:val="center"/>
              <w:rPr>
                <w:rFonts w:asciiTheme="majorBidi" w:hAnsiTheme="majorBidi" w:cstheme="majorBidi"/>
                <w:b/>
                <w:bCs/>
                <w:sz w:val="24"/>
                <w:szCs w:val="24"/>
                <w:lang w:eastAsia="fr-FR" w:bidi="ar-DZ"/>
              </w:rPr>
            </w:pPr>
            <w:r>
              <w:rPr>
                <w:rFonts w:asciiTheme="majorBidi" w:hAnsiTheme="majorBidi" w:cstheme="majorBidi"/>
                <w:b/>
                <w:bCs/>
                <w:sz w:val="24"/>
                <w:szCs w:val="24"/>
                <w:lang w:eastAsia="fr-FR" w:bidi="ar-DZ"/>
              </w:rPr>
              <w:t>5</w:t>
            </w:r>
          </w:p>
        </w:tc>
        <w:tc>
          <w:tcPr>
            <w:tcW w:w="1583" w:type="dxa"/>
          </w:tcPr>
          <w:p w:rsidR="005236B6" w:rsidRDefault="005236B6" w:rsidP="00F7493D">
            <w:pPr>
              <w:spacing w:line="360" w:lineRule="auto"/>
              <w:jc w:val="center"/>
              <w:rPr>
                <w:rFonts w:asciiTheme="majorBidi" w:hAnsiTheme="majorBidi" w:cstheme="majorBidi"/>
                <w:b/>
                <w:bCs/>
                <w:sz w:val="24"/>
                <w:szCs w:val="24"/>
                <w:lang w:eastAsia="fr-FR" w:bidi="ar-DZ"/>
              </w:rPr>
            </w:pPr>
            <w:r>
              <w:rPr>
                <w:rFonts w:asciiTheme="majorBidi" w:hAnsiTheme="majorBidi" w:cstheme="majorBidi"/>
                <w:b/>
                <w:bCs/>
                <w:sz w:val="24"/>
                <w:szCs w:val="24"/>
                <w:lang w:eastAsia="fr-FR" w:bidi="ar-DZ"/>
              </w:rPr>
              <w:t>4</w:t>
            </w:r>
          </w:p>
        </w:tc>
        <w:tc>
          <w:tcPr>
            <w:tcW w:w="1581" w:type="dxa"/>
          </w:tcPr>
          <w:p w:rsidR="005236B6" w:rsidRDefault="005236B6" w:rsidP="00F7493D">
            <w:pPr>
              <w:spacing w:line="360" w:lineRule="auto"/>
              <w:jc w:val="center"/>
              <w:rPr>
                <w:rFonts w:asciiTheme="majorBidi" w:hAnsiTheme="majorBidi" w:cstheme="majorBidi"/>
                <w:b/>
                <w:bCs/>
                <w:sz w:val="24"/>
                <w:szCs w:val="24"/>
                <w:lang w:eastAsia="fr-FR" w:bidi="ar-DZ"/>
              </w:rPr>
            </w:pPr>
            <w:r>
              <w:rPr>
                <w:rFonts w:asciiTheme="majorBidi" w:hAnsiTheme="majorBidi" w:cstheme="majorBidi"/>
                <w:b/>
                <w:bCs/>
                <w:sz w:val="24"/>
                <w:szCs w:val="24"/>
                <w:lang w:eastAsia="fr-FR" w:bidi="ar-DZ"/>
              </w:rPr>
              <w:t>3</w:t>
            </w:r>
          </w:p>
        </w:tc>
        <w:tc>
          <w:tcPr>
            <w:tcW w:w="1583" w:type="dxa"/>
          </w:tcPr>
          <w:p w:rsidR="005236B6" w:rsidRDefault="005236B6" w:rsidP="00F7493D">
            <w:pPr>
              <w:spacing w:line="360" w:lineRule="auto"/>
              <w:jc w:val="center"/>
              <w:rPr>
                <w:rFonts w:asciiTheme="majorBidi" w:hAnsiTheme="majorBidi" w:cstheme="majorBidi"/>
                <w:b/>
                <w:bCs/>
                <w:sz w:val="24"/>
                <w:szCs w:val="24"/>
                <w:lang w:eastAsia="fr-FR" w:bidi="ar-DZ"/>
              </w:rPr>
            </w:pPr>
            <w:r>
              <w:rPr>
                <w:rFonts w:asciiTheme="majorBidi" w:hAnsiTheme="majorBidi" w:cstheme="majorBidi"/>
                <w:b/>
                <w:bCs/>
                <w:sz w:val="24"/>
                <w:szCs w:val="24"/>
                <w:lang w:eastAsia="fr-FR" w:bidi="ar-DZ"/>
              </w:rPr>
              <w:t>2</w:t>
            </w:r>
          </w:p>
        </w:tc>
        <w:tc>
          <w:tcPr>
            <w:tcW w:w="1098" w:type="dxa"/>
          </w:tcPr>
          <w:p w:rsidR="005236B6" w:rsidRDefault="005236B6" w:rsidP="00F7493D">
            <w:pPr>
              <w:spacing w:line="360" w:lineRule="auto"/>
              <w:jc w:val="center"/>
              <w:rPr>
                <w:rFonts w:asciiTheme="majorBidi" w:hAnsiTheme="majorBidi" w:cstheme="majorBidi"/>
                <w:b/>
                <w:bCs/>
                <w:sz w:val="24"/>
                <w:szCs w:val="24"/>
                <w:lang w:eastAsia="fr-FR" w:bidi="ar-DZ"/>
              </w:rPr>
            </w:pPr>
            <w:r>
              <w:rPr>
                <w:rFonts w:asciiTheme="majorBidi" w:hAnsiTheme="majorBidi" w:cstheme="majorBidi"/>
                <w:b/>
                <w:bCs/>
                <w:sz w:val="24"/>
                <w:szCs w:val="24"/>
                <w:lang w:eastAsia="fr-FR" w:bidi="ar-DZ"/>
              </w:rPr>
              <w:t>1</w:t>
            </w:r>
          </w:p>
        </w:tc>
      </w:tr>
    </w:tbl>
    <w:p w:rsidR="005236B6" w:rsidRPr="00245B50" w:rsidRDefault="005236B6" w:rsidP="00F7493D">
      <w:pPr>
        <w:spacing w:line="360" w:lineRule="auto"/>
        <w:jc w:val="center"/>
        <w:rPr>
          <w:rFonts w:asciiTheme="majorBidi" w:hAnsiTheme="majorBidi" w:cstheme="majorBidi"/>
          <w:b/>
          <w:bCs/>
          <w:sz w:val="24"/>
          <w:szCs w:val="24"/>
          <w:lang w:eastAsia="fr-FR" w:bidi="ar-DZ"/>
        </w:rPr>
      </w:pPr>
      <w:r w:rsidRPr="00902C59">
        <w:rPr>
          <w:rFonts w:asciiTheme="majorBidi" w:hAnsiTheme="majorBidi" w:cstheme="majorBidi"/>
          <w:b/>
          <w:bCs/>
          <w:sz w:val="20"/>
          <w:szCs w:val="20"/>
        </w:rPr>
        <w:t>Source :</w:t>
      </w:r>
      <w:r w:rsidRPr="00902C59">
        <w:rPr>
          <w:rFonts w:asciiTheme="majorBidi" w:hAnsiTheme="majorBidi" w:cstheme="majorBidi"/>
        </w:rPr>
        <w:t>élaboré par les étudiantes</w:t>
      </w:r>
    </w:p>
    <w:p w:rsidR="005236B6" w:rsidRPr="004F21BE" w:rsidRDefault="005236B6" w:rsidP="00140168">
      <w:pPr>
        <w:spacing w:line="360" w:lineRule="auto"/>
        <w:jc w:val="both"/>
        <w:rPr>
          <w:rFonts w:asciiTheme="majorBidi" w:hAnsiTheme="majorBidi" w:cstheme="majorBidi"/>
          <w:sz w:val="24"/>
          <w:szCs w:val="24"/>
          <w:lang w:eastAsia="fr-FR" w:bidi="ar-DZ"/>
        </w:rPr>
      </w:pPr>
      <w:r w:rsidRPr="004F21BE">
        <w:rPr>
          <w:rFonts w:asciiTheme="majorBidi" w:hAnsiTheme="majorBidi" w:cstheme="majorBidi"/>
          <w:sz w:val="24"/>
          <w:szCs w:val="24"/>
          <w:lang w:eastAsia="fr-FR" w:bidi="ar-DZ"/>
        </w:rPr>
        <w:t xml:space="preserve">La deuxième partie porte sur la variable indépendante : le marketing des produits biologiques, à travers plusieurs dimensions, notamment : le produit biologique et le label biologique, le prix, la promotion ainsi que la distribution. </w:t>
      </w:r>
    </w:p>
    <w:p w:rsidR="005236B6" w:rsidRDefault="005236B6" w:rsidP="00140168">
      <w:pPr>
        <w:spacing w:line="360" w:lineRule="auto"/>
        <w:jc w:val="both"/>
        <w:rPr>
          <w:rFonts w:asciiTheme="majorBidi" w:hAnsiTheme="majorBidi" w:cstheme="majorBidi"/>
          <w:sz w:val="24"/>
          <w:szCs w:val="24"/>
          <w:lang w:eastAsia="fr-FR" w:bidi="ar-DZ"/>
        </w:rPr>
      </w:pPr>
      <w:r w:rsidRPr="004F21BE">
        <w:rPr>
          <w:rFonts w:asciiTheme="majorBidi" w:hAnsiTheme="majorBidi" w:cstheme="majorBidi"/>
          <w:sz w:val="24"/>
          <w:szCs w:val="24"/>
          <w:lang w:eastAsia="fr-FR" w:bidi="ar-DZ"/>
        </w:rPr>
        <w:t>La troisième partie concerne la variable dépendante : la sécurité sanitaire des aliments, en se basant sur plusieurs axes tels que la sécurité sanitaire, la conscience sanitaire et l’intention d’achat des consommateurs.</w:t>
      </w:r>
      <w:r w:rsidRPr="00245B50">
        <w:rPr>
          <w:rFonts w:asciiTheme="majorBidi" w:hAnsiTheme="majorBidi" w:cstheme="majorBidi"/>
          <w:vanish/>
          <w:sz w:val="24"/>
          <w:szCs w:val="24"/>
          <w:lang w:eastAsia="fr-FR" w:bidi="ar-DZ"/>
        </w:rPr>
        <w:t>Bas du formulaire</w:t>
      </w:r>
    </w:p>
    <w:p w:rsidR="005236B6" w:rsidRPr="00EF42E4" w:rsidRDefault="006E799B" w:rsidP="00140168">
      <w:pPr>
        <w:pStyle w:val="Titre3"/>
        <w:spacing w:line="360" w:lineRule="auto"/>
        <w:jc w:val="both"/>
        <w:rPr>
          <w:rFonts w:ascii="Times New Roman" w:hAnsi="Times New Roman"/>
          <w:b/>
          <w:bCs/>
          <w:color w:val="auto"/>
          <w:sz w:val="24"/>
          <w:szCs w:val="24"/>
          <w:lang w:eastAsia="fr-FR" w:bidi="ar-DZ"/>
        </w:rPr>
      </w:pPr>
      <w:bookmarkStart w:id="327" w:name="_Toc230558741"/>
      <w:bookmarkStart w:id="328" w:name="_Toc230900375"/>
      <w:r w:rsidRPr="00EF42E4">
        <w:rPr>
          <w:rFonts w:ascii="Times New Roman" w:hAnsi="Times New Roman"/>
          <w:b/>
          <w:bCs/>
          <w:color w:val="auto"/>
          <w:sz w:val="24"/>
          <w:szCs w:val="24"/>
          <w:lang w:eastAsia="fr-FR" w:bidi="ar-DZ"/>
        </w:rPr>
        <w:t>3.</w:t>
      </w:r>
      <w:r w:rsidR="005236B6" w:rsidRPr="00EF42E4">
        <w:rPr>
          <w:rFonts w:ascii="Times New Roman" w:hAnsi="Times New Roman"/>
          <w:b/>
          <w:bCs/>
          <w:color w:val="auto"/>
          <w:sz w:val="24"/>
          <w:szCs w:val="24"/>
          <w:lang w:eastAsia="fr-FR" w:bidi="ar-DZ"/>
        </w:rPr>
        <w:t>L’échantillonnage adopté</w:t>
      </w:r>
      <w:bookmarkEnd w:id="327"/>
      <w:bookmarkEnd w:id="328"/>
    </w:p>
    <w:p w:rsidR="00A216AA" w:rsidRPr="00A216AA" w:rsidRDefault="00A216AA" w:rsidP="00140168">
      <w:pPr>
        <w:spacing w:line="360" w:lineRule="auto"/>
        <w:ind w:firstLine="567"/>
        <w:jc w:val="both"/>
        <w:rPr>
          <w:rFonts w:asciiTheme="majorBidi" w:hAnsiTheme="majorBidi" w:cstheme="majorBidi"/>
          <w:lang w:eastAsia="fr-FR" w:bidi="ar-DZ"/>
        </w:rPr>
      </w:pPr>
      <w:r w:rsidRPr="00A216AA">
        <w:rPr>
          <w:rFonts w:asciiTheme="majorBidi" w:hAnsiTheme="majorBidi" w:cstheme="majorBidi"/>
          <w:lang w:eastAsia="fr-FR" w:bidi="ar-DZ"/>
        </w:rPr>
        <w:t>Dans le cadre de cette recherche, nous avons opté pour un échantillonnage non probabiliste de convenance. Ce type d’échantillonnage repose sur la sélection des individus les plus accessibles et disposés à répondre au questionnaire. Le choix de cette méthode s’explique principalement par les contraintes liées au temps, à la disponibilité des répondants ainsi qu’à la difficulté d’identifier précisément l’ensemble de la population des consommateurs de produits biologiques en Algérie.</w:t>
      </w:r>
    </w:p>
    <w:p w:rsidR="00A216AA" w:rsidRPr="00A216AA" w:rsidRDefault="00A216AA" w:rsidP="00140168">
      <w:pPr>
        <w:spacing w:line="360" w:lineRule="auto"/>
        <w:ind w:firstLine="567"/>
        <w:jc w:val="both"/>
        <w:rPr>
          <w:rFonts w:asciiTheme="majorBidi" w:hAnsiTheme="majorBidi" w:cstheme="majorBidi"/>
          <w:sz w:val="24"/>
          <w:szCs w:val="24"/>
          <w:lang w:eastAsia="fr-FR" w:bidi="ar-DZ"/>
        </w:rPr>
      </w:pPr>
      <w:r w:rsidRPr="00A216AA">
        <w:rPr>
          <w:rFonts w:asciiTheme="majorBidi" w:hAnsiTheme="majorBidi" w:cstheme="majorBidi"/>
          <w:sz w:val="24"/>
          <w:szCs w:val="24"/>
          <w:lang w:eastAsia="fr-FR" w:bidi="ar-DZ"/>
        </w:rPr>
        <w:t>L’échantillon retenu est composé de consommateurs susceptibles d’acheter ou de consommer des produits biologiques, notamment l’huile d’olive biologique. Le choix de cette catégorie de répondants est directement lié à l’objectif de l’étude, qui consiste à analyser le rôle du marketing des produits biologiques dans la sécurité sanitaire des aliments et dans l’intention d’achat des consommateurs.</w:t>
      </w:r>
    </w:p>
    <w:p w:rsidR="00A216AA" w:rsidRPr="00A216AA" w:rsidRDefault="00A216AA" w:rsidP="00140168">
      <w:pPr>
        <w:spacing w:line="360" w:lineRule="auto"/>
        <w:ind w:firstLine="567"/>
        <w:jc w:val="both"/>
        <w:rPr>
          <w:rFonts w:asciiTheme="majorBidi" w:hAnsiTheme="majorBidi" w:cstheme="majorBidi"/>
          <w:sz w:val="24"/>
          <w:szCs w:val="24"/>
          <w:lang w:eastAsia="fr-FR" w:bidi="ar-DZ"/>
        </w:rPr>
      </w:pPr>
      <w:r w:rsidRPr="00A216AA">
        <w:rPr>
          <w:rFonts w:asciiTheme="majorBidi" w:hAnsiTheme="majorBidi" w:cstheme="majorBidi"/>
          <w:sz w:val="24"/>
          <w:szCs w:val="24"/>
          <w:lang w:eastAsia="fr-FR" w:bidi="ar-DZ"/>
        </w:rPr>
        <w:t>Ce type d’échantillonnage ne permet pas une représentation statistique parfaite de l’ensemble de la population algérienne. Toutefois, il demeure adapté aux recherches exploratoires et comportementales visant à étudier les attitudes et les intentions des consommateurs dans un contexte où les données sur la population cible restent limitées.</w:t>
      </w:r>
    </w:p>
    <w:p w:rsidR="005236B6" w:rsidRPr="00936EEB" w:rsidRDefault="00A216AA" w:rsidP="00140168">
      <w:pPr>
        <w:spacing w:line="360" w:lineRule="auto"/>
        <w:ind w:firstLine="567"/>
        <w:jc w:val="both"/>
        <w:rPr>
          <w:rFonts w:asciiTheme="majorBidi" w:hAnsiTheme="majorBidi" w:cstheme="majorBidi"/>
          <w:sz w:val="24"/>
          <w:szCs w:val="24"/>
          <w:lang w:eastAsia="fr-FR" w:bidi="ar-DZ"/>
        </w:rPr>
      </w:pPr>
      <w:r w:rsidRPr="00A216AA">
        <w:rPr>
          <w:rFonts w:asciiTheme="majorBidi" w:hAnsiTheme="majorBidi" w:cstheme="majorBidi"/>
          <w:sz w:val="24"/>
          <w:szCs w:val="24"/>
          <w:lang w:eastAsia="fr-FR" w:bidi="ar-DZ"/>
        </w:rPr>
        <w:t>De plus, cette méthode est fréquemment utilisée dans les études en marketing et en comportement du consommateur, particulièrement lorsqu’il s’agit d’analyser des catégories spécifiques de consommateurs difficiles à recenser de manière exhaustive.</w:t>
      </w:r>
    </w:p>
    <w:p w:rsidR="005236B6" w:rsidRPr="00EF42E4" w:rsidRDefault="006E799B" w:rsidP="00140168">
      <w:pPr>
        <w:pStyle w:val="Titre3"/>
        <w:spacing w:line="360" w:lineRule="auto"/>
        <w:jc w:val="both"/>
        <w:rPr>
          <w:rFonts w:ascii="Times New Roman" w:hAnsi="Times New Roman"/>
          <w:b/>
          <w:bCs/>
          <w:color w:val="auto"/>
          <w:sz w:val="24"/>
          <w:szCs w:val="24"/>
          <w:lang w:eastAsia="fr-FR" w:bidi="ar-DZ"/>
        </w:rPr>
      </w:pPr>
      <w:bookmarkStart w:id="329" w:name="_Toc230558742"/>
      <w:bookmarkStart w:id="330" w:name="_Toc230900376"/>
      <w:r w:rsidRPr="00EF42E4">
        <w:rPr>
          <w:rFonts w:ascii="Times New Roman" w:hAnsi="Times New Roman"/>
          <w:b/>
          <w:bCs/>
          <w:color w:val="auto"/>
          <w:sz w:val="24"/>
          <w:szCs w:val="24"/>
          <w:lang w:eastAsia="fr-FR" w:bidi="ar-DZ"/>
        </w:rPr>
        <w:lastRenderedPageBreak/>
        <w:t>4.</w:t>
      </w:r>
      <w:r w:rsidR="005236B6" w:rsidRPr="00EF42E4">
        <w:rPr>
          <w:rFonts w:ascii="Times New Roman" w:hAnsi="Times New Roman"/>
          <w:b/>
          <w:bCs/>
          <w:color w:val="auto"/>
          <w:sz w:val="24"/>
          <w:szCs w:val="24"/>
          <w:lang w:eastAsia="fr-FR" w:bidi="ar-DZ"/>
        </w:rPr>
        <w:t>Outils statistiques utilisés pour l’analyse du questionnaire :</w:t>
      </w:r>
      <w:bookmarkEnd w:id="329"/>
      <w:bookmarkEnd w:id="330"/>
    </w:p>
    <w:p w:rsidR="005236B6" w:rsidRPr="00936EEB" w:rsidRDefault="005236B6" w:rsidP="00140168">
      <w:pPr>
        <w:spacing w:line="360" w:lineRule="auto"/>
        <w:jc w:val="both"/>
        <w:rPr>
          <w:rFonts w:asciiTheme="majorBidi" w:hAnsiTheme="majorBidi" w:cstheme="majorBidi"/>
          <w:sz w:val="24"/>
          <w:szCs w:val="24"/>
          <w:lang w:eastAsia="fr-FR" w:bidi="ar-DZ"/>
        </w:rPr>
      </w:pPr>
      <w:r w:rsidRPr="00936EEB">
        <w:rPr>
          <w:rFonts w:asciiTheme="majorBidi" w:hAnsiTheme="majorBidi" w:cstheme="majorBidi"/>
          <w:sz w:val="24"/>
          <w:szCs w:val="24"/>
          <w:lang w:eastAsia="fr-FR" w:bidi="ar-DZ"/>
        </w:rPr>
        <w:t>Afin de traiter et d’interpréter les données recueillies par le biais du questionnaire, plusieurs outils statistiques ont été mobilisés :</w:t>
      </w:r>
    </w:p>
    <w:p w:rsidR="005236B6" w:rsidRPr="00936EEB" w:rsidRDefault="005236B6" w:rsidP="00140168">
      <w:pPr>
        <w:spacing w:line="360" w:lineRule="auto"/>
        <w:jc w:val="both"/>
        <w:rPr>
          <w:rFonts w:asciiTheme="majorBidi" w:hAnsiTheme="majorBidi" w:cstheme="majorBidi"/>
          <w:sz w:val="24"/>
          <w:szCs w:val="24"/>
          <w:lang w:eastAsia="fr-FR" w:bidi="ar-DZ"/>
        </w:rPr>
      </w:pPr>
      <w:r w:rsidRPr="00936EEB">
        <w:rPr>
          <w:rFonts w:asciiTheme="majorBidi" w:hAnsiTheme="majorBidi" w:cstheme="majorBidi"/>
          <w:b/>
          <w:bCs/>
          <w:sz w:val="24"/>
          <w:szCs w:val="24"/>
          <w:lang w:eastAsia="fr-FR" w:bidi="ar-DZ"/>
        </w:rPr>
        <w:t xml:space="preserve"> Le coefficient de corrélation</w:t>
      </w:r>
      <w:r>
        <w:rPr>
          <w:rFonts w:asciiTheme="majorBidi" w:hAnsiTheme="majorBidi" w:cstheme="majorBidi"/>
          <w:b/>
          <w:bCs/>
          <w:sz w:val="24"/>
          <w:szCs w:val="24"/>
          <w:lang w:eastAsia="fr-FR" w:bidi="ar-DZ"/>
        </w:rPr>
        <w:t> :</w:t>
      </w:r>
      <w:r w:rsidRPr="00936EEB">
        <w:rPr>
          <w:rFonts w:asciiTheme="majorBidi" w:hAnsiTheme="majorBidi" w:cstheme="majorBidi"/>
          <w:sz w:val="24"/>
          <w:szCs w:val="24"/>
          <w:lang w:eastAsia="fr-FR" w:bidi="ar-DZ"/>
        </w:rPr>
        <w:t xml:space="preserve">a été utilisé pour évaluer la nature et l’intensité de la relation linéaire entre deux variables métriques ; sa valeur, comprise entre -1 et 1, permet de mesurer la force et la direction de cette relation. </w:t>
      </w:r>
    </w:p>
    <w:p w:rsidR="005236B6" w:rsidRDefault="005236B6" w:rsidP="00140168">
      <w:pPr>
        <w:spacing w:line="360" w:lineRule="auto"/>
        <w:jc w:val="both"/>
        <w:rPr>
          <w:rFonts w:asciiTheme="majorBidi" w:hAnsiTheme="majorBidi" w:cstheme="majorBidi"/>
          <w:b/>
          <w:bCs/>
          <w:sz w:val="24"/>
          <w:szCs w:val="24"/>
          <w:lang w:eastAsia="fr-FR" w:bidi="ar-DZ"/>
        </w:rPr>
      </w:pPr>
      <w:r w:rsidRPr="00936EEB">
        <w:rPr>
          <w:rFonts w:asciiTheme="majorBidi" w:hAnsiTheme="majorBidi" w:cstheme="majorBidi"/>
          <w:b/>
          <w:bCs/>
          <w:sz w:val="24"/>
          <w:szCs w:val="24"/>
          <w:lang w:eastAsia="fr-FR" w:bidi="ar-DZ"/>
        </w:rPr>
        <w:t xml:space="preserve">Le test T </w:t>
      </w:r>
      <w:r w:rsidRPr="00936EEB">
        <w:rPr>
          <w:rFonts w:asciiTheme="majorBidi" w:hAnsiTheme="majorBidi" w:cstheme="majorBidi"/>
          <w:sz w:val="24"/>
          <w:szCs w:val="24"/>
          <w:lang w:eastAsia="fr-FR" w:bidi="ar-DZ"/>
        </w:rPr>
        <w:t>pour échantillon unique a servi à comparer la moyenne observée dans l’échantillon à une moyenne théorique de référence, dans le but de valider ou d’infirmer certaines hypothèses.</w:t>
      </w:r>
    </w:p>
    <w:p w:rsidR="005236B6" w:rsidRPr="00936EEB" w:rsidRDefault="005236B6" w:rsidP="00140168">
      <w:pPr>
        <w:spacing w:line="360" w:lineRule="auto"/>
        <w:jc w:val="both"/>
        <w:rPr>
          <w:rFonts w:asciiTheme="majorBidi" w:hAnsiTheme="majorBidi" w:cstheme="majorBidi"/>
          <w:sz w:val="24"/>
          <w:szCs w:val="24"/>
          <w:lang w:eastAsia="fr-FR" w:bidi="ar-DZ"/>
        </w:rPr>
      </w:pPr>
      <w:r w:rsidRPr="00936EEB">
        <w:rPr>
          <w:rFonts w:asciiTheme="majorBidi" w:hAnsiTheme="majorBidi" w:cstheme="majorBidi"/>
          <w:b/>
          <w:bCs/>
          <w:sz w:val="24"/>
          <w:szCs w:val="24"/>
          <w:lang w:eastAsia="fr-FR" w:bidi="ar-DZ"/>
        </w:rPr>
        <w:t xml:space="preserve">Le pourcentage </w:t>
      </w:r>
      <w:r w:rsidRPr="00936EEB">
        <w:rPr>
          <w:rFonts w:asciiTheme="majorBidi" w:hAnsiTheme="majorBidi" w:cstheme="majorBidi"/>
          <w:sz w:val="24"/>
          <w:szCs w:val="24"/>
          <w:lang w:eastAsia="fr-FR" w:bidi="ar-DZ"/>
        </w:rPr>
        <w:t>a été calculé pour déterminer la répartition des réponses entre les différentes modalités proposées.</w:t>
      </w:r>
    </w:p>
    <w:p w:rsidR="005236B6" w:rsidRDefault="005236B6" w:rsidP="00140168">
      <w:pPr>
        <w:spacing w:line="360" w:lineRule="auto"/>
        <w:jc w:val="both"/>
        <w:rPr>
          <w:rFonts w:asciiTheme="majorBidi" w:hAnsiTheme="majorBidi" w:cstheme="majorBidi"/>
          <w:b/>
          <w:bCs/>
          <w:sz w:val="24"/>
          <w:szCs w:val="24"/>
          <w:lang w:eastAsia="fr-FR" w:bidi="ar-DZ"/>
        </w:rPr>
      </w:pPr>
      <w:r w:rsidRPr="00936EEB">
        <w:rPr>
          <w:rFonts w:asciiTheme="majorBidi" w:hAnsiTheme="majorBidi" w:cstheme="majorBidi"/>
          <w:b/>
          <w:bCs/>
          <w:sz w:val="24"/>
          <w:szCs w:val="24"/>
          <w:lang w:eastAsia="fr-FR" w:bidi="ar-DZ"/>
        </w:rPr>
        <w:t xml:space="preserve"> L’ écart type </w:t>
      </w:r>
      <w:r w:rsidRPr="00936EEB">
        <w:rPr>
          <w:rFonts w:asciiTheme="majorBidi" w:hAnsiTheme="majorBidi" w:cstheme="majorBidi"/>
          <w:sz w:val="24"/>
          <w:szCs w:val="24"/>
          <w:lang w:eastAsia="fr-FR" w:bidi="ar-DZ"/>
        </w:rPr>
        <w:t xml:space="preserve">a permis de mesurer la dispersion des réponses autour de la moyenne. </w:t>
      </w:r>
    </w:p>
    <w:p w:rsidR="005236B6" w:rsidRPr="00936EEB" w:rsidRDefault="005236B6" w:rsidP="00140168">
      <w:pPr>
        <w:spacing w:line="360" w:lineRule="auto"/>
        <w:jc w:val="both"/>
        <w:rPr>
          <w:rFonts w:asciiTheme="majorBidi" w:hAnsiTheme="majorBidi" w:cstheme="majorBidi"/>
          <w:sz w:val="24"/>
          <w:szCs w:val="24"/>
          <w:lang w:eastAsia="fr-FR" w:bidi="ar-DZ"/>
        </w:rPr>
      </w:pPr>
      <w:r w:rsidRPr="00936EEB">
        <w:rPr>
          <w:rFonts w:asciiTheme="majorBidi" w:hAnsiTheme="majorBidi" w:cstheme="majorBidi"/>
          <w:b/>
          <w:bCs/>
          <w:sz w:val="24"/>
          <w:szCs w:val="24"/>
          <w:lang w:eastAsia="fr-FR" w:bidi="ar-DZ"/>
        </w:rPr>
        <w:t xml:space="preserve">La moyenne arithmétique </w:t>
      </w:r>
      <w:r w:rsidRPr="00936EEB">
        <w:rPr>
          <w:rFonts w:asciiTheme="majorBidi" w:hAnsiTheme="majorBidi" w:cstheme="majorBidi"/>
          <w:sz w:val="24"/>
          <w:szCs w:val="24"/>
          <w:lang w:eastAsia="fr-FR" w:bidi="ar-DZ"/>
        </w:rPr>
        <w:t xml:space="preserve">a été utilisée pour estimer la tendance centrale des réponses à chaque énoncé. </w:t>
      </w:r>
    </w:p>
    <w:p w:rsidR="005236B6" w:rsidRDefault="005236B6" w:rsidP="00140168">
      <w:pPr>
        <w:spacing w:line="360" w:lineRule="auto"/>
        <w:jc w:val="both"/>
        <w:rPr>
          <w:rFonts w:asciiTheme="majorBidi" w:hAnsiTheme="majorBidi" w:cstheme="majorBidi"/>
          <w:sz w:val="24"/>
          <w:szCs w:val="24"/>
          <w:lang w:eastAsia="fr-FR" w:bidi="ar-DZ"/>
        </w:rPr>
      </w:pPr>
      <w:r w:rsidRPr="00936EEB">
        <w:rPr>
          <w:rFonts w:asciiTheme="majorBidi" w:hAnsiTheme="majorBidi" w:cstheme="majorBidi"/>
          <w:b/>
          <w:bCs/>
          <w:sz w:val="24"/>
          <w:szCs w:val="24"/>
          <w:lang w:eastAsia="fr-FR" w:bidi="ar-DZ"/>
        </w:rPr>
        <w:t xml:space="preserve">Le coefficient alpha de Cronbach </w:t>
      </w:r>
      <w:r w:rsidRPr="00936EEB">
        <w:rPr>
          <w:rFonts w:asciiTheme="majorBidi" w:hAnsiTheme="majorBidi" w:cstheme="majorBidi"/>
          <w:sz w:val="24"/>
          <w:szCs w:val="24"/>
          <w:lang w:eastAsia="fr-FR" w:bidi="ar-DZ"/>
        </w:rPr>
        <w:t>a été mobilisé pour évaluer la fiabilité et la cohérence interne des échelles de mesure, en examinant la corrélation entre les items d’ un même axe.</w:t>
      </w:r>
    </w:p>
    <w:p w:rsidR="005236B6" w:rsidRDefault="005236B6" w:rsidP="00140168">
      <w:pPr>
        <w:spacing w:line="360" w:lineRule="auto"/>
        <w:jc w:val="both"/>
        <w:rPr>
          <w:rFonts w:asciiTheme="majorBidi" w:hAnsiTheme="majorBidi" w:cstheme="majorBidi"/>
          <w:sz w:val="24"/>
          <w:szCs w:val="24"/>
          <w:lang w:eastAsia="fr-FR" w:bidi="ar-DZ"/>
        </w:rPr>
      </w:pPr>
      <w:r w:rsidRPr="00936EEB">
        <w:rPr>
          <w:rFonts w:asciiTheme="majorBidi" w:hAnsiTheme="majorBidi" w:cstheme="majorBidi"/>
          <w:sz w:val="24"/>
          <w:szCs w:val="24"/>
          <w:lang w:eastAsia="fr-FR" w:bidi="ar-DZ"/>
        </w:rPr>
        <w:t>Enfin, des analyses plus poussées telles que la régression linéaire simple et l’ analyse de la variance à un facteur (ANOVA) ont été appliquées pour explorer les relations de dépendance entre variables et comparer les moyennes entre groupes, pour mesurer la dispersion, respectivement.</w:t>
      </w:r>
    </w:p>
    <w:p w:rsidR="005236B6" w:rsidRDefault="005236B6" w:rsidP="00140168">
      <w:pPr>
        <w:spacing w:line="360" w:lineRule="auto"/>
        <w:jc w:val="both"/>
        <w:rPr>
          <w:rFonts w:asciiTheme="majorBidi" w:hAnsiTheme="majorBidi" w:cstheme="majorBidi"/>
          <w:sz w:val="24"/>
          <w:szCs w:val="24"/>
          <w:lang w:eastAsia="fr-FR" w:bidi="ar-DZ"/>
        </w:rPr>
      </w:pPr>
      <w:r w:rsidRPr="00936EEB">
        <w:rPr>
          <w:rFonts w:asciiTheme="majorBidi" w:hAnsiTheme="majorBidi" w:cstheme="majorBidi"/>
          <w:b/>
          <w:bCs/>
          <w:sz w:val="24"/>
          <w:szCs w:val="24"/>
          <w:lang w:eastAsia="fr-FR" w:bidi="ar-DZ"/>
        </w:rPr>
        <w:t>Partie 02 :</w:t>
      </w:r>
      <w:r w:rsidRPr="00936EEB">
        <w:rPr>
          <w:rFonts w:asciiTheme="majorBidi" w:hAnsiTheme="majorBidi" w:cstheme="majorBidi"/>
          <w:sz w:val="24"/>
          <w:szCs w:val="24"/>
          <w:lang w:eastAsia="fr-FR" w:bidi="ar-DZ"/>
        </w:rPr>
        <w:t xml:space="preserve"> l’analyse des résultats de l’étude.</w:t>
      </w:r>
    </w:p>
    <w:p w:rsidR="00A737E4" w:rsidRDefault="005236B6" w:rsidP="00140168">
      <w:pPr>
        <w:pStyle w:val="Titre3"/>
        <w:numPr>
          <w:ilvl w:val="1"/>
          <w:numId w:val="10"/>
        </w:numPr>
        <w:spacing w:line="360" w:lineRule="auto"/>
        <w:jc w:val="both"/>
        <w:rPr>
          <w:color w:val="auto"/>
          <w:lang w:eastAsia="fr-FR" w:bidi="ar-DZ"/>
        </w:rPr>
      </w:pPr>
      <w:bookmarkStart w:id="331" w:name="_Toc230558743"/>
      <w:bookmarkStart w:id="332" w:name="_Toc230900377"/>
      <w:r w:rsidRPr="00516205">
        <w:rPr>
          <w:rFonts w:ascii="Times New Roman" w:hAnsi="Times New Roman"/>
          <w:b/>
          <w:bCs/>
          <w:color w:val="auto"/>
          <w:sz w:val="24"/>
          <w:szCs w:val="24"/>
          <w:lang w:eastAsia="fr-FR" w:bidi="ar-DZ"/>
        </w:rPr>
        <w:t>Analyse univariée :</w:t>
      </w:r>
      <w:bookmarkEnd w:id="331"/>
      <w:bookmarkEnd w:id="332"/>
    </w:p>
    <w:p w:rsidR="005236B6" w:rsidRPr="00A737E4" w:rsidRDefault="005236B6" w:rsidP="00140168">
      <w:pPr>
        <w:spacing w:line="360" w:lineRule="auto"/>
        <w:jc w:val="both"/>
        <w:rPr>
          <w:rFonts w:ascii="Times New Roman" w:hAnsi="Times New Roman" w:cs="Times New Roman"/>
          <w:sz w:val="24"/>
          <w:szCs w:val="24"/>
          <w:lang w:eastAsia="fr-FR" w:bidi="ar-DZ"/>
        </w:rPr>
      </w:pPr>
      <w:r w:rsidRPr="00A737E4">
        <w:rPr>
          <w:rFonts w:ascii="Times New Roman" w:hAnsi="Times New Roman" w:cs="Times New Roman"/>
          <w:sz w:val="24"/>
          <w:szCs w:val="24"/>
          <w:lang w:eastAsia="fr-FR" w:bidi="ar-DZ"/>
        </w:rPr>
        <w:t>L’analyse univariée a permis d’examiner la distribution des réponses pour chaque variable prise individuellement. Pour les variables nominales, cette démarche s’est traduite par la réalisation de tris à plat, consistant à comptabiliser les effectifs correspondant à chaque modalité. Cette étape est essentielle pour appréhender la structure générale de l’échantillon unique, notamment à travers des représentations graphiques appropriées. Par ailleurs, pour les variables quantitatives, nous avons procédé au calcul des fréquences, de la moyenne et de l’ écart-type, afin de décrire de manière synthétique leur comportement statistique.</w:t>
      </w:r>
    </w:p>
    <w:p w:rsidR="005236B6" w:rsidRDefault="005236B6" w:rsidP="00F7493D">
      <w:pPr>
        <w:spacing w:line="360" w:lineRule="auto"/>
        <w:rPr>
          <w:rFonts w:asciiTheme="majorBidi" w:hAnsiTheme="majorBidi" w:cstheme="majorBidi"/>
          <w:b/>
          <w:bCs/>
          <w:color w:val="000000" w:themeColor="text1"/>
          <w:sz w:val="24"/>
          <w:szCs w:val="24"/>
        </w:rPr>
      </w:pPr>
      <w:r w:rsidRPr="00A511C9">
        <w:rPr>
          <w:rFonts w:asciiTheme="majorBidi" w:hAnsiTheme="majorBidi" w:cstheme="majorBidi"/>
          <w:b/>
          <w:bCs/>
          <w:color w:val="000000" w:themeColor="text1"/>
          <w:sz w:val="24"/>
          <w:szCs w:val="24"/>
        </w:rPr>
        <w:lastRenderedPageBreak/>
        <w:t>Partie 01 : Analyse univariée des données sociodémographiques :</w:t>
      </w:r>
    </w:p>
    <w:p w:rsidR="005236B6" w:rsidRPr="00140168" w:rsidRDefault="00A511C9" w:rsidP="00140168">
      <w:pPr>
        <w:spacing w:line="360" w:lineRule="auto"/>
        <w:rPr>
          <w:rFonts w:asciiTheme="majorBidi" w:hAnsiTheme="majorBidi" w:cstheme="majorBidi"/>
          <w:b/>
          <w:bCs/>
          <w:color w:val="000000" w:themeColor="text1"/>
          <w:sz w:val="24"/>
          <w:szCs w:val="24"/>
          <w:rtl/>
          <w:lang w:bidi="ar-DZ"/>
        </w:rPr>
      </w:pPr>
      <w:bookmarkStart w:id="333" w:name="_Toc230400764"/>
      <w:r w:rsidRPr="00A511C9">
        <w:rPr>
          <w:rFonts w:asciiTheme="majorBidi" w:hAnsiTheme="majorBidi" w:cstheme="majorBidi"/>
          <w:b/>
          <w:bCs/>
          <w:sz w:val="24"/>
          <w:szCs w:val="24"/>
          <w:lang w:eastAsia="fr-FR" w:bidi="ar-DZ"/>
        </w:rPr>
        <w:t xml:space="preserve">Tableau </w:t>
      </w:r>
      <w:r w:rsidR="007B5998" w:rsidRPr="00A511C9">
        <w:rPr>
          <w:rFonts w:asciiTheme="majorBidi" w:hAnsiTheme="majorBidi" w:cstheme="majorBidi"/>
          <w:b/>
          <w:bCs/>
          <w:sz w:val="24"/>
          <w:szCs w:val="24"/>
          <w:lang w:eastAsia="fr-FR" w:bidi="ar-DZ"/>
        </w:rPr>
        <w:fldChar w:fldCharType="begin"/>
      </w:r>
      <w:r w:rsidRPr="00A511C9">
        <w:rPr>
          <w:rFonts w:asciiTheme="majorBidi" w:hAnsiTheme="majorBidi" w:cstheme="majorBidi"/>
          <w:b/>
          <w:bCs/>
          <w:sz w:val="24"/>
          <w:szCs w:val="24"/>
          <w:lang w:eastAsia="fr-FR" w:bidi="ar-DZ"/>
        </w:rPr>
        <w:instrText xml:space="preserve"> SEQ Tableau \* ARABIC </w:instrText>
      </w:r>
      <w:r w:rsidR="007B5998" w:rsidRPr="00A511C9">
        <w:rPr>
          <w:rFonts w:asciiTheme="majorBidi" w:hAnsiTheme="majorBidi" w:cstheme="majorBidi"/>
          <w:b/>
          <w:bCs/>
          <w:sz w:val="24"/>
          <w:szCs w:val="24"/>
          <w:lang w:eastAsia="fr-FR" w:bidi="ar-DZ"/>
        </w:rPr>
        <w:fldChar w:fldCharType="separate"/>
      </w:r>
      <w:r w:rsidR="00515B25">
        <w:rPr>
          <w:rFonts w:asciiTheme="majorBidi" w:hAnsiTheme="majorBidi" w:cstheme="majorBidi"/>
          <w:b/>
          <w:bCs/>
          <w:noProof/>
          <w:sz w:val="24"/>
          <w:szCs w:val="24"/>
          <w:lang w:eastAsia="fr-FR" w:bidi="ar-DZ"/>
        </w:rPr>
        <w:t>26</w:t>
      </w:r>
      <w:r w:rsidR="007B5998" w:rsidRPr="00A511C9">
        <w:rPr>
          <w:rFonts w:asciiTheme="majorBidi" w:hAnsiTheme="majorBidi" w:cstheme="majorBidi"/>
          <w:b/>
          <w:bCs/>
          <w:sz w:val="24"/>
          <w:szCs w:val="24"/>
          <w:lang w:eastAsia="fr-FR" w:bidi="ar-DZ"/>
        </w:rPr>
        <w:fldChar w:fldCharType="end"/>
      </w:r>
      <w:r w:rsidRPr="00A511C9">
        <w:rPr>
          <w:rFonts w:asciiTheme="majorBidi" w:hAnsiTheme="majorBidi" w:cstheme="majorBidi"/>
          <w:b/>
          <w:bCs/>
          <w:sz w:val="24"/>
          <w:szCs w:val="24"/>
          <w:lang w:eastAsia="fr-FR" w:bidi="ar-DZ"/>
        </w:rPr>
        <w:t xml:space="preserve"> :</w:t>
      </w:r>
      <w:r w:rsidRPr="00A511C9">
        <w:rPr>
          <w:rFonts w:asciiTheme="majorBidi" w:hAnsiTheme="majorBidi" w:cstheme="majorBidi"/>
          <w:sz w:val="24"/>
          <w:szCs w:val="24"/>
          <w:lang w:eastAsia="fr-FR" w:bidi="ar-DZ"/>
        </w:rPr>
        <w:t xml:space="preserve"> Répartition de l’échantillon de recherche selon le genre des répondants</w:t>
      </w:r>
      <w:bookmarkEnd w:id="333"/>
    </w:p>
    <w:tbl>
      <w:tblPr>
        <w:tblW w:w="6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305"/>
        <w:gridCol w:w="1183"/>
        <w:gridCol w:w="1923"/>
        <w:gridCol w:w="2196"/>
      </w:tblGrid>
      <w:tr w:rsidR="005236B6" w:rsidRPr="008858B9" w:rsidTr="00140168">
        <w:trPr>
          <w:cantSplit/>
          <w:trHeight w:val="555"/>
          <w:jc w:val="center"/>
        </w:trPr>
        <w:tc>
          <w:tcPr>
            <w:tcW w:w="2488" w:type="dxa"/>
            <w:gridSpan w:val="2"/>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p>
        </w:tc>
        <w:tc>
          <w:tcPr>
            <w:tcW w:w="1923"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Fréquence</w:t>
            </w:r>
          </w:p>
        </w:tc>
        <w:tc>
          <w:tcPr>
            <w:tcW w:w="2196"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Pourcentage</w:t>
            </w:r>
          </w:p>
        </w:tc>
      </w:tr>
      <w:tr w:rsidR="005236B6" w:rsidRPr="008858B9" w:rsidTr="00140168">
        <w:trPr>
          <w:cantSplit/>
          <w:trHeight w:val="535"/>
          <w:jc w:val="center"/>
        </w:trPr>
        <w:tc>
          <w:tcPr>
            <w:tcW w:w="1305" w:type="dxa"/>
            <w:vMerge w:val="restart"/>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Valide</w:t>
            </w:r>
          </w:p>
        </w:tc>
        <w:tc>
          <w:tcPr>
            <w:tcW w:w="1183" w:type="dxa"/>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Femme</w:t>
            </w:r>
          </w:p>
        </w:tc>
        <w:tc>
          <w:tcPr>
            <w:tcW w:w="1923"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121</w:t>
            </w:r>
          </w:p>
        </w:tc>
        <w:tc>
          <w:tcPr>
            <w:tcW w:w="2196"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59,0</w:t>
            </w:r>
          </w:p>
        </w:tc>
      </w:tr>
      <w:tr w:rsidR="005236B6" w:rsidRPr="008858B9" w:rsidTr="00140168">
        <w:trPr>
          <w:cantSplit/>
          <w:trHeight w:val="532"/>
          <w:jc w:val="center"/>
        </w:trPr>
        <w:tc>
          <w:tcPr>
            <w:tcW w:w="1305" w:type="dxa"/>
            <w:vMerge/>
            <w:vAlign w:val="center"/>
          </w:tcPr>
          <w:p w:rsidR="005236B6" w:rsidRPr="008858B9" w:rsidRDefault="005236B6" w:rsidP="00140168">
            <w:pPr>
              <w:spacing w:after="0" w:line="276" w:lineRule="auto"/>
              <w:jc w:val="center"/>
              <w:rPr>
                <w:rFonts w:asciiTheme="majorBidi" w:hAnsiTheme="majorBidi" w:cstheme="majorBidi"/>
                <w:sz w:val="24"/>
                <w:szCs w:val="24"/>
              </w:rPr>
            </w:pPr>
          </w:p>
        </w:tc>
        <w:tc>
          <w:tcPr>
            <w:tcW w:w="1183" w:type="dxa"/>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Homme</w:t>
            </w:r>
          </w:p>
        </w:tc>
        <w:tc>
          <w:tcPr>
            <w:tcW w:w="1923"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84</w:t>
            </w:r>
          </w:p>
        </w:tc>
        <w:tc>
          <w:tcPr>
            <w:tcW w:w="2196"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41,0</w:t>
            </w:r>
          </w:p>
        </w:tc>
      </w:tr>
      <w:tr w:rsidR="005236B6" w:rsidRPr="008858B9" w:rsidTr="00EC7780">
        <w:trPr>
          <w:cantSplit/>
          <w:trHeight w:val="732"/>
          <w:jc w:val="center"/>
        </w:trPr>
        <w:tc>
          <w:tcPr>
            <w:tcW w:w="1305" w:type="dxa"/>
            <w:vMerge/>
            <w:vAlign w:val="center"/>
          </w:tcPr>
          <w:p w:rsidR="005236B6" w:rsidRPr="008858B9" w:rsidRDefault="005236B6" w:rsidP="00140168">
            <w:pPr>
              <w:spacing w:after="0" w:line="276" w:lineRule="auto"/>
              <w:jc w:val="center"/>
              <w:rPr>
                <w:rFonts w:asciiTheme="majorBidi" w:hAnsiTheme="majorBidi" w:cstheme="majorBidi"/>
                <w:sz w:val="24"/>
                <w:szCs w:val="24"/>
              </w:rPr>
            </w:pPr>
          </w:p>
        </w:tc>
        <w:tc>
          <w:tcPr>
            <w:tcW w:w="1183" w:type="dxa"/>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Total</w:t>
            </w:r>
          </w:p>
        </w:tc>
        <w:tc>
          <w:tcPr>
            <w:tcW w:w="1923"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205</w:t>
            </w:r>
          </w:p>
        </w:tc>
        <w:tc>
          <w:tcPr>
            <w:tcW w:w="2196" w:type="dxa"/>
            <w:shd w:val="clear" w:color="auto" w:fill="FFFFFF"/>
            <w:vAlign w:val="center"/>
          </w:tcPr>
          <w:p w:rsidR="005236B6" w:rsidRPr="008858B9" w:rsidRDefault="005236B6" w:rsidP="00140168">
            <w:pPr>
              <w:spacing w:after="0" w:line="276" w:lineRule="auto"/>
              <w:jc w:val="center"/>
              <w:rPr>
                <w:rFonts w:asciiTheme="majorBidi" w:hAnsiTheme="majorBidi" w:cstheme="majorBidi"/>
                <w:sz w:val="24"/>
                <w:szCs w:val="24"/>
              </w:rPr>
            </w:pPr>
            <w:r w:rsidRPr="008858B9">
              <w:rPr>
                <w:rFonts w:asciiTheme="majorBidi" w:hAnsiTheme="majorBidi" w:cstheme="majorBidi"/>
                <w:sz w:val="24"/>
                <w:szCs w:val="24"/>
              </w:rPr>
              <w:t>100,0</w:t>
            </w:r>
          </w:p>
        </w:tc>
      </w:tr>
    </w:tbl>
    <w:p w:rsidR="005236B6" w:rsidRPr="00DE60BF"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033A3A" w:rsidRDefault="005236B6" w:rsidP="00F7493D">
      <w:pPr>
        <w:spacing w:line="360" w:lineRule="auto"/>
        <w:jc w:val="both"/>
        <w:rPr>
          <w:rFonts w:asciiTheme="majorBidi" w:hAnsiTheme="majorBidi" w:cstheme="majorBidi"/>
          <w:sz w:val="24"/>
          <w:szCs w:val="24"/>
        </w:rPr>
      </w:pPr>
      <w:r w:rsidRPr="00033A3A">
        <w:rPr>
          <w:rFonts w:asciiTheme="majorBidi" w:hAnsiTheme="majorBidi" w:cstheme="majorBidi"/>
          <w:sz w:val="24"/>
          <w:szCs w:val="24"/>
        </w:rPr>
        <w:t>L'échantillon de 205 répondants présente une prédominance féminine avec 59% (121 femmes) contre 41% d'hommes (84 individus). Cette répartition, montre un écart significatif de 18 points en faveur des femmes. Cette composition doit être prise en compte lors de la généralisation des résultats de l'étude.</w:t>
      </w:r>
    </w:p>
    <w:p w:rsidR="005236B6" w:rsidRPr="008858B9" w:rsidRDefault="005236B6" w:rsidP="00F7493D">
      <w:pPr>
        <w:spacing w:line="360" w:lineRule="auto"/>
        <w:jc w:val="center"/>
      </w:pPr>
      <w:r w:rsidRPr="008858B9">
        <w:rPr>
          <w:noProof/>
          <w:lang w:eastAsia="fr-FR"/>
        </w:rPr>
        <w:drawing>
          <wp:inline distT="0" distB="0" distL="0" distR="0">
            <wp:extent cx="4512007" cy="2224585"/>
            <wp:effectExtent l="19050" t="0" r="2843"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49073" cy="2242860"/>
                    </a:xfrm>
                    <a:prstGeom prst="rect">
                      <a:avLst/>
                    </a:prstGeom>
                    <a:noFill/>
                    <a:ln>
                      <a:noFill/>
                    </a:ln>
                  </pic:spPr>
                </pic:pic>
              </a:graphicData>
            </a:graphic>
          </wp:inline>
        </w:drawing>
      </w:r>
    </w:p>
    <w:p w:rsidR="005236B6" w:rsidRPr="004D3061" w:rsidRDefault="004D3061" w:rsidP="00F7493D">
      <w:pPr>
        <w:pStyle w:val="Lgende"/>
        <w:spacing w:line="360" w:lineRule="auto"/>
        <w:rPr>
          <w:rFonts w:ascii="Times New Roman" w:eastAsia="Calibri" w:hAnsi="Times New Roman" w:cs="Times New Roman"/>
          <w:b/>
          <w:bCs/>
          <w:i w:val="0"/>
          <w:iCs w:val="0"/>
          <w:color w:val="000000"/>
          <w:kern w:val="3"/>
          <w:sz w:val="22"/>
          <w:szCs w:val="22"/>
        </w:rPr>
      </w:pPr>
      <w:bookmarkStart w:id="334" w:name="_Toc230400765"/>
      <w:r w:rsidRPr="004D3061">
        <w:rPr>
          <w:rFonts w:ascii="Times New Roman" w:eastAsia="Calibri" w:hAnsi="Times New Roman" w:cs="Times New Roman"/>
          <w:b/>
          <w:bCs/>
          <w:i w:val="0"/>
          <w:iCs w:val="0"/>
          <w:color w:val="000000"/>
          <w:kern w:val="3"/>
          <w:sz w:val="22"/>
          <w:szCs w:val="22"/>
        </w:rPr>
        <w:t xml:space="preserve">Tableau </w:t>
      </w:r>
      <w:r w:rsidR="007B5998" w:rsidRPr="004D3061">
        <w:rPr>
          <w:rFonts w:ascii="Times New Roman" w:eastAsia="Calibri" w:hAnsi="Times New Roman" w:cs="Times New Roman"/>
          <w:b/>
          <w:bCs/>
          <w:i w:val="0"/>
          <w:iCs w:val="0"/>
          <w:color w:val="000000"/>
          <w:kern w:val="3"/>
          <w:sz w:val="22"/>
          <w:szCs w:val="22"/>
        </w:rPr>
        <w:fldChar w:fldCharType="begin"/>
      </w:r>
      <w:r w:rsidRPr="004D3061">
        <w:rPr>
          <w:rFonts w:ascii="Times New Roman" w:eastAsia="Calibri" w:hAnsi="Times New Roman" w:cs="Times New Roman"/>
          <w:b/>
          <w:bCs/>
          <w:i w:val="0"/>
          <w:iCs w:val="0"/>
          <w:color w:val="000000"/>
          <w:kern w:val="3"/>
          <w:sz w:val="22"/>
          <w:szCs w:val="22"/>
        </w:rPr>
        <w:instrText xml:space="preserve"> SEQ Tableau \* ARABIC </w:instrText>
      </w:r>
      <w:r w:rsidR="007B5998" w:rsidRPr="004D3061">
        <w:rPr>
          <w:rFonts w:ascii="Times New Roman" w:eastAsia="Calibri" w:hAnsi="Times New Roman" w:cs="Times New Roman"/>
          <w:b/>
          <w:bCs/>
          <w:i w:val="0"/>
          <w:iCs w:val="0"/>
          <w:color w:val="000000"/>
          <w:kern w:val="3"/>
          <w:sz w:val="22"/>
          <w:szCs w:val="22"/>
        </w:rPr>
        <w:fldChar w:fldCharType="separate"/>
      </w:r>
      <w:r w:rsidR="00515B25">
        <w:rPr>
          <w:rFonts w:ascii="Times New Roman" w:eastAsia="Calibri" w:hAnsi="Times New Roman" w:cs="Times New Roman"/>
          <w:b/>
          <w:bCs/>
          <w:i w:val="0"/>
          <w:iCs w:val="0"/>
          <w:noProof/>
          <w:color w:val="000000"/>
          <w:kern w:val="3"/>
          <w:sz w:val="22"/>
          <w:szCs w:val="22"/>
        </w:rPr>
        <w:t>27</w:t>
      </w:r>
      <w:r w:rsidR="007B5998" w:rsidRPr="004D3061">
        <w:rPr>
          <w:rFonts w:ascii="Times New Roman" w:eastAsia="Calibri" w:hAnsi="Times New Roman" w:cs="Times New Roman"/>
          <w:b/>
          <w:bCs/>
          <w:i w:val="0"/>
          <w:iCs w:val="0"/>
          <w:color w:val="000000"/>
          <w:kern w:val="3"/>
          <w:sz w:val="22"/>
          <w:szCs w:val="22"/>
        </w:rPr>
        <w:fldChar w:fldCharType="end"/>
      </w:r>
      <w:r w:rsidRPr="004D3061">
        <w:rPr>
          <w:rFonts w:ascii="Times New Roman" w:eastAsia="Calibri" w:hAnsi="Times New Roman" w:cs="Times New Roman"/>
          <w:b/>
          <w:bCs/>
          <w:i w:val="0"/>
          <w:iCs w:val="0"/>
          <w:color w:val="000000"/>
          <w:kern w:val="3"/>
          <w:sz w:val="22"/>
          <w:szCs w:val="22"/>
        </w:rPr>
        <w:t xml:space="preserve"> :  </w:t>
      </w:r>
      <w:r w:rsidRPr="004D3061">
        <w:rPr>
          <w:rFonts w:ascii="Times New Roman" w:eastAsia="Calibri" w:hAnsi="Times New Roman" w:cs="Times New Roman"/>
          <w:i w:val="0"/>
          <w:iCs w:val="0"/>
          <w:color w:val="000000"/>
          <w:kern w:val="3"/>
          <w:sz w:val="22"/>
          <w:szCs w:val="22"/>
        </w:rPr>
        <w:t>Répartition de l’échantillon de recherche selon l’Age des répondants</w:t>
      </w:r>
      <w:bookmarkEnd w:id="334"/>
    </w:p>
    <w:tbl>
      <w:tblPr>
        <w:tblW w:w="6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209"/>
        <w:gridCol w:w="1899"/>
        <w:gridCol w:w="1784"/>
        <w:gridCol w:w="2037"/>
      </w:tblGrid>
      <w:tr w:rsidR="005236B6" w:rsidRPr="008858B9" w:rsidTr="004D3061">
        <w:trPr>
          <w:cantSplit/>
          <w:trHeight w:val="364"/>
          <w:jc w:val="center"/>
        </w:trPr>
        <w:tc>
          <w:tcPr>
            <w:tcW w:w="3108" w:type="dxa"/>
            <w:gridSpan w:val="2"/>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p>
        </w:tc>
        <w:tc>
          <w:tcPr>
            <w:tcW w:w="1784"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Fréquence</w:t>
            </w:r>
          </w:p>
        </w:tc>
        <w:tc>
          <w:tcPr>
            <w:tcW w:w="2037"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Pourcentage</w:t>
            </w:r>
          </w:p>
        </w:tc>
      </w:tr>
      <w:tr w:rsidR="005236B6" w:rsidRPr="008858B9" w:rsidTr="004D3061">
        <w:trPr>
          <w:cantSplit/>
          <w:trHeight w:val="353"/>
          <w:jc w:val="center"/>
        </w:trPr>
        <w:tc>
          <w:tcPr>
            <w:tcW w:w="1209" w:type="dxa"/>
            <w:vMerge w:val="restart"/>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Valide</w:t>
            </w:r>
          </w:p>
        </w:tc>
        <w:tc>
          <w:tcPr>
            <w:tcW w:w="1899" w:type="dxa"/>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lang w:val="en-US"/>
              </w:rPr>
              <w:t xml:space="preserve">Moins de 25 ans </w:t>
            </w:r>
          </w:p>
        </w:tc>
        <w:tc>
          <w:tcPr>
            <w:tcW w:w="1784"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98</w:t>
            </w:r>
          </w:p>
        </w:tc>
        <w:tc>
          <w:tcPr>
            <w:tcW w:w="2037"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47,8</w:t>
            </w:r>
          </w:p>
        </w:tc>
      </w:tr>
      <w:tr w:rsidR="005236B6" w:rsidRPr="008858B9" w:rsidTr="004D3061">
        <w:trPr>
          <w:cantSplit/>
          <w:trHeight w:val="374"/>
          <w:jc w:val="center"/>
        </w:trPr>
        <w:tc>
          <w:tcPr>
            <w:tcW w:w="1209" w:type="dxa"/>
            <w:vMerge/>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p>
        </w:tc>
        <w:tc>
          <w:tcPr>
            <w:tcW w:w="1899" w:type="dxa"/>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25 à 35 ans</w:t>
            </w:r>
          </w:p>
        </w:tc>
        <w:tc>
          <w:tcPr>
            <w:tcW w:w="1784"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53</w:t>
            </w:r>
          </w:p>
        </w:tc>
        <w:tc>
          <w:tcPr>
            <w:tcW w:w="2037"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25,9</w:t>
            </w:r>
          </w:p>
        </w:tc>
      </w:tr>
      <w:tr w:rsidR="005236B6" w:rsidRPr="008858B9" w:rsidTr="004D3061">
        <w:trPr>
          <w:cantSplit/>
          <w:trHeight w:val="374"/>
          <w:jc w:val="center"/>
        </w:trPr>
        <w:tc>
          <w:tcPr>
            <w:tcW w:w="1209" w:type="dxa"/>
            <w:vMerge/>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p>
        </w:tc>
        <w:tc>
          <w:tcPr>
            <w:tcW w:w="1899" w:type="dxa"/>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 xml:space="preserve">36 à 45 ans </w:t>
            </w:r>
          </w:p>
        </w:tc>
        <w:tc>
          <w:tcPr>
            <w:tcW w:w="1784"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30</w:t>
            </w:r>
          </w:p>
        </w:tc>
        <w:tc>
          <w:tcPr>
            <w:tcW w:w="2037"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14,6</w:t>
            </w:r>
          </w:p>
        </w:tc>
      </w:tr>
      <w:tr w:rsidR="005236B6" w:rsidRPr="008858B9" w:rsidTr="004D3061">
        <w:trPr>
          <w:cantSplit/>
          <w:trHeight w:val="364"/>
          <w:jc w:val="center"/>
        </w:trPr>
        <w:tc>
          <w:tcPr>
            <w:tcW w:w="1209" w:type="dxa"/>
            <w:vMerge/>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p>
        </w:tc>
        <w:tc>
          <w:tcPr>
            <w:tcW w:w="1899" w:type="dxa"/>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lang w:val="en-US"/>
              </w:rPr>
              <w:t xml:space="preserve">Plus, de 45 ans </w:t>
            </w:r>
          </w:p>
        </w:tc>
        <w:tc>
          <w:tcPr>
            <w:tcW w:w="1784"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24</w:t>
            </w:r>
          </w:p>
        </w:tc>
        <w:tc>
          <w:tcPr>
            <w:tcW w:w="2037"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11,7</w:t>
            </w:r>
          </w:p>
        </w:tc>
      </w:tr>
      <w:tr w:rsidR="005236B6" w:rsidRPr="008858B9" w:rsidTr="004D3061">
        <w:trPr>
          <w:cantSplit/>
          <w:trHeight w:val="374"/>
          <w:jc w:val="center"/>
        </w:trPr>
        <w:tc>
          <w:tcPr>
            <w:tcW w:w="1209" w:type="dxa"/>
            <w:vMerge/>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p>
        </w:tc>
        <w:tc>
          <w:tcPr>
            <w:tcW w:w="1899" w:type="dxa"/>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Total</w:t>
            </w:r>
          </w:p>
        </w:tc>
        <w:tc>
          <w:tcPr>
            <w:tcW w:w="1784"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205</w:t>
            </w:r>
          </w:p>
        </w:tc>
        <w:tc>
          <w:tcPr>
            <w:tcW w:w="2037" w:type="dxa"/>
            <w:shd w:val="clear" w:color="auto" w:fill="FFFFFF"/>
            <w:vAlign w:val="center"/>
          </w:tcPr>
          <w:p w:rsidR="005236B6" w:rsidRPr="008858B9" w:rsidRDefault="005236B6" w:rsidP="00140168">
            <w:pPr>
              <w:spacing w:after="100" w:afterAutospacing="1" w:line="360" w:lineRule="auto"/>
              <w:jc w:val="center"/>
              <w:rPr>
                <w:rFonts w:asciiTheme="majorBidi" w:hAnsiTheme="majorBidi" w:cstheme="majorBidi"/>
                <w:sz w:val="24"/>
                <w:szCs w:val="24"/>
              </w:rPr>
            </w:pPr>
            <w:r w:rsidRPr="008858B9">
              <w:rPr>
                <w:rFonts w:asciiTheme="majorBidi" w:hAnsiTheme="majorBidi" w:cstheme="majorBidi"/>
                <w:sz w:val="24"/>
                <w:szCs w:val="24"/>
              </w:rPr>
              <w:t>100,0</w:t>
            </w:r>
          </w:p>
        </w:tc>
      </w:tr>
    </w:tbl>
    <w:p w:rsidR="005236B6" w:rsidRPr="00DE60BF"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autoSpaceDE w:val="0"/>
        <w:adjustRightInd w:val="0"/>
        <w:spacing w:after="0" w:line="360" w:lineRule="auto"/>
        <w:jc w:val="both"/>
        <w:rPr>
          <w:rFonts w:ascii="Times New Roman" w:hAnsi="Times New Roman" w:cs="Times New Roman"/>
          <w:sz w:val="24"/>
          <w:szCs w:val="24"/>
        </w:rPr>
      </w:pPr>
      <w:r w:rsidRPr="00033A3A">
        <w:rPr>
          <w:rFonts w:ascii="Times New Roman" w:hAnsi="Times New Roman" w:cs="Times New Roman"/>
          <w:sz w:val="24"/>
          <w:szCs w:val="24"/>
        </w:rPr>
        <w:t xml:space="preserve">L'échantillon est majoritairement jeune, avec près de 47,8% des répondants ayant moins de 25 ans, tandis que les catégories plus âgées diminuent progressivement. On observe une </w:t>
      </w:r>
      <w:r w:rsidRPr="00033A3A">
        <w:rPr>
          <w:rFonts w:ascii="Times New Roman" w:hAnsi="Times New Roman" w:cs="Times New Roman"/>
          <w:sz w:val="24"/>
          <w:szCs w:val="24"/>
        </w:rPr>
        <w:lastRenderedPageBreak/>
        <w:t>corrélation inverse entre l'âge et la participation, les seniors de plus de 45 ans ne représentant que 11,7%. Cette structure démographique indique que les résultats de l'étude refléteront principalement les perspectives d'une population jeune et active.</w:t>
      </w:r>
    </w:p>
    <w:p w:rsidR="005236B6" w:rsidRDefault="005236B6" w:rsidP="00F7493D">
      <w:pPr>
        <w:autoSpaceDE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4417017" cy="2600731"/>
            <wp:effectExtent l="0" t="0" r="317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46920" cy="2618338"/>
                    </a:xfrm>
                    <a:prstGeom prst="rect">
                      <a:avLst/>
                    </a:prstGeom>
                    <a:noFill/>
                    <a:ln>
                      <a:noFill/>
                    </a:ln>
                  </pic:spPr>
                </pic:pic>
              </a:graphicData>
            </a:graphic>
          </wp:inline>
        </w:drawing>
      </w:r>
    </w:p>
    <w:p w:rsidR="005236B6" w:rsidRPr="004D3061" w:rsidRDefault="004D3061" w:rsidP="00F7493D">
      <w:pPr>
        <w:pStyle w:val="Lgende"/>
        <w:spacing w:line="360" w:lineRule="auto"/>
        <w:jc w:val="lowKashida"/>
        <w:rPr>
          <w:rFonts w:ascii="Times New Roman" w:eastAsia="Calibri" w:hAnsi="Times New Roman" w:cs="Times New Roman"/>
          <w:b/>
          <w:bCs/>
          <w:i w:val="0"/>
          <w:iCs w:val="0"/>
          <w:color w:val="000000"/>
          <w:kern w:val="3"/>
          <w:sz w:val="22"/>
          <w:szCs w:val="22"/>
        </w:rPr>
      </w:pPr>
      <w:bookmarkStart w:id="335" w:name="_Toc230400766"/>
      <w:r w:rsidRPr="004D3061">
        <w:rPr>
          <w:rFonts w:ascii="Times New Roman" w:eastAsia="Calibri" w:hAnsi="Times New Roman" w:cs="Times New Roman"/>
          <w:b/>
          <w:bCs/>
          <w:i w:val="0"/>
          <w:iCs w:val="0"/>
          <w:color w:val="000000"/>
          <w:kern w:val="3"/>
          <w:sz w:val="22"/>
          <w:szCs w:val="22"/>
        </w:rPr>
        <w:t xml:space="preserve">Tableau </w:t>
      </w:r>
      <w:r w:rsidR="007B5998" w:rsidRPr="004D3061">
        <w:rPr>
          <w:rFonts w:ascii="Times New Roman" w:eastAsia="Calibri" w:hAnsi="Times New Roman" w:cs="Times New Roman"/>
          <w:b/>
          <w:bCs/>
          <w:i w:val="0"/>
          <w:iCs w:val="0"/>
          <w:color w:val="000000"/>
          <w:kern w:val="3"/>
          <w:sz w:val="22"/>
          <w:szCs w:val="22"/>
        </w:rPr>
        <w:fldChar w:fldCharType="begin"/>
      </w:r>
      <w:r w:rsidRPr="004D3061">
        <w:rPr>
          <w:rFonts w:ascii="Times New Roman" w:eastAsia="Calibri" w:hAnsi="Times New Roman" w:cs="Times New Roman"/>
          <w:b/>
          <w:bCs/>
          <w:i w:val="0"/>
          <w:iCs w:val="0"/>
          <w:color w:val="000000"/>
          <w:kern w:val="3"/>
          <w:sz w:val="22"/>
          <w:szCs w:val="22"/>
        </w:rPr>
        <w:instrText xml:space="preserve"> SEQ Tableau \* ARABIC </w:instrText>
      </w:r>
      <w:r w:rsidR="007B5998" w:rsidRPr="004D3061">
        <w:rPr>
          <w:rFonts w:ascii="Times New Roman" w:eastAsia="Calibri" w:hAnsi="Times New Roman" w:cs="Times New Roman"/>
          <w:b/>
          <w:bCs/>
          <w:i w:val="0"/>
          <w:iCs w:val="0"/>
          <w:color w:val="000000"/>
          <w:kern w:val="3"/>
          <w:sz w:val="22"/>
          <w:szCs w:val="22"/>
        </w:rPr>
        <w:fldChar w:fldCharType="separate"/>
      </w:r>
      <w:r w:rsidR="00515B25">
        <w:rPr>
          <w:rFonts w:ascii="Times New Roman" w:eastAsia="Calibri" w:hAnsi="Times New Roman" w:cs="Times New Roman"/>
          <w:b/>
          <w:bCs/>
          <w:i w:val="0"/>
          <w:iCs w:val="0"/>
          <w:noProof/>
          <w:color w:val="000000"/>
          <w:kern w:val="3"/>
          <w:sz w:val="22"/>
          <w:szCs w:val="22"/>
        </w:rPr>
        <w:t>28</w:t>
      </w:r>
      <w:r w:rsidR="007B5998" w:rsidRPr="004D3061">
        <w:rPr>
          <w:rFonts w:ascii="Times New Roman" w:eastAsia="Calibri" w:hAnsi="Times New Roman" w:cs="Times New Roman"/>
          <w:b/>
          <w:bCs/>
          <w:i w:val="0"/>
          <w:iCs w:val="0"/>
          <w:color w:val="000000"/>
          <w:kern w:val="3"/>
          <w:sz w:val="22"/>
          <w:szCs w:val="22"/>
        </w:rPr>
        <w:fldChar w:fldCharType="end"/>
      </w:r>
      <w:r w:rsidRPr="004D3061">
        <w:rPr>
          <w:rFonts w:ascii="Times New Roman" w:eastAsia="Calibri" w:hAnsi="Times New Roman" w:cs="Times New Roman"/>
          <w:b/>
          <w:bCs/>
          <w:i w:val="0"/>
          <w:iCs w:val="0"/>
          <w:color w:val="000000"/>
          <w:kern w:val="3"/>
          <w:sz w:val="22"/>
          <w:szCs w:val="22"/>
        </w:rPr>
        <w:t xml:space="preserve"> : </w:t>
      </w:r>
      <w:r w:rsidRPr="004D3061">
        <w:rPr>
          <w:rFonts w:ascii="Times New Roman" w:eastAsia="Calibri" w:hAnsi="Times New Roman" w:cs="Times New Roman"/>
          <w:i w:val="0"/>
          <w:iCs w:val="0"/>
          <w:color w:val="000000"/>
          <w:kern w:val="3"/>
          <w:sz w:val="22"/>
          <w:szCs w:val="22"/>
        </w:rPr>
        <w:t>Répartition de l’échantillon de recherche selon le niveau d’étude des répondants</w:t>
      </w:r>
      <w:bookmarkEnd w:id="335"/>
    </w:p>
    <w:tbl>
      <w:tblPr>
        <w:tblW w:w="6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370"/>
        <w:gridCol w:w="1242"/>
        <w:gridCol w:w="2019"/>
        <w:gridCol w:w="2305"/>
      </w:tblGrid>
      <w:tr w:rsidR="005236B6" w:rsidRPr="00DD2AFB" w:rsidTr="00EC7780">
        <w:trPr>
          <w:cantSplit/>
          <w:trHeight w:val="344"/>
          <w:jc w:val="center"/>
        </w:trPr>
        <w:tc>
          <w:tcPr>
            <w:tcW w:w="2612" w:type="dxa"/>
            <w:gridSpan w:val="2"/>
            <w:shd w:val="clear" w:color="auto" w:fill="FFFFFF"/>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201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Fréquence</w:t>
            </w:r>
          </w:p>
        </w:tc>
        <w:tc>
          <w:tcPr>
            <w:tcW w:w="230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Pourcentage</w:t>
            </w:r>
          </w:p>
        </w:tc>
      </w:tr>
      <w:tr w:rsidR="005236B6" w:rsidRPr="00DD2AFB" w:rsidTr="00EC7780">
        <w:trPr>
          <w:cantSplit/>
          <w:trHeight w:val="344"/>
          <w:jc w:val="center"/>
        </w:trPr>
        <w:tc>
          <w:tcPr>
            <w:tcW w:w="1370" w:type="dxa"/>
            <w:vMerge w:val="restart"/>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Valide</w:t>
            </w:r>
          </w:p>
        </w:tc>
        <w:tc>
          <w:tcPr>
            <w:tcW w:w="1242"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secondaire</w:t>
            </w:r>
          </w:p>
        </w:tc>
        <w:tc>
          <w:tcPr>
            <w:tcW w:w="201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28</w:t>
            </w:r>
          </w:p>
        </w:tc>
        <w:tc>
          <w:tcPr>
            <w:tcW w:w="230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13,7</w:t>
            </w:r>
          </w:p>
        </w:tc>
      </w:tr>
      <w:tr w:rsidR="005236B6" w:rsidRPr="00DD2AFB" w:rsidTr="00EC7780">
        <w:trPr>
          <w:cantSplit/>
          <w:trHeight w:val="357"/>
          <w:jc w:val="center"/>
        </w:trPr>
        <w:tc>
          <w:tcPr>
            <w:tcW w:w="1370" w:type="dxa"/>
            <w:vMerge/>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242"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licence</w:t>
            </w:r>
          </w:p>
        </w:tc>
        <w:tc>
          <w:tcPr>
            <w:tcW w:w="201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61</w:t>
            </w:r>
          </w:p>
        </w:tc>
        <w:tc>
          <w:tcPr>
            <w:tcW w:w="230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29,8</w:t>
            </w:r>
          </w:p>
        </w:tc>
      </w:tr>
      <w:tr w:rsidR="005236B6" w:rsidRPr="00DD2AFB" w:rsidTr="00EC7780">
        <w:trPr>
          <w:cantSplit/>
          <w:trHeight w:val="357"/>
          <w:jc w:val="center"/>
        </w:trPr>
        <w:tc>
          <w:tcPr>
            <w:tcW w:w="1370" w:type="dxa"/>
            <w:vMerge/>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242"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master</w:t>
            </w:r>
          </w:p>
        </w:tc>
        <w:tc>
          <w:tcPr>
            <w:tcW w:w="201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93</w:t>
            </w:r>
          </w:p>
        </w:tc>
        <w:tc>
          <w:tcPr>
            <w:tcW w:w="230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45,4</w:t>
            </w:r>
          </w:p>
        </w:tc>
      </w:tr>
      <w:tr w:rsidR="005236B6" w:rsidRPr="00DD2AFB" w:rsidTr="00EC7780">
        <w:trPr>
          <w:cantSplit/>
          <w:trHeight w:val="357"/>
          <w:jc w:val="center"/>
        </w:trPr>
        <w:tc>
          <w:tcPr>
            <w:tcW w:w="1370" w:type="dxa"/>
            <w:vMerge/>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242"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doctorat</w:t>
            </w:r>
          </w:p>
        </w:tc>
        <w:tc>
          <w:tcPr>
            <w:tcW w:w="201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23</w:t>
            </w:r>
          </w:p>
        </w:tc>
        <w:tc>
          <w:tcPr>
            <w:tcW w:w="230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11,2</w:t>
            </w:r>
          </w:p>
        </w:tc>
      </w:tr>
      <w:tr w:rsidR="005236B6" w:rsidRPr="00DD2AFB" w:rsidTr="00EC7780">
        <w:trPr>
          <w:cantSplit/>
          <w:trHeight w:val="357"/>
          <w:jc w:val="center"/>
        </w:trPr>
        <w:tc>
          <w:tcPr>
            <w:tcW w:w="1370" w:type="dxa"/>
            <w:vMerge/>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242"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Total</w:t>
            </w:r>
          </w:p>
        </w:tc>
        <w:tc>
          <w:tcPr>
            <w:tcW w:w="201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205</w:t>
            </w:r>
          </w:p>
        </w:tc>
        <w:tc>
          <w:tcPr>
            <w:tcW w:w="230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100,0</w:t>
            </w:r>
          </w:p>
        </w:tc>
      </w:tr>
    </w:tbl>
    <w:p w:rsidR="005236B6" w:rsidRDefault="005236B6" w:rsidP="00F7493D">
      <w:pPr>
        <w:autoSpaceDE w:val="0"/>
        <w:adjustRightInd w:val="0"/>
        <w:spacing w:after="0" w:line="360" w:lineRule="auto"/>
        <w:rPr>
          <w:rFonts w:ascii="Times New Roman" w:hAnsi="Times New Roman" w:cs="Times New Roman"/>
          <w:sz w:val="24"/>
          <w:szCs w:val="24"/>
        </w:rPr>
      </w:pPr>
    </w:p>
    <w:p w:rsidR="005236B6" w:rsidRPr="00DE60BF"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pStyle w:val="NormalWeb"/>
        <w:spacing w:line="360" w:lineRule="auto"/>
        <w:jc w:val="both"/>
      </w:pPr>
      <w:r>
        <w:t xml:space="preserve">L'échantillon se caractérise par un niveau d'instruction élevé, avec une nette dominance des titulaires d'un </w:t>
      </w:r>
      <w:r>
        <w:rPr>
          <w:b/>
          <w:bCs/>
        </w:rPr>
        <w:t>Master (45,4%)</w:t>
      </w:r>
      <w:r>
        <w:t xml:space="preserve"> et d'une </w:t>
      </w:r>
      <w:r>
        <w:rPr>
          <w:b/>
          <w:bCs/>
        </w:rPr>
        <w:t>Licence (29,8%)</w:t>
      </w:r>
      <w:r>
        <w:t xml:space="preserve">. Près de </w:t>
      </w:r>
      <w:r>
        <w:rPr>
          <w:b/>
          <w:bCs/>
        </w:rPr>
        <w:t>75%</w:t>
      </w:r>
      <w:r>
        <w:t xml:space="preserve"> des répondants poss</w:t>
      </w:r>
      <w:r>
        <w:t>è</w:t>
      </w:r>
      <w:r>
        <w:t xml:space="preserve">dent un diplôme universitaire de cycle supérieur, garantissant ainsi une certaine maturité et une expertise intellectuelle dans les réponses collectées. Les niveaux secondaire et doctorat restent minoritaires, représentant respectivement </w:t>
      </w:r>
      <w:r>
        <w:rPr>
          <w:b/>
          <w:bCs/>
        </w:rPr>
        <w:t>13,7%</w:t>
      </w:r>
      <w:r>
        <w:t xml:space="preserve"> et </w:t>
      </w:r>
      <w:r>
        <w:rPr>
          <w:b/>
          <w:bCs/>
        </w:rPr>
        <w:t>11,2%</w:t>
      </w:r>
      <w:r>
        <w:t xml:space="preserve"> de l'effectif total.</w:t>
      </w:r>
    </w:p>
    <w:p w:rsidR="005236B6" w:rsidRDefault="005236B6" w:rsidP="00F7493D">
      <w:pPr>
        <w:autoSpaceDE w:val="0"/>
        <w:adjustRightInd w:val="0"/>
        <w:spacing w:after="0" w:line="360" w:lineRule="auto"/>
        <w:rPr>
          <w:rFonts w:ascii="Times New Roman" w:hAnsi="Times New Roman" w:cs="Times New Roman"/>
          <w:sz w:val="24"/>
          <w:szCs w:val="24"/>
        </w:rPr>
      </w:pPr>
    </w:p>
    <w:p w:rsidR="005236B6" w:rsidRPr="008858B9" w:rsidRDefault="005236B6" w:rsidP="00F7493D">
      <w:pPr>
        <w:autoSpaceDE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4737950" cy="2789695"/>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9471" cy="2802367"/>
                    </a:xfrm>
                    <a:prstGeom prst="rect">
                      <a:avLst/>
                    </a:prstGeom>
                    <a:noFill/>
                    <a:ln>
                      <a:noFill/>
                    </a:ln>
                  </pic:spPr>
                </pic:pic>
              </a:graphicData>
            </a:graphic>
          </wp:inline>
        </w:drawing>
      </w:r>
    </w:p>
    <w:p w:rsidR="004D3061" w:rsidRPr="004D3061" w:rsidRDefault="004D3061" w:rsidP="00F7493D">
      <w:pPr>
        <w:pStyle w:val="Lgende"/>
        <w:spacing w:line="360" w:lineRule="auto"/>
        <w:rPr>
          <w:rFonts w:ascii="Times New Roman" w:eastAsia="Calibri" w:hAnsi="Times New Roman" w:cs="Times New Roman"/>
          <w:i w:val="0"/>
          <w:iCs w:val="0"/>
          <w:color w:val="000000"/>
          <w:kern w:val="3"/>
          <w:sz w:val="24"/>
          <w:szCs w:val="24"/>
        </w:rPr>
      </w:pPr>
      <w:bookmarkStart w:id="336" w:name="_Toc230400767"/>
      <w:r w:rsidRPr="004D3061">
        <w:rPr>
          <w:rFonts w:ascii="Times New Roman" w:eastAsia="Calibri" w:hAnsi="Times New Roman" w:cs="Times New Roman"/>
          <w:b/>
          <w:bCs/>
          <w:i w:val="0"/>
          <w:iCs w:val="0"/>
          <w:color w:val="000000"/>
          <w:kern w:val="3"/>
          <w:sz w:val="24"/>
          <w:szCs w:val="24"/>
        </w:rPr>
        <w:t xml:space="preserve">Tableau </w:t>
      </w:r>
      <w:r w:rsidR="007B5998" w:rsidRPr="004D3061">
        <w:rPr>
          <w:rFonts w:ascii="Times New Roman" w:eastAsia="Calibri" w:hAnsi="Times New Roman" w:cs="Times New Roman"/>
          <w:b/>
          <w:bCs/>
          <w:i w:val="0"/>
          <w:iCs w:val="0"/>
          <w:color w:val="000000"/>
          <w:kern w:val="3"/>
          <w:sz w:val="24"/>
          <w:szCs w:val="24"/>
        </w:rPr>
        <w:fldChar w:fldCharType="begin"/>
      </w:r>
      <w:r w:rsidRPr="004D3061">
        <w:rPr>
          <w:rFonts w:ascii="Times New Roman" w:eastAsia="Calibri" w:hAnsi="Times New Roman" w:cs="Times New Roman"/>
          <w:b/>
          <w:bCs/>
          <w:i w:val="0"/>
          <w:iCs w:val="0"/>
          <w:color w:val="000000"/>
          <w:kern w:val="3"/>
          <w:sz w:val="24"/>
          <w:szCs w:val="24"/>
        </w:rPr>
        <w:instrText xml:space="preserve"> SEQ Tableau \* ARABIC </w:instrText>
      </w:r>
      <w:r w:rsidR="007B5998" w:rsidRPr="004D3061">
        <w:rPr>
          <w:rFonts w:ascii="Times New Roman" w:eastAsia="Calibri" w:hAnsi="Times New Roman" w:cs="Times New Roman"/>
          <w:b/>
          <w:bCs/>
          <w:i w:val="0"/>
          <w:iCs w:val="0"/>
          <w:color w:val="000000"/>
          <w:kern w:val="3"/>
          <w:sz w:val="24"/>
          <w:szCs w:val="24"/>
        </w:rPr>
        <w:fldChar w:fldCharType="separate"/>
      </w:r>
      <w:r w:rsidR="00515B25">
        <w:rPr>
          <w:rFonts w:ascii="Times New Roman" w:eastAsia="Calibri" w:hAnsi="Times New Roman" w:cs="Times New Roman"/>
          <w:b/>
          <w:bCs/>
          <w:i w:val="0"/>
          <w:iCs w:val="0"/>
          <w:noProof/>
          <w:color w:val="000000"/>
          <w:kern w:val="3"/>
          <w:sz w:val="24"/>
          <w:szCs w:val="24"/>
        </w:rPr>
        <w:t>29</w:t>
      </w:r>
      <w:r w:rsidR="007B5998" w:rsidRPr="004D3061">
        <w:rPr>
          <w:rFonts w:ascii="Times New Roman" w:eastAsia="Calibri" w:hAnsi="Times New Roman" w:cs="Times New Roman"/>
          <w:b/>
          <w:bCs/>
          <w:i w:val="0"/>
          <w:iCs w:val="0"/>
          <w:color w:val="000000"/>
          <w:kern w:val="3"/>
          <w:sz w:val="24"/>
          <w:szCs w:val="24"/>
        </w:rPr>
        <w:fldChar w:fldCharType="end"/>
      </w:r>
      <w:r w:rsidRPr="004D3061">
        <w:rPr>
          <w:rFonts w:ascii="Times New Roman" w:eastAsia="Calibri" w:hAnsi="Times New Roman" w:cs="Times New Roman"/>
          <w:b/>
          <w:bCs/>
          <w:i w:val="0"/>
          <w:iCs w:val="0"/>
          <w:color w:val="000000"/>
          <w:kern w:val="3"/>
          <w:sz w:val="24"/>
          <w:szCs w:val="24"/>
        </w:rPr>
        <w:t xml:space="preserve"> :</w:t>
      </w:r>
      <w:r w:rsidRPr="004D3061">
        <w:rPr>
          <w:rFonts w:ascii="Times New Roman" w:eastAsia="Calibri" w:hAnsi="Times New Roman" w:cs="Times New Roman"/>
          <w:i w:val="0"/>
          <w:iCs w:val="0"/>
          <w:color w:val="000000"/>
          <w:kern w:val="3"/>
          <w:sz w:val="24"/>
          <w:szCs w:val="24"/>
        </w:rPr>
        <w:t xml:space="preserve"> Répartition de l’échantillon de recherche selon le niveau d’étude des répondants</w:t>
      </w:r>
      <w:bookmarkEnd w:id="336"/>
    </w:p>
    <w:tbl>
      <w:tblPr>
        <w:tblW w:w="6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287"/>
        <w:gridCol w:w="1360"/>
        <w:gridCol w:w="1896"/>
        <w:gridCol w:w="2399"/>
      </w:tblGrid>
      <w:tr w:rsidR="005236B6" w:rsidRPr="00DD2AFB" w:rsidTr="00EC7780">
        <w:trPr>
          <w:cantSplit/>
          <w:trHeight w:val="313"/>
          <w:jc w:val="center"/>
        </w:trPr>
        <w:tc>
          <w:tcPr>
            <w:tcW w:w="2647" w:type="dxa"/>
            <w:gridSpan w:val="2"/>
            <w:shd w:val="clear" w:color="auto" w:fill="FFFFFF"/>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896"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Fréquence</w:t>
            </w:r>
          </w:p>
        </w:tc>
        <w:tc>
          <w:tcPr>
            <w:tcW w:w="239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Pourcentage</w:t>
            </w:r>
          </w:p>
        </w:tc>
      </w:tr>
      <w:tr w:rsidR="005236B6" w:rsidRPr="00DD2AFB" w:rsidTr="00EC7780">
        <w:trPr>
          <w:cantSplit/>
          <w:trHeight w:val="313"/>
          <w:jc w:val="center"/>
        </w:trPr>
        <w:tc>
          <w:tcPr>
            <w:tcW w:w="1287" w:type="dxa"/>
            <w:vMerge w:val="restart"/>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Valide</w:t>
            </w:r>
          </w:p>
        </w:tc>
        <w:tc>
          <w:tcPr>
            <w:tcW w:w="1360"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Etudiant(e)</w:t>
            </w:r>
          </w:p>
        </w:tc>
        <w:tc>
          <w:tcPr>
            <w:tcW w:w="1896"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92</w:t>
            </w:r>
          </w:p>
        </w:tc>
        <w:tc>
          <w:tcPr>
            <w:tcW w:w="239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44,9</w:t>
            </w:r>
          </w:p>
        </w:tc>
      </w:tr>
      <w:tr w:rsidR="005236B6" w:rsidRPr="00DD2AFB" w:rsidTr="00EC7780">
        <w:trPr>
          <w:cantSplit/>
          <w:trHeight w:val="325"/>
          <w:jc w:val="center"/>
        </w:trPr>
        <w:tc>
          <w:tcPr>
            <w:tcW w:w="1287" w:type="dxa"/>
            <w:vMerge/>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360"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Employé(e)</w:t>
            </w:r>
          </w:p>
        </w:tc>
        <w:tc>
          <w:tcPr>
            <w:tcW w:w="1896"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72</w:t>
            </w:r>
          </w:p>
        </w:tc>
        <w:tc>
          <w:tcPr>
            <w:tcW w:w="239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35,1</w:t>
            </w:r>
          </w:p>
        </w:tc>
      </w:tr>
      <w:tr w:rsidR="005236B6" w:rsidRPr="00DD2AFB" w:rsidTr="00EC7780">
        <w:trPr>
          <w:cantSplit/>
          <w:trHeight w:val="325"/>
          <w:jc w:val="center"/>
        </w:trPr>
        <w:tc>
          <w:tcPr>
            <w:tcW w:w="1287" w:type="dxa"/>
            <w:vMerge/>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360"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 xml:space="preserve">Retraité(e)    </w:t>
            </w:r>
          </w:p>
        </w:tc>
        <w:tc>
          <w:tcPr>
            <w:tcW w:w="1896"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10</w:t>
            </w:r>
          </w:p>
        </w:tc>
        <w:tc>
          <w:tcPr>
            <w:tcW w:w="239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4,9</w:t>
            </w:r>
          </w:p>
        </w:tc>
      </w:tr>
      <w:tr w:rsidR="005236B6" w:rsidRPr="00DD2AFB" w:rsidTr="00EC7780">
        <w:trPr>
          <w:cantSplit/>
          <w:trHeight w:val="325"/>
          <w:jc w:val="center"/>
        </w:trPr>
        <w:tc>
          <w:tcPr>
            <w:tcW w:w="1287" w:type="dxa"/>
            <w:vMerge/>
            <w:shd w:val="clear" w:color="auto" w:fill="E0E0E0"/>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360"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Autre</w:t>
            </w:r>
          </w:p>
        </w:tc>
        <w:tc>
          <w:tcPr>
            <w:tcW w:w="1896"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31</w:t>
            </w:r>
          </w:p>
        </w:tc>
        <w:tc>
          <w:tcPr>
            <w:tcW w:w="239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15,1</w:t>
            </w:r>
          </w:p>
        </w:tc>
      </w:tr>
      <w:tr w:rsidR="005236B6" w:rsidRPr="00DD2AFB" w:rsidTr="00EC7780">
        <w:trPr>
          <w:cantSplit/>
          <w:trHeight w:val="325"/>
          <w:jc w:val="center"/>
        </w:trPr>
        <w:tc>
          <w:tcPr>
            <w:tcW w:w="1287" w:type="dxa"/>
            <w:vMerge/>
            <w:shd w:val="clear" w:color="auto" w:fill="E0E0E0"/>
            <w:vAlign w:val="center"/>
          </w:tcPr>
          <w:p w:rsidR="005236B6" w:rsidRPr="00DD2AFB" w:rsidRDefault="005236B6" w:rsidP="00F7493D">
            <w:pPr>
              <w:autoSpaceDE w:val="0"/>
              <w:adjustRightInd w:val="0"/>
              <w:spacing w:after="0" w:line="360" w:lineRule="auto"/>
              <w:jc w:val="center"/>
              <w:rPr>
                <w:rFonts w:asciiTheme="majorBidi" w:hAnsiTheme="majorBidi" w:cstheme="majorBidi"/>
                <w:sz w:val="24"/>
                <w:szCs w:val="24"/>
              </w:rPr>
            </w:pPr>
          </w:p>
        </w:tc>
        <w:tc>
          <w:tcPr>
            <w:tcW w:w="1360" w:type="dxa"/>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Total</w:t>
            </w:r>
          </w:p>
        </w:tc>
        <w:tc>
          <w:tcPr>
            <w:tcW w:w="1896"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205</w:t>
            </w:r>
          </w:p>
        </w:tc>
        <w:tc>
          <w:tcPr>
            <w:tcW w:w="2399"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100,0</w:t>
            </w:r>
          </w:p>
        </w:tc>
      </w:tr>
    </w:tbl>
    <w:p w:rsidR="005236B6" w:rsidRPr="00DE60BF"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8858B9" w:rsidRDefault="005236B6" w:rsidP="00F7493D">
      <w:pPr>
        <w:autoSpaceDE w:val="0"/>
        <w:adjustRightInd w:val="0"/>
        <w:spacing w:after="0" w:line="360" w:lineRule="auto"/>
        <w:jc w:val="both"/>
        <w:rPr>
          <w:rFonts w:ascii="Times New Roman" w:hAnsi="Times New Roman" w:cs="Times New Roman"/>
          <w:sz w:val="24"/>
          <w:szCs w:val="24"/>
        </w:rPr>
      </w:pPr>
      <w:r w:rsidRPr="00033A3A">
        <w:rPr>
          <w:rFonts w:ascii="Times New Roman" w:hAnsi="Times New Roman" w:cs="Times New Roman"/>
          <w:sz w:val="24"/>
          <w:szCs w:val="24"/>
        </w:rPr>
        <w:t>L'échantillon est principalement composé d'étudiants (</w:t>
      </w:r>
      <w:r w:rsidRPr="00033A3A">
        <w:rPr>
          <w:rFonts w:ascii="Times New Roman" w:hAnsi="Times New Roman" w:cs="Times New Roman"/>
          <w:b/>
          <w:bCs/>
          <w:sz w:val="24"/>
          <w:szCs w:val="24"/>
        </w:rPr>
        <w:t>44,9%</w:t>
      </w:r>
      <w:r w:rsidRPr="00033A3A">
        <w:rPr>
          <w:rFonts w:ascii="Times New Roman" w:hAnsi="Times New Roman" w:cs="Times New Roman"/>
          <w:sz w:val="24"/>
          <w:szCs w:val="24"/>
        </w:rPr>
        <w:t>) et d'employés (</w:t>
      </w:r>
      <w:r w:rsidRPr="00033A3A">
        <w:rPr>
          <w:rFonts w:ascii="Times New Roman" w:hAnsi="Times New Roman" w:cs="Times New Roman"/>
          <w:b/>
          <w:bCs/>
          <w:sz w:val="24"/>
          <w:szCs w:val="24"/>
        </w:rPr>
        <w:t>35,1%</w:t>
      </w:r>
      <w:r w:rsidRPr="00033A3A">
        <w:rPr>
          <w:rFonts w:ascii="Times New Roman" w:hAnsi="Times New Roman" w:cs="Times New Roman"/>
          <w:sz w:val="24"/>
          <w:szCs w:val="24"/>
        </w:rPr>
        <w:t xml:space="preserve">), représentant ensemble </w:t>
      </w:r>
      <w:r w:rsidRPr="00033A3A">
        <w:rPr>
          <w:rFonts w:ascii="Times New Roman" w:hAnsi="Times New Roman" w:cs="Times New Roman"/>
          <w:b/>
          <w:bCs/>
          <w:sz w:val="24"/>
          <w:szCs w:val="24"/>
        </w:rPr>
        <w:t>80%</w:t>
      </w:r>
      <w:r w:rsidRPr="00033A3A">
        <w:rPr>
          <w:rFonts w:ascii="Times New Roman" w:hAnsi="Times New Roman" w:cs="Times New Roman"/>
          <w:sz w:val="24"/>
          <w:szCs w:val="24"/>
        </w:rPr>
        <w:t xml:space="preserve"> de la population étudiée. Cette forte proportion d'actifs et d'étudiants suggère une participation dynamique, contrastant avec la faible représentativité des retraités (</w:t>
      </w:r>
      <w:r w:rsidRPr="00033A3A">
        <w:rPr>
          <w:rFonts w:ascii="Times New Roman" w:hAnsi="Times New Roman" w:cs="Times New Roman"/>
          <w:b/>
          <w:bCs/>
          <w:sz w:val="24"/>
          <w:szCs w:val="24"/>
        </w:rPr>
        <w:t>4,9%</w:t>
      </w:r>
      <w:r w:rsidRPr="00033A3A">
        <w:rPr>
          <w:rFonts w:ascii="Times New Roman" w:hAnsi="Times New Roman" w:cs="Times New Roman"/>
          <w:sz w:val="24"/>
          <w:szCs w:val="24"/>
        </w:rPr>
        <w:t xml:space="preserve">). La catégorie « Autre » complète cet effectif avec </w:t>
      </w:r>
      <w:r w:rsidRPr="00033A3A">
        <w:rPr>
          <w:rFonts w:ascii="Times New Roman" w:hAnsi="Times New Roman" w:cs="Times New Roman"/>
          <w:b/>
          <w:bCs/>
          <w:sz w:val="24"/>
          <w:szCs w:val="24"/>
        </w:rPr>
        <w:t>15,1%</w:t>
      </w:r>
      <w:r w:rsidRPr="00033A3A">
        <w:rPr>
          <w:rFonts w:ascii="Times New Roman" w:hAnsi="Times New Roman" w:cs="Times New Roman"/>
          <w:sz w:val="24"/>
          <w:szCs w:val="24"/>
        </w:rPr>
        <w:t>, assurant une certaine diversité dans les profils socioprofessionnels interrogés.</w:t>
      </w:r>
    </w:p>
    <w:p w:rsidR="005236B6" w:rsidRPr="00DD2AFB" w:rsidRDefault="005236B6" w:rsidP="00F7493D">
      <w:pPr>
        <w:spacing w:line="360" w:lineRule="auto"/>
        <w:jc w:val="center"/>
      </w:pPr>
      <w:r w:rsidRPr="009E7816">
        <w:rPr>
          <w:noProof/>
          <w:lang w:eastAsia="fr-FR"/>
        </w:rPr>
        <w:lastRenderedPageBreak/>
        <w:drawing>
          <wp:inline distT="0" distB="0" distL="0" distR="0">
            <wp:extent cx="4982824" cy="2933877"/>
            <wp:effectExtent l="0" t="0" r="889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11409" cy="2950708"/>
                    </a:xfrm>
                    <a:prstGeom prst="rect">
                      <a:avLst/>
                    </a:prstGeom>
                    <a:noFill/>
                    <a:ln>
                      <a:noFill/>
                    </a:ln>
                  </pic:spPr>
                </pic:pic>
              </a:graphicData>
            </a:graphic>
          </wp:inline>
        </w:drawing>
      </w:r>
      <w:bookmarkStart w:id="337" w:name="_Toc197863069"/>
      <w:bookmarkStart w:id="338" w:name="_Toc197863280"/>
    </w:p>
    <w:p w:rsidR="005236B6" w:rsidRPr="004D3061" w:rsidRDefault="004D3061" w:rsidP="00F7493D">
      <w:pPr>
        <w:pStyle w:val="Lgende"/>
        <w:spacing w:line="360" w:lineRule="auto"/>
        <w:rPr>
          <w:rFonts w:asciiTheme="majorBidi" w:eastAsia="Calibri" w:hAnsiTheme="majorBidi" w:cstheme="majorBidi"/>
          <w:i w:val="0"/>
          <w:iCs w:val="0"/>
          <w:color w:val="auto"/>
          <w:kern w:val="3"/>
          <w:sz w:val="24"/>
          <w:szCs w:val="24"/>
        </w:rPr>
      </w:pPr>
      <w:bookmarkStart w:id="339" w:name="_Toc230400768"/>
      <w:r w:rsidRPr="004D3061">
        <w:rPr>
          <w:rFonts w:asciiTheme="majorBidi" w:eastAsia="Calibri" w:hAnsiTheme="majorBidi" w:cstheme="majorBidi"/>
          <w:b/>
          <w:bCs/>
          <w:i w:val="0"/>
          <w:iCs w:val="0"/>
          <w:color w:val="auto"/>
          <w:kern w:val="3"/>
          <w:sz w:val="24"/>
          <w:szCs w:val="24"/>
        </w:rPr>
        <w:t xml:space="preserve">Tableau </w:t>
      </w:r>
      <w:r w:rsidR="007B5998" w:rsidRPr="004D3061">
        <w:rPr>
          <w:rFonts w:asciiTheme="majorBidi" w:eastAsia="Calibri" w:hAnsiTheme="majorBidi" w:cstheme="majorBidi"/>
          <w:b/>
          <w:bCs/>
          <w:i w:val="0"/>
          <w:iCs w:val="0"/>
          <w:color w:val="auto"/>
          <w:kern w:val="3"/>
          <w:sz w:val="24"/>
          <w:szCs w:val="24"/>
        </w:rPr>
        <w:fldChar w:fldCharType="begin"/>
      </w:r>
      <w:r w:rsidRPr="004D3061">
        <w:rPr>
          <w:rFonts w:asciiTheme="majorBidi" w:eastAsia="Calibri" w:hAnsiTheme="majorBidi" w:cstheme="majorBidi"/>
          <w:b/>
          <w:bCs/>
          <w:i w:val="0"/>
          <w:iCs w:val="0"/>
          <w:color w:val="auto"/>
          <w:kern w:val="3"/>
          <w:sz w:val="24"/>
          <w:szCs w:val="24"/>
        </w:rPr>
        <w:instrText xml:space="preserve"> SEQ Tableau \* ARABIC </w:instrText>
      </w:r>
      <w:r w:rsidR="007B5998" w:rsidRPr="004D3061">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30</w:t>
      </w:r>
      <w:r w:rsidR="007B5998" w:rsidRPr="004D3061">
        <w:rPr>
          <w:rFonts w:asciiTheme="majorBidi" w:eastAsia="Calibri" w:hAnsiTheme="majorBidi" w:cstheme="majorBidi"/>
          <w:b/>
          <w:bCs/>
          <w:i w:val="0"/>
          <w:iCs w:val="0"/>
          <w:color w:val="auto"/>
          <w:kern w:val="3"/>
          <w:sz w:val="24"/>
          <w:szCs w:val="24"/>
        </w:rPr>
        <w:fldChar w:fldCharType="end"/>
      </w:r>
      <w:r w:rsidRPr="004D3061">
        <w:rPr>
          <w:rFonts w:asciiTheme="majorBidi" w:eastAsia="Calibri" w:hAnsiTheme="majorBidi" w:cstheme="majorBidi"/>
          <w:b/>
          <w:bCs/>
          <w:i w:val="0"/>
          <w:iCs w:val="0"/>
          <w:color w:val="auto"/>
          <w:kern w:val="3"/>
          <w:sz w:val="24"/>
          <w:szCs w:val="24"/>
        </w:rPr>
        <w:t xml:space="preserve"> :</w:t>
      </w:r>
      <w:r w:rsidRPr="004D3061">
        <w:rPr>
          <w:rFonts w:asciiTheme="majorBidi" w:eastAsia="Calibri" w:hAnsiTheme="majorBidi" w:cstheme="majorBidi"/>
          <w:i w:val="0"/>
          <w:iCs w:val="0"/>
          <w:color w:val="auto"/>
          <w:kern w:val="3"/>
          <w:sz w:val="24"/>
          <w:szCs w:val="24"/>
        </w:rPr>
        <w:t xml:space="preserve"> Analyse de fiabilité de questionnaire (Le test total d’Alpha Cronbach)</w:t>
      </w:r>
      <w:bookmarkEnd w:id="339"/>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55"/>
        <w:gridCol w:w="4455"/>
      </w:tblGrid>
      <w:tr w:rsidR="005236B6" w:rsidRPr="00DD2AFB" w:rsidTr="00EC7780">
        <w:trPr>
          <w:cantSplit/>
          <w:trHeight w:val="260"/>
          <w:jc w:val="center"/>
        </w:trPr>
        <w:tc>
          <w:tcPr>
            <w:tcW w:w="8910" w:type="dxa"/>
            <w:gridSpan w:val="2"/>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b/>
                <w:bCs/>
                <w:sz w:val="24"/>
                <w:szCs w:val="24"/>
              </w:rPr>
              <w:t>Statistiques de fiabilité</w:t>
            </w:r>
          </w:p>
        </w:tc>
      </w:tr>
      <w:tr w:rsidR="005236B6" w:rsidRPr="00DD2AFB" w:rsidTr="00EC7780">
        <w:trPr>
          <w:cantSplit/>
          <w:trHeight w:val="522"/>
          <w:jc w:val="center"/>
        </w:trPr>
        <w:tc>
          <w:tcPr>
            <w:tcW w:w="445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Alpha de Cronbach</w:t>
            </w:r>
          </w:p>
        </w:tc>
        <w:tc>
          <w:tcPr>
            <w:tcW w:w="445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Nombre d'éléments</w:t>
            </w:r>
          </w:p>
        </w:tc>
      </w:tr>
      <w:tr w:rsidR="005236B6" w:rsidRPr="00DD2AFB" w:rsidTr="00EC7780">
        <w:trPr>
          <w:cantSplit/>
          <w:trHeight w:val="260"/>
          <w:jc w:val="center"/>
        </w:trPr>
        <w:tc>
          <w:tcPr>
            <w:tcW w:w="445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0,848</w:t>
            </w:r>
          </w:p>
        </w:tc>
        <w:tc>
          <w:tcPr>
            <w:tcW w:w="4455" w:type="dxa"/>
            <w:shd w:val="clear" w:color="auto" w:fill="FFFFFF"/>
            <w:vAlign w:val="center"/>
          </w:tcPr>
          <w:p w:rsidR="005236B6" w:rsidRPr="00DD2AFB" w:rsidRDefault="005236B6" w:rsidP="00F7493D">
            <w:pPr>
              <w:autoSpaceDE w:val="0"/>
              <w:adjustRightInd w:val="0"/>
              <w:spacing w:after="0" w:line="360" w:lineRule="auto"/>
              <w:ind w:left="60" w:right="60"/>
              <w:jc w:val="center"/>
              <w:rPr>
                <w:rFonts w:asciiTheme="majorBidi" w:hAnsiTheme="majorBidi" w:cstheme="majorBidi"/>
                <w:sz w:val="24"/>
                <w:szCs w:val="24"/>
              </w:rPr>
            </w:pPr>
            <w:r w:rsidRPr="00DD2AFB">
              <w:rPr>
                <w:rFonts w:asciiTheme="majorBidi" w:hAnsiTheme="majorBidi" w:cstheme="majorBidi"/>
                <w:sz w:val="24"/>
                <w:szCs w:val="24"/>
              </w:rPr>
              <w:t>28</w:t>
            </w:r>
          </w:p>
        </w:tc>
      </w:tr>
    </w:tbl>
    <w:p w:rsidR="005236B6" w:rsidRPr="00284422"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85E00" w:rsidRDefault="005236B6" w:rsidP="00F7493D">
      <w:pPr>
        <w:spacing w:line="360" w:lineRule="auto"/>
        <w:jc w:val="both"/>
        <w:rPr>
          <w:rFonts w:asciiTheme="majorBidi" w:hAnsiTheme="majorBidi" w:cstheme="majorBidi"/>
          <w:b/>
          <w:bCs/>
          <w:sz w:val="24"/>
          <w:szCs w:val="24"/>
        </w:rPr>
      </w:pPr>
      <w:r w:rsidRPr="00985E00">
        <w:rPr>
          <w:rFonts w:asciiTheme="majorBidi" w:hAnsiTheme="majorBidi" w:cstheme="majorBidi"/>
          <w:sz w:val="24"/>
          <w:szCs w:val="24"/>
        </w:rPr>
        <w:t xml:space="preserve">Le test affiche un coefficient </w:t>
      </w:r>
      <w:r w:rsidRPr="00985E00">
        <w:rPr>
          <w:rFonts w:asciiTheme="majorBidi" w:hAnsiTheme="majorBidi" w:cstheme="majorBidi"/>
          <w:b/>
          <w:bCs/>
          <w:sz w:val="24"/>
          <w:szCs w:val="24"/>
        </w:rPr>
        <w:t>Alpha de Cronbach de 0,848</w:t>
      </w:r>
      <w:r w:rsidRPr="00985E00">
        <w:rPr>
          <w:rFonts w:asciiTheme="majorBidi" w:hAnsiTheme="majorBidi" w:cstheme="majorBidi"/>
          <w:sz w:val="24"/>
          <w:szCs w:val="24"/>
        </w:rPr>
        <w:t xml:space="preserve"> pour un ensemble de 28 éléments, ce qui témoigne d'une </w:t>
      </w:r>
      <w:r w:rsidRPr="00985E00">
        <w:rPr>
          <w:rFonts w:asciiTheme="majorBidi" w:hAnsiTheme="majorBidi" w:cstheme="majorBidi"/>
          <w:b/>
          <w:bCs/>
          <w:sz w:val="24"/>
          <w:szCs w:val="24"/>
        </w:rPr>
        <w:t>excellente cohérence interne</w:t>
      </w:r>
      <w:r w:rsidRPr="00985E00">
        <w:rPr>
          <w:rFonts w:asciiTheme="majorBidi" w:hAnsiTheme="majorBidi" w:cstheme="majorBidi"/>
          <w:sz w:val="24"/>
          <w:szCs w:val="24"/>
        </w:rPr>
        <w:t xml:space="preserve"> et d'une grande fiabilité du questionnaire. Cette valeur, nettement </w:t>
      </w:r>
      <w:r>
        <w:rPr>
          <w:rFonts w:asciiTheme="majorBidi" w:hAnsiTheme="majorBidi" w:cstheme="majorBidi"/>
          <w:sz w:val="24"/>
          <w:szCs w:val="24"/>
        </w:rPr>
        <w:t>supérieure au seuil admis de 0,6</w:t>
      </w:r>
      <w:r w:rsidRPr="00985E00">
        <w:rPr>
          <w:rFonts w:asciiTheme="majorBidi" w:hAnsiTheme="majorBidi" w:cstheme="majorBidi"/>
          <w:sz w:val="24"/>
          <w:szCs w:val="24"/>
        </w:rPr>
        <w:t>0, confirme que les questions mesurent de manière stable et homogène l'impact du marketing des produits biologiques sur la sécurité sanitaire.</w:t>
      </w:r>
    </w:p>
    <w:p w:rsidR="005236B6" w:rsidRPr="00516205" w:rsidRDefault="006E799B" w:rsidP="00F7493D">
      <w:pPr>
        <w:pStyle w:val="Titre3"/>
        <w:spacing w:line="360" w:lineRule="auto"/>
        <w:rPr>
          <w:rFonts w:ascii="Times New Roman" w:hAnsi="Times New Roman"/>
          <w:b/>
          <w:bCs/>
          <w:color w:val="auto"/>
          <w:sz w:val="24"/>
          <w:szCs w:val="24"/>
        </w:rPr>
      </w:pPr>
      <w:bookmarkStart w:id="340" w:name="_Toc230558744"/>
      <w:bookmarkStart w:id="341" w:name="_Toc230900378"/>
      <w:r w:rsidRPr="00516205">
        <w:rPr>
          <w:rFonts w:ascii="Times New Roman" w:hAnsi="Times New Roman"/>
          <w:b/>
          <w:bCs/>
          <w:color w:val="auto"/>
          <w:sz w:val="24"/>
          <w:szCs w:val="24"/>
        </w:rPr>
        <w:t>2.</w:t>
      </w:r>
      <w:r w:rsidR="005236B6" w:rsidRPr="00516205">
        <w:rPr>
          <w:rFonts w:ascii="Times New Roman" w:hAnsi="Times New Roman"/>
          <w:b/>
          <w:bCs/>
          <w:color w:val="auto"/>
          <w:sz w:val="24"/>
          <w:szCs w:val="24"/>
        </w:rPr>
        <w:t xml:space="preserve"> l’analyse des données de la variable indépendante : « le marketing des produits biologiques ».</w:t>
      </w:r>
      <w:bookmarkEnd w:id="337"/>
      <w:bookmarkEnd w:id="338"/>
      <w:bookmarkEnd w:id="340"/>
      <w:bookmarkEnd w:id="341"/>
    </w:p>
    <w:p w:rsidR="005236B6" w:rsidRDefault="005236B6" w:rsidP="00F7493D">
      <w:pPr>
        <w:spacing w:line="360" w:lineRule="auto"/>
        <w:rPr>
          <w:rFonts w:asciiTheme="majorBidi" w:hAnsiTheme="majorBidi" w:cstheme="majorBidi"/>
          <w:sz w:val="24"/>
          <w:szCs w:val="24"/>
          <w:rtl/>
        </w:rPr>
      </w:pPr>
      <w:r w:rsidRPr="004D3061">
        <w:rPr>
          <w:rFonts w:asciiTheme="majorBidi" w:hAnsiTheme="majorBidi" w:cstheme="majorBidi"/>
          <w:sz w:val="24"/>
          <w:szCs w:val="24"/>
        </w:rPr>
        <w:t xml:space="preserve">Cette partie présente l’analyse des données relatives à la variable indépendante, à savoir le </w:t>
      </w:r>
      <w:r w:rsidRPr="004D3061">
        <w:rPr>
          <w:rFonts w:asciiTheme="majorBidi" w:hAnsiTheme="majorBidi" w:cstheme="majorBidi"/>
          <w:b/>
          <w:bCs/>
          <w:sz w:val="24"/>
          <w:szCs w:val="24"/>
        </w:rPr>
        <w:t>marketing des produits biologiques</w:t>
      </w:r>
      <w:r w:rsidRPr="004D3061">
        <w:rPr>
          <w:rFonts w:asciiTheme="majorBidi" w:hAnsiTheme="majorBidi" w:cstheme="majorBidi"/>
          <w:sz w:val="24"/>
          <w:szCs w:val="24"/>
        </w:rPr>
        <w:t xml:space="preserve"> destiné au public Algérien. Elle porte spécifiquement sur l’Abel biologique/produit, le prix, la promotion, ainsi que sur la distribution.</w:t>
      </w:r>
    </w:p>
    <w:p w:rsidR="00140168" w:rsidRDefault="00140168" w:rsidP="00F7493D">
      <w:pPr>
        <w:spacing w:line="360" w:lineRule="auto"/>
        <w:rPr>
          <w:rFonts w:asciiTheme="majorBidi" w:hAnsiTheme="majorBidi" w:cstheme="majorBidi"/>
          <w:sz w:val="24"/>
          <w:szCs w:val="24"/>
          <w:rtl/>
        </w:rPr>
      </w:pPr>
    </w:p>
    <w:p w:rsidR="00140168" w:rsidRDefault="00140168" w:rsidP="00F7493D">
      <w:pPr>
        <w:spacing w:line="360" w:lineRule="auto"/>
        <w:rPr>
          <w:rFonts w:asciiTheme="majorBidi" w:hAnsiTheme="majorBidi" w:cstheme="majorBidi"/>
          <w:sz w:val="24"/>
          <w:szCs w:val="24"/>
          <w:rtl/>
        </w:rPr>
      </w:pPr>
    </w:p>
    <w:p w:rsidR="00140168" w:rsidRDefault="00140168" w:rsidP="00F7493D">
      <w:pPr>
        <w:spacing w:line="360" w:lineRule="auto"/>
        <w:rPr>
          <w:rFonts w:asciiTheme="majorBidi" w:hAnsiTheme="majorBidi" w:cstheme="majorBidi"/>
          <w:sz w:val="24"/>
          <w:szCs w:val="24"/>
          <w:rtl/>
        </w:rPr>
      </w:pPr>
    </w:p>
    <w:p w:rsidR="00140168" w:rsidRDefault="00140168" w:rsidP="00F7493D">
      <w:pPr>
        <w:spacing w:line="360" w:lineRule="auto"/>
        <w:rPr>
          <w:rFonts w:asciiTheme="majorBidi" w:hAnsiTheme="majorBidi" w:cstheme="majorBidi"/>
          <w:sz w:val="24"/>
          <w:szCs w:val="24"/>
        </w:rPr>
      </w:pPr>
    </w:p>
    <w:p w:rsidR="004D3061" w:rsidRPr="00140168" w:rsidRDefault="004D3061" w:rsidP="00140168">
      <w:pPr>
        <w:pStyle w:val="Lgende"/>
        <w:spacing w:line="360" w:lineRule="auto"/>
        <w:rPr>
          <w:rFonts w:asciiTheme="majorBidi" w:eastAsia="Calibri" w:hAnsiTheme="majorBidi" w:cstheme="majorBidi"/>
          <w:i w:val="0"/>
          <w:iCs w:val="0"/>
          <w:color w:val="auto"/>
          <w:kern w:val="3"/>
          <w:sz w:val="24"/>
          <w:szCs w:val="24"/>
          <w:rtl/>
          <w:lang w:bidi="ar-DZ"/>
        </w:rPr>
      </w:pPr>
      <w:bookmarkStart w:id="342" w:name="_Toc230400769"/>
      <w:r w:rsidRPr="004D3061">
        <w:rPr>
          <w:rFonts w:asciiTheme="majorBidi" w:eastAsia="Calibri" w:hAnsiTheme="majorBidi" w:cstheme="majorBidi"/>
          <w:b/>
          <w:bCs/>
          <w:i w:val="0"/>
          <w:iCs w:val="0"/>
          <w:color w:val="auto"/>
          <w:kern w:val="3"/>
          <w:sz w:val="24"/>
          <w:szCs w:val="24"/>
        </w:rPr>
        <w:lastRenderedPageBreak/>
        <w:t xml:space="preserve">Tableau </w:t>
      </w:r>
      <w:r w:rsidR="007B5998" w:rsidRPr="004D3061">
        <w:rPr>
          <w:rFonts w:asciiTheme="majorBidi" w:eastAsia="Calibri" w:hAnsiTheme="majorBidi" w:cstheme="majorBidi"/>
          <w:b/>
          <w:bCs/>
          <w:i w:val="0"/>
          <w:iCs w:val="0"/>
          <w:color w:val="auto"/>
          <w:kern w:val="3"/>
          <w:sz w:val="24"/>
          <w:szCs w:val="24"/>
        </w:rPr>
        <w:fldChar w:fldCharType="begin"/>
      </w:r>
      <w:r w:rsidRPr="004D3061">
        <w:rPr>
          <w:rFonts w:asciiTheme="majorBidi" w:eastAsia="Calibri" w:hAnsiTheme="majorBidi" w:cstheme="majorBidi"/>
          <w:b/>
          <w:bCs/>
          <w:i w:val="0"/>
          <w:iCs w:val="0"/>
          <w:color w:val="auto"/>
          <w:kern w:val="3"/>
          <w:sz w:val="24"/>
          <w:szCs w:val="24"/>
        </w:rPr>
        <w:instrText xml:space="preserve"> SEQ Tableau \* ARABIC </w:instrText>
      </w:r>
      <w:r w:rsidR="007B5998" w:rsidRPr="004D3061">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31</w:t>
      </w:r>
      <w:r w:rsidR="007B5998" w:rsidRPr="004D3061">
        <w:rPr>
          <w:rFonts w:asciiTheme="majorBidi" w:eastAsia="Calibri" w:hAnsiTheme="majorBidi" w:cstheme="majorBidi"/>
          <w:b/>
          <w:bCs/>
          <w:i w:val="0"/>
          <w:iCs w:val="0"/>
          <w:color w:val="auto"/>
          <w:kern w:val="3"/>
          <w:sz w:val="24"/>
          <w:szCs w:val="24"/>
        </w:rPr>
        <w:fldChar w:fldCharType="end"/>
      </w:r>
      <w:r w:rsidRPr="004D3061">
        <w:rPr>
          <w:rFonts w:asciiTheme="majorBidi" w:eastAsia="Calibri" w:hAnsiTheme="majorBidi" w:cstheme="majorBidi"/>
          <w:b/>
          <w:bCs/>
          <w:i w:val="0"/>
          <w:iCs w:val="0"/>
          <w:color w:val="auto"/>
          <w:kern w:val="3"/>
          <w:sz w:val="24"/>
          <w:szCs w:val="24"/>
        </w:rPr>
        <w:t xml:space="preserve"> : </w:t>
      </w:r>
      <w:r w:rsidRPr="004D3061">
        <w:rPr>
          <w:rFonts w:asciiTheme="majorBidi" w:eastAsia="Calibri" w:hAnsiTheme="majorBidi" w:cstheme="majorBidi"/>
          <w:i w:val="0"/>
          <w:iCs w:val="0"/>
          <w:color w:val="auto"/>
          <w:kern w:val="3"/>
          <w:sz w:val="24"/>
          <w:szCs w:val="24"/>
        </w:rPr>
        <w:t>Coefficient de fiabilité des axes de marketing des produits biologiques.</w:t>
      </w:r>
      <w:bookmarkEnd w:id="342"/>
    </w:p>
    <w:tbl>
      <w:tblPr>
        <w:tblpPr w:leftFromText="141" w:rightFromText="141" w:vertAnchor="text" w:horzAnchor="margin" w:tblpY="121"/>
        <w:tblW w:w="0" w:type="auto"/>
        <w:tblCellMar>
          <w:top w:w="15" w:type="dxa"/>
          <w:left w:w="15" w:type="dxa"/>
          <w:bottom w:w="15" w:type="dxa"/>
          <w:right w:w="15" w:type="dxa"/>
        </w:tblCellMar>
        <w:tblLook w:val="04A0"/>
      </w:tblPr>
      <w:tblGrid>
        <w:gridCol w:w="1968"/>
        <w:gridCol w:w="2424"/>
        <w:gridCol w:w="2340"/>
        <w:gridCol w:w="2316"/>
      </w:tblGrid>
      <w:tr w:rsidR="005236B6" w:rsidRPr="008858B9" w:rsidTr="00EC7780">
        <w:tc>
          <w:tcPr>
            <w:tcW w:w="1968" w:type="dxa"/>
            <w:tcBorders>
              <w:top w:val="outset" w:sz="6" w:space="0" w:color="auto"/>
              <w:left w:val="outset" w:sz="6" w:space="0" w:color="auto"/>
              <w:bottom w:val="nil"/>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p>
        </w:tc>
        <w:tc>
          <w:tcPr>
            <w:tcW w:w="2424" w:type="dxa"/>
            <w:vMerge w:val="restart"/>
            <w:tcBorders>
              <w:top w:val="outset" w:sz="6" w:space="0" w:color="auto"/>
              <w:left w:val="outset" w:sz="6" w:space="0" w:color="auto"/>
              <w:right w:val="outset" w:sz="6" w:space="0" w:color="auto"/>
            </w:tcBorders>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b/>
                <w:bCs/>
                <w:sz w:val="24"/>
                <w:szCs w:val="24"/>
              </w:rPr>
              <w:t>marketing des produits biologiques</w:t>
            </w:r>
          </w:p>
        </w:tc>
        <w:tc>
          <w:tcPr>
            <w:tcW w:w="2340" w:type="dxa"/>
            <w:tcBorders>
              <w:top w:val="outset" w:sz="6" w:space="0" w:color="auto"/>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Nombre d'éléments</w:t>
            </w:r>
          </w:p>
        </w:tc>
        <w:tc>
          <w:tcPr>
            <w:tcW w:w="2316" w:type="dxa"/>
            <w:tcBorders>
              <w:top w:val="outset" w:sz="6" w:space="0" w:color="auto"/>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Alpha de Cronbach</w:t>
            </w:r>
          </w:p>
        </w:tc>
      </w:tr>
      <w:tr w:rsidR="005236B6" w:rsidRPr="008858B9" w:rsidTr="00EC7780">
        <w:tc>
          <w:tcPr>
            <w:tcW w:w="1968"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 xml:space="preserve">La variable </w:t>
            </w:r>
            <w:r>
              <w:rPr>
                <w:rFonts w:asciiTheme="majorBidi" w:hAnsiTheme="majorBidi" w:cstheme="majorBidi"/>
                <w:sz w:val="24"/>
                <w:szCs w:val="24"/>
              </w:rPr>
              <w:t>in</w:t>
            </w:r>
            <w:r w:rsidRPr="008858B9">
              <w:rPr>
                <w:rFonts w:asciiTheme="majorBidi" w:hAnsiTheme="majorBidi" w:cstheme="majorBidi"/>
                <w:sz w:val="24"/>
                <w:szCs w:val="24"/>
              </w:rPr>
              <w:t xml:space="preserve">dépendante </w:t>
            </w:r>
          </w:p>
        </w:tc>
        <w:tc>
          <w:tcPr>
            <w:tcW w:w="2424" w:type="dxa"/>
            <w:vMerge/>
            <w:tcBorders>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p>
        </w:tc>
        <w:tc>
          <w:tcPr>
            <w:tcW w:w="2340"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Pr>
                <w:rFonts w:asciiTheme="majorBidi" w:hAnsiTheme="majorBidi" w:cstheme="majorBidi" w:hint="cs"/>
                <w:sz w:val="24"/>
                <w:szCs w:val="24"/>
                <w:rtl/>
              </w:rPr>
              <w:t>12</w:t>
            </w:r>
          </w:p>
        </w:tc>
        <w:tc>
          <w:tcPr>
            <w:tcW w:w="2316"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Pr>
                <w:rFonts w:asciiTheme="majorBidi" w:hAnsiTheme="majorBidi" w:cstheme="majorBidi"/>
                <w:sz w:val="24"/>
                <w:szCs w:val="24"/>
              </w:rPr>
              <w:t>0.</w:t>
            </w:r>
            <w:r>
              <w:rPr>
                <w:rFonts w:asciiTheme="majorBidi" w:hAnsiTheme="majorBidi" w:cstheme="majorBidi" w:hint="cs"/>
                <w:sz w:val="24"/>
                <w:szCs w:val="24"/>
                <w:rtl/>
              </w:rPr>
              <w:t>714</w:t>
            </w:r>
          </w:p>
          <w:p w:rsidR="005236B6" w:rsidRPr="008858B9" w:rsidRDefault="005236B6" w:rsidP="00F7493D">
            <w:pPr>
              <w:spacing w:line="360" w:lineRule="auto"/>
              <w:rPr>
                <w:rFonts w:asciiTheme="majorBidi" w:hAnsiTheme="majorBidi" w:cstheme="majorBidi"/>
                <w:sz w:val="24"/>
                <w:szCs w:val="24"/>
              </w:rPr>
            </w:pPr>
          </w:p>
        </w:tc>
      </w:tr>
    </w:tbl>
    <w:p w:rsidR="005236B6" w:rsidRPr="00284422" w:rsidRDefault="005236B6" w:rsidP="00F7493D">
      <w:pPr>
        <w:spacing w:line="360" w:lineRule="auto"/>
        <w:jc w:val="center"/>
        <w:rPr>
          <w:rFonts w:asciiTheme="majorBidi" w:hAnsiTheme="majorBidi" w:cstheme="majorBidi"/>
          <w:sz w:val="20"/>
          <w:szCs w:val="20"/>
        </w:rPr>
      </w:pPr>
      <w:bookmarkStart w:id="343" w:name="_Toc168176814"/>
      <w:bookmarkStart w:id="344" w:name="_Toc197863070"/>
      <w:bookmarkStart w:id="345" w:name="_Toc197863281"/>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bookmarkEnd w:id="343"/>
    <w:bookmarkEnd w:id="344"/>
    <w:bookmarkEnd w:id="345"/>
    <w:p w:rsidR="005236B6" w:rsidRPr="00DF3B30" w:rsidRDefault="005236B6" w:rsidP="00F7493D">
      <w:pPr>
        <w:spacing w:line="360" w:lineRule="auto"/>
        <w:rPr>
          <w:rFonts w:asciiTheme="majorBidi" w:hAnsiTheme="majorBidi" w:cstheme="majorBidi"/>
          <w:b/>
          <w:bCs/>
          <w:sz w:val="24"/>
          <w:szCs w:val="24"/>
        </w:rPr>
      </w:pPr>
      <w:r w:rsidRPr="00DF3B30">
        <w:rPr>
          <w:rFonts w:asciiTheme="majorBidi" w:hAnsiTheme="majorBidi" w:cstheme="majorBidi"/>
          <w:b/>
          <w:bCs/>
          <w:sz w:val="24"/>
          <w:szCs w:val="24"/>
        </w:rPr>
        <w:t>La fiabilité de la variable indépendante :</w:t>
      </w:r>
    </w:p>
    <w:p w:rsidR="005236B6" w:rsidRPr="00DF3B30" w:rsidRDefault="005236B6" w:rsidP="00140168">
      <w:pPr>
        <w:spacing w:line="360" w:lineRule="auto"/>
        <w:jc w:val="both"/>
        <w:rPr>
          <w:rFonts w:asciiTheme="majorBidi" w:hAnsiTheme="majorBidi" w:cstheme="majorBidi"/>
          <w:sz w:val="24"/>
          <w:szCs w:val="24"/>
        </w:rPr>
      </w:pPr>
      <w:r w:rsidRPr="00DF3B30">
        <w:rPr>
          <w:rFonts w:asciiTheme="majorBidi" w:hAnsiTheme="majorBidi" w:cstheme="majorBidi"/>
          <w:sz w:val="24"/>
          <w:szCs w:val="24"/>
        </w:rPr>
        <w:t>Lorsqu'on utilise la méthode Alpha de Cronbach pour évaluer la fiabilité d’un questionnaire, un coefficient Alpha supérieur à 0,6 indique une cohérence acceptable entre les différentes expressions du questionnaire.</w:t>
      </w:r>
    </w:p>
    <w:p w:rsidR="005236B6" w:rsidRPr="00DF3B30" w:rsidRDefault="005236B6" w:rsidP="00140168">
      <w:pPr>
        <w:spacing w:line="360" w:lineRule="auto"/>
        <w:jc w:val="both"/>
        <w:rPr>
          <w:rFonts w:asciiTheme="majorBidi" w:hAnsiTheme="majorBidi" w:cstheme="majorBidi"/>
          <w:sz w:val="24"/>
          <w:szCs w:val="24"/>
        </w:rPr>
      </w:pPr>
      <w:r w:rsidRPr="00DF3B30">
        <w:rPr>
          <w:rFonts w:asciiTheme="majorBidi" w:hAnsiTheme="majorBidi" w:cstheme="majorBidi"/>
          <w:sz w:val="24"/>
          <w:szCs w:val="24"/>
        </w:rPr>
        <w:t>L’analyse de la fiabilité de l’échelle de mesure montre que la variable globale « Marketing des produits biologiques » présente une cohérence interne satisfaisante, avec un coefficient Alpha de Cronbach égal à 0,714, dépassant ainsi le seuil minimal acceptable de 0,70.</w:t>
      </w:r>
    </w:p>
    <w:p w:rsidR="005236B6" w:rsidRPr="00DF3B30" w:rsidRDefault="005236B6" w:rsidP="00140168">
      <w:pPr>
        <w:spacing w:line="360" w:lineRule="auto"/>
        <w:jc w:val="both"/>
        <w:rPr>
          <w:rFonts w:asciiTheme="majorBidi" w:hAnsiTheme="majorBidi" w:cstheme="majorBidi"/>
          <w:sz w:val="24"/>
          <w:szCs w:val="24"/>
        </w:rPr>
      </w:pPr>
      <w:r w:rsidRPr="00DF3B30">
        <w:rPr>
          <w:rFonts w:asciiTheme="majorBidi" w:hAnsiTheme="majorBidi" w:cstheme="majorBidi"/>
          <w:sz w:val="24"/>
          <w:szCs w:val="24"/>
        </w:rPr>
        <w:t>Ces résultats indiquent que les items utilisés pour mesurer la variable indépendante présentent un niveau de fiabilité acceptable, ce qui permet d’utiliser cette échelle dans l’analyse statistique et le test des hypothèses de la recherche.</w:t>
      </w:r>
    </w:p>
    <w:p w:rsidR="005236B6" w:rsidRDefault="005236B6" w:rsidP="00F7493D">
      <w:pPr>
        <w:pStyle w:val="Paragraphedeliste"/>
        <w:spacing w:line="360" w:lineRule="auto"/>
        <w:rPr>
          <w:rFonts w:asciiTheme="majorBidi" w:hAnsiTheme="majorBidi" w:cstheme="majorBidi"/>
          <w:b/>
          <w:bCs/>
          <w:sz w:val="24"/>
          <w:szCs w:val="24"/>
        </w:rPr>
      </w:pPr>
      <w:r w:rsidRPr="00860658">
        <w:rPr>
          <w:rFonts w:asciiTheme="majorBidi" w:hAnsiTheme="majorBidi" w:cstheme="majorBidi"/>
          <w:b/>
          <w:bCs/>
          <w:sz w:val="24"/>
          <w:szCs w:val="24"/>
        </w:rPr>
        <w:t>L’analyse des axes de la partie du marketing des produits biologiques :</w:t>
      </w:r>
    </w:p>
    <w:p w:rsidR="005236B6" w:rsidRPr="004D3061" w:rsidRDefault="004D3061" w:rsidP="00F7493D">
      <w:pPr>
        <w:pStyle w:val="Lgende"/>
        <w:spacing w:line="360" w:lineRule="auto"/>
        <w:rPr>
          <w:rFonts w:asciiTheme="majorBidi" w:eastAsia="Calibri" w:hAnsiTheme="majorBidi" w:cstheme="majorBidi"/>
          <w:i w:val="0"/>
          <w:iCs w:val="0"/>
          <w:color w:val="auto"/>
          <w:kern w:val="3"/>
          <w:sz w:val="24"/>
          <w:szCs w:val="24"/>
        </w:rPr>
      </w:pPr>
      <w:bookmarkStart w:id="346" w:name="_Toc230400770"/>
      <w:r w:rsidRPr="004D3061">
        <w:rPr>
          <w:rFonts w:asciiTheme="majorBidi" w:eastAsia="Calibri" w:hAnsiTheme="majorBidi" w:cstheme="majorBidi"/>
          <w:b/>
          <w:bCs/>
          <w:i w:val="0"/>
          <w:iCs w:val="0"/>
          <w:color w:val="auto"/>
          <w:kern w:val="3"/>
          <w:sz w:val="24"/>
          <w:szCs w:val="24"/>
        </w:rPr>
        <w:t xml:space="preserve">Tableau </w:t>
      </w:r>
      <w:r w:rsidR="007B5998" w:rsidRPr="004D3061">
        <w:rPr>
          <w:rFonts w:asciiTheme="majorBidi" w:eastAsia="Calibri" w:hAnsiTheme="majorBidi" w:cstheme="majorBidi"/>
          <w:b/>
          <w:bCs/>
          <w:i w:val="0"/>
          <w:iCs w:val="0"/>
          <w:color w:val="auto"/>
          <w:kern w:val="3"/>
          <w:sz w:val="24"/>
          <w:szCs w:val="24"/>
        </w:rPr>
        <w:fldChar w:fldCharType="begin"/>
      </w:r>
      <w:r w:rsidRPr="004D3061">
        <w:rPr>
          <w:rFonts w:asciiTheme="majorBidi" w:eastAsia="Calibri" w:hAnsiTheme="majorBidi" w:cstheme="majorBidi"/>
          <w:b/>
          <w:bCs/>
          <w:i w:val="0"/>
          <w:iCs w:val="0"/>
          <w:color w:val="auto"/>
          <w:kern w:val="3"/>
          <w:sz w:val="24"/>
          <w:szCs w:val="24"/>
        </w:rPr>
        <w:instrText xml:space="preserve"> SEQ Tableau \* ARABIC </w:instrText>
      </w:r>
      <w:r w:rsidR="007B5998" w:rsidRPr="004D3061">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32</w:t>
      </w:r>
      <w:r w:rsidR="007B5998" w:rsidRPr="004D3061">
        <w:rPr>
          <w:rFonts w:asciiTheme="majorBidi" w:eastAsia="Calibri" w:hAnsiTheme="majorBidi" w:cstheme="majorBidi"/>
          <w:b/>
          <w:bCs/>
          <w:i w:val="0"/>
          <w:iCs w:val="0"/>
          <w:color w:val="auto"/>
          <w:kern w:val="3"/>
          <w:sz w:val="24"/>
          <w:szCs w:val="24"/>
        </w:rPr>
        <w:fldChar w:fldCharType="end"/>
      </w:r>
      <w:r w:rsidRPr="004D3061">
        <w:rPr>
          <w:rFonts w:asciiTheme="majorBidi" w:eastAsia="Calibri" w:hAnsiTheme="majorBidi" w:cstheme="majorBidi"/>
          <w:b/>
          <w:bCs/>
          <w:i w:val="0"/>
          <w:iCs w:val="0"/>
          <w:color w:val="auto"/>
          <w:kern w:val="3"/>
          <w:sz w:val="24"/>
          <w:szCs w:val="24"/>
        </w:rPr>
        <w:t xml:space="preserve"> :</w:t>
      </w:r>
      <w:r w:rsidRPr="004D3061">
        <w:rPr>
          <w:rFonts w:asciiTheme="majorBidi" w:eastAsia="Calibri" w:hAnsiTheme="majorBidi" w:cstheme="majorBidi"/>
          <w:i w:val="0"/>
          <w:iCs w:val="0"/>
          <w:color w:val="auto"/>
          <w:kern w:val="3"/>
          <w:sz w:val="24"/>
          <w:szCs w:val="24"/>
        </w:rPr>
        <w:t xml:space="preserve"> Le poids de l’échelle de LIKERT</w:t>
      </w:r>
      <w:bookmarkEnd w:id="346"/>
    </w:p>
    <w:tbl>
      <w:tblPr>
        <w:tblStyle w:val="CV11"/>
        <w:tblW w:w="0" w:type="auto"/>
        <w:tblLook w:val="04A0"/>
      </w:tblPr>
      <w:tblGrid>
        <w:gridCol w:w="1516"/>
        <w:gridCol w:w="1510"/>
        <w:gridCol w:w="1510"/>
        <w:gridCol w:w="1501"/>
        <w:gridCol w:w="1514"/>
        <w:gridCol w:w="1511"/>
      </w:tblGrid>
      <w:tr w:rsidR="005236B6" w:rsidRPr="00BE1594" w:rsidTr="00EC7780">
        <w:tc>
          <w:tcPr>
            <w:tcW w:w="1516"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 xml:space="preserve">Longueur du </w:t>
            </w:r>
          </w:p>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niveau (poids)</w:t>
            </w:r>
          </w:p>
        </w:tc>
        <w:tc>
          <w:tcPr>
            <w:tcW w:w="1510"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[1-1,79]</w:t>
            </w:r>
          </w:p>
        </w:tc>
        <w:tc>
          <w:tcPr>
            <w:tcW w:w="1510"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[1,8-2,59]</w:t>
            </w:r>
          </w:p>
        </w:tc>
        <w:tc>
          <w:tcPr>
            <w:tcW w:w="1501"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[2,6-3,39]</w:t>
            </w:r>
          </w:p>
        </w:tc>
        <w:tc>
          <w:tcPr>
            <w:tcW w:w="1514"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[3,4-4,19]</w:t>
            </w:r>
          </w:p>
        </w:tc>
        <w:tc>
          <w:tcPr>
            <w:tcW w:w="1511"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[4,2 -5]</w:t>
            </w:r>
          </w:p>
        </w:tc>
      </w:tr>
      <w:tr w:rsidR="005236B6" w:rsidRPr="00BE1594" w:rsidTr="00EC7780">
        <w:tc>
          <w:tcPr>
            <w:tcW w:w="1516"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Niveau d’accord</w:t>
            </w:r>
          </w:p>
        </w:tc>
        <w:tc>
          <w:tcPr>
            <w:tcW w:w="1510"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Pas de tout d’accord</w:t>
            </w:r>
          </w:p>
        </w:tc>
        <w:tc>
          <w:tcPr>
            <w:tcW w:w="1510"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Pas d’accord</w:t>
            </w:r>
          </w:p>
        </w:tc>
        <w:tc>
          <w:tcPr>
            <w:tcW w:w="1501"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Neutre</w:t>
            </w:r>
          </w:p>
        </w:tc>
        <w:tc>
          <w:tcPr>
            <w:tcW w:w="1514"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D’accord</w:t>
            </w:r>
          </w:p>
        </w:tc>
        <w:tc>
          <w:tcPr>
            <w:tcW w:w="1511" w:type="dxa"/>
          </w:tcPr>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 xml:space="preserve">Tout à fait </w:t>
            </w:r>
          </w:p>
          <w:p w:rsidR="005236B6" w:rsidRPr="00BE1594" w:rsidRDefault="005236B6" w:rsidP="00F7493D">
            <w:pPr>
              <w:spacing w:line="360" w:lineRule="auto"/>
              <w:jc w:val="both"/>
              <w:rPr>
                <w:rFonts w:ascii="Times New Roman" w:eastAsia="Calibri" w:hAnsi="Times New Roman" w:cs="Times New Roman"/>
                <w:sz w:val="24"/>
                <w:szCs w:val="24"/>
              </w:rPr>
            </w:pPr>
            <w:r w:rsidRPr="00BE1594">
              <w:rPr>
                <w:rFonts w:ascii="Times New Roman" w:eastAsia="Calibri" w:hAnsi="Times New Roman" w:cs="Times New Roman"/>
                <w:sz w:val="24"/>
                <w:szCs w:val="24"/>
              </w:rPr>
              <w:t>d’accord</w:t>
            </w:r>
          </w:p>
        </w:tc>
      </w:tr>
    </w:tbl>
    <w:p w:rsidR="005236B6" w:rsidRDefault="005236B6" w:rsidP="00F7493D">
      <w:pPr>
        <w:spacing w:line="360" w:lineRule="auto"/>
        <w:jc w:val="center"/>
        <w:rPr>
          <w:rFonts w:asciiTheme="majorBidi" w:hAnsiTheme="majorBidi" w:cstheme="majorBidi"/>
          <w:sz w:val="20"/>
          <w:szCs w:val="20"/>
          <w:rtl/>
        </w:rPr>
      </w:pPr>
      <w:bookmarkStart w:id="347" w:name="_Toc168176816"/>
      <w:bookmarkStart w:id="348" w:name="_Toc197863071"/>
      <w:bookmarkStart w:id="349" w:name="_Toc197863282"/>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140168" w:rsidRDefault="00140168" w:rsidP="00F7493D">
      <w:pPr>
        <w:spacing w:line="360" w:lineRule="auto"/>
        <w:jc w:val="center"/>
        <w:rPr>
          <w:rFonts w:asciiTheme="majorBidi" w:hAnsiTheme="majorBidi" w:cstheme="majorBidi"/>
          <w:sz w:val="20"/>
          <w:szCs w:val="20"/>
          <w:rtl/>
        </w:rPr>
      </w:pPr>
    </w:p>
    <w:p w:rsidR="00140168" w:rsidRDefault="00140168" w:rsidP="00F7493D">
      <w:pPr>
        <w:spacing w:line="360" w:lineRule="auto"/>
        <w:jc w:val="center"/>
        <w:rPr>
          <w:rFonts w:asciiTheme="majorBidi" w:hAnsiTheme="majorBidi" w:cstheme="majorBidi"/>
          <w:sz w:val="20"/>
          <w:szCs w:val="20"/>
          <w:rtl/>
        </w:rPr>
      </w:pPr>
    </w:p>
    <w:p w:rsidR="00140168" w:rsidRDefault="00140168" w:rsidP="00F7493D">
      <w:pPr>
        <w:spacing w:line="360" w:lineRule="auto"/>
        <w:jc w:val="center"/>
        <w:rPr>
          <w:rFonts w:asciiTheme="majorBidi" w:hAnsiTheme="majorBidi" w:cstheme="majorBidi"/>
          <w:sz w:val="20"/>
          <w:szCs w:val="20"/>
          <w:rtl/>
        </w:rPr>
      </w:pPr>
    </w:p>
    <w:p w:rsidR="00140168" w:rsidRPr="00284422" w:rsidRDefault="00140168" w:rsidP="00F7493D">
      <w:pPr>
        <w:spacing w:line="360" w:lineRule="auto"/>
        <w:jc w:val="center"/>
        <w:rPr>
          <w:rFonts w:asciiTheme="majorBidi" w:hAnsiTheme="majorBidi" w:cstheme="majorBidi"/>
          <w:sz w:val="20"/>
          <w:szCs w:val="20"/>
        </w:rPr>
      </w:pPr>
    </w:p>
    <w:p w:rsidR="005236B6" w:rsidRPr="004D3061" w:rsidRDefault="004D3061" w:rsidP="00F7493D">
      <w:pPr>
        <w:pStyle w:val="Lgende"/>
        <w:spacing w:line="360" w:lineRule="auto"/>
        <w:rPr>
          <w:rFonts w:asciiTheme="majorBidi" w:eastAsia="Calibri" w:hAnsiTheme="majorBidi" w:cstheme="majorBidi"/>
          <w:i w:val="0"/>
          <w:iCs w:val="0"/>
          <w:color w:val="auto"/>
          <w:kern w:val="3"/>
          <w:sz w:val="24"/>
          <w:szCs w:val="24"/>
        </w:rPr>
      </w:pPr>
      <w:bookmarkStart w:id="350" w:name="_Toc230400771"/>
      <w:bookmarkEnd w:id="347"/>
      <w:bookmarkEnd w:id="348"/>
      <w:bookmarkEnd w:id="349"/>
      <w:r w:rsidRPr="004D3061">
        <w:rPr>
          <w:rFonts w:asciiTheme="majorBidi" w:eastAsia="Calibri" w:hAnsiTheme="majorBidi" w:cstheme="majorBidi"/>
          <w:b/>
          <w:bCs/>
          <w:i w:val="0"/>
          <w:iCs w:val="0"/>
          <w:color w:val="auto"/>
          <w:kern w:val="3"/>
          <w:sz w:val="24"/>
          <w:szCs w:val="24"/>
        </w:rPr>
        <w:lastRenderedPageBreak/>
        <w:t xml:space="preserve">Tableau </w:t>
      </w:r>
      <w:r w:rsidR="007B5998" w:rsidRPr="004D3061">
        <w:rPr>
          <w:rFonts w:asciiTheme="majorBidi" w:eastAsia="Calibri" w:hAnsiTheme="majorBidi" w:cstheme="majorBidi"/>
          <w:b/>
          <w:bCs/>
          <w:i w:val="0"/>
          <w:iCs w:val="0"/>
          <w:color w:val="auto"/>
          <w:kern w:val="3"/>
          <w:sz w:val="24"/>
          <w:szCs w:val="24"/>
        </w:rPr>
        <w:fldChar w:fldCharType="begin"/>
      </w:r>
      <w:r w:rsidRPr="004D3061">
        <w:rPr>
          <w:rFonts w:asciiTheme="majorBidi" w:eastAsia="Calibri" w:hAnsiTheme="majorBidi" w:cstheme="majorBidi"/>
          <w:b/>
          <w:bCs/>
          <w:i w:val="0"/>
          <w:iCs w:val="0"/>
          <w:color w:val="auto"/>
          <w:kern w:val="3"/>
          <w:sz w:val="24"/>
          <w:szCs w:val="24"/>
        </w:rPr>
        <w:instrText xml:space="preserve"> SEQ Tableau \* ARABIC </w:instrText>
      </w:r>
      <w:r w:rsidR="007B5998" w:rsidRPr="004D3061">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33</w:t>
      </w:r>
      <w:r w:rsidR="007B5998" w:rsidRPr="004D3061">
        <w:rPr>
          <w:rFonts w:asciiTheme="majorBidi" w:eastAsia="Calibri" w:hAnsiTheme="majorBidi" w:cstheme="majorBidi"/>
          <w:b/>
          <w:bCs/>
          <w:i w:val="0"/>
          <w:iCs w:val="0"/>
          <w:color w:val="auto"/>
          <w:kern w:val="3"/>
          <w:sz w:val="24"/>
          <w:szCs w:val="24"/>
        </w:rPr>
        <w:fldChar w:fldCharType="end"/>
      </w:r>
      <w:r w:rsidRPr="004D3061">
        <w:rPr>
          <w:rFonts w:asciiTheme="majorBidi" w:eastAsia="Calibri" w:hAnsiTheme="majorBidi" w:cstheme="majorBidi"/>
          <w:b/>
          <w:bCs/>
          <w:i w:val="0"/>
          <w:iCs w:val="0"/>
          <w:color w:val="auto"/>
          <w:kern w:val="3"/>
          <w:sz w:val="24"/>
          <w:szCs w:val="24"/>
        </w:rPr>
        <w:t xml:space="preserve"> :</w:t>
      </w:r>
      <w:r w:rsidRPr="004D3061">
        <w:rPr>
          <w:rFonts w:asciiTheme="majorBidi" w:eastAsia="Calibri" w:hAnsiTheme="majorBidi" w:cstheme="majorBidi"/>
          <w:i w:val="0"/>
          <w:iCs w:val="0"/>
          <w:color w:val="auto"/>
          <w:kern w:val="3"/>
          <w:sz w:val="24"/>
          <w:szCs w:val="24"/>
        </w:rPr>
        <w:t xml:space="preserve"> Analyse statistique descriptive des données de premier l’axe « l’Abel biol</w:t>
      </w:r>
      <w:r w:rsidRPr="004D3061">
        <w:rPr>
          <w:rFonts w:asciiTheme="majorBidi" w:eastAsia="Calibri" w:hAnsiTheme="majorBidi" w:cstheme="majorBidi"/>
          <w:i w:val="0"/>
          <w:iCs w:val="0"/>
          <w:color w:val="auto"/>
          <w:kern w:val="3"/>
          <w:sz w:val="24"/>
          <w:szCs w:val="24"/>
        </w:rPr>
        <w:t>o</w:t>
      </w:r>
      <w:r w:rsidRPr="004D3061">
        <w:rPr>
          <w:rFonts w:asciiTheme="majorBidi" w:eastAsia="Calibri" w:hAnsiTheme="majorBidi" w:cstheme="majorBidi"/>
          <w:i w:val="0"/>
          <w:iCs w:val="0"/>
          <w:color w:val="auto"/>
          <w:kern w:val="3"/>
          <w:sz w:val="24"/>
          <w:szCs w:val="24"/>
        </w:rPr>
        <w:t>gique/produit »</w:t>
      </w:r>
      <w:bookmarkEnd w:id="3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75"/>
        <w:gridCol w:w="1114"/>
        <w:gridCol w:w="994"/>
        <w:gridCol w:w="993"/>
        <w:gridCol w:w="898"/>
        <w:gridCol w:w="1306"/>
        <w:gridCol w:w="1474"/>
        <w:gridCol w:w="1102"/>
      </w:tblGrid>
      <w:tr w:rsidR="005236B6" w:rsidRPr="00145553" w:rsidTr="00EC7780">
        <w:tc>
          <w:tcPr>
            <w:tcW w:w="1175"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Questions</w:t>
            </w:r>
          </w:p>
        </w:tc>
        <w:tc>
          <w:tcPr>
            <w:tcW w:w="1114"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Moyenne</w:t>
            </w:r>
          </w:p>
        </w:tc>
        <w:tc>
          <w:tcPr>
            <w:tcW w:w="994"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Ecart type</w:t>
            </w:r>
          </w:p>
        </w:tc>
        <w:tc>
          <w:tcPr>
            <w:tcW w:w="993"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Test t</w:t>
            </w:r>
          </w:p>
        </w:tc>
        <w:tc>
          <w:tcPr>
            <w:tcW w:w="898"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Degré de liberté</w:t>
            </w:r>
          </w:p>
        </w:tc>
        <w:tc>
          <w:tcPr>
            <w:tcW w:w="1306"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Sig.</w:t>
            </w:r>
          </w:p>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(Bilatérale)</w:t>
            </w:r>
          </w:p>
        </w:tc>
        <w:tc>
          <w:tcPr>
            <w:tcW w:w="1474"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classification</w:t>
            </w:r>
          </w:p>
        </w:tc>
        <w:tc>
          <w:tcPr>
            <w:tcW w:w="1102"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Niveau d’accord</w:t>
            </w:r>
          </w:p>
        </w:tc>
      </w:tr>
      <w:tr w:rsidR="005236B6" w:rsidRPr="00145553" w:rsidTr="00EC7780">
        <w:tc>
          <w:tcPr>
            <w:tcW w:w="1175"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Q1</w:t>
            </w:r>
          </w:p>
        </w:tc>
        <w:tc>
          <w:tcPr>
            <w:tcW w:w="111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4,09</w:t>
            </w:r>
          </w:p>
        </w:tc>
        <w:tc>
          <w:tcPr>
            <w:tcW w:w="99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0,715</w:t>
            </w:r>
          </w:p>
        </w:tc>
        <w:tc>
          <w:tcPr>
            <w:tcW w:w="993"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81,807</w:t>
            </w:r>
          </w:p>
        </w:tc>
        <w:tc>
          <w:tcPr>
            <w:tcW w:w="898"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204</w:t>
            </w:r>
          </w:p>
        </w:tc>
        <w:tc>
          <w:tcPr>
            <w:tcW w:w="1306"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,000</w:t>
            </w:r>
          </w:p>
        </w:tc>
        <w:tc>
          <w:tcPr>
            <w:tcW w:w="1474"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tl/>
              </w:rPr>
              <w:t>2</w:t>
            </w:r>
          </w:p>
        </w:tc>
        <w:tc>
          <w:tcPr>
            <w:tcW w:w="1102"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d’accord</w:t>
            </w:r>
          </w:p>
        </w:tc>
      </w:tr>
      <w:tr w:rsidR="005236B6" w:rsidRPr="00145553" w:rsidTr="00EC7780">
        <w:tc>
          <w:tcPr>
            <w:tcW w:w="1175"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Q2</w:t>
            </w:r>
          </w:p>
        </w:tc>
        <w:tc>
          <w:tcPr>
            <w:tcW w:w="111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3,79</w:t>
            </w:r>
          </w:p>
        </w:tc>
        <w:tc>
          <w:tcPr>
            <w:tcW w:w="99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0,929</w:t>
            </w:r>
          </w:p>
        </w:tc>
        <w:tc>
          <w:tcPr>
            <w:tcW w:w="993"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58,429</w:t>
            </w:r>
          </w:p>
        </w:tc>
        <w:tc>
          <w:tcPr>
            <w:tcW w:w="898"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204</w:t>
            </w:r>
          </w:p>
        </w:tc>
        <w:tc>
          <w:tcPr>
            <w:tcW w:w="1306"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,000</w:t>
            </w:r>
          </w:p>
        </w:tc>
        <w:tc>
          <w:tcPr>
            <w:tcW w:w="1474"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tl/>
              </w:rPr>
              <w:t>4</w:t>
            </w:r>
          </w:p>
        </w:tc>
        <w:tc>
          <w:tcPr>
            <w:tcW w:w="1102"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D’accord</w:t>
            </w:r>
          </w:p>
        </w:tc>
      </w:tr>
      <w:tr w:rsidR="005236B6" w:rsidRPr="00145553" w:rsidTr="00EC7780">
        <w:tc>
          <w:tcPr>
            <w:tcW w:w="1175"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Q3</w:t>
            </w:r>
          </w:p>
        </w:tc>
        <w:tc>
          <w:tcPr>
            <w:tcW w:w="111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3,98</w:t>
            </w:r>
          </w:p>
        </w:tc>
        <w:tc>
          <w:tcPr>
            <w:tcW w:w="99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0,874</w:t>
            </w:r>
          </w:p>
        </w:tc>
        <w:tc>
          <w:tcPr>
            <w:tcW w:w="993"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65,189</w:t>
            </w:r>
          </w:p>
        </w:tc>
        <w:tc>
          <w:tcPr>
            <w:tcW w:w="898"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204</w:t>
            </w:r>
          </w:p>
        </w:tc>
        <w:tc>
          <w:tcPr>
            <w:tcW w:w="1306"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,000</w:t>
            </w:r>
          </w:p>
        </w:tc>
        <w:tc>
          <w:tcPr>
            <w:tcW w:w="1474"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tl/>
              </w:rPr>
              <w:t>3</w:t>
            </w:r>
          </w:p>
        </w:tc>
        <w:tc>
          <w:tcPr>
            <w:tcW w:w="1102"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D’accord</w:t>
            </w:r>
          </w:p>
        </w:tc>
      </w:tr>
      <w:tr w:rsidR="005236B6" w:rsidRPr="00145553" w:rsidTr="00EC7780">
        <w:tc>
          <w:tcPr>
            <w:tcW w:w="1175"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Q4</w:t>
            </w:r>
          </w:p>
        </w:tc>
        <w:tc>
          <w:tcPr>
            <w:tcW w:w="111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4,19</w:t>
            </w:r>
          </w:p>
        </w:tc>
        <w:tc>
          <w:tcPr>
            <w:tcW w:w="994"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0,684</w:t>
            </w:r>
          </w:p>
        </w:tc>
        <w:tc>
          <w:tcPr>
            <w:tcW w:w="993"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87,649</w:t>
            </w:r>
          </w:p>
        </w:tc>
        <w:tc>
          <w:tcPr>
            <w:tcW w:w="898"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204</w:t>
            </w:r>
          </w:p>
        </w:tc>
        <w:tc>
          <w:tcPr>
            <w:tcW w:w="1306" w:type="dxa"/>
            <w:shd w:val="clear" w:color="auto" w:fill="FFFFFF"/>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,000</w:t>
            </w:r>
          </w:p>
        </w:tc>
        <w:tc>
          <w:tcPr>
            <w:tcW w:w="1474"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tl/>
              </w:rPr>
              <w:t>1</w:t>
            </w:r>
          </w:p>
        </w:tc>
        <w:tc>
          <w:tcPr>
            <w:tcW w:w="1102"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D’accord</w:t>
            </w:r>
          </w:p>
        </w:tc>
      </w:tr>
      <w:tr w:rsidR="005236B6" w:rsidRPr="00145553" w:rsidTr="00EC7780">
        <w:tc>
          <w:tcPr>
            <w:tcW w:w="1175"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Total</w:t>
            </w:r>
          </w:p>
        </w:tc>
        <w:tc>
          <w:tcPr>
            <w:tcW w:w="1114" w:type="dxa"/>
            <w:shd w:val="clear" w:color="auto" w:fill="FFFFFF"/>
            <w:vAlign w:val="center"/>
            <w:hideMark/>
          </w:tcPr>
          <w:p w:rsidR="005236B6" w:rsidRPr="00BE1594"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BE1594">
              <w:rPr>
                <w:rFonts w:asciiTheme="majorBidi" w:hAnsiTheme="majorBidi" w:cstheme="majorBidi"/>
                <w:color w:val="010205"/>
                <w:sz w:val="24"/>
                <w:szCs w:val="24"/>
              </w:rPr>
              <w:t>4,0122</w:t>
            </w:r>
          </w:p>
        </w:tc>
        <w:tc>
          <w:tcPr>
            <w:tcW w:w="994" w:type="dxa"/>
            <w:shd w:val="clear" w:color="auto" w:fill="FFFFFF"/>
            <w:vAlign w:val="center"/>
            <w:hideMark/>
          </w:tcPr>
          <w:p w:rsidR="005236B6" w:rsidRPr="00BE1594"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BE1594">
              <w:rPr>
                <w:rFonts w:asciiTheme="majorBidi" w:hAnsiTheme="majorBidi" w:cstheme="majorBidi"/>
                <w:color w:val="010205"/>
                <w:sz w:val="24"/>
                <w:szCs w:val="24"/>
              </w:rPr>
              <w:t>,51316</w:t>
            </w:r>
          </w:p>
        </w:tc>
        <w:tc>
          <w:tcPr>
            <w:tcW w:w="993" w:type="dxa"/>
            <w:shd w:val="clear" w:color="auto" w:fill="FFFFFF"/>
            <w:vAlign w:val="center"/>
            <w:hideMark/>
          </w:tcPr>
          <w:p w:rsidR="005236B6" w:rsidRPr="00145553" w:rsidRDefault="005236B6" w:rsidP="00F7493D">
            <w:pPr>
              <w:autoSpaceDE w:val="0"/>
              <w:adjustRightInd w:val="0"/>
              <w:spacing w:after="0" w:line="360" w:lineRule="auto"/>
              <w:jc w:val="center"/>
              <w:rPr>
                <w:rFonts w:asciiTheme="majorBidi" w:hAnsiTheme="majorBidi" w:cstheme="majorBidi"/>
                <w:sz w:val="24"/>
                <w:szCs w:val="24"/>
              </w:rPr>
            </w:pPr>
            <w:r w:rsidRPr="00145553">
              <w:rPr>
                <w:rFonts w:asciiTheme="majorBidi" w:hAnsiTheme="majorBidi" w:cstheme="majorBidi"/>
                <w:sz w:val="24"/>
                <w:szCs w:val="24"/>
              </w:rPr>
              <w:t>111,946</w:t>
            </w:r>
          </w:p>
        </w:tc>
        <w:tc>
          <w:tcPr>
            <w:tcW w:w="898" w:type="dxa"/>
            <w:shd w:val="clear" w:color="auto" w:fill="FFFFFF"/>
            <w:vAlign w:val="center"/>
            <w:hideMark/>
          </w:tcPr>
          <w:p w:rsidR="005236B6" w:rsidRPr="00145553" w:rsidRDefault="005236B6" w:rsidP="00F7493D">
            <w:pPr>
              <w:autoSpaceDE w:val="0"/>
              <w:adjustRightInd w:val="0"/>
              <w:spacing w:after="0" w:line="360" w:lineRule="auto"/>
              <w:jc w:val="center"/>
              <w:rPr>
                <w:rFonts w:asciiTheme="majorBidi" w:hAnsiTheme="majorBidi" w:cstheme="majorBidi"/>
                <w:sz w:val="24"/>
                <w:szCs w:val="24"/>
              </w:rPr>
            </w:pPr>
            <w:r w:rsidRPr="00145553">
              <w:rPr>
                <w:rFonts w:asciiTheme="majorBidi" w:hAnsiTheme="majorBidi" w:cstheme="majorBidi"/>
                <w:sz w:val="24"/>
                <w:szCs w:val="24"/>
              </w:rPr>
              <w:t>204</w:t>
            </w:r>
          </w:p>
        </w:tc>
        <w:tc>
          <w:tcPr>
            <w:tcW w:w="1306" w:type="dxa"/>
            <w:shd w:val="clear" w:color="auto" w:fill="FFFFFF"/>
            <w:vAlign w:val="center"/>
            <w:hideMark/>
          </w:tcPr>
          <w:p w:rsidR="005236B6" w:rsidRPr="00145553" w:rsidRDefault="005236B6" w:rsidP="00F7493D">
            <w:pPr>
              <w:autoSpaceDE w:val="0"/>
              <w:adjustRightInd w:val="0"/>
              <w:spacing w:after="0" w:line="360" w:lineRule="auto"/>
              <w:jc w:val="center"/>
              <w:rPr>
                <w:rFonts w:asciiTheme="majorBidi" w:hAnsiTheme="majorBidi" w:cstheme="majorBidi"/>
                <w:sz w:val="24"/>
                <w:szCs w:val="24"/>
              </w:rPr>
            </w:pPr>
            <w:r>
              <w:rPr>
                <w:rFonts w:asciiTheme="majorBidi" w:hAnsiTheme="majorBidi" w:cstheme="majorBidi"/>
                <w:sz w:val="24"/>
                <w:szCs w:val="24"/>
              </w:rPr>
              <w:t>0</w:t>
            </w:r>
            <w:r w:rsidRPr="00145553">
              <w:rPr>
                <w:rFonts w:asciiTheme="majorBidi" w:hAnsiTheme="majorBidi" w:cstheme="majorBidi"/>
                <w:sz w:val="24"/>
                <w:szCs w:val="24"/>
              </w:rPr>
              <w:t>,000</w:t>
            </w:r>
          </w:p>
        </w:tc>
        <w:tc>
          <w:tcPr>
            <w:tcW w:w="1474" w:type="dxa"/>
            <w:vAlign w:val="center"/>
          </w:tcPr>
          <w:p w:rsidR="005236B6" w:rsidRPr="00145553" w:rsidRDefault="005236B6" w:rsidP="00F7493D">
            <w:pPr>
              <w:spacing w:line="360" w:lineRule="auto"/>
              <w:jc w:val="center"/>
              <w:rPr>
                <w:rFonts w:asciiTheme="majorBidi" w:hAnsiTheme="majorBidi" w:cstheme="majorBidi"/>
                <w:sz w:val="24"/>
                <w:szCs w:val="24"/>
              </w:rPr>
            </w:pPr>
          </w:p>
        </w:tc>
        <w:tc>
          <w:tcPr>
            <w:tcW w:w="1102" w:type="dxa"/>
            <w:vAlign w:val="center"/>
            <w:hideMark/>
          </w:tcPr>
          <w:p w:rsidR="005236B6" w:rsidRPr="00145553" w:rsidRDefault="005236B6" w:rsidP="00F7493D">
            <w:pPr>
              <w:spacing w:line="360" w:lineRule="auto"/>
              <w:jc w:val="center"/>
              <w:rPr>
                <w:rFonts w:asciiTheme="majorBidi" w:hAnsiTheme="majorBidi" w:cstheme="majorBidi"/>
                <w:sz w:val="24"/>
                <w:szCs w:val="24"/>
              </w:rPr>
            </w:pPr>
            <w:r w:rsidRPr="00145553">
              <w:rPr>
                <w:rFonts w:asciiTheme="majorBidi" w:hAnsiTheme="majorBidi" w:cstheme="majorBidi"/>
                <w:sz w:val="24"/>
                <w:szCs w:val="24"/>
              </w:rPr>
              <w:t>D’accord</w:t>
            </w:r>
          </w:p>
        </w:tc>
      </w:tr>
    </w:tbl>
    <w:p w:rsidR="005236B6" w:rsidRPr="00284422"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140168">
      <w:pPr>
        <w:autoSpaceDE w:val="0"/>
        <w:adjustRightInd w:val="0"/>
        <w:spacing w:after="0" w:line="360" w:lineRule="auto"/>
        <w:rPr>
          <w:rFonts w:ascii="Times New Roman" w:hAnsi="Times New Roman" w:cs="Times New Roman"/>
          <w:sz w:val="24"/>
          <w:szCs w:val="24"/>
          <w:rtl/>
          <w:lang w:bidi="ar-DZ"/>
        </w:rPr>
      </w:pPr>
      <w:r w:rsidRPr="007E53E0">
        <w:rPr>
          <w:rFonts w:ascii="Times New Roman" w:hAnsi="Times New Roman" w:cs="Times New Roman"/>
          <w:noProof/>
          <w:sz w:val="24"/>
          <w:szCs w:val="24"/>
          <w:lang w:eastAsia="fr-FR"/>
        </w:rPr>
        <w:drawing>
          <wp:inline distT="0" distB="0" distL="0" distR="0">
            <wp:extent cx="5973752" cy="313945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04442" cy="3155581"/>
                    </a:xfrm>
                    <a:prstGeom prst="rect">
                      <a:avLst/>
                    </a:prstGeom>
                    <a:noFill/>
                    <a:ln>
                      <a:noFill/>
                    </a:ln>
                  </pic:spPr>
                </pic:pic>
              </a:graphicData>
            </a:graphic>
          </wp:inline>
        </w:drawing>
      </w:r>
    </w:p>
    <w:p w:rsidR="005236B6" w:rsidRPr="00CA02C7" w:rsidRDefault="005236B6" w:rsidP="00F7493D">
      <w:pPr>
        <w:autoSpaceDE w:val="0"/>
        <w:adjustRightInd w:val="0"/>
        <w:spacing w:after="0" w:line="360" w:lineRule="auto"/>
        <w:jc w:val="both"/>
        <w:rPr>
          <w:rFonts w:ascii="Times New Roman" w:hAnsi="Times New Roman" w:cs="Times New Roman"/>
          <w:sz w:val="24"/>
          <w:szCs w:val="24"/>
        </w:rPr>
      </w:pPr>
      <w:r w:rsidRPr="00970DAD">
        <w:rPr>
          <w:rFonts w:ascii="Times New Roman" w:hAnsi="Times New Roman" w:cs="Times New Roman"/>
          <w:sz w:val="24"/>
          <w:szCs w:val="24"/>
        </w:rPr>
        <w:t xml:space="preserve">Les résultats montrent que les moyennes des items du premier axe « label biologique/produit » varient entre 3,79 et 4,19, avec une moyenne globale de 4,01, indiquant un </w:t>
      </w:r>
      <w:r w:rsidRPr="00970DAD">
        <w:rPr>
          <w:rFonts w:ascii="Times New Roman" w:hAnsi="Times New Roman" w:cs="Times New Roman"/>
          <w:b/>
          <w:bCs/>
          <w:sz w:val="24"/>
          <w:szCs w:val="24"/>
        </w:rPr>
        <w:t>niveau d’accord élevé</w:t>
      </w:r>
      <w:r w:rsidRPr="00970DAD">
        <w:rPr>
          <w:rFonts w:ascii="Times New Roman" w:hAnsi="Times New Roman" w:cs="Times New Roman"/>
          <w:sz w:val="24"/>
          <w:szCs w:val="24"/>
        </w:rPr>
        <w:t xml:space="preserve"> des répondants. Les écarts-types relativement faibles (≈ 0,68 à 0,93) traduisent une </w:t>
      </w:r>
      <w:r w:rsidRPr="00970DAD">
        <w:rPr>
          <w:rFonts w:ascii="Times New Roman" w:hAnsi="Times New Roman" w:cs="Times New Roman"/>
          <w:b/>
          <w:bCs/>
          <w:sz w:val="24"/>
          <w:szCs w:val="24"/>
        </w:rPr>
        <w:t>dispersion limitée</w:t>
      </w:r>
      <w:r w:rsidRPr="00970DAD">
        <w:rPr>
          <w:rFonts w:ascii="Times New Roman" w:hAnsi="Times New Roman" w:cs="Times New Roman"/>
          <w:sz w:val="24"/>
          <w:szCs w:val="24"/>
        </w:rPr>
        <w:t xml:space="preserve"> et donc une homogénéité des réponses. Les valeurs très élevées du test t, associées à une signification bilatérale (Sig = 0,000), confirment que les moyennes observées sont </w:t>
      </w:r>
      <w:r w:rsidRPr="00970DAD">
        <w:rPr>
          <w:rFonts w:ascii="Times New Roman" w:hAnsi="Times New Roman" w:cs="Times New Roman"/>
          <w:b/>
          <w:bCs/>
          <w:sz w:val="24"/>
          <w:szCs w:val="24"/>
        </w:rPr>
        <w:t>statistiquement significatives</w:t>
      </w:r>
      <w:r w:rsidRPr="00970DAD">
        <w:rPr>
          <w:rFonts w:ascii="Times New Roman" w:hAnsi="Times New Roman" w:cs="Times New Roman"/>
          <w:sz w:val="24"/>
          <w:szCs w:val="24"/>
        </w:rPr>
        <w:t xml:space="preserve">. L’item Q4 est le mieux évalué, tandis que Q2 présente la moyenne la plus faible, mais reste dans une zone d’accord. Globalement, cet axe reflète une </w:t>
      </w:r>
      <w:r w:rsidRPr="00970DAD">
        <w:rPr>
          <w:rFonts w:ascii="Times New Roman" w:hAnsi="Times New Roman" w:cs="Times New Roman"/>
          <w:b/>
          <w:bCs/>
          <w:sz w:val="24"/>
          <w:szCs w:val="24"/>
        </w:rPr>
        <w:lastRenderedPageBreak/>
        <w:t>perception positive et significative</w:t>
      </w:r>
      <w:r w:rsidRPr="00970DAD">
        <w:rPr>
          <w:rFonts w:ascii="Times New Roman" w:hAnsi="Times New Roman" w:cs="Times New Roman"/>
          <w:sz w:val="24"/>
          <w:szCs w:val="24"/>
        </w:rPr>
        <w:t xml:space="preserve"> du label biologique/produit par les répondants.Le </w:t>
      </w:r>
      <w:r w:rsidRPr="00970DAD">
        <w:rPr>
          <w:rFonts w:ascii="Times New Roman" w:hAnsi="Times New Roman" w:cs="Times New Roman"/>
          <w:b/>
          <w:bCs/>
          <w:sz w:val="24"/>
          <w:szCs w:val="24"/>
        </w:rPr>
        <w:t>degré de liberté (ddl = 204)</w:t>
      </w:r>
      <w:r w:rsidRPr="00970DAD">
        <w:rPr>
          <w:rFonts w:ascii="Times New Roman" w:hAnsi="Times New Roman" w:cs="Times New Roman"/>
          <w:sz w:val="24"/>
          <w:szCs w:val="24"/>
        </w:rPr>
        <w:t xml:space="preserve"> dans ce tableau correspond au nombre d’observations indépendantes utilisées pour effectuer le </w:t>
      </w:r>
      <w:r w:rsidRPr="00970DAD">
        <w:rPr>
          <w:rFonts w:ascii="Times New Roman" w:hAnsi="Times New Roman" w:cs="Times New Roman"/>
          <w:b/>
          <w:bCs/>
          <w:sz w:val="24"/>
          <w:szCs w:val="24"/>
        </w:rPr>
        <w:t>test t</w:t>
      </w:r>
      <w:r w:rsidRPr="00970DAD">
        <w:rPr>
          <w:rFonts w:ascii="Times New Roman" w:hAnsi="Times New Roman" w:cs="Times New Roman"/>
          <w:sz w:val="24"/>
          <w:szCs w:val="24"/>
        </w:rPr>
        <w:t xml:space="preserve">. En pratique, pour un test t à un échantillon, il est calculé comme </w:t>
      </w:r>
      <w:r w:rsidRPr="00970DAD">
        <w:rPr>
          <w:rFonts w:ascii="Times New Roman" w:hAnsi="Times New Roman" w:cs="Times New Roman"/>
          <w:b/>
          <w:bCs/>
          <w:sz w:val="24"/>
          <w:szCs w:val="24"/>
        </w:rPr>
        <w:t>n – 1</w:t>
      </w:r>
      <w:r w:rsidRPr="00970DAD">
        <w:rPr>
          <w:rFonts w:ascii="Times New Roman" w:hAnsi="Times New Roman" w:cs="Times New Roman"/>
          <w:sz w:val="24"/>
          <w:szCs w:val="24"/>
        </w:rPr>
        <w:t xml:space="preserve">, ce qui signifie ici que l’échantillon est composé d’environ </w:t>
      </w:r>
      <w:r w:rsidRPr="00970DAD">
        <w:rPr>
          <w:rFonts w:ascii="Times New Roman" w:hAnsi="Times New Roman" w:cs="Times New Roman"/>
          <w:b/>
          <w:bCs/>
          <w:sz w:val="24"/>
          <w:szCs w:val="24"/>
        </w:rPr>
        <w:t>205 répondants</w:t>
      </w:r>
      <w:r w:rsidRPr="00970DAD">
        <w:rPr>
          <w:rFonts w:ascii="Times New Roman" w:hAnsi="Times New Roman" w:cs="Times New Roman"/>
          <w:sz w:val="24"/>
          <w:szCs w:val="24"/>
        </w:rPr>
        <w:t>.</w:t>
      </w:r>
      <w:r>
        <w:rPr>
          <w:rFonts w:ascii="Times New Roman" w:hAnsi="Times New Roman" w:cs="Times New Roman"/>
          <w:sz w:val="24"/>
          <w:szCs w:val="24"/>
        </w:rPr>
        <w:t xml:space="preserve"> Ce qui </w:t>
      </w:r>
      <w:r w:rsidRPr="00970DAD">
        <w:rPr>
          <w:rFonts w:ascii="Times New Roman" w:hAnsi="Times New Roman" w:cs="Times New Roman"/>
          <w:sz w:val="24"/>
          <w:szCs w:val="24"/>
        </w:rPr>
        <w:t xml:space="preserve">confirme que les tests réalisés sont </w:t>
      </w:r>
      <w:r w:rsidRPr="00970DAD">
        <w:rPr>
          <w:rFonts w:ascii="Times New Roman" w:hAnsi="Times New Roman" w:cs="Times New Roman"/>
          <w:b/>
          <w:bCs/>
          <w:sz w:val="24"/>
          <w:szCs w:val="24"/>
        </w:rPr>
        <w:t>statistiquement solides</w:t>
      </w:r>
      <w:r w:rsidRPr="00970DAD">
        <w:rPr>
          <w:rFonts w:ascii="Times New Roman" w:hAnsi="Times New Roman" w:cs="Times New Roman"/>
          <w:sz w:val="24"/>
          <w:szCs w:val="24"/>
        </w:rPr>
        <w:t xml:space="preserve"> et que les résultats obtenus (notamment les valeurs de Sig = 0,000) sont </w:t>
      </w:r>
      <w:r w:rsidRPr="00970DAD">
        <w:rPr>
          <w:rFonts w:ascii="Times New Roman" w:hAnsi="Times New Roman" w:cs="Times New Roman"/>
          <w:b/>
          <w:bCs/>
          <w:sz w:val="24"/>
          <w:szCs w:val="24"/>
        </w:rPr>
        <w:t>hautement fiables</w:t>
      </w:r>
      <w:r w:rsidRPr="00970DAD">
        <w:rPr>
          <w:rFonts w:ascii="Times New Roman" w:hAnsi="Times New Roman" w:cs="Times New Roman"/>
          <w:sz w:val="24"/>
          <w:szCs w:val="24"/>
        </w:rPr>
        <w:t>.</w:t>
      </w:r>
    </w:p>
    <w:p w:rsidR="005236B6" w:rsidRPr="004D3061" w:rsidRDefault="004D3061" w:rsidP="00F7493D">
      <w:pPr>
        <w:pStyle w:val="Lgende"/>
        <w:spacing w:after="0" w:line="360" w:lineRule="auto"/>
        <w:jc w:val="lowKashida"/>
        <w:rPr>
          <w:rFonts w:asciiTheme="majorBidi" w:eastAsia="Calibri" w:hAnsiTheme="majorBidi" w:cstheme="majorBidi"/>
          <w:i w:val="0"/>
          <w:iCs w:val="0"/>
          <w:color w:val="auto"/>
          <w:kern w:val="3"/>
          <w:sz w:val="24"/>
          <w:szCs w:val="24"/>
        </w:rPr>
      </w:pPr>
      <w:bookmarkStart w:id="351" w:name="_Toc230400772"/>
      <w:r w:rsidRPr="004D3061">
        <w:rPr>
          <w:rFonts w:asciiTheme="majorBidi" w:eastAsia="Calibri" w:hAnsiTheme="majorBidi" w:cstheme="majorBidi"/>
          <w:b/>
          <w:bCs/>
          <w:i w:val="0"/>
          <w:iCs w:val="0"/>
          <w:color w:val="auto"/>
          <w:kern w:val="3"/>
          <w:sz w:val="24"/>
          <w:szCs w:val="24"/>
        </w:rPr>
        <w:t xml:space="preserve">Tableau </w:t>
      </w:r>
      <w:r w:rsidR="007B5998" w:rsidRPr="004D3061">
        <w:rPr>
          <w:rFonts w:asciiTheme="majorBidi" w:eastAsia="Calibri" w:hAnsiTheme="majorBidi" w:cstheme="majorBidi"/>
          <w:b/>
          <w:bCs/>
          <w:i w:val="0"/>
          <w:iCs w:val="0"/>
          <w:color w:val="auto"/>
          <w:kern w:val="3"/>
          <w:sz w:val="24"/>
          <w:szCs w:val="24"/>
        </w:rPr>
        <w:fldChar w:fldCharType="begin"/>
      </w:r>
      <w:r w:rsidRPr="004D3061">
        <w:rPr>
          <w:rFonts w:asciiTheme="majorBidi" w:eastAsia="Calibri" w:hAnsiTheme="majorBidi" w:cstheme="majorBidi"/>
          <w:b/>
          <w:bCs/>
          <w:i w:val="0"/>
          <w:iCs w:val="0"/>
          <w:color w:val="auto"/>
          <w:kern w:val="3"/>
          <w:sz w:val="24"/>
          <w:szCs w:val="24"/>
        </w:rPr>
        <w:instrText xml:space="preserve"> SEQ Tableau \* ARABIC </w:instrText>
      </w:r>
      <w:r w:rsidR="007B5998" w:rsidRPr="004D3061">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34</w:t>
      </w:r>
      <w:r w:rsidR="007B5998" w:rsidRPr="004D3061">
        <w:rPr>
          <w:rFonts w:asciiTheme="majorBidi" w:eastAsia="Calibri" w:hAnsiTheme="majorBidi" w:cstheme="majorBidi"/>
          <w:b/>
          <w:bCs/>
          <w:i w:val="0"/>
          <w:iCs w:val="0"/>
          <w:color w:val="auto"/>
          <w:kern w:val="3"/>
          <w:sz w:val="24"/>
          <w:szCs w:val="24"/>
        </w:rPr>
        <w:fldChar w:fldCharType="end"/>
      </w:r>
      <w:r w:rsidRPr="004D3061">
        <w:rPr>
          <w:rFonts w:asciiTheme="majorBidi" w:eastAsia="Calibri" w:hAnsiTheme="majorBidi" w:cstheme="majorBidi"/>
          <w:b/>
          <w:bCs/>
          <w:i w:val="0"/>
          <w:iCs w:val="0"/>
          <w:color w:val="auto"/>
          <w:kern w:val="3"/>
          <w:sz w:val="24"/>
          <w:szCs w:val="24"/>
        </w:rPr>
        <w:t xml:space="preserve"> :</w:t>
      </w:r>
      <w:r w:rsidRPr="004D3061">
        <w:rPr>
          <w:rFonts w:asciiTheme="majorBidi" w:eastAsia="Calibri" w:hAnsiTheme="majorBidi" w:cstheme="majorBidi"/>
          <w:i w:val="0"/>
          <w:iCs w:val="0"/>
          <w:color w:val="auto"/>
          <w:kern w:val="3"/>
          <w:sz w:val="24"/>
          <w:szCs w:val="24"/>
        </w:rPr>
        <w:t xml:space="preserve"> Analyse statistique descriptive des données de deuxième axe « le prix »</w:t>
      </w:r>
      <w:bookmarkEnd w:id="3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75"/>
        <w:gridCol w:w="1114"/>
        <w:gridCol w:w="994"/>
        <w:gridCol w:w="993"/>
        <w:gridCol w:w="898"/>
        <w:gridCol w:w="1306"/>
        <w:gridCol w:w="1474"/>
        <w:gridCol w:w="1102"/>
      </w:tblGrid>
      <w:tr w:rsidR="005236B6" w:rsidRPr="00970DAD" w:rsidTr="00EC7780">
        <w:tc>
          <w:tcPr>
            <w:tcW w:w="1175"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Questions</w:t>
            </w:r>
          </w:p>
        </w:tc>
        <w:tc>
          <w:tcPr>
            <w:tcW w:w="1114"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Moyenne</w:t>
            </w:r>
          </w:p>
        </w:tc>
        <w:tc>
          <w:tcPr>
            <w:tcW w:w="994"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Ecart type</w:t>
            </w:r>
          </w:p>
        </w:tc>
        <w:tc>
          <w:tcPr>
            <w:tcW w:w="993"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Test t</w:t>
            </w:r>
          </w:p>
        </w:tc>
        <w:tc>
          <w:tcPr>
            <w:tcW w:w="898"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Degré de liberté</w:t>
            </w:r>
          </w:p>
        </w:tc>
        <w:tc>
          <w:tcPr>
            <w:tcW w:w="1306"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Sig.</w:t>
            </w:r>
          </w:p>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(Bilatérale)</w:t>
            </w:r>
          </w:p>
        </w:tc>
        <w:tc>
          <w:tcPr>
            <w:tcW w:w="1474"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classification</w:t>
            </w:r>
          </w:p>
        </w:tc>
        <w:tc>
          <w:tcPr>
            <w:tcW w:w="1102"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Niveau d’accord</w:t>
            </w:r>
          </w:p>
        </w:tc>
      </w:tr>
      <w:tr w:rsidR="005236B6" w:rsidRPr="00970DAD" w:rsidTr="00EC7780">
        <w:tc>
          <w:tcPr>
            <w:tcW w:w="1175"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Q</w:t>
            </w:r>
            <w:r w:rsidRPr="00970DAD">
              <w:rPr>
                <w:rFonts w:asciiTheme="majorBidi" w:hAnsiTheme="majorBidi" w:cstheme="majorBidi"/>
                <w:sz w:val="24"/>
                <w:szCs w:val="24"/>
                <w:rtl/>
              </w:rPr>
              <w:t>5</w:t>
            </w:r>
          </w:p>
        </w:tc>
        <w:tc>
          <w:tcPr>
            <w:tcW w:w="111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3,32</w:t>
            </w:r>
          </w:p>
        </w:tc>
        <w:tc>
          <w:tcPr>
            <w:tcW w:w="99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1,148</w:t>
            </w:r>
          </w:p>
        </w:tc>
        <w:tc>
          <w:tcPr>
            <w:tcW w:w="993"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41,439</w:t>
            </w:r>
          </w:p>
        </w:tc>
        <w:tc>
          <w:tcPr>
            <w:tcW w:w="898"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204</w:t>
            </w:r>
          </w:p>
        </w:tc>
        <w:tc>
          <w:tcPr>
            <w:tcW w:w="1306"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0,000</w:t>
            </w:r>
          </w:p>
        </w:tc>
        <w:tc>
          <w:tcPr>
            <w:tcW w:w="1474"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4</w:t>
            </w:r>
          </w:p>
        </w:tc>
        <w:tc>
          <w:tcPr>
            <w:tcW w:w="1102"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Neutre</w:t>
            </w:r>
          </w:p>
        </w:tc>
      </w:tr>
      <w:tr w:rsidR="005236B6" w:rsidRPr="00970DAD" w:rsidTr="00EC7780">
        <w:tc>
          <w:tcPr>
            <w:tcW w:w="1175"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Q</w:t>
            </w:r>
            <w:r w:rsidRPr="00970DAD">
              <w:rPr>
                <w:rFonts w:asciiTheme="majorBidi" w:hAnsiTheme="majorBidi" w:cstheme="majorBidi"/>
                <w:sz w:val="24"/>
                <w:szCs w:val="24"/>
                <w:rtl/>
              </w:rPr>
              <w:t>6</w:t>
            </w:r>
          </w:p>
        </w:tc>
        <w:tc>
          <w:tcPr>
            <w:tcW w:w="111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3,07</w:t>
            </w:r>
          </w:p>
        </w:tc>
        <w:tc>
          <w:tcPr>
            <w:tcW w:w="99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1,073</w:t>
            </w:r>
          </w:p>
        </w:tc>
        <w:tc>
          <w:tcPr>
            <w:tcW w:w="993"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40,927</w:t>
            </w:r>
          </w:p>
        </w:tc>
        <w:tc>
          <w:tcPr>
            <w:tcW w:w="898"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204</w:t>
            </w:r>
          </w:p>
        </w:tc>
        <w:tc>
          <w:tcPr>
            <w:tcW w:w="1306"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0,000</w:t>
            </w:r>
          </w:p>
        </w:tc>
        <w:tc>
          <w:tcPr>
            <w:tcW w:w="1474"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3</w:t>
            </w:r>
          </w:p>
        </w:tc>
        <w:tc>
          <w:tcPr>
            <w:tcW w:w="1102"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Neutre</w:t>
            </w:r>
          </w:p>
        </w:tc>
      </w:tr>
      <w:tr w:rsidR="005236B6" w:rsidRPr="00970DAD" w:rsidTr="00EC7780">
        <w:tc>
          <w:tcPr>
            <w:tcW w:w="1175"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Q</w:t>
            </w:r>
            <w:r w:rsidRPr="00970DAD">
              <w:rPr>
                <w:rFonts w:asciiTheme="majorBidi" w:hAnsiTheme="majorBidi" w:cstheme="majorBidi"/>
                <w:sz w:val="24"/>
                <w:szCs w:val="24"/>
                <w:rtl/>
              </w:rPr>
              <w:t>7</w:t>
            </w:r>
          </w:p>
        </w:tc>
        <w:tc>
          <w:tcPr>
            <w:tcW w:w="111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3,58</w:t>
            </w:r>
          </w:p>
        </w:tc>
        <w:tc>
          <w:tcPr>
            <w:tcW w:w="99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1,000</w:t>
            </w:r>
          </w:p>
        </w:tc>
        <w:tc>
          <w:tcPr>
            <w:tcW w:w="993"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51,275</w:t>
            </w:r>
          </w:p>
        </w:tc>
        <w:tc>
          <w:tcPr>
            <w:tcW w:w="898"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204</w:t>
            </w:r>
          </w:p>
        </w:tc>
        <w:tc>
          <w:tcPr>
            <w:tcW w:w="1306"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0,000</w:t>
            </w:r>
          </w:p>
        </w:tc>
        <w:tc>
          <w:tcPr>
            <w:tcW w:w="1474"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2</w:t>
            </w:r>
          </w:p>
        </w:tc>
        <w:tc>
          <w:tcPr>
            <w:tcW w:w="1102"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D’accord</w:t>
            </w:r>
          </w:p>
        </w:tc>
      </w:tr>
      <w:tr w:rsidR="005236B6" w:rsidRPr="00970DAD" w:rsidTr="00EC7780">
        <w:tc>
          <w:tcPr>
            <w:tcW w:w="1175" w:type="dxa"/>
            <w:vAlign w:val="center"/>
            <w:hideMark/>
          </w:tcPr>
          <w:p w:rsidR="005236B6" w:rsidRPr="00970DAD" w:rsidRDefault="005236B6" w:rsidP="00140168">
            <w:pPr>
              <w:spacing w:line="276" w:lineRule="auto"/>
              <w:jc w:val="center"/>
              <w:rPr>
                <w:rFonts w:asciiTheme="majorBidi" w:hAnsiTheme="majorBidi" w:cstheme="majorBidi"/>
                <w:sz w:val="24"/>
                <w:szCs w:val="24"/>
                <w:lang w:val="en-US"/>
              </w:rPr>
            </w:pPr>
            <w:r w:rsidRPr="00970DAD">
              <w:rPr>
                <w:rFonts w:asciiTheme="majorBidi" w:hAnsiTheme="majorBidi" w:cstheme="majorBidi"/>
                <w:sz w:val="24"/>
                <w:szCs w:val="24"/>
              </w:rPr>
              <w:t>Q</w:t>
            </w:r>
            <w:r w:rsidRPr="00970DAD">
              <w:rPr>
                <w:rFonts w:asciiTheme="majorBidi" w:hAnsiTheme="majorBidi" w:cstheme="majorBidi"/>
                <w:sz w:val="24"/>
                <w:szCs w:val="24"/>
                <w:rtl/>
              </w:rPr>
              <w:t>8</w:t>
            </w:r>
          </w:p>
        </w:tc>
        <w:tc>
          <w:tcPr>
            <w:tcW w:w="111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3,51</w:t>
            </w:r>
          </w:p>
        </w:tc>
        <w:tc>
          <w:tcPr>
            <w:tcW w:w="994"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0,968</w:t>
            </w:r>
          </w:p>
        </w:tc>
        <w:tc>
          <w:tcPr>
            <w:tcW w:w="993"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51,866</w:t>
            </w:r>
          </w:p>
        </w:tc>
        <w:tc>
          <w:tcPr>
            <w:tcW w:w="898"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204</w:t>
            </w:r>
          </w:p>
        </w:tc>
        <w:tc>
          <w:tcPr>
            <w:tcW w:w="1306" w:type="dxa"/>
            <w:shd w:val="clear" w:color="auto" w:fill="FFFFFF"/>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0,000</w:t>
            </w:r>
          </w:p>
        </w:tc>
        <w:tc>
          <w:tcPr>
            <w:tcW w:w="1474"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tl/>
              </w:rPr>
              <w:t>1</w:t>
            </w:r>
          </w:p>
        </w:tc>
        <w:tc>
          <w:tcPr>
            <w:tcW w:w="1102"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D’accord</w:t>
            </w:r>
          </w:p>
        </w:tc>
      </w:tr>
      <w:tr w:rsidR="005236B6" w:rsidRPr="00970DAD" w:rsidTr="00EC7780">
        <w:tc>
          <w:tcPr>
            <w:tcW w:w="1175"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Total</w:t>
            </w:r>
          </w:p>
        </w:tc>
        <w:tc>
          <w:tcPr>
            <w:tcW w:w="1114" w:type="dxa"/>
            <w:shd w:val="clear" w:color="auto" w:fill="FFFFFF"/>
            <w:vAlign w:val="center"/>
            <w:hideMark/>
          </w:tcPr>
          <w:p w:rsidR="005236B6" w:rsidRPr="00970DAD" w:rsidRDefault="005236B6" w:rsidP="00140168">
            <w:pPr>
              <w:autoSpaceDE w:val="0"/>
              <w:adjustRightInd w:val="0"/>
              <w:spacing w:after="0" w:line="276" w:lineRule="auto"/>
              <w:ind w:left="60" w:right="60"/>
              <w:jc w:val="center"/>
              <w:rPr>
                <w:rFonts w:asciiTheme="majorBidi" w:hAnsiTheme="majorBidi" w:cstheme="majorBidi"/>
                <w:color w:val="010205"/>
                <w:sz w:val="24"/>
                <w:szCs w:val="24"/>
              </w:rPr>
            </w:pPr>
            <w:r w:rsidRPr="00970DAD">
              <w:rPr>
                <w:rFonts w:asciiTheme="majorBidi" w:hAnsiTheme="majorBidi" w:cstheme="majorBidi"/>
                <w:color w:val="010205"/>
                <w:sz w:val="24"/>
                <w:szCs w:val="24"/>
              </w:rPr>
              <w:t>3,3695</w:t>
            </w:r>
          </w:p>
        </w:tc>
        <w:tc>
          <w:tcPr>
            <w:tcW w:w="994" w:type="dxa"/>
            <w:shd w:val="clear" w:color="auto" w:fill="FFFFFF"/>
            <w:vAlign w:val="center"/>
            <w:hideMark/>
          </w:tcPr>
          <w:p w:rsidR="005236B6" w:rsidRPr="00970DAD" w:rsidRDefault="005236B6" w:rsidP="00140168">
            <w:pPr>
              <w:autoSpaceDE w:val="0"/>
              <w:adjustRightInd w:val="0"/>
              <w:spacing w:after="0" w:line="276"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970DAD">
              <w:rPr>
                <w:rFonts w:asciiTheme="majorBidi" w:hAnsiTheme="majorBidi" w:cstheme="majorBidi"/>
                <w:color w:val="010205"/>
                <w:sz w:val="24"/>
                <w:szCs w:val="24"/>
              </w:rPr>
              <w:t>,55604</w:t>
            </w:r>
          </w:p>
        </w:tc>
        <w:tc>
          <w:tcPr>
            <w:tcW w:w="993" w:type="dxa"/>
            <w:shd w:val="clear" w:color="auto" w:fill="FFFFFF"/>
            <w:vAlign w:val="center"/>
            <w:hideMark/>
          </w:tcPr>
          <w:p w:rsidR="005236B6" w:rsidRPr="00970DAD" w:rsidRDefault="005236B6" w:rsidP="00140168">
            <w:pPr>
              <w:autoSpaceDE w:val="0"/>
              <w:adjustRightInd w:val="0"/>
              <w:spacing w:after="0" w:line="276" w:lineRule="auto"/>
              <w:ind w:left="60" w:right="60"/>
              <w:jc w:val="center"/>
              <w:rPr>
                <w:rFonts w:asciiTheme="majorBidi" w:hAnsiTheme="majorBidi" w:cstheme="majorBidi"/>
                <w:color w:val="010205"/>
                <w:sz w:val="24"/>
                <w:szCs w:val="24"/>
              </w:rPr>
            </w:pPr>
            <w:r w:rsidRPr="00970DAD">
              <w:rPr>
                <w:rFonts w:asciiTheme="majorBidi" w:hAnsiTheme="majorBidi" w:cstheme="majorBidi"/>
                <w:color w:val="010205"/>
                <w:sz w:val="24"/>
                <w:szCs w:val="24"/>
              </w:rPr>
              <w:t>86,764</w:t>
            </w:r>
          </w:p>
        </w:tc>
        <w:tc>
          <w:tcPr>
            <w:tcW w:w="898" w:type="dxa"/>
            <w:shd w:val="clear" w:color="auto" w:fill="FFFFFF"/>
            <w:vAlign w:val="center"/>
            <w:hideMark/>
          </w:tcPr>
          <w:p w:rsidR="005236B6" w:rsidRPr="00970DAD" w:rsidRDefault="005236B6" w:rsidP="00140168">
            <w:pPr>
              <w:autoSpaceDE w:val="0"/>
              <w:adjustRightInd w:val="0"/>
              <w:spacing w:after="0" w:line="276" w:lineRule="auto"/>
              <w:ind w:left="60" w:right="60"/>
              <w:jc w:val="center"/>
              <w:rPr>
                <w:rFonts w:asciiTheme="majorBidi" w:hAnsiTheme="majorBidi" w:cstheme="majorBidi"/>
                <w:color w:val="010205"/>
                <w:sz w:val="24"/>
                <w:szCs w:val="24"/>
              </w:rPr>
            </w:pPr>
            <w:r w:rsidRPr="00970DAD">
              <w:rPr>
                <w:rFonts w:asciiTheme="majorBidi" w:hAnsiTheme="majorBidi" w:cstheme="majorBidi"/>
                <w:color w:val="010205"/>
                <w:sz w:val="24"/>
                <w:szCs w:val="24"/>
              </w:rPr>
              <w:t>204</w:t>
            </w:r>
          </w:p>
        </w:tc>
        <w:tc>
          <w:tcPr>
            <w:tcW w:w="1306" w:type="dxa"/>
            <w:shd w:val="clear" w:color="auto" w:fill="FFFFFF"/>
            <w:vAlign w:val="center"/>
            <w:hideMark/>
          </w:tcPr>
          <w:p w:rsidR="005236B6" w:rsidRPr="00970DAD" w:rsidRDefault="005236B6" w:rsidP="00140168">
            <w:pPr>
              <w:autoSpaceDE w:val="0"/>
              <w:adjustRightInd w:val="0"/>
              <w:spacing w:after="0" w:line="276"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970DAD">
              <w:rPr>
                <w:rFonts w:asciiTheme="majorBidi" w:hAnsiTheme="majorBidi" w:cstheme="majorBidi"/>
                <w:color w:val="010205"/>
                <w:sz w:val="24"/>
                <w:szCs w:val="24"/>
              </w:rPr>
              <w:t>,000</w:t>
            </w:r>
          </w:p>
        </w:tc>
        <w:tc>
          <w:tcPr>
            <w:tcW w:w="1474" w:type="dxa"/>
            <w:vAlign w:val="center"/>
          </w:tcPr>
          <w:p w:rsidR="005236B6" w:rsidRPr="00970DAD" w:rsidRDefault="005236B6" w:rsidP="00140168">
            <w:pPr>
              <w:spacing w:line="276" w:lineRule="auto"/>
              <w:jc w:val="center"/>
              <w:rPr>
                <w:rFonts w:asciiTheme="majorBidi" w:hAnsiTheme="majorBidi" w:cstheme="majorBidi"/>
                <w:sz w:val="24"/>
                <w:szCs w:val="24"/>
              </w:rPr>
            </w:pPr>
          </w:p>
        </w:tc>
        <w:tc>
          <w:tcPr>
            <w:tcW w:w="1102" w:type="dxa"/>
            <w:vAlign w:val="center"/>
            <w:hideMark/>
          </w:tcPr>
          <w:p w:rsidR="005236B6" w:rsidRPr="00970DAD" w:rsidRDefault="005236B6" w:rsidP="00140168">
            <w:pPr>
              <w:spacing w:line="276" w:lineRule="auto"/>
              <w:jc w:val="center"/>
              <w:rPr>
                <w:rFonts w:asciiTheme="majorBidi" w:hAnsiTheme="majorBidi" w:cstheme="majorBidi"/>
                <w:sz w:val="24"/>
                <w:szCs w:val="24"/>
              </w:rPr>
            </w:pPr>
            <w:r w:rsidRPr="00970DAD">
              <w:rPr>
                <w:rFonts w:asciiTheme="majorBidi" w:hAnsiTheme="majorBidi" w:cstheme="majorBidi"/>
                <w:sz w:val="24"/>
                <w:szCs w:val="24"/>
              </w:rPr>
              <w:t>D’accord</w:t>
            </w:r>
          </w:p>
        </w:tc>
      </w:tr>
    </w:tbl>
    <w:p w:rsidR="005236B6" w:rsidRPr="00284422"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spacing w:line="360" w:lineRule="auto"/>
        <w:jc w:val="both"/>
        <w:rPr>
          <w:rFonts w:asciiTheme="majorBidi" w:hAnsiTheme="majorBidi" w:cstheme="majorBidi"/>
          <w:sz w:val="24"/>
          <w:szCs w:val="24"/>
        </w:rPr>
      </w:pPr>
      <w:r w:rsidRPr="007E53E0">
        <w:rPr>
          <w:noProof/>
          <w:lang w:eastAsia="fr-FR"/>
        </w:rPr>
        <w:drawing>
          <wp:inline distT="0" distB="0" distL="0" distR="0">
            <wp:extent cx="5731510" cy="3374701"/>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374701"/>
                    </a:xfrm>
                    <a:prstGeom prst="rect">
                      <a:avLst/>
                    </a:prstGeom>
                    <a:noFill/>
                    <a:ln>
                      <a:noFill/>
                    </a:ln>
                  </pic:spPr>
                </pic:pic>
              </a:graphicData>
            </a:graphic>
          </wp:inline>
        </w:drawing>
      </w:r>
    </w:p>
    <w:p w:rsidR="005236B6" w:rsidRDefault="005236B6" w:rsidP="00F7493D">
      <w:pPr>
        <w:spacing w:line="360" w:lineRule="auto"/>
        <w:jc w:val="both"/>
        <w:rPr>
          <w:rFonts w:asciiTheme="majorBidi" w:hAnsiTheme="majorBidi" w:cstheme="majorBidi"/>
          <w:sz w:val="24"/>
          <w:szCs w:val="24"/>
        </w:rPr>
      </w:pPr>
      <w:r w:rsidRPr="00AF6741">
        <w:rPr>
          <w:rFonts w:asciiTheme="majorBidi" w:hAnsiTheme="majorBidi" w:cstheme="majorBidi"/>
          <w:sz w:val="24"/>
          <w:szCs w:val="24"/>
        </w:rPr>
        <w:t xml:space="preserve">L'analyse statistique de l'axe « le prix » montre une tendance globale positive avec une moyenne générale de </w:t>
      </w:r>
      <w:r w:rsidRPr="00AF6741">
        <w:rPr>
          <w:rFonts w:asciiTheme="majorBidi" w:hAnsiTheme="majorBidi" w:cstheme="majorBidi"/>
          <w:b/>
          <w:bCs/>
          <w:sz w:val="24"/>
          <w:szCs w:val="24"/>
        </w:rPr>
        <w:t>3,37</w:t>
      </w:r>
      <w:r w:rsidRPr="00AF6741">
        <w:rPr>
          <w:rFonts w:asciiTheme="majorBidi" w:hAnsiTheme="majorBidi" w:cstheme="majorBidi"/>
          <w:sz w:val="24"/>
          <w:szCs w:val="24"/>
        </w:rPr>
        <w:t xml:space="preserve">, indiquant un niveau d'accord global de la part des répondants. La dispersion des réponses est modérée (Écart-type = </w:t>
      </w:r>
      <w:r w:rsidRPr="00AF6741">
        <w:rPr>
          <w:rFonts w:asciiTheme="majorBidi" w:hAnsiTheme="majorBidi" w:cstheme="majorBidi"/>
          <w:b/>
          <w:bCs/>
          <w:sz w:val="24"/>
          <w:szCs w:val="24"/>
        </w:rPr>
        <w:t>0,556</w:t>
      </w:r>
      <w:r w:rsidRPr="00AF6741">
        <w:rPr>
          <w:rFonts w:asciiTheme="majorBidi" w:hAnsiTheme="majorBidi" w:cstheme="majorBidi"/>
          <w:sz w:val="24"/>
          <w:szCs w:val="24"/>
        </w:rPr>
        <w:t>), et la valeur élevée du Test-t (</w:t>
      </w:r>
      <w:r w:rsidRPr="00AF6741">
        <w:rPr>
          <w:rFonts w:asciiTheme="majorBidi" w:hAnsiTheme="majorBidi" w:cstheme="majorBidi"/>
          <w:b/>
          <w:bCs/>
          <w:sz w:val="24"/>
          <w:szCs w:val="24"/>
        </w:rPr>
        <w:t>86,76</w:t>
      </w:r>
      <w:r w:rsidRPr="00AF6741">
        <w:rPr>
          <w:rFonts w:asciiTheme="majorBidi" w:hAnsiTheme="majorBidi" w:cstheme="majorBidi"/>
          <w:sz w:val="24"/>
          <w:szCs w:val="24"/>
        </w:rPr>
        <w:t xml:space="preserve">) </w:t>
      </w:r>
      <w:r w:rsidRPr="00AF6741">
        <w:rPr>
          <w:rFonts w:asciiTheme="majorBidi" w:hAnsiTheme="majorBidi" w:cstheme="majorBidi"/>
          <w:sz w:val="24"/>
          <w:szCs w:val="24"/>
        </w:rPr>
        <w:lastRenderedPageBreak/>
        <w:t xml:space="preserve">couplée à une p-valeur de </w:t>
      </w:r>
      <w:r w:rsidRPr="00AF6741">
        <w:rPr>
          <w:rFonts w:asciiTheme="majorBidi" w:hAnsiTheme="majorBidi" w:cstheme="majorBidi"/>
          <w:b/>
          <w:bCs/>
          <w:sz w:val="24"/>
          <w:szCs w:val="24"/>
        </w:rPr>
        <w:t>0,000</w:t>
      </w:r>
      <w:r w:rsidRPr="00AF6741">
        <w:rPr>
          <w:rFonts w:asciiTheme="majorBidi" w:hAnsiTheme="majorBidi" w:cstheme="majorBidi"/>
          <w:sz w:val="24"/>
          <w:szCs w:val="24"/>
        </w:rPr>
        <w:t xml:space="preserve"> confirme que ces résultats sont statistiquement significatifs et non dus au hasard. Individuellement, les questions </w:t>
      </w:r>
      <w:r w:rsidRPr="00AF6741">
        <w:rPr>
          <w:rFonts w:asciiTheme="majorBidi" w:hAnsiTheme="majorBidi" w:cstheme="majorBidi"/>
          <w:b/>
          <w:bCs/>
          <w:sz w:val="24"/>
          <w:szCs w:val="24"/>
        </w:rPr>
        <w:t>Q7</w:t>
      </w:r>
      <w:r w:rsidRPr="00AF6741">
        <w:rPr>
          <w:rFonts w:asciiTheme="majorBidi" w:hAnsiTheme="majorBidi" w:cstheme="majorBidi"/>
          <w:sz w:val="24"/>
          <w:szCs w:val="24"/>
        </w:rPr>
        <w:t xml:space="preserve"> et </w:t>
      </w:r>
      <w:r w:rsidRPr="00AF6741">
        <w:rPr>
          <w:rFonts w:asciiTheme="majorBidi" w:hAnsiTheme="majorBidi" w:cstheme="majorBidi"/>
          <w:b/>
          <w:bCs/>
          <w:sz w:val="24"/>
          <w:szCs w:val="24"/>
        </w:rPr>
        <w:t>Q8</w:t>
      </w:r>
      <w:r w:rsidRPr="00AF6741">
        <w:rPr>
          <w:rFonts w:asciiTheme="majorBidi" w:hAnsiTheme="majorBidi" w:cstheme="majorBidi"/>
          <w:sz w:val="24"/>
          <w:szCs w:val="24"/>
        </w:rPr>
        <w:t xml:space="preserve"> dominent le classement avec les scores les plus élevés, tandis que </w:t>
      </w:r>
      <w:r w:rsidRPr="00AF6741">
        <w:rPr>
          <w:rFonts w:asciiTheme="majorBidi" w:hAnsiTheme="majorBidi" w:cstheme="majorBidi"/>
          <w:b/>
          <w:bCs/>
          <w:sz w:val="24"/>
          <w:szCs w:val="24"/>
        </w:rPr>
        <w:t>Q5</w:t>
      </w:r>
      <w:r w:rsidRPr="00AF6741">
        <w:rPr>
          <w:rFonts w:asciiTheme="majorBidi" w:hAnsiTheme="majorBidi" w:cstheme="majorBidi"/>
          <w:sz w:val="24"/>
          <w:szCs w:val="24"/>
        </w:rPr>
        <w:t xml:space="preserve"> et </w:t>
      </w:r>
      <w:r w:rsidRPr="00AF6741">
        <w:rPr>
          <w:rFonts w:asciiTheme="majorBidi" w:hAnsiTheme="majorBidi" w:cstheme="majorBidi"/>
          <w:b/>
          <w:bCs/>
          <w:sz w:val="24"/>
          <w:szCs w:val="24"/>
        </w:rPr>
        <w:t>Q6</w:t>
      </w:r>
      <w:r w:rsidRPr="00AF6741">
        <w:rPr>
          <w:rFonts w:asciiTheme="majorBidi" w:hAnsiTheme="majorBidi" w:cstheme="majorBidi"/>
          <w:sz w:val="24"/>
          <w:szCs w:val="24"/>
        </w:rPr>
        <w:t xml:space="preserve"> affichent une position plus neutre. En somme, l'échantillon valide la pertinence de la </w:t>
      </w:r>
      <w:r>
        <w:rPr>
          <w:rFonts w:asciiTheme="majorBidi" w:hAnsiTheme="majorBidi" w:cstheme="majorBidi"/>
          <w:sz w:val="24"/>
          <w:szCs w:val="24"/>
        </w:rPr>
        <w:t>politique</w:t>
      </w:r>
      <w:r w:rsidRPr="00AF6741">
        <w:rPr>
          <w:rFonts w:asciiTheme="majorBidi" w:hAnsiTheme="majorBidi" w:cstheme="majorBidi"/>
          <w:sz w:val="24"/>
          <w:szCs w:val="24"/>
        </w:rPr>
        <w:t xml:space="preserve"> de prix, bien que certains points spécifiques nécessitent un ajustement pour renforcer l'adhésion totale.</w:t>
      </w:r>
    </w:p>
    <w:p w:rsidR="005236B6" w:rsidRPr="00AF6741" w:rsidRDefault="004D3061" w:rsidP="00F7493D">
      <w:pPr>
        <w:pStyle w:val="Lgende"/>
        <w:spacing w:after="0" w:line="360" w:lineRule="auto"/>
        <w:jc w:val="lowKashida"/>
        <w:rPr>
          <w:rFonts w:asciiTheme="majorBidi" w:hAnsiTheme="majorBidi" w:cstheme="majorBidi"/>
          <w:sz w:val="24"/>
          <w:szCs w:val="24"/>
        </w:rPr>
      </w:pPr>
      <w:bookmarkStart w:id="352" w:name="_Toc230400773"/>
      <w:r w:rsidRPr="004D3061">
        <w:rPr>
          <w:rFonts w:asciiTheme="majorBidi" w:eastAsia="Calibri" w:hAnsiTheme="majorBidi" w:cstheme="majorBidi"/>
          <w:b/>
          <w:bCs/>
          <w:i w:val="0"/>
          <w:iCs w:val="0"/>
          <w:color w:val="auto"/>
          <w:kern w:val="3"/>
          <w:sz w:val="24"/>
          <w:szCs w:val="24"/>
        </w:rPr>
        <w:t xml:space="preserve">Tableau </w:t>
      </w:r>
      <w:r w:rsidR="007B5998" w:rsidRPr="004D3061">
        <w:rPr>
          <w:rFonts w:asciiTheme="majorBidi" w:eastAsia="Calibri" w:hAnsiTheme="majorBidi" w:cstheme="majorBidi"/>
          <w:b/>
          <w:bCs/>
          <w:i w:val="0"/>
          <w:iCs w:val="0"/>
          <w:color w:val="auto"/>
          <w:kern w:val="3"/>
          <w:sz w:val="24"/>
          <w:szCs w:val="24"/>
        </w:rPr>
        <w:fldChar w:fldCharType="begin"/>
      </w:r>
      <w:r w:rsidRPr="004D3061">
        <w:rPr>
          <w:rFonts w:asciiTheme="majorBidi" w:eastAsia="Calibri" w:hAnsiTheme="majorBidi" w:cstheme="majorBidi"/>
          <w:b/>
          <w:bCs/>
          <w:i w:val="0"/>
          <w:iCs w:val="0"/>
          <w:color w:val="auto"/>
          <w:kern w:val="3"/>
          <w:sz w:val="24"/>
          <w:szCs w:val="24"/>
        </w:rPr>
        <w:instrText xml:space="preserve"> SEQ Tableau \* ARABIC </w:instrText>
      </w:r>
      <w:r w:rsidR="007B5998" w:rsidRPr="004D3061">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35</w:t>
      </w:r>
      <w:r w:rsidR="007B5998" w:rsidRPr="004D3061">
        <w:rPr>
          <w:rFonts w:asciiTheme="majorBidi" w:eastAsia="Calibri" w:hAnsiTheme="majorBidi" w:cstheme="majorBidi"/>
          <w:b/>
          <w:bCs/>
          <w:i w:val="0"/>
          <w:iCs w:val="0"/>
          <w:color w:val="auto"/>
          <w:kern w:val="3"/>
          <w:sz w:val="24"/>
          <w:szCs w:val="24"/>
        </w:rPr>
        <w:fldChar w:fldCharType="end"/>
      </w:r>
      <w:r w:rsidRPr="004D3061">
        <w:rPr>
          <w:rFonts w:asciiTheme="majorBidi" w:eastAsia="Calibri" w:hAnsiTheme="majorBidi" w:cstheme="majorBidi"/>
          <w:b/>
          <w:bCs/>
          <w:i w:val="0"/>
          <w:iCs w:val="0"/>
          <w:color w:val="auto"/>
          <w:kern w:val="3"/>
          <w:sz w:val="24"/>
          <w:szCs w:val="24"/>
        </w:rPr>
        <w:t xml:space="preserve"> :</w:t>
      </w:r>
      <w:r w:rsidRPr="004D3061">
        <w:rPr>
          <w:rFonts w:asciiTheme="majorBidi" w:eastAsia="Calibri" w:hAnsiTheme="majorBidi" w:cstheme="majorBidi"/>
          <w:i w:val="0"/>
          <w:iCs w:val="0"/>
          <w:color w:val="auto"/>
          <w:kern w:val="3"/>
          <w:sz w:val="24"/>
          <w:szCs w:val="24"/>
        </w:rPr>
        <w:t xml:space="preserve"> Analyse statistique descriptive des données de troisième axe « la promotion »</w:t>
      </w:r>
      <w:bookmarkEnd w:id="3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75"/>
        <w:gridCol w:w="1114"/>
        <w:gridCol w:w="994"/>
        <w:gridCol w:w="993"/>
        <w:gridCol w:w="898"/>
        <w:gridCol w:w="1306"/>
        <w:gridCol w:w="1474"/>
        <w:gridCol w:w="1102"/>
      </w:tblGrid>
      <w:tr w:rsidR="005236B6" w:rsidRPr="00FB1403" w:rsidTr="00EC7780">
        <w:tc>
          <w:tcPr>
            <w:tcW w:w="1175"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Questions</w:t>
            </w:r>
          </w:p>
        </w:tc>
        <w:tc>
          <w:tcPr>
            <w:tcW w:w="1114"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Moyenne</w:t>
            </w:r>
          </w:p>
        </w:tc>
        <w:tc>
          <w:tcPr>
            <w:tcW w:w="994"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Ecart type</w:t>
            </w:r>
          </w:p>
        </w:tc>
        <w:tc>
          <w:tcPr>
            <w:tcW w:w="993"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Test t</w:t>
            </w:r>
          </w:p>
        </w:tc>
        <w:tc>
          <w:tcPr>
            <w:tcW w:w="898"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Degré de liberté</w:t>
            </w:r>
          </w:p>
        </w:tc>
        <w:tc>
          <w:tcPr>
            <w:tcW w:w="1306"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Sig.</w:t>
            </w:r>
          </w:p>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(Bilatérale)</w:t>
            </w:r>
          </w:p>
        </w:tc>
        <w:tc>
          <w:tcPr>
            <w:tcW w:w="1474"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classification</w:t>
            </w:r>
          </w:p>
        </w:tc>
        <w:tc>
          <w:tcPr>
            <w:tcW w:w="1102"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Niveau d’accord</w:t>
            </w:r>
          </w:p>
        </w:tc>
      </w:tr>
      <w:tr w:rsidR="005236B6" w:rsidRPr="00FB1403" w:rsidTr="00EC7780">
        <w:tc>
          <w:tcPr>
            <w:tcW w:w="1175"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Q9</w:t>
            </w:r>
          </w:p>
        </w:tc>
        <w:tc>
          <w:tcPr>
            <w:tcW w:w="111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3,79</w:t>
            </w:r>
          </w:p>
        </w:tc>
        <w:tc>
          <w:tcPr>
            <w:tcW w:w="99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0,960</w:t>
            </w:r>
          </w:p>
        </w:tc>
        <w:tc>
          <w:tcPr>
            <w:tcW w:w="993"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56,533</w:t>
            </w:r>
          </w:p>
        </w:tc>
        <w:tc>
          <w:tcPr>
            <w:tcW w:w="898"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204</w:t>
            </w:r>
          </w:p>
        </w:tc>
        <w:tc>
          <w:tcPr>
            <w:tcW w:w="1306"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0,000</w:t>
            </w:r>
          </w:p>
        </w:tc>
        <w:tc>
          <w:tcPr>
            <w:tcW w:w="1474"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3</w:t>
            </w:r>
          </w:p>
        </w:tc>
        <w:tc>
          <w:tcPr>
            <w:tcW w:w="1102"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d’accord</w:t>
            </w:r>
          </w:p>
        </w:tc>
      </w:tr>
      <w:tr w:rsidR="005236B6" w:rsidRPr="00FB1403" w:rsidTr="00EC7780">
        <w:tc>
          <w:tcPr>
            <w:tcW w:w="1175"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Q10</w:t>
            </w:r>
          </w:p>
        </w:tc>
        <w:tc>
          <w:tcPr>
            <w:tcW w:w="111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4,01</w:t>
            </w:r>
          </w:p>
        </w:tc>
        <w:tc>
          <w:tcPr>
            <w:tcW w:w="99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0,828</w:t>
            </w:r>
          </w:p>
        </w:tc>
        <w:tc>
          <w:tcPr>
            <w:tcW w:w="993"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69,307</w:t>
            </w:r>
          </w:p>
        </w:tc>
        <w:tc>
          <w:tcPr>
            <w:tcW w:w="898"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204</w:t>
            </w:r>
          </w:p>
        </w:tc>
        <w:tc>
          <w:tcPr>
            <w:tcW w:w="1306"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0,000</w:t>
            </w:r>
          </w:p>
        </w:tc>
        <w:tc>
          <w:tcPr>
            <w:tcW w:w="1474"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2</w:t>
            </w:r>
          </w:p>
        </w:tc>
        <w:tc>
          <w:tcPr>
            <w:tcW w:w="1102"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D’accord</w:t>
            </w:r>
          </w:p>
        </w:tc>
      </w:tr>
      <w:tr w:rsidR="005236B6" w:rsidRPr="00FB1403" w:rsidTr="00EC7780">
        <w:tc>
          <w:tcPr>
            <w:tcW w:w="1175"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Q11</w:t>
            </w:r>
          </w:p>
        </w:tc>
        <w:tc>
          <w:tcPr>
            <w:tcW w:w="111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3,48</w:t>
            </w:r>
          </w:p>
        </w:tc>
        <w:tc>
          <w:tcPr>
            <w:tcW w:w="99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1,013</w:t>
            </w:r>
          </w:p>
        </w:tc>
        <w:tc>
          <w:tcPr>
            <w:tcW w:w="993"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49,245</w:t>
            </w:r>
          </w:p>
        </w:tc>
        <w:tc>
          <w:tcPr>
            <w:tcW w:w="898"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204</w:t>
            </w:r>
          </w:p>
        </w:tc>
        <w:tc>
          <w:tcPr>
            <w:tcW w:w="1306"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0,000</w:t>
            </w:r>
          </w:p>
        </w:tc>
        <w:tc>
          <w:tcPr>
            <w:tcW w:w="1474"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4</w:t>
            </w:r>
          </w:p>
        </w:tc>
        <w:tc>
          <w:tcPr>
            <w:tcW w:w="1102"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D’accord</w:t>
            </w:r>
          </w:p>
        </w:tc>
      </w:tr>
      <w:tr w:rsidR="005236B6" w:rsidRPr="00FB1403" w:rsidTr="00EC7780">
        <w:tc>
          <w:tcPr>
            <w:tcW w:w="1175" w:type="dxa"/>
            <w:vAlign w:val="center"/>
            <w:hideMark/>
          </w:tcPr>
          <w:p w:rsidR="005236B6" w:rsidRPr="00FB1403" w:rsidRDefault="005236B6" w:rsidP="00F7493D">
            <w:pPr>
              <w:spacing w:line="360" w:lineRule="auto"/>
              <w:jc w:val="center"/>
              <w:rPr>
                <w:rFonts w:asciiTheme="majorBidi" w:hAnsiTheme="majorBidi" w:cstheme="majorBidi"/>
                <w:sz w:val="24"/>
                <w:szCs w:val="24"/>
                <w:lang w:val="en-US"/>
              </w:rPr>
            </w:pPr>
            <w:r w:rsidRPr="00FB1403">
              <w:rPr>
                <w:rFonts w:asciiTheme="majorBidi" w:hAnsiTheme="majorBidi" w:cstheme="majorBidi"/>
                <w:sz w:val="24"/>
                <w:szCs w:val="24"/>
              </w:rPr>
              <w:t>Q12</w:t>
            </w:r>
          </w:p>
        </w:tc>
        <w:tc>
          <w:tcPr>
            <w:tcW w:w="111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4,10</w:t>
            </w:r>
          </w:p>
        </w:tc>
        <w:tc>
          <w:tcPr>
            <w:tcW w:w="99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,660</w:t>
            </w:r>
          </w:p>
        </w:tc>
        <w:tc>
          <w:tcPr>
            <w:tcW w:w="993"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89,004</w:t>
            </w:r>
          </w:p>
        </w:tc>
        <w:tc>
          <w:tcPr>
            <w:tcW w:w="898"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204</w:t>
            </w:r>
          </w:p>
        </w:tc>
        <w:tc>
          <w:tcPr>
            <w:tcW w:w="1306"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0,000</w:t>
            </w:r>
          </w:p>
        </w:tc>
        <w:tc>
          <w:tcPr>
            <w:tcW w:w="1474"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tl/>
              </w:rPr>
              <w:t>1</w:t>
            </w:r>
          </w:p>
        </w:tc>
        <w:tc>
          <w:tcPr>
            <w:tcW w:w="1102"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D’accord</w:t>
            </w:r>
          </w:p>
        </w:tc>
      </w:tr>
      <w:tr w:rsidR="005236B6" w:rsidRPr="00FB1403" w:rsidTr="00EC7780">
        <w:tc>
          <w:tcPr>
            <w:tcW w:w="1175"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Total</w:t>
            </w:r>
          </w:p>
        </w:tc>
        <w:tc>
          <w:tcPr>
            <w:tcW w:w="111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3,8463</w:t>
            </w:r>
          </w:p>
        </w:tc>
        <w:tc>
          <w:tcPr>
            <w:tcW w:w="994" w:type="dxa"/>
            <w:shd w:val="clear" w:color="auto" w:fill="FFFFFF"/>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,64278</w:t>
            </w:r>
          </w:p>
        </w:tc>
        <w:tc>
          <w:tcPr>
            <w:tcW w:w="993" w:type="dxa"/>
            <w:shd w:val="clear" w:color="auto" w:fill="FFFFFF"/>
            <w:vAlign w:val="center"/>
            <w:hideMark/>
          </w:tcPr>
          <w:p w:rsidR="005236B6" w:rsidRPr="00FB1403"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FB1403">
              <w:rPr>
                <w:rFonts w:asciiTheme="majorBidi" w:hAnsiTheme="majorBidi" w:cstheme="majorBidi"/>
                <w:color w:val="010205"/>
                <w:sz w:val="24"/>
                <w:szCs w:val="24"/>
              </w:rPr>
              <w:t>85,677</w:t>
            </w:r>
          </w:p>
        </w:tc>
        <w:tc>
          <w:tcPr>
            <w:tcW w:w="898" w:type="dxa"/>
            <w:shd w:val="clear" w:color="auto" w:fill="FFFFFF"/>
            <w:vAlign w:val="center"/>
            <w:hideMark/>
          </w:tcPr>
          <w:p w:rsidR="005236B6" w:rsidRPr="00FB1403"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FB1403">
              <w:rPr>
                <w:rFonts w:asciiTheme="majorBidi" w:hAnsiTheme="majorBidi" w:cstheme="majorBidi"/>
                <w:color w:val="010205"/>
                <w:sz w:val="24"/>
                <w:szCs w:val="24"/>
              </w:rPr>
              <w:t>204</w:t>
            </w:r>
          </w:p>
        </w:tc>
        <w:tc>
          <w:tcPr>
            <w:tcW w:w="1306" w:type="dxa"/>
            <w:shd w:val="clear" w:color="auto" w:fill="FFFFFF"/>
            <w:vAlign w:val="center"/>
            <w:hideMark/>
          </w:tcPr>
          <w:p w:rsidR="005236B6" w:rsidRPr="00FB1403"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FB1403">
              <w:rPr>
                <w:rFonts w:asciiTheme="majorBidi" w:hAnsiTheme="majorBidi" w:cstheme="majorBidi"/>
                <w:color w:val="010205"/>
                <w:sz w:val="24"/>
                <w:szCs w:val="24"/>
              </w:rPr>
              <w:t>,000</w:t>
            </w:r>
          </w:p>
        </w:tc>
        <w:tc>
          <w:tcPr>
            <w:tcW w:w="1474" w:type="dxa"/>
            <w:vAlign w:val="center"/>
          </w:tcPr>
          <w:p w:rsidR="005236B6" w:rsidRPr="00FB1403" w:rsidRDefault="005236B6" w:rsidP="00F7493D">
            <w:pPr>
              <w:spacing w:line="360" w:lineRule="auto"/>
              <w:jc w:val="center"/>
              <w:rPr>
                <w:rFonts w:asciiTheme="majorBidi" w:hAnsiTheme="majorBidi" w:cstheme="majorBidi"/>
                <w:sz w:val="24"/>
                <w:szCs w:val="24"/>
              </w:rPr>
            </w:pPr>
          </w:p>
        </w:tc>
        <w:tc>
          <w:tcPr>
            <w:tcW w:w="1102" w:type="dxa"/>
            <w:vAlign w:val="center"/>
            <w:hideMark/>
          </w:tcPr>
          <w:p w:rsidR="005236B6" w:rsidRPr="00FB1403" w:rsidRDefault="005236B6" w:rsidP="00F7493D">
            <w:pPr>
              <w:spacing w:line="360" w:lineRule="auto"/>
              <w:jc w:val="center"/>
              <w:rPr>
                <w:rFonts w:asciiTheme="majorBidi" w:hAnsiTheme="majorBidi" w:cstheme="majorBidi"/>
                <w:sz w:val="24"/>
                <w:szCs w:val="24"/>
              </w:rPr>
            </w:pPr>
            <w:r w:rsidRPr="00FB1403">
              <w:rPr>
                <w:rFonts w:asciiTheme="majorBidi" w:hAnsiTheme="majorBidi" w:cstheme="majorBidi"/>
                <w:sz w:val="24"/>
                <w:szCs w:val="24"/>
              </w:rPr>
              <w:t>D’accord</w:t>
            </w:r>
          </w:p>
        </w:tc>
      </w:tr>
    </w:tbl>
    <w:p w:rsidR="005236B6" w:rsidRPr="00DE60BF"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140168" w:rsidRDefault="005236B6" w:rsidP="00F7493D">
      <w:pPr>
        <w:spacing w:line="360" w:lineRule="auto"/>
        <w:rPr>
          <w:sz w:val="2"/>
          <w:szCs w:val="2"/>
        </w:rPr>
      </w:pPr>
    </w:p>
    <w:p w:rsidR="005236B6" w:rsidRDefault="005236B6" w:rsidP="00F7493D">
      <w:pPr>
        <w:spacing w:line="360" w:lineRule="auto"/>
      </w:pPr>
      <w:r w:rsidRPr="007E53E0">
        <w:rPr>
          <w:noProof/>
          <w:lang w:eastAsia="fr-FR"/>
        </w:rPr>
        <w:drawing>
          <wp:inline distT="0" distB="0" distL="0" distR="0">
            <wp:extent cx="5974715" cy="3517900"/>
            <wp:effectExtent l="0" t="0" r="6985"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4715" cy="3517900"/>
                    </a:xfrm>
                    <a:prstGeom prst="rect">
                      <a:avLst/>
                    </a:prstGeom>
                    <a:noFill/>
                    <a:ln>
                      <a:noFill/>
                    </a:ln>
                  </pic:spPr>
                </pic:pic>
              </a:graphicData>
            </a:graphic>
          </wp:inline>
        </w:drawing>
      </w:r>
    </w:p>
    <w:p w:rsidR="005236B6" w:rsidRDefault="005236B6" w:rsidP="00F7493D">
      <w:pPr>
        <w:spacing w:line="360" w:lineRule="auto"/>
        <w:jc w:val="both"/>
        <w:rPr>
          <w:rFonts w:asciiTheme="majorBidi" w:hAnsiTheme="majorBidi" w:cstheme="majorBidi"/>
          <w:sz w:val="24"/>
          <w:szCs w:val="24"/>
        </w:rPr>
      </w:pPr>
      <w:r w:rsidRPr="00FB1403">
        <w:rPr>
          <w:rFonts w:asciiTheme="majorBidi" w:hAnsiTheme="majorBidi" w:cstheme="majorBidi"/>
          <w:sz w:val="24"/>
          <w:szCs w:val="24"/>
        </w:rPr>
        <w:lastRenderedPageBreak/>
        <w:t xml:space="preserve">L'analyse de l'axe « la promotion » révèle une adhésion très forte des répondants avec une moyenne globale élevée de </w:t>
      </w:r>
      <w:r w:rsidRPr="00FB1403">
        <w:rPr>
          <w:rFonts w:asciiTheme="majorBidi" w:hAnsiTheme="majorBidi" w:cstheme="majorBidi"/>
          <w:b/>
          <w:bCs/>
          <w:sz w:val="24"/>
          <w:szCs w:val="24"/>
        </w:rPr>
        <w:t>3,85</w:t>
      </w:r>
      <w:r w:rsidRPr="00FB1403">
        <w:rPr>
          <w:rFonts w:asciiTheme="majorBidi" w:hAnsiTheme="majorBidi" w:cstheme="majorBidi"/>
          <w:sz w:val="24"/>
          <w:szCs w:val="24"/>
        </w:rPr>
        <w:t xml:space="preserve">, traduisant un niveau d'accord généralisé. La cohésion des réponses est forte (Écart-type de </w:t>
      </w:r>
      <w:r w:rsidRPr="00FB1403">
        <w:rPr>
          <w:rFonts w:asciiTheme="majorBidi" w:hAnsiTheme="majorBidi" w:cstheme="majorBidi"/>
          <w:b/>
          <w:bCs/>
          <w:sz w:val="24"/>
          <w:szCs w:val="24"/>
        </w:rPr>
        <w:t>0,64</w:t>
      </w:r>
      <w:r w:rsidRPr="00FB1403">
        <w:rPr>
          <w:rFonts w:asciiTheme="majorBidi" w:hAnsiTheme="majorBidi" w:cstheme="majorBidi"/>
          <w:sz w:val="24"/>
          <w:szCs w:val="24"/>
        </w:rPr>
        <w:t>), tandis que la valeur du Test-t (</w:t>
      </w:r>
      <w:r w:rsidRPr="00FB1403">
        <w:rPr>
          <w:rFonts w:asciiTheme="majorBidi" w:hAnsiTheme="majorBidi" w:cstheme="majorBidi"/>
          <w:b/>
          <w:bCs/>
          <w:sz w:val="24"/>
          <w:szCs w:val="24"/>
        </w:rPr>
        <w:t>85,67</w:t>
      </w:r>
      <w:r w:rsidRPr="00FB1403">
        <w:rPr>
          <w:rFonts w:asciiTheme="majorBidi" w:hAnsiTheme="majorBidi" w:cstheme="majorBidi"/>
          <w:sz w:val="24"/>
          <w:szCs w:val="24"/>
        </w:rPr>
        <w:t xml:space="preserve">) avec une signification de </w:t>
      </w:r>
      <w:r w:rsidRPr="00FB1403">
        <w:rPr>
          <w:rFonts w:asciiTheme="majorBidi" w:hAnsiTheme="majorBidi" w:cstheme="majorBidi"/>
          <w:b/>
          <w:bCs/>
          <w:sz w:val="24"/>
          <w:szCs w:val="24"/>
        </w:rPr>
        <w:t>0,000</w:t>
      </w:r>
      <w:r w:rsidRPr="00FB1403">
        <w:rPr>
          <w:rFonts w:asciiTheme="majorBidi" w:hAnsiTheme="majorBidi" w:cstheme="majorBidi"/>
          <w:sz w:val="24"/>
          <w:szCs w:val="24"/>
        </w:rPr>
        <w:t xml:space="preserve"> confirme que les résultats sont hautement représentatifs et statistiquement fiables. La question </w:t>
      </w:r>
      <w:r w:rsidRPr="00FB1403">
        <w:rPr>
          <w:rFonts w:asciiTheme="majorBidi" w:hAnsiTheme="majorBidi" w:cstheme="majorBidi"/>
          <w:b/>
          <w:bCs/>
          <w:sz w:val="24"/>
          <w:szCs w:val="24"/>
        </w:rPr>
        <w:t>Q12</w:t>
      </w:r>
      <w:r w:rsidRPr="00FB1403">
        <w:rPr>
          <w:rFonts w:asciiTheme="majorBidi" w:hAnsiTheme="majorBidi" w:cstheme="majorBidi"/>
          <w:sz w:val="24"/>
          <w:szCs w:val="24"/>
        </w:rPr>
        <w:t xml:space="preserve"> se distingue comme le levier le plus performant (Moyenne = </w:t>
      </w:r>
      <w:r w:rsidRPr="00FB1403">
        <w:rPr>
          <w:rFonts w:asciiTheme="majorBidi" w:hAnsiTheme="majorBidi" w:cstheme="majorBidi"/>
          <w:b/>
          <w:bCs/>
          <w:sz w:val="24"/>
          <w:szCs w:val="24"/>
        </w:rPr>
        <w:t>4,10</w:t>
      </w:r>
      <w:r w:rsidRPr="00FB1403">
        <w:rPr>
          <w:rFonts w:asciiTheme="majorBidi" w:hAnsiTheme="majorBidi" w:cstheme="majorBidi"/>
          <w:sz w:val="24"/>
          <w:szCs w:val="24"/>
        </w:rPr>
        <w:t xml:space="preserve">), suivie de près par </w:t>
      </w:r>
      <w:r w:rsidRPr="00FB1403">
        <w:rPr>
          <w:rFonts w:asciiTheme="majorBidi" w:hAnsiTheme="majorBidi" w:cstheme="majorBidi"/>
          <w:b/>
          <w:bCs/>
          <w:sz w:val="24"/>
          <w:szCs w:val="24"/>
        </w:rPr>
        <w:t>Q10</w:t>
      </w:r>
      <w:r w:rsidRPr="00FB1403">
        <w:rPr>
          <w:rFonts w:asciiTheme="majorBidi" w:hAnsiTheme="majorBidi" w:cstheme="majorBidi"/>
          <w:sz w:val="24"/>
          <w:szCs w:val="24"/>
        </w:rPr>
        <w:t>, montrant que ces éléments spécifiques de la promotion sont particulièrement efficaces. En conclusion, l</w:t>
      </w:r>
      <w:r>
        <w:rPr>
          <w:rFonts w:asciiTheme="majorBidi" w:hAnsiTheme="majorBidi" w:cstheme="majorBidi"/>
          <w:sz w:val="24"/>
          <w:szCs w:val="24"/>
        </w:rPr>
        <w:t xml:space="preserve">apolitique de promotion actuelle bénéficie </w:t>
      </w:r>
      <w:r w:rsidRPr="00FB1403">
        <w:rPr>
          <w:rFonts w:asciiTheme="majorBidi" w:hAnsiTheme="majorBidi" w:cstheme="majorBidi"/>
          <w:sz w:val="24"/>
          <w:szCs w:val="24"/>
        </w:rPr>
        <w:t>d'une perception très positive, dépassant nettement les scores obtenus sur l'axe précédent.</w:t>
      </w:r>
    </w:p>
    <w:p w:rsidR="005236B6" w:rsidRPr="004D3061" w:rsidRDefault="004D3061" w:rsidP="00F7493D">
      <w:pPr>
        <w:pStyle w:val="Lgende"/>
        <w:spacing w:after="0" w:line="360" w:lineRule="auto"/>
        <w:jc w:val="lowKashida"/>
        <w:rPr>
          <w:rFonts w:asciiTheme="majorBidi" w:eastAsia="Calibri" w:hAnsiTheme="majorBidi" w:cstheme="majorBidi"/>
          <w:i w:val="0"/>
          <w:iCs w:val="0"/>
          <w:color w:val="auto"/>
          <w:kern w:val="3"/>
          <w:sz w:val="24"/>
          <w:szCs w:val="24"/>
        </w:rPr>
      </w:pPr>
      <w:bookmarkStart w:id="353" w:name="_Toc230400774"/>
      <w:r w:rsidRPr="004D3061">
        <w:rPr>
          <w:rFonts w:asciiTheme="majorBidi" w:eastAsia="Calibri" w:hAnsiTheme="majorBidi" w:cstheme="majorBidi"/>
          <w:b/>
          <w:bCs/>
          <w:i w:val="0"/>
          <w:iCs w:val="0"/>
          <w:color w:val="auto"/>
          <w:kern w:val="3"/>
          <w:sz w:val="24"/>
          <w:szCs w:val="24"/>
        </w:rPr>
        <w:t xml:space="preserve">Tableau </w:t>
      </w:r>
      <w:r w:rsidR="007B5998" w:rsidRPr="004D3061">
        <w:rPr>
          <w:rFonts w:asciiTheme="majorBidi" w:eastAsia="Calibri" w:hAnsiTheme="majorBidi" w:cstheme="majorBidi"/>
          <w:b/>
          <w:bCs/>
          <w:i w:val="0"/>
          <w:iCs w:val="0"/>
          <w:color w:val="auto"/>
          <w:kern w:val="3"/>
          <w:sz w:val="24"/>
          <w:szCs w:val="24"/>
        </w:rPr>
        <w:fldChar w:fldCharType="begin"/>
      </w:r>
      <w:r w:rsidRPr="004D3061">
        <w:rPr>
          <w:rFonts w:asciiTheme="majorBidi" w:eastAsia="Calibri" w:hAnsiTheme="majorBidi" w:cstheme="majorBidi"/>
          <w:b/>
          <w:bCs/>
          <w:i w:val="0"/>
          <w:iCs w:val="0"/>
          <w:color w:val="auto"/>
          <w:kern w:val="3"/>
          <w:sz w:val="24"/>
          <w:szCs w:val="24"/>
        </w:rPr>
        <w:instrText xml:space="preserve"> SEQ Tableau \* ARABIC </w:instrText>
      </w:r>
      <w:r w:rsidR="007B5998" w:rsidRPr="004D3061">
        <w:rPr>
          <w:rFonts w:asciiTheme="majorBidi" w:eastAsia="Calibri" w:hAnsiTheme="majorBidi" w:cstheme="majorBidi"/>
          <w:b/>
          <w:bCs/>
          <w:i w:val="0"/>
          <w:iCs w:val="0"/>
          <w:color w:val="auto"/>
          <w:kern w:val="3"/>
          <w:sz w:val="24"/>
          <w:szCs w:val="24"/>
        </w:rPr>
        <w:fldChar w:fldCharType="separate"/>
      </w:r>
      <w:r w:rsidR="00515B25">
        <w:rPr>
          <w:rFonts w:asciiTheme="majorBidi" w:eastAsia="Calibri" w:hAnsiTheme="majorBidi" w:cstheme="majorBidi"/>
          <w:b/>
          <w:bCs/>
          <w:i w:val="0"/>
          <w:iCs w:val="0"/>
          <w:noProof/>
          <w:color w:val="auto"/>
          <w:kern w:val="3"/>
          <w:sz w:val="24"/>
          <w:szCs w:val="24"/>
        </w:rPr>
        <w:t>36</w:t>
      </w:r>
      <w:r w:rsidR="007B5998" w:rsidRPr="004D3061">
        <w:rPr>
          <w:rFonts w:asciiTheme="majorBidi" w:eastAsia="Calibri" w:hAnsiTheme="majorBidi" w:cstheme="majorBidi"/>
          <w:b/>
          <w:bCs/>
          <w:i w:val="0"/>
          <w:iCs w:val="0"/>
          <w:color w:val="auto"/>
          <w:kern w:val="3"/>
          <w:sz w:val="24"/>
          <w:szCs w:val="24"/>
        </w:rPr>
        <w:fldChar w:fldCharType="end"/>
      </w:r>
      <w:r w:rsidRPr="004D3061">
        <w:rPr>
          <w:rFonts w:asciiTheme="majorBidi" w:eastAsia="Calibri" w:hAnsiTheme="majorBidi" w:cstheme="majorBidi"/>
          <w:b/>
          <w:bCs/>
          <w:i w:val="0"/>
          <w:iCs w:val="0"/>
          <w:color w:val="auto"/>
          <w:kern w:val="3"/>
          <w:sz w:val="24"/>
          <w:szCs w:val="24"/>
        </w:rPr>
        <w:t xml:space="preserve"> :</w:t>
      </w:r>
      <w:r w:rsidRPr="004D3061">
        <w:rPr>
          <w:rFonts w:asciiTheme="majorBidi" w:eastAsia="Calibri" w:hAnsiTheme="majorBidi" w:cstheme="majorBidi"/>
          <w:i w:val="0"/>
          <w:iCs w:val="0"/>
          <w:color w:val="auto"/>
          <w:kern w:val="3"/>
          <w:sz w:val="24"/>
          <w:szCs w:val="24"/>
        </w:rPr>
        <w:t xml:space="preserve"> Analyse statistique descriptive des données de quatrième axe « distribution »</w:t>
      </w:r>
      <w:bookmarkEnd w:id="3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75"/>
        <w:gridCol w:w="1114"/>
        <w:gridCol w:w="994"/>
        <w:gridCol w:w="993"/>
        <w:gridCol w:w="898"/>
        <w:gridCol w:w="1306"/>
        <w:gridCol w:w="1474"/>
        <w:gridCol w:w="1102"/>
      </w:tblGrid>
      <w:tr w:rsidR="005236B6" w:rsidRPr="00922867" w:rsidTr="00EC7780">
        <w:tc>
          <w:tcPr>
            <w:tcW w:w="1175"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Questions</w:t>
            </w:r>
          </w:p>
        </w:tc>
        <w:tc>
          <w:tcPr>
            <w:tcW w:w="1114"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Moyenne</w:t>
            </w:r>
          </w:p>
        </w:tc>
        <w:tc>
          <w:tcPr>
            <w:tcW w:w="994"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Ecart type</w:t>
            </w:r>
          </w:p>
        </w:tc>
        <w:tc>
          <w:tcPr>
            <w:tcW w:w="993"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Test t</w:t>
            </w:r>
          </w:p>
        </w:tc>
        <w:tc>
          <w:tcPr>
            <w:tcW w:w="898"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Degré de liberté</w:t>
            </w:r>
          </w:p>
        </w:tc>
        <w:tc>
          <w:tcPr>
            <w:tcW w:w="1306"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Sig.</w:t>
            </w:r>
          </w:p>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(Bilatérale)</w:t>
            </w:r>
          </w:p>
        </w:tc>
        <w:tc>
          <w:tcPr>
            <w:tcW w:w="1474"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classification</w:t>
            </w:r>
          </w:p>
        </w:tc>
        <w:tc>
          <w:tcPr>
            <w:tcW w:w="1102"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Niveau d’accord</w:t>
            </w:r>
          </w:p>
        </w:tc>
      </w:tr>
      <w:tr w:rsidR="005236B6" w:rsidRPr="00922867" w:rsidTr="00EC7780">
        <w:tc>
          <w:tcPr>
            <w:tcW w:w="1175"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Q13</w:t>
            </w:r>
          </w:p>
        </w:tc>
        <w:tc>
          <w:tcPr>
            <w:tcW w:w="111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2,72</w:t>
            </w:r>
          </w:p>
        </w:tc>
        <w:tc>
          <w:tcPr>
            <w:tcW w:w="99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1,008</w:t>
            </w:r>
          </w:p>
        </w:tc>
        <w:tc>
          <w:tcPr>
            <w:tcW w:w="993"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38,675</w:t>
            </w:r>
          </w:p>
        </w:tc>
        <w:tc>
          <w:tcPr>
            <w:tcW w:w="898"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204</w:t>
            </w:r>
          </w:p>
        </w:tc>
        <w:tc>
          <w:tcPr>
            <w:tcW w:w="1306"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0,000</w:t>
            </w:r>
          </w:p>
        </w:tc>
        <w:tc>
          <w:tcPr>
            <w:tcW w:w="1474"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3</w:t>
            </w:r>
          </w:p>
        </w:tc>
        <w:tc>
          <w:tcPr>
            <w:tcW w:w="1102"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Pr>
                <w:rFonts w:asciiTheme="majorBidi" w:hAnsiTheme="majorBidi" w:cstheme="majorBidi"/>
                <w:sz w:val="24"/>
                <w:szCs w:val="24"/>
              </w:rPr>
              <w:t>Neutre</w:t>
            </w:r>
          </w:p>
        </w:tc>
      </w:tr>
      <w:tr w:rsidR="005236B6" w:rsidRPr="00922867" w:rsidTr="00EC7780">
        <w:tc>
          <w:tcPr>
            <w:tcW w:w="1175"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Q14</w:t>
            </w:r>
          </w:p>
        </w:tc>
        <w:tc>
          <w:tcPr>
            <w:tcW w:w="111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3,65</w:t>
            </w:r>
          </w:p>
        </w:tc>
        <w:tc>
          <w:tcPr>
            <w:tcW w:w="99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0,898</w:t>
            </w:r>
          </w:p>
        </w:tc>
        <w:tc>
          <w:tcPr>
            <w:tcW w:w="993"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58,271</w:t>
            </w:r>
          </w:p>
        </w:tc>
        <w:tc>
          <w:tcPr>
            <w:tcW w:w="898"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204</w:t>
            </w:r>
          </w:p>
        </w:tc>
        <w:tc>
          <w:tcPr>
            <w:tcW w:w="1306"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0,000</w:t>
            </w:r>
          </w:p>
        </w:tc>
        <w:tc>
          <w:tcPr>
            <w:tcW w:w="1474"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2</w:t>
            </w:r>
          </w:p>
        </w:tc>
        <w:tc>
          <w:tcPr>
            <w:tcW w:w="1102"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D’accord</w:t>
            </w:r>
          </w:p>
        </w:tc>
      </w:tr>
      <w:tr w:rsidR="005236B6" w:rsidRPr="00922867" w:rsidTr="00EC7780">
        <w:tc>
          <w:tcPr>
            <w:tcW w:w="1175"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Q15</w:t>
            </w:r>
          </w:p>
        </w:tc>
        <w:tc>
          <w:tcPr>
            <w:tcW w:w="111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3,87</w:t>
            </w:r>
          </w:p>
        </w:tc>
        <w:tc>
          <w:tcPr>
            <w:tcW w:w="99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0,867</w:t>
            </w:r>
          </w:p>
        </w:tc>
        <w:tc>
          <w:tcPr>
            <w:tcW w:w="993"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63,861</w:t>
            </w:r>
          </w:p>
        </w:tc>
        <w:tc>
          <w:tcPr>
            <w:tcW w:w="898"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204</w:t>
            </w:r>
          </w:p>
        </w:tc>
        <w:tc>
          <w:tcPr>
            <w:tcW w:w="1306"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0,000</w:t>
            </w:r>
          </w:p>
        </w:tc>
        <w:tc>
          <w:tcPr>
            <w:tcW w:w="1474"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1</w:t>
            </w:r>
          </w:p>
        </w:tc>
        <w:tc>
          <w:tcPr>
            <w:tcW w:w="1102"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D’accord</w:t>
            </w:r>
          </w:p>
        </w:tc>
      </w:tr>
      <w:tr w:rsidR="005236B6" w:rsidRPr="00922867" w:rsidTr="00EC7780">
        <w:tc>
          <w:tcPr>
            <w:tcW w:w="1175" w:type="dxa"/>
            <w:vAlign w:val="center"/>
            <w:hideMark/>
          </w:tcPr>
          <w:p w:rsidR="005236B6" w:rsidRPr="00922867" w:rsidRDefault="005236B6" w:rsidP="00F7493D">
            <w:pPr>
              <w:spacing w:line="360" w:lineRule="auto"/>
              <w:jc w:val="center"/>
              <w:rPr>
                <w:rFonts w:asciiTheme="majorBidi" w:hAnsiTheme="majorBidi" w:cstheme="majorBidi"/>
                <w:sz w:val="24"/>
                <w:szCs w:val="24"/>
                <w:lang w:val="en-US"/>
              </w:rPr>
            </w:pPr>
            <w:r w:rsidRPr="00922867">
              <w:rPr>
                <w:rFonts w:asciiTheme="majorBidi" w:hAnsiTheme="majorBidi" w:cstheme="majorBidi"/>
                <w:sz w:val="24"/>
                <w:szCs w:val="24"/>
              </w:rPr>
              <w:t>Q16</w:t>
            </w:r>
          </w:p>
        </w:tc>
        <w:tc>
          <w:tcPr>
            <w:tcW w:w="111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2,81</w:t>
            </w:r>
          </w:p>
        </w:tc>
        <w:tc>
          <w:tcPr>
            <w:tcW w:w="994"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1,114</w:t>
            </w:r>
          </w:p>
        </w:tc>
        <w:tc>
          <w:tcPr>
            <w:tcW w:w="993"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36,190</w:t>
            </w:r>
          </w:p>
        </w:tc>
        <w:tc>
          <w:tcPr>
            <w:tcW w:w="898"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204</w:t>
            </w:r>
          </w:p>
        </w:tc>
        <w:tc>
          <w:tcPr>
            <w:tcW w:w="1306" w:type="dxa"/>
            <w:shd w:val="clear" w:color="auto" w:fill="FFFFFF"/>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0,000</w:t>
            </w:r>
          </w:p>
        </w:tc>
        <w:tc>
          <w:tcPr>
            <w:tcW w:w="1474"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4</w:t>
            </w:r>
          </w:p>
        </w:tc>
        <w:tc>
          <w:tcPr>
            <w:tcW w:w="1102"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Pr>
                <w:rFonts w:asciiTheme="majorBidi" w:hAnsiTheme="majorBidi" w:cstheme="majorBidi"/>
                <w:sz w:val="24"/>
                <w:szCs w:val="24"/>
              </w:rPr>
              <w:t>Neutre</w:t>
            </w:r>
          </w:p>
        </w:tc>
      </w:tr>
      <w:tr w:rsidR="005236B6" w:rsidRPr="00922867" w:rsidTr="00EC7780">
        <w:tc>
          <w:tcPr>
            <w:tcW w:w="1175"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sidRPr="00922867">
              <w:rPr>
                <w:rFonts w:asciiTheme="majorBidi" w:hAnsiTheme="majorBidi" w:cstheme="majorBidi"/>
                <w:sz w:val="24"/>
                <w:szCs w:val="24"/>
              </w:rPr>
              <w:t>Total</w:t>
            </w:r>
          </w:p>
        </w:tc>
        <w:tc>
          <w:tcPr>
            <w:tcW w:w="1114" w:type="dxa"/>
            <w:shd w:val="clear" w:color="auto" w:fill="FFFFFF"/>
            <w:vAlign w:val="center"/>
            <w:hideMark/>
          </w:tcPr>
          <w:p w:rsidR="005236B6" w:rsidRPr="00922867"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922867">
              <w:rPr>
                <w:rFonts w:asciiTheme="majorBidi" w:hAnsiTheme="majorBidi" w:cstheme="majorBidi"/>
                <w:color w:val="010205"/>
                <w:sz w:val="24"/>
                <w:szCs w:val="24"/>
              </w:rPr>
              <w:t>3,2646</w:t>
            </w:r>
          </w:p>
        </w:tc>
        <w:tc>
          <w:tcPr>
            <w:tcW w:w="994" w:type="dxa"/>
            <w:shd w:val="clear" w:color="auto" w:fill="FFFFFF"/>
            <w:vAlign w:val="center"/>
            <w:hideMark/>
          </w:tcPr>
          <w:p w:rsidR="005236B6" w:rsidRPr="00922867"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922867">
              <w:rPr>
                <w:rFonts w:asciiTheme="majorBidi" w:hAnsiTheme="majorBidi" w:cstheme="majorBidi"/>
                <w:color w:val="010205"/>
                <w:sz w:val="24"/>
                <w:szCs w:val="24"/>
              </w:rPr>
              <w:t>,55497</w:t>
            </w:r>
          </w:p>
        </w:tc>
        <w:tc>
          <w:tcPr>
            <w:tcW w:w="993" w:type="dxa"/>
            <w:shd w:val="clear" w:color="auto" w:fill="FFFFFF"/>
            <w:vAlign w:val="center"/>
            <w:hideMark/>
          </w:tcPr>
          <w:p w:rsidR="005236B6" w:rsidRPr="00922867"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922867">
              <w:rPr>
                <w:rFonts w:asciiTheme="majorBidi" w:hAnsiTheme="majorBidi" w:cstheme="majorBidi"/>
                <w:color w:val="010205"/>
                <w:sz w:val="24"/>
                <w:szCs w:val="24"/>
              </w:rPr>
              <w:t>84,225</w:t>
            </w:r>
          </w:p>
        </w:tc>
        <w:tc>
          <w:tcPr>
            <w:tcW w:w="898" w:type="dxa"/>
            <w:shd w:val="clear" w:color="auto" w:fill="FFFFFF"/>
            <w:vAlign w:val="center"/>
            <w:hideMark/>
          </w:tcPr>
          <w:p w:rsidR="005236B6" w:rsidRPr="00922867"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922867">
              <w:rPr>
                <w:rFonts w:asciiTheme="majorBidi" w:hAnsiTheme="majorBidi" w:cstheme="majorBidi"/>
                <w:color w:val="010205"/>
                <w:sz w:val="24"/>
                <w:szCs w:val="24"/>
              </w:rPr>
              <w:t>204</w:t>
            </w:r>
          </w:p>
        </w:tc>
        <w:tc>
          <w:tcPr>
            <w:tcW w:w="1306" w:type="dxa"/>
            <w:shd w:val="clear" w:color="auto" w:fill="FFFFFF"/>
            <w:vAlign w:val="center"/>
            <w:hideMark/>
          </w:tcPr>
          <w:p w:rsidR="005236B6" w:rsidRPr="00922867"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922867">
              <w:rPr>
                <w:rFonts w:asciiTheme="majorBidi" w:hAnsiTheme="majorBidi" w:cstheme="majorBidi"/>
                <w:color w:val="010205"/>
                <w:sz w:val="24"/>
                <w:szCs w:val="24"/>
              </w:rPr>
              <w:t>,000</w:t>
            </w:r>
          </w:p>
        </w:tc>
        <w:tc>
          <w:tcPr>
            <w:tcW w:w="1474" w:type="dxa"/>
            <w:vAlign w:val="center"/>
          </w:tcPr>
          <w:p w:rsidR="005236B6" w:rsidRPr="00922867" w:rsidRDefault="005236B6" w:rsidP="00F7493D">
            <w:pPr>
              <w:spacing w:line="360" w:lineRule="auto"/>
              <w:jc w:val="center"/>
              <w:rPr>
                <w:rFonts w:asciiTheme="majorBidi" w:hAnsiTheme="majorBidi" w:cstheme="majorBidi"/>
                <w:sz w:val="24"/>
                <w:szCs w:val="24"/>
              </w:rPr>
            </w:pPr>
          </w:p>
        </w:tc>
        <w:tc>
          <w:tcPr>
            <w:tcW w:w="1102" w:type="dxa"/>
            <w:vAlign w:val="center"/>
            <w:hideMark/>
          </w:tcPr>
          <w:p w:rsidR="005236B6" w:rsidRPr="00922867" w:rsidRDefault="005236B6" w:rsidP="00F7493D">
            <w:pPr>
              <w:spacing w:line="360" w:lineRule="auto"/>
              <w:jc w:val="center"/>
              <w:rPr>
                <w:rFonts w:asciiTheme="majorBidi" w:hAnsiTheme="majorBidi" w:cstheme="majorBidi"/>
                <w:sz w:val="24"/>
                <w:szCs w:val="24"/>
              </w:rPr>
            </w:pPr>
            <w:r>
              <w:rPr>
                <w:rFonts w:asciiTheme="majorBidi" w:hAnsiTheme="majorBidi" w:cstheme="majorBidi"/>
                <w:sz w:val="24"/>
                <w:szCs w:val="24"/>
              </w:rPr>
              <w:t>Neutre</w:t>
            </w: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autoSpaceDE w:val="0"/>
        <w:adjustRightInd w:val="0"/>
        <w:spacing w:after="0" w:line="360" w:lineRule="auto"/>
        <w:jc w:val="both"/>
        <w:rPr>
          <w:rFonts w:ascii="Times New Roman" w:hAnsi="Times New Roman" w:cs="Times New Roman"/>
          <w:sz w:val="24"/>
          <w:szCs w:val="24"/>
        </w:rPr>
      </w:pPr>
      <w:r w:rsidRPr="007E53E0">
        <w:rPr>
          <w:noProof/>
          <w:lang w:eastAsia="fr-FR"/>
        </w:rPr>
        <w:lastRenderedPageBreak/>
        <w:drawing>
          <wp:inline distT="0" distB="0" distL="0" distR="0">
            <wp:extent cx="5731510" cy="3374701"/>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374701"/>
                    </a:xfrm>
                    <a:prstGeom prst="rect">
                      <a:avLst/>
                    </a:prstGeom>
                    <a:noFill/>
                    <a:ln>
                      <a:noFill/>
                    </a:ln>
                  </pic:spPr>
                </pic:pic>
              </a:graphicData>
            </a:graphic>
          </wp:inline>
        </w:drawing>
      </w:r>
    </w:p>
    <w:p w:rsidR="005236B6" w:rsidRDefault="005236B6" w:rsidP="00F7493D">
      <w:pPr>
        <w:autoSpaceDE w:val="0"/>
        <w:adjustRightInd w:val="0"/>
        <w:spacing w:after="0" w:line="360" w:lineRule="auto"/>
        <w:jc w:val="both"/>
        <w:rPr>
          <w:rFonts w:ascii="Times New Roman" w:hAnsi="Times New Roman" w:cs="Times New Roman"/>
          <w:sz w:val="24"/>
          <w:szCs w:val="24"/>
        </w:rPr>
      </w:pPr>
      <w:r w:rsidRPr="00922867">
        <w:rPr>
          <w:rFonts w:ascii="Times New Roman" w:hAnsi="Times New Roman" w:cs="Times New Roman"/>
          <w:sz w:val="24"/>
          <w:szCs w:val="24"/>
        </w:rPr>
        <w:t xml:space="preserve">L'analyse du quatrième axe « distribution » affiche une moyenne globale de </w:t>
      </w:r>
      <w:r w:rsidRPr="00922867">
        <w:rPr>
          <w:rFonts w:ascii="Times New Roman" w:hAnsi="Times New Roman" w:cs="Times New Roman"/>
          <w:b/>
          <w:bCs/>
          <w:sz w:val="24"/>
          <w:szCs w:val="24"/>
        </w:rPr>
        <w:t>3,26</w:t>
      </w:r>
      <w:r w:rsidRPr="00922867">
        <w:rPr>
          <w:rFonts w:ascii="Times New Roman" w:hAnsi="Times New Roman" w:cs="Times New Roman"/>
          <w:sz w:val="24"/>
          <w:szCs w:val="24"/>
        </w:rPr>
        <w:t xml:space="preserve">, ce qui positionne l'avis des répondants à un niveau « Neutre ». Bien que les résultats soient statistiquement significatifs (Sig. = </w:t>
      </w:r>
      <w:r w:rsidRPr="00922867">
        <w:rPr>
          <w:rFonts w:ascii="Times New Roman" w:hAnsi="Times New Roman" w:cs="Times New Roman"/>
          <w:b/>
          <w:bCs/>
          <w:sz w:val="24"/>
          <w:szCs w:val="24"/>
        </w:rPr>
        <w:t>0,000</w:t>
      </w:r>
      <w:r w:rsidRPr="00922867">
        <w:rPr>
          <w:rFonts w:ascii="Times New Roman" w:hAnsi="Times New Roman" w:cs="Times New Roman"/>
          <w:sz w:val="24"/>
          <w:szCs w:val="24"/>
        </w:rPr>
        <w:t xml:space="preserve"> ; Test-t = </w:t>
      </w:r>
      <w:r w:rsidRPr="00922867">
        <w:rPr>
          <w:rFonts w:ascii="Times New Roman" w:hAnsi="Times New Roman" w:cs="Times New Roman"/>
          <w:b/>
          <w:bCs/>
          <w:sz w:val="24"/>
          <w:szCs w:val="24"/>
        </w:rPr>
        <w:t>84,22</w:t>
      </w:r>
      <w:r w:rsidRPr="00922867">
        <w:rPr>
          <w:rFonts w:ascii="Times New Roman" w:hAnsi="Times New Roman" w:cs="Times New Roman"/>
          <w:sz w:val="24"/>
          <w:szCs w:val="24"/>
        </w:rPr>
        <w:t xml:space="preserve">), on observe une forte disparité entre les </w:t>
      </w:r>
      <w:r>
        <w:rPr>
          <w:rFonts w:ascii="Times New Roman" w:hAnsi="Times New Roman" w:cs="Times New Roman"/>
          <w:sz w:val="24"/>
          <w:szCs w:val="24"/>
        </w:rPr>
        <w:t>items</w:t>
      </w:r>
      <w:r w:rsidRPr="00922867">
        <w:rPr>
          <w:rFonts w:ascii="Times New Roman" w:hAnsi="Times New Roman" w:cs="Times New Roman"/>
          <w:sz w:val="24"/>
          <w:szCs w:val="24"/>
        </w:rPr>
        <w:t xml:space="preserve">, notamment avec la question </w:t>
      </w:r>
      <w:r w:rsidRPr="00922867">
        <w:rPr>
          <w:rFonts w:ascii="Times New Roman" w:hAnsi="Times New Roman" w:cs="Times New Roman"/>
          <w:b/>
          <w:bCs/>
          <w:sz w:val="24"/>
          <w:szCs w:val="24"/>
        </w:rPr>
        <w:t>Q15</w:t>
      </w:r>
      <w:r w:rsidRPr="00922867">
        <w:rPr>
          <w:rFonts w:ascii="Times New Roman" w:hAnsi="Times New Roman" w:cs="Times New Roman"/>
          <w:sz w:val="24"/>
          <w:szCs w:val="24"/>
        </w:rPr>
        <w:t xml:space="preserve"> qui domine largement (Moyenne = </w:t>
      </w:r>
      <w:r w:rsidRPr="00922867">
        <w:rPr>
          <w:rFonts w:ascii="Times New Roman" w:hAnsi="Times New Roman" w:cs="Times New Roman"/>
          <w:b/>
          <w:bCs/>
          <w:sz w:val="24"/>
          <w:szCs w:val="24"/>
        </w:rPr>
        <w:t>3,87</w:t>
      </w:r>
      <w:r w:rsidRPr="00922867">
        <w:rPr>
          <w:rFonts w:ascii="Times New Roman" w:hAnsi="Times New Roman" w:cs="Times New Roman"/>
          <w:sz w:val="24"/>
          <w:szCs w:val="24"/>
        </w:rPr>
        <w:t xml:space="preserve">). À l'inverse, les scores faibles des questions </w:t>
      </w:r>
      <w:r w:rsidRPr="00922867">
        <w:rPr>
          <w:rFonts w:ascii="Times New Roman" w:hAnsi="Times New Roman" w:cs="Times New Roman"/>
          <w:b/>
          <w:bCs/>
          <w:sz w:val="24"/>
          <w:szCs w:val="24"/>
        </w:rPr>
        <w:t>Q13</w:t>
      </w:r>
      <w:r w:rsidRPr="00922867">
        <w:rPr>
          <w:rFonts w:ascii="Times New Roman" w:hAnsi="Times New Roman" w:cs="Times New Roman"/>
          <w:sz w:val="24"/>
          <w:szCs w:val="24"/>
        </w:rPr>
        <w:t xml:space="preserve"> et </w:t>
      </w:r>
      <w:r w:rsidRPr="00922867">
        <w:rPr>
          <w:rFonts w:ascii="Times New Roman" w:hAnsi="Times New Roman" w:cs="Times New Roman"/>
          <w:b/>
          <w:bCs/>
          <w:sz w:val="24"/>
          <w:szCs w:val="24"/>
        </w:rPr>
        <w:t>Q16</w:t>
      </w:r>
      <w:r w:rsidRPr="00922867">
        <w:rPr>
          <w:rFonts w:ascii="Times New Roman" w:hAnsi="Times New Roman" w:cs="Times New Roman"/>
          <w:sz w:val="24"/>
          <w:szCs w:val="24"/>
        </w:rPr>
        <w:t xml:space="preserve"> tirent la moyenne vers le bas, révélant des zones </w:t>
      </w:r>
      <w:r>
        <w:rPr>
          <w:rFonts w:ascii="Times New Roman" w:hAnsi="Times New Roman" w:cs="Times New Roman"/>
          <w:sz w:val="24"/>
          <w:szCs w:val="24"/>
        </w:rPr>
        <w:t xml:space="preserve">des faiblesses dans la politique </w:t>
      </w:r>
      <w:r w:rsidRPr="00922867">
        <w:rPr>
          <w:rFonts w:ascii="Times New Roman" w:hAnsi="Times New Roman" w:cs="Times New Roman"/>
          <w:sz w:val="24"/>
          <w:szCs w:val="24"/>
        </w:rPr>
        <w:t xml:space="preserve">de distribution. L'écart-type global de </w:t>
      </w:r>
      <w:r w:rsidRPr="00922867">
        <w:rPr>
          <w:rFonts w:ascii="Times New Roman" w:hAnsi="Times New Roman" w:cs="Times New Roman"/>
          <w:b/>
          <w:bCs/>
          <w:sz w:val="24"/>
          <w:szCs w:val="24"/>
        </w:rPr>
        <w:t>0,55</w:t>
      </w:r>
      <w:r w:rsidRPr="00922867">
        <w:rPr>
          <w:rFonts w:ascii="Times New Roman" w:hAnsi="Times New Roman" w:cs="Times New Roman"/>
          <w:sz w:val="24"/>
          <w:szCs w:val="24"/>
        </w:rPr>
        <w:t xml:space="preserve"> indique une certaine stabilité des avis, mais la neutralité dominante suggère que la </w:t>
      </w:r>
      <w:r>
        <w:rPr>
          <w:rFonts w:ascii="Times New Roman" w:hAnsi="Times New Roman" w:cs="Times New Roman"/>
          <w:sz w:val="24"/>
          <w:szCs w:val="24"/>
        </w:rPr>
        <w:t>politique</w:t>
      </w:r>
      <w:r w:rsidRPr="00922867">
        <w:rPr>
          <w:rFonts w:ascii="Times New Roman" w:hAnsi="Times New Roman" w:cs="Times New Roman"/>
          <w:sz w:val="24"/>
          <w:szCs w:val="24"/>
        </w:rPr>
        <w:t xml:space="preserve"> de distribution n'est pas encore pleinement convaincante pour l'échantillon. En conclusion, cet axe est le moins performant comparé aux précédents</w:t>
      </w:r>
    </w:p>
    <w:p w:rsidR="005236B6" w:rsidRPr="004D3061" w:rsidRDefault="004D3061" w:rsidP="00F7493D">
      <w:pPr>
        <w:pStyle w:val="Lgende"/>
        <w:spacing w:line="360" w:lineRule="auto"/>
        <w:rPr>
          <w:rFonts w:ascii="Times New Roman" w:eastAsia="Calibri" w:hAnsi="Times New Roman" w:cs="Times New Roman"/>
          <w:i w:val="0"/>
          <w:iCs w:val="0"/>
          <w:color w:val="auto"/>
          <w:kern w:val="3"/>
          <w:sz w:val="24"/>
          <w:szCs w:val="24"/>
        </w:rPr>
      </w:pPr>
      <w:bookmarkStart w:id="354" w:name="_Toc230400775"/>
      <w:r w:rsidRPr="004D3061">
        <w:rPr>
          <w:rFonts w:ascii="Times New Roman" w:eastAsia="Calibri" w:hAnsi="Times New Roman" w:cs="Times New Roman"/>
          <w:b/>
          <w:bCs/>
          <w:i w:val="0"/>
          <w:iCs w:val="0"/>
          <w:color w:val="auto"/>
          <w:kern w:val="3"/>
          <w:sz w:val="24"/>
          <w:szCs w:val="24"/>
        </w:rPr>
        <w:t xml:space="preserve">Tableau </w:t>
      </w:r>
      <w:r w:rsidR="007B5998" w:rsidRPr="004D3061">
        <w:rPr>
          <w:rFonts w:ascii="Times New Roman" w:eastAsia="Calibri" w:hAnsi="Times New Roman" w:cs="Times New Roman"/>
          <w:b/>
          <w:bCs/>
          <w:i w:val="0"/>
          <w:iCs w:val="0"/>
          <w:color w:val="auto"/>
          <w:kern w:val="3"/>
          <w:sz w:val="24"/>
          <w:szCs w:val="24"/>
        </w:rPr>
        <w:fldChar w:fldCharType="begin"/>
      </w:r>
      <w:r w:rsidRPr="004D3061">
        <w:rPr>
          <w:rFonts w:ascii="Times New Roman" w:eastAsia="Calibri" w:hAnsi="Times New Roman" w:cs="Times New Roman"/>
          <w:b/>
          <w:bCs/>
          <w:i w:val="0"/>
          <w:iCs w:val="0"/>
          <w:color w:val="auto"/>
          <w:kern w:val="3"/>
          <w:sz w:val="24"/>
          <w:szCs w:val="24"/>
        </w:rPr>
        <w:instrText xml:space="preserve"> SEQ Tableau \* ARABIC </w:instrText>
      </w:r>
      <w:r w:rsidR="007B5998" w:rsidRPr="004D3061">
        <w:rPr>
          <w:rFonts w:ascii="Times New Roman" w:eastAsia="Calibri" w:hAnsi="Times New Roman" w:cs="Times New Roman"/>
          <w:b/>
          <w:bCs/>
          <w:i w:val="0"/>
          <w:iCs w:val="0"/>
          <w:color w:val="auto"/>
          <w:kern w:val="3"/>
          <w:sz w:val="24"/>
          <w:szCs w:val="24"/>
        </w:rPr>
        <w:fldChar w:fldCharType="separate"/>
      </w:r>
      <w:r w:rsidR="00515B25">
        <w:rPr>
          <w:rFonts w:ascii="Times New Roman" w:eastAsia="Calibri" w:hAnsi="Times New Roman" w:cs="Times New Roman"/>
          <w:b/>
          <w:bCs/>
          <w:i w:val="0"/>
          <w:iCs w:val="0"/>
          <w:noProof/>
          <w:color w:val="auto"/>
          <w:kern w:val="3"/>
          <w:sz w:val="24"/>
          <w:szCs w:val="24"/>
        </w:rPr>
        <w:t>37</w:t>
      </w:r>
      <w:r w:rsidR="007B5998" w:rsidRPr="004D3061">
        <w:rPr>
          <w:rFonts w:ascii="Times New Roman" w:eastAsia="Calibri" w:hAnsi="Times New Roman" w:cs="Times New Roman"/>
          <w:b/>
          <w:bCs/>
          <w:i w:val="0"/>
          <w:iCs w:val="0"/>
          <w:color w:val="auto"/>
          <w:kern w:val="3"/>
          <w:sz w:val="24"/>
          <w:szCs w:val="24"/>
        </w:rPr>
        <w:fldChar w:fldCharType="end"/>
      </w:r>
      <w:r w:rsidRPr="004D3061">
        <w:rPr>
          <w:rFonts w:ascii="Times New Roman" w:eastAsia="Calibri" w:hAnsi="Times New Roman" w:cs="Times New Roman"/>
          <w:b/>
          <w:bCs/>
          <w:i w:val="0"/>
          <w:iCs w:val="0"/>
          <w:color w:val="auto"/>
          <w:kern w:val="3"/>
          <w:sz w:val="24"/>
          <w:szCs w:val="24"/>
        </w:rPr>
        <w:t xml:space="preserve"> :</w:t>
      </w:r>
      <w:r w:rsidRPr="004D3061">
        <w:rPr>
          <w:rFonts w:ascii="Times New Roman" w:eastAsia="Calibri" w:hAnsi="Times New Roman" w:cs="Times New Roman"/>
          <w:i w:val="0"/>
          <w:iCs w:val="0"/>
          <w:color w:val="auto"/>
          <w:kern w:val="3"/>
          <w:sz w:val="24"/>
          <w:szCs w:val="24"/>
        </w:rPr>
        <w:t xml:space="preserve"> Degré globale de la partie de la variable indépendante « le marketing des pr</w:t>
      </w:r>
      <w:r w:rsidRPr="004D3061">
        <w:rPr>
          <w:rFonts w:ascii="Times New Roman" w:eastAsia="Calibri" w:hAnsi="Times New Roman" w:cs="Times New Roman"/>
          <w:i w:val="0"/>
          <w:iCs w:val="0"/>
          <w:color w:val="auto"/>
          <w:kern w:val="3"/>
          <w:sz w:val="24"/>
          <w:szCs w:val="24"/>
        </w:rPr>
        <w:t>o</w:t>
      </w:r>
      <w:r w:rsidRPr="004D3061">
        <w:rPr>
          <w:rFonts w:ascii="Times New Roman" w:eastAsia="Calibri" w:hAnsi="Times New Roman" w:cs="Times New Roman"/>
          <w:i w:val="0"/>
          <w:iCs w:val="0"/>
          <w:color w:val="auto"/>
          <w:kern w:val="3"/>
          <w:sz w:val="24"/>
          <w:szCs w:val="24"/>
        </w:rPr>
        <w:t>duits biologiques ».</w:t>
      </w:r>
      <w:bookmarkEnd w:id="354"/>
    </w:p>
    <w:tbl>
      <w:tblPr>
        <w:tblStyle w:val="Grilledutableau"/>
        <w:tblW w:w="0" w:type="auto"/>
        <w:jc w:val="center"/>
        <w:tblLook w:val="04A0"/>
      </w:tblPr>
      <w:tblGrid>
        <w:gridCol w:w="2003"/>
        <w:gridCol w:w="1460"/>
        <w:gridCol w:w="1377"/>
        <w:gridCol w:w="1355"/>
        <w:gridCol w:w="1381"/>
        <w:gridCol w:w="1486"/>
      </w:tblGrid>
      <w:tr w:rsidR="005236B6" w:rsidRPr="009862AA" w:rsidTr="00EC7780">
        <w:trPr>
          <w:jc w:val="center"/>
        </w:trPr>
        <w:tc>
          <w:tcPr>
            <w:tcW w:w="2003"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Axes</w:t>
            </w:r>
          </w:p>
        </w:tc>
        <w:tc>
          <w:tcPr>
            <w:tcW w:w="1460"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Moyennes</w:t>
            </w:r>
          </w:p>
        </w:tc>
        <w:tc>
          <w:tcPr>
            <w:tcW w:w="1377"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Ecart type</w:t>
            </w:r>
          </w:p>
        </w:tc>
        <w:tc>
          <w:tcPr>
            <w:tcW w:w="1355"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Test t</w:t>
            </w:r>
          </w:p>
        </w:tc>
        <w:tc>
          <w:tcPr>
            <w:tcW w:w="1381"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Degré de liberté</w:t>
            </w:r>
          </w:p>
        </w:tc>
        <w:tc>
          <w:tcPr>
            <w:tcW w:w="1486"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Sig.</w:t>
            </w:r>
          </w:p>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(Bilatérale)</w:t>
            </w:r>
          </w:p>
        </w:tc>
      </w:tr>
      <w:tr w:rsidR="005236B6" w:rsidRPr="009862AA" w:rsidTr="00EC7780">
        <w:trPr>
          <w:jc w:val="center"/>
        </w:trPr>
        <w:tc>
          <w:tcPr>
            <w:tcW w:w="2003"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L</w:t>
            </w:r>
            <w:r w:rsidRPr="009862AA">
              <w:rPr>
                <w:rFonts w:asciiTheme="majorBidi" w:hAnsiTheme="majorBidi" w:cstheme="majorBidi"/>
                <w:sz w:val="24"/>
                <w:szCs w:val="24"/>
              </w:rPr>
              <w:t>abel biologique/produit</w:t>
            </w:r>
          </w:p>
        </w:tc>
        <w:tc>
          <w:tcPr>
            <w:tcW w:w="1460"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4,0122</w:t>
            </w:r>
          </w:p>
        </w:tc>
        <w:tc>
          <w:tcPr>
            <w:tcW w:w="1377"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0,51316</w:t>
            </w:r>
          </w:p>
        </w:tc>
        <w:tc>
          <w:tcPr>
            <w:tcW w:w="1355" w:type="dxa"/>
            <w:shd w:val="clear" w:color="auto" w:fill="FFFFFF"/>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111,946</w:t>
            </w:r>
          </w:p>
        </w:tc>
        <w:tc>
          <w:tcPr>
            <w:tcW w:w="1381" w:type="dxa"/>
            <w:shd w:val="clear" w:color="auto" w:fill="FFFFFF"/>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204</w:t>
            </w:r>
          </w:p>
        </w:tc>
        <w:tc>
          <w:tcPr>
            <w:tcW w:w="1486" w:type="dxa"/>
            <w:shd w:val="clear" w:color="auto" w:fill="FFFFFF"/>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0,000</w:t>
            </w:r>
          </w:p>
        </w:tc>
      </w:tr>
      <w:tr w:rsidR="005236B6" w:rsidRPr="009862AA" w:rsidTr="00EC7780">
        <w:trPr>
          <w:jc w:val="center"/>
        </w:trPr>
        <w:tc>
          <w:tcPr>
            <w:tcW w:w="2003"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Prix</w:t>
            </w:r>
          </w:p>
        </w:tc>
        <w:tc>
          <w:tcPr>
            <w:tcW w:w="1460"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3,3695</w:t>
            </w:r>
          </w:p>
        </w:tc>
        <w:tc>
          <w:tcPr>
            <w:tcW w:w="1377"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0,55604</w:t>
            </w:r>
          </w:p>
        </w:tc>
        <w:tc>
          <w:tcPr>
            <w:tcW w:w="1355"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86,764</w:t>
            </w:r>
          </w:p>
        </w:tc>
        <w:tc>
          <w:tcPr>
            <w:tcW w:w="1381"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204</w:t>
            </w:r>
          </w:p>
        </w:tc>
        <w:tc>
          <w:tcPr>
            <w:tcW w:w="1486"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0,000</w:t>
            </w:r>
          </w:p>
        </w:tc>
      </w:tr>
      <w:tr w:rsidR="005236B6" w:rsidRPr="009862AA" w:rsidTr="00EC7780">
        <w:trPr>
          <w:jc w:val="center"/>
        </w:trPr>
        <w:tc>
          <w:tcPr>
            <w:tcW w:w="2003"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Promotion</w:t>
            </w:r>
          </w:p>
        </w:tc>
        <w:tc>
          <w:tcPr>
            <w:tcW w:w="1460" w:type="dxa"/>
            <w:shd w:val="clear" w:color="auto" w:fill="FFFFFF"/>
            <w:vAlign w:val="center"/>
          </w:tcPr>
          <w:p w:rsidR="005236B6" w:rsidRPr="009862AA" w:rsidRDefault="005236B6" w:rsidP="00140168">
            <w:pPr>
              <w:spacing w:line="360" w:lineRule="auto"/>
              <w:jc w:val="center"/>
              <w:rPr>
                <w:rFonts w:asciiTheme="majorBidi" w:hAnsiTheme="majorBidi" w:cstheme="majorBidi"/>
                <w:sz w:val="24"/>
                <w:szCs w:val="24"/>
              </w:rPr>
            </w:pPr>
            <w:r w:rsidRPr="009862AA">
              <w:rPr>
                <w:rFonts w:asciiTheme="majorBidi" w:hAnsiTheme="majorBidi" w:cstheme="majorBidi"/>
                <w:sz w:val="24"/>
                <w:szCs w:val="24"/>
              </w:rPr>
              <w:t>3,8463</w:t>
            </w:r>
          </w:p>
        </w:tc>
        <w:tc>
          <w:tcPr>
            <w:tcW w:w="1377" w:type="dxa"/>
            <w:shd w:val="clear" w:color="auto" w:fill="FFFFFF"/>
            <w:vAlign w:val="center"/>
          </w:tcPr>
          <w:p w:rsidR="005236B6" w:rsidRPr="009862AA" w:rsidRDefault="005236B6" w:rsidP="00140168">
            <w:pPr>
              <w:spacing w:line="360" w:lineRule="auto"/>
              <w:jc w:val="center"/>
              <w:rPr>
                <w:rFonts w:asciiTheme="majorBidi" w:hAnsiTheme="majorBidi" w:cstheme="majorBidi"/>
                <w:sz w:val="24"/>
                <w:szCs w:val="24"/>
              </w:rPr>
            </w:pPr>
            <w:r w:rsidRPr="009862AA">
              <w:rPr>
                <w:rFonts w:asciiTheme="majorBidi" w:hAnsiTheme="majorBidi" w:cstheme="majorBidi"/>
                <w:sz w:val="24"/>
                <w:szCs w:val="24"/>
              </w:rPr>
              <w:t>0,64278</w:t>
            </w:r>
          </w:p>
        </w:tc>
        <w:tc>
          <w:tcPr>
            <w:tcW w:w="1355" w:type="dxa"/>
            <w:shd w:val="clear" w:color="auto" w:fill="FFFFFF"/>
            <w:vAlign w:val="center"/>
          </w:tcPr>
          <w:p w:rsidR="005236B6" w:rsidRPr="00FB1403"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FB1403">
              <w:rPr>
                <w:rFonts w:asciiTheme="majorBidi" w:hAnsiTheme="majorBidi" w:cstheme="majorBidi"/>
                <w:color w:val="010205"/>
                <w:sz w:val="24"/>
                <w:szCs w:val="24"/>
              </w:rPr>
              <w:t>85,677</w:t>
            </w:r>
          </w:p>
        </w:tc>
        <w:tc>
          <w:tcPr>
            <w:tcW w:w="1381" w:type="dxa"/>
            <w:shd w:val="clear" w:color="auto" w:fill="FFFFFF"/>
            <w:vAlign w:val="center"/>
          </w:tcPr>
          <w:p w:rsidR="005236B6" w:rsidRPr="00FB1403"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FB1403">
              <w:rPr>
                <w:rFonts w:asciiTheme="majorBidi" w:hAnsiTheme="majorBidi" w:cstheme="majorBidi"/>
                <w:color w:val="010205"/>
                <w:sz w:val="24"/>
                <w:szCs w:val="24"/>
              </w:rPr>
              <w:t>204</w:t>
            </w:r>
          </w:p>
        </w:tc>
        <w:tc>
          <w:tcPr>
            <w:tcW w:w="1486" w:type="dxa"/>
            <w:shd w:val="clear" w:color="auto" w:fill="FFFFFF"/>
            <w:vAlign w:val="center"/>
          </w:tcPr>
          <w:p w:rsidR="005236B6" w:rsidRPr="00FB1403"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0</w:t>
            </w:r>
            <w:r w:rsidRPr="00FB1403">
              <w:rPr>
                <w:rFonts w:asciiTheme="majorBidi" w:hAnsiTheme="majorBidi" w:cstheme="majorBidi"/>
                <w:color w:val="010205"/>
                <w:sz w:val="24"/>
                <w:szCs w:val="24"/>
              </w:rPr>
              <w:t>,000</w:t>
            </w:r>
          </w:p>
        </w:tc>
      </w:tr>
      <w:tr w:rsidR="005236B6" w:rsidRPr="009862AA" w:rsidTr="00EC7780">
        <w:trPr>
          <w:trHeight w:val="361"/>
          <w:jc w:val="center"/>
        </w:trPr>
        <w:tc>
          <w:tcPr>
            <w:tcW w:w="2003"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Distribution</w:t>
            </w:r>
          </w:p>
        </w:tc>
        <w:tc>
          <w:tcPr>
            <w:tcW w:w="1460" w:type="dxa"/>
            <w:shd w:val="clear" w:color="auto" w:fill="FFFFFF"/>
            <w:vAlign w:val="center"/>
          </w:tcPr>
          <w:p w:rsidR="005236B6" w:rsidRPr="00922867"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22867">
              <w:rPr>
                <w:rFonts w:asciiTheme="majorBidi" w:hAnsiTheme="majorBidi" w:cstheme="majorBidi"/>
                <w:color w:val="010205"/>
                <w:sz w:val="24"/>
                <w:szCs w:val="24"/>
              </w:rPr>
              <w:t>3,2646</w:t>
            </w:r>
          </w:p>
        </w:tc>
        <w:tc>
          <w:tcPr>
            <w:tcW w:w="1377" w:type="dxa"/>
            <w:shd w:val="clear" w:color="auto" w:fill="FFFFFF"/>
            <w:vAlign w:val="center"/>
          </w:tcPr>
          <w:p w:rsidR="005236B6" w:rsidRPr="00922867"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0</w:t>
            </w:r>
            <w:r w:rsidRPr="00922867">
              <w:rPr>
                <w:rFonts w:asciiTheme="majorBidi" w:hAnsiTheme="majorBidi" w:cstheme="majorBidi"/>
                <w:color w:val="010205"/>
                <w:sz w:val="24"/>
                <w:szCs w:val="24"/>
              </w:rPr>
              <w:t>,55497</w:t>
            </w:r>
          </w:p>
        </w:tc>
        <w:tc>
          <w:tcPr>
            <w:tcW w:w="1355" w:type="dxa"/>
            <w:shd w:val="clear" w:color="auto" w:fill="FFFFFF"/>
            <w:vAlign w:val="center"/>
          </w:tcPr>
          <w:p w:rsidR="005236B6" w:rsidRPr="00922867"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22867">
              <w:rPr>
                <w:rFonts w:asciiTheme="majorBidi" w:hAnsiTheme="majorBidi" w:cstheme="majorBidi"/>
                <w:color w:val="010205"/>
                <w:sz w:val="24"/>
                <w:szCs w:val="24"/>
              </w:rPr>
              <w:t>84,225</w:t>
            </w:r>
          </w:p>
        </w:tc>
        <w:tc>
          <w:tcPr>
            <w:tcW w:w="1381" w:type="dxa"/>
            <w:shd w:val="clear" w:color="auto" w:fill="FFFFFF"/>
            <w:vAlign w:val="center"/>
          </w:tcPr>
          <w:p w:rsidR="005236B6" w:rsidRPr="00922867"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22867">
              <w:rPr>
                <w:rFonts w:asciiTheme="majorBidi" w:hAnsiTheme="majorBidi" w:cstheme="majorBidi"/>
                <w:color w:val="010205"/>
                <w:sz w:val="24"/>
                <w:szCs w:val="24"/>
              </w:rPr>
              <w:t>204</w:t>
            </w:r>
          </w:p>
        </w:tc>
        <w:tc>
          <w:tcPr>
            <w:tcW w:w="1486" w:type="dxa"/>
            <w:shd w:val="clear" w:color="auto" w:fill="FFFFFF"/>
            <w:vAlign w:val="center"/>
          </w:tcPr>
          <w:p w:rsidR="005236B6" w:rsidRPr="00922867"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0</w:t>
            </w:r>
            <w:r w:rsidRPr="00922867">
              <w:rPr>
                <w:rFonts w:asciiTheme="majorBidi" w:hAnsiTheme="majorBidi" w:cstheme="majorBidi"/>
                <w:color w:val="010205"/>
                <w:sz w:val="24"/>
                <w:szCs w:val="24"/>
              </w:rPr>
              <w:t>,000</w:t>
            </w:r>
          </w:p>
        </w:tc>
      </w:tr>
      <w:tr w:rsidR="005236B6" w:rsidRPr="009862AA" w:rsidTr="00EC7780">
        <w:trPr>
          <w:jc w:val="center"/>
        </w:trPr>
        <w:tc>
          <w:tcPr>
            <w:tcW w:w="2003" w:type="dxa"/>
            <w:vAlign w:val="center"/>
          </w:tcPr>
          <w:p w:rsidR="005236B6" w:rsidRPr="009862AA" w:rsidRDefault="005236B6" w:rsidP="00140168">
            <w:pPr>
              <w:autoSpaceDE w:val="0"/>
              <w:adjustRightInd w:val="0"/>
              <w:spacing w:line="360" w:lineRule="auto"/>
              <w:jc w:val="center"/>
              <w:rPr>
                <w:rFonts w:asciiTheme="majorBidi" w:hAnsiTheme="majorBidi" w:cstheme="majorBidi"/>
                <w:sz w:val="24"/>
                <w:szCs w:val="24"/>
              </w:rPr>
            </w:pPr>
            <w:r w:rsidRPr="009862AA">
              <w:rPr>
                <w:rFonts w:asciiTheme="majorBidi" w:hAnsiTheme="majorBidi" w:cstheme="majorBidi"/>
                <w:sz w:val="24"/>
                <w:szCs w:val="24"/>
              </w:rPr>
              <w:t>Score Total</w:t>
            </w:r>
          </w:p>
        </w:tc>
        <w:tc>
          <w:tcPr>
            <w:tcW w:w="1460"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3,6232</w:t>
            </w:r>
          </w:p>
        </w:tc>
        <w:tc>
          <w:tcPr>
            <w:tcW w:w="1377"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9862AA">
              <w:rPr>
                <w:rFonts w:asciiTheme="majorBidi" w:hAnsiTheme="majorBidi" w:cstheme="majorBidi"/>
                <w:color w:val="010205"/>
                <w:sz w:val="24"/>
                <w:szCs w:val="24"/>
              </w:rPr>
              <w:t>,37182</w:t>
            </w:r>
          </w:p>
        </w:tc>
        <w:tc>
          <w:tcPr>
            <w:tcW w:w="1355"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139,520</w:t>
            </w:r>
          </w:p>
        </w:tc>
        <w:tc>
          <w:tcPr>
            <w:tcW w:w="1381"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sidRPr="009862AA">
              <w:rPr>
                <w:rFonts w:asciiTheme="majorBidi" w:hAnsiTheme="majorBidi" w:cstheme="majorBidi"/>
                <w:color w:val="010205"/>
                <w:sz w:val="24"/>
                <w:szCs w:val="24"/>
              </w:rPr>
              <w:t>204</w:t>
            </w:r>
          </w:p>
        </w:tc>
        <w:tc>
          <w:tcPr>
            <w:tcW w:w="1486" w:type="dxa"/>
            <w:shd w:val="clear" w:color="auto" w:fill="FFFFFF"/>
            <w:vAlign w:val="center"/>
          </w:tcPr>
          <w:p w:rsidR="005236B6" w:rsidRPr="009862AA" w:rsidRDefault="005236B6" w:rsidP="00140168">
            <w:pPr>
              <w:autoSpaceDE w:val="0"/>
              <w:adjustRightInd w:val="0"/>
              <w:spacing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9862AA">
              <w:rPr>
                <w:rFonts w:asciiTheme="majorBidi" w:hAnsiTheme="majorBidi" w:cstheme="majorBidi"/>
                <w:color w:val="010205"/>
                <w:sz w:val="24"/>
                <w:szCs w:val="24"/>
              </w:rPr>
              <w:t>,000</w:t>
            </w: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85E00" w:rsidRDefault="005236B6" w:rsidP="00F7493D">
      <w:pPr>
        <w:autoSpaceDE w:val="0"/>
        <w:adjustRightInd w:val="0"/>
        <w:spacing w:after="0" w:line="360" w:lineRule="auto"/>
        <w:jc w:val="both"/>
        <w:rPr>
          <w:rFonts w:ascii="Times New Roman" w:hAnsi="Times New Roman" w:cs="Times New Roman"/>
          <w:sz w:val="24"/>
          <w:szCs w:val="24"/>
        </w:rPr>
      </w:pPr>
      <w:r w:rsidRPr="009862AA">
        <w:rPr>
          <w:rFonts w:ascii="Times New Roman" w:hAnsi="Times New Roman" w:cs="Times New Roman"/>
          <w:sz w:val="24"/>
          <w:szCs w:val="24"/>
        </w:rPr>
        <w:lastRenderedPageBreak/>
        <w:t>L'analyse globale du marketing des produits biologiqu</w:t>
      </w:r>
      <w:r>
        <w:rPr>
          <w:rFonts w:ascii="Times New Roman" w:hAnsi="Times New Roman" w:cs="Times New Roman"/>
          <w:sz w:val="24"/>
          <w:szCs w:val="24"/>
        </w:rPr>
        <w:t>es révèle une performance</w:t>
      </w:r>
      <w:r w:rsidRPr="009862AA">
        <w:rPr>
          <w:rFonts w:ascii="Times New Roman" w:hAnsi="Times New Roman" w:cs="Times New Roman"/>
          <w:sz w:val="24"/>
          <w:szCs w:val="24"/>
        </w:rPr>
        <w:t xml:space="preserve"> satisfaisante avec une moyenne totale de </w:t>
      </w:r>
      <w:r w:rsidRPr="009862AA">
        <w:rPr>
          <w:rFonts w:ascii="Times New Roman" w:hAnsi="Times New Roman" w:cs="Times New Roman"/>
          <w:b/>
          <w:bCs/>
          <w:sz w:val="24"/>
          <w:szCs w:val="24"/>
        </w:rPr>
        <w:t>3,62</w:t>
      </w:r>
      <w:r w:rsidRPr="009862AA">
        <w:rPr>
          <w:rFonts w:ascii="Times New Roman" w:hAnsi="Times New Roman" w:cs="Times New Roman"/>
          <w:sz w:val="24"/>
          <w:szCs w:val="24"/>
        </w:rPr>
        <w:t xml:space="preserve">, témoignant d'une adhésion généralisée des répondants. Les résultats sont hautement significatifs sur le plan statistique (Sig. = </w:t>
      </w:r>
      <w:r w:rsidRPr="009862AA">
        <w:rPr>
          <w:rFonts w:ascii="Times New Roman" w:hAnsi="Times New Roman" w:cs="Times New Roman"/>
          <w:b/>
          <w:bCs/>
          <w:sz w:val="24"/>
          <w:szCs w:val="24"/>
        </w:rPr>
        <w:t>0,000</w:t>
      </w:r>
      <w:r w:rsidRPr="009862AA">
        <w:rPr>
          <w:rFonts w:ascii="Times New Roman" w:hAnsi="Times New Roman" w:cs="Times New Roman"/>
          <w:sz w:val="24"/>
          <w:szCs w:val="24"/>
        </w:rPr>
        <w:t xml:space="preserve">), avec une valeur de Test-t impressionnante de </w:t>
      </w:r>
      <w:r w:rsidRPr="009862AA">
        <w:rPr>
          <w:rFonts w:ascii="Times New Roman" w:hAnsi="Times New Roman" w:cs="Times New Roman"/>
          <w:b/>
          <w:bCs/>
          <w:sz w:val="24"/>
          <w:szCs w:val="24"/>
        </w:rPr>
        <w:t>139,52</w:t>
      </w:r>
      <w:r w:rsidRPr="009862AA">
        <w:rPr>
          <w:rFonts w:ascii="Times New Roman" w:hAnsi="Times New Roman" w:cs="Times New Roman"/>
          <w:sz w:val="24"/>
          <w:szCs w:val="24"/>
        </w:rPr>
        <w:t xml:space="preserve"> qui garantit la fiabilité des données. L'axe « Label biologique/produit » domine nettement les débats avec la moyenne la plus élevée (</w:t>
      </w:r>
      <w:r w:rsidRPr="009862AA">
        <w:rPr>
          <w:rFonts w:ascii="Times New Roman" w:hAnsi="Times New Roman" w:cs="Times New Roman"/>
          <w:b/>
          <w:bCs/>
          <w:sz w:val="24"/>
          <w:szCs w:val="24"/>
        </w:rPr>
        <w:t>4,01</w:t>
      </w:r>
      <w:r w:rsidRPr="009862AA">
        <w:rPr>
          <w:rFonts w:ascii="Times New Roman" w:hAnsi="Times New Roman" w:cs="Times New Roman"/>
          <w:sz w:val="24"/>
          <w:szCs w:val="24"/>
        </w:rPr>
        <w:t>), soulignant que la qualité intrinsèque et la certification sont les principaux moteurs de confiance. À l'inverse, la « Distribution » reste le point le moins performant (</w:t>
      </w:r>
      <w:r w:rsidRPr="009862AA">
        <w:rPr>
          <w:rFonts w:ascii="Times New Roman" w:hAnsi="Times New Roman" w:cs="Times New Roman"/>
          <w:b/>
          <w:bCs/>
          <w:sz w:val="24"/>
          <w:szCs w:val="24"/>
        </w:rPr>
        <w:t>3,26</w:t>
      </w:r>
      <w:r w:rsidRPr="009862AA">
        <w:rPr>
          <w:rFonts w:ascii="Times New Roman" w:hAnsi="Times New Roman" w:cs="Times New Roman"/>
          <w:sz w:val="24"/>
          <w:szCs w:val="24"/>
        </w:rPr>
        <w:t xml:space="preserve">), suggérant une marge de progression nécessaire dans l'accessibilité logistique des produits. La faible dispersion globale (Écart-type = </w:t>
      </w:r>
      <w:r w:rsidRPr="009862AA">
        <w:rPr>
          <w:rFonts w:ascii="Times New Roman" w:hAnsi="Times New Roman" w:cs="Times New Roman"/>
          <w:b/>
          <w:bCs/>
          <w:sz w:val="24"/>
          <w:szCs w:val="24"/>
        </w:rPr>
        <w:t>0,37</w:t>
      </w:r>
      <w:r w:rsidRPr="009862AA">
        <w:rPr>
          <w:rFonts w:ascii="Times New Roman" w:hAnsi="Times New Roman" w:cs="Times New Roman"/>
          <w:sz w:val="24"/>
          <w:szCs w:val="24"/>
        </w:rPr>
        <w:t>) indique une convergence des opinions au sein de l'échantillon. En conclusion, bien que la stratégie marketing soit solide, son succès repose davantage sur l'image du produit que sur les efforts de placement et de distribution.</w:t>
      </w:r>
      <w:bookmarkStart w:id="355" w:name="_Toc168176820"/>
      <w:bookmarkStart w:id="356" w:name="_Toc197863075"/>
      <w:bookmarkStart w:id="357" w:name="_Toc197863286"/>
    </w:p>
    <w:p w:rsidR="005236B6" w:rsidRPr="00516205" w:rsidRDefault="006E799B" w:rsidP="00F7493D">
      <w:pPr>
        <w:pStyle w:val="Titre3"/>
        <w:spacing w:line="360" w:lineRule="auto"/>
        <w:rPr>
          <w:rFonts w:ascii="Times New Roman" w:hAnsi="Times New Roman"/>
          <w:b/>
          <w:bCs/>
          <w:color w:val="auto"/>
          <w:sz w:val="24"/>
          <w:szCs w:val="24"/>
        </w:rPr>
      </w:pPr>
      <w:bookmarkStart w:id="358" w:name="_Toc230558745"/>
      <w:bookmarkStart w:id="359" w:name="_Toc230900379"/>
      <w:r w:rsidRPr="00516205">
        <w:rPr>
          <w:rFonts w:ascii="Times New Roman" w:hAnsi="Times New Roman"/>
          <w:b/>
          <w:bCs/>
          <w:color w:val="auto"/>
          <w:sz w:val="24"/>
          <w:szCs w:val="24"/>
        </w:rPr>
        <w:t>3. </w:t>
      </w:r>
      <w:r w:rsidR="005236B6" w:rsidRPr="00516205">
        <w:rPr>
          <w:rFonts w:ascii="Times New Roman" w:hAnsi="Times New Roman"/>
          <w:b/>
          <w:bCs/>
          <w:color w:val="auto"/>
          <w:sz w:val="24"/>
          <w:szCs w:val="24"/>
        </w:rPr>
        <w:t xml:space="preserve"> l’analyse des données de la variable dépendante : «la sécurité sanitaire des aliments ».</w:t>
      </w:r>
      <w:bookmarkEnd w:id="355"/>
      <w:bookmarkEnd w:id="356"/>
      <w:bookmarkEnd w:id="357"/>
      <w:bookmarkEnd w:id="358"/>
      <w:bookmarkEnd w:id="359"/>
    </w:p>
    <w:p w:rsidR="005236B6" w:rsidRPr="00140168" w:rsidRDefault="005236B6" w:rsidP="00140168">
      <w:pPr>
        <w:spacing w:line="360" w:lineRule="auto"/>
        <w:jc w:val="both"/>
        <w:rPr>
          <w:rFonts w:asciiTheme="majorBidi" w:hAnsiTheme="majorBidi" w:cstheme="majorBidi"/>
          <w:sz w:val="24"/>
          <w:szCs w:val="24"/>
          <w:rtl/>
          <w:lang w:bidi="ar-DZ"/>
        </w:rPr>
      </w:pPr>
      <w:r>
        <w:rPr>
          <w:rFonts w:asciiTheme="majorBidi" w:hAnsiTheme="majorBidi" w:cstheme="majorBidi"/>
          <w:sz w:val="24"/>
          <w:szCs w:val="24"/>
        </w:rPr>
        <w:t>Cette par</w:t>
      </w:r>
      <w:r w:rsidRPr="00EB2C07">
        <w:rPr>
          <w:rFonts w:asciiTheme="majorBidi" w:hAnsiTheme="majorBidi" w:cstheme="majorBidi"/>
          <w:sz w:val="24"/>
          <w:szCs w:val="24"/>
        </w:rPr>
        <w:t>t</w:t>
      </w:r>
      <w:r>
        <w:rPr>
          <w:rFonts w:asciiTheme="majorBidi" w:hAnsiTheme="majorBidi" w:cstheme="majorBidi"/>
          <w:sz w:val="24"/>
          <w:szCs w:val="24"/>
        </w:rPr>
        <w:t>i</w:t>
      </w:r>
      <w:r w:rsidRPr="00EB2C07">
        <w:rPr>
          <w:rFonts w:asciiTheme="majorBidi" w:hAnsiTheme="majorBidi" w:cstheme="majorBidi"/>
          <w:sz w:val="24"/>
          <w:szCs w:val="24"/>
        </w:rPr>
        <w:t xml:space="preserve">e est consacrée à l’analyse des données relatives à la variable dépendante, à savoir la </w:t>
      </w:r>
      <w:r w:rsidRPr="009862AA">
        <w:rPr>
          <w:rFonts w:asciiTheme="majorBidi" w:hAnsiTheme="majorBidi" w:cstheme="majorBidi"/>
          <w:b/>
          <w:bCs/>
          <w:sz w:val="24"/>
          <w:szCs w:val="24"/>
        </w:rPr>
        <w:t>sécurité sanitaire des aliments</w:t>
      </w:r>
      <w:r w:rsidRPr="00EB2C07">
        <w:rPr>
          <w:rFonts w:asciiTheme="majorBidi" w:hAnsiTheme="majorBidi" w:cstheme="majorBidi"/>
          <w:sz w:val="24"/>
          <w:szCs w:val="24"/>
        </w:rPr>
        <w:t xml:space="preserve">, en mettant particulièrement l’accent sur les axes de </w:t>
      </w:r>
      <w:r>
        <w:rPr>
          <w:rFonts w:asciiTheme="majorBidi" w:hAnsiTheme="majorBidi" w:cstheme="majorBidi"/>
          <w:sz w:val="24"/>
          <w:szCs w:val="24"/>
        </w:rPr>
        <w:t>sécurité sanitaire, conscience sanitaire, i</w:t>
      </w:r>
      <w:r w:rsidRPr="009322D6">
        <w:rPr>
          <w:rFonts w:asciiTheme="majorBidi" w:hAnsiTheme="majorBidi" w:cstheme="majorBidi"/>
          <w:sz w:val="24"/>
          <w:szCs w:val="24"/>
        </w:rPr>
        <w:t>ntention d’achat</w:t>
      </w:r>
      <w:r w:rsidRPr="00EB2C07">
        <w:rPr>
          <w:rFonts w:asciiTheme="majorBidi" w:hAnsiTheme="majorBidi" w:cstheme="majorBidi"/>
          <w:sz w:val="24"/>
          <w:szCs w:val="24"/>
        </w:rPr>
        <w:t>.</w:t>
      </w:r>
    </w:p>
    <w:p w:rsidR="005236B6" w:rsidRPr="009322D6" w:rsidRDefault="005236B6" w:rsidP="00F7493D">
      <w:pPr>
        <w:autoSpaceDE w:val="0"/>
        <w:adjustRightInd w:val="0"/>
        <w:spacing w:after="0" w:line="360" w:lineRule="auto"/>
        <w:rPr>
          <w:rFonts w:ascii="Times New Roman" w:hAnsi="Times New Roman" w:cs="Times New Roman"/>
          <w:b/>
          <w:bCs/>
          <w:sz w:val="24"/>
          <w:szCs w:val="24"/>
        </w:rPr>
      </w:pPr>
      <w:r w:rsidRPr="009322D6">
        <w:rPr>
          <w:rFonts w:ascii="Times New Roman" w:hAnsi="Times New Roman" w:cs="Times New Roman"/>
          <w:b/>
          <w:bCs/>
          <w:sz w:val="24"/>
          <w:szCs w:val="24"/>
        </w:rPr>
        <w:t>La fiabilité de la variable dépendante :</w:t>
      </w:r>
    </w:p>
    <w:p w:rsidR="005236B6" w:rsidRPr="009322D6" w:rsidRDefault="005236B6" w:rsidP="00F7493D">
      <w:pPr>
        <w:autoSpaceDE w:val="0"/>
        <w:adjustRightInd w:val="0"/>
        <w:spacing w:after="0" w:line="360" w:lineRule="auto"/>
        <w:jc w:val="both"/>
        <w:rPr>
          <w:rFonts w:ascii="Times New Roman" w:hAnsi="Times New Roman" w:cs="Times New Roman"/>
          <w:b/>
          <w:bCs/>
          <w:sz w:val="24"/>
          <w:szCs w:val="24"/>
        </w:rPr>
      </w:pPr>
      <w:r w:rsidRPr="00DE60BF">
        <w:rPr>
          <w:rFonts w:ascii="Times New Roman" w:hAnsi="Times New Roman" w:cs="Times New Roman"/>
          <w:b/>
          <w:bCs/>
          <w:color w:val="000000"/>
        </w:rPr>
        <w:t xml:space="preserve">Tableau N° </w:t>
      </w:r>
      <w:r>
        <w:rPr>
          <w:rFonts w:ascii="Times New Roman" w:hAnsi="Times New Roman" w:cs="Times New Roman"/>
          <w:b/>
          <w:bCs/>
          <w:color w:val="000000"/>
        </w:rPr>
        <w:t>28</w:t>
      </w:r>
      <w:r w:rsidRPr="00DE60BF">
        <w:rPr>
          <w:rFonts w:ascii="Times New Roman" w:hAnsi="Times New Roman" w:cs="Times New Roman"/>
          <w:b/>
          <w:bCs/>
          <w:color w:val="000000"/>
        </w:rPr>
        <w:t xml:space="preserve"> : </w:t>
      </w:r>
      <w:r w:rsidRPr="009322D6">
        <w:rPr>
          <w:rFonts w:ascii="Times New Roman" w:hAnsi="Times New Roman" w:cs="Times New Roman"/>
          <w:b/>
          <w:bCs/>
          <w:sz w:val="24"/>
          <w:szCs w:val="24"/>
        </w:rPr>
        <w:t xml:space="preserve"> Coefficient de fiabilité des axes de la variable dépendante « la </w:t>
      </w:r>
      <w:r w:rsidRPr="009862AA">
        <w:rPr>
          <w:rFonts w:asciiTheme="majorBidi" w:hAnsiTheme="majorBidi" w:cstheme="majorBidi"/>
          <w:b/>
          <w:bCs/>
          <w:sz w:val="24"/>
          <w:szCs w:val="24"/>
        </w:rPr>
        <w:t>sécurité sanitaire des aliments</w:t>
      </w:r>
      <w:r w:rsidRPr="009322D6">
        <w:rPr>
          <w:rFonts w:ascii="Times New Roman" w:hAnsi="Times New Roman" w:cs="Times New Roman"/>
          <w:b/>
          <w:bCs/>
          <w:sz w:val="24"/>
          <w:szCs w:val="24"/>
        </w:rPr>
        <w:t> ».</w:t>
      </w:r>
    </w:p>
    <w:tbl>
      <w:tblPr>
        <w:tblW w:w="0" w:type="auto"/>
        <w:tblCellMar>
          <w:top w:w="15" w:type="dxa"/>
          <w:left w:w="15" w:type="dxa"/>
          <w:bottom w:w="15" w:type="dxa"/>
          <w:right w:w="15" w:type="dxa"/>
        </w:tblCellMar>
        <w:tblLook w:val="04A0"/>
      </w:tblPr>
      <w:tblGrid>
        <w:gridCol w:w="1968"/>
        <w:gridCol w:w="2424"/>
        <w:gridCol w:w="2340"/>
        <w:gridCol w:w="2316"/>
      </w:tblGrid>
      <w:tr w:rsidR="005236B6" w:rsidRPr="008858B9" w:rsidTr="00EC7780">
        <w:tc>
          <w:tcPr>
            <w:tcW w:w="1968" w:type="dxa"/>
            <w:tcBorders>
              <w:top w:val="outset" w:sz="6" w:space="0" w:color="auto"/>
              <w:left w:val="outset" w:sz="6" w:space="0" w:color="auto"/>
              <w:bottom w:val="nil"/>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p>
        </w:tc>
        <w:tc>
          <w:tcPr>
            <w:tcW w:w="2424" w:type="dxa"/>
            <w:tcBorders>
              <w:top w:val="outset" w:sz="6" w:space="0" w:color="auto"/>
              <w:left w:val="outset" w:sz="6" w:space="0" w:color="auto"/>
              <w:bottom w:val="outset" w:sz="6" w:space="0" w:color="auto"/>
              <w:right w:val="outset" w:sz="6" w:space="0" w:color="auto"/>
            </w:tcBorders>
          </w:tcPr>
          <w:p w:rsidR="005236B6" w:rsidRPr="008858B9" w:rsidRDefault="005236B6" w:rsidP="00F7493D">
            <w:pPr>
              <w:spacing w:line="360" w:lineRule="auto"/>
              <w:rPr>
                <w:rFonts w:asciiTheme="majorBidi" w:hAnsiTheme="majorBidi" w:cstheme="majorBidi"/>
                <w:sz w:val="24"/>
                <w:szCs w:val="24"/>
              </w:rPr>
            </w:pPr>
          </w:p>
        </w:tc>
        <w:tc>
          <w:tcPr>
            <w:tcW w:w="2340" w:type="dxa"/>
            <w:tcBorders>
              <w:top w:val="outset" w:sz="6" w:space="0" w:color="auto"/>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Nombre d'éléments</w:t>
            </w:r>
          </w:p>
        </w:tc>
        <w:tc>
          <w:tcPr>
            <w:tcW w:w="2316" w:type="dxa"/>
            <w:tcBorders>
              <w:top w:val="outset" w:sz="6" w:space="0" w:color="auto"/>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Alpha de Cronbach</w:t>
            </w:r>
          </w:p>
        </w:tc>
      </w:tr>
      <w:tr w:rsidR="005236B6" w:rsidRPr="008858B9" w:rsidTr="00EC7780">
        <w:tc>
          <w:tcPr>
            <w:tcW w:w="1968" w:type="dxa"/>
            <w:vMerge w:val="restart"/>
            <w:tcBorders>
              <w:top w:val="nil"/>
              <w:left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Les axes</w:t>
            </w:r>
          </w:p>
        </w:tc>
        <w:tc>
          <w:tcPr>
            <w:tcW w:w="2424"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Sécurité sanitaire</w:t>
            </w:r>
          </w:p>
        </w:tc>
        <w:tc>
          <w:tcPr>
            <w:tcW w:w="2340"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4</w:t>
            </w:r>
          </w:p>
        </w:tc>
        <w:tc>
          <w:tcPr>
            <w:tcW w:w="2316"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0.827</w:t>
            </w:r>
          </w:p>
        </w:tc>
      </w:tr>
      <w:tr w:rsidR="005236B6" w:rsidRPr="008858B9" w:rsidTr="00EC7780">
        <w:tc>
          <w:tcPr>
            <w:tcW w:w="1968" w:type="dxa"/>
            <w:vMerge/>
            <w:tcBorders>
              <w:left w:val="outset" w:sz="6" w:space="0" w:color="auto"/>
              <w:right w:val="outset" w:sz="6" w:space="0" w:color="auto"/>
            </w:tcBorders>
          </w:tcPr>
          <w:p w:rsidR="005236B6" w:rsidRPr="008858B9" w:rsidRDefault="005236B6" w:rsidP="00F7493D">
            <w:pPr>
              <w:spacing w:line="360" w:lineRule="auto"/>
              <w:rPr>
                <w:rFonts w:asciiTheme="majorBidi" w:hAnsiTheme="majorBidi" w:cstheme="majorBidi"/>
                <w:sz w:val="24"/>
                <w:szCs w:val="24"/>
              </w:rPr>
            </w:pPr>
          </w:p>
        </w:tc>
        <w:tc>
          <w:tcPr>
            <w:tcW w:w="2424"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Conscience sanitaire</w:t>
            </w:r>
          </w:p>
        </w:tc>
        <w:tc>
          <w:tcPr>
            <w:tcW w:w="2340"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4</w:t>
            </w:r>
          </w:p>
        </w:tc>
        <w:tc>
          <w:tcPr>
            <w:tcW w:w="2316"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lang w:val="en-US"/>
              </w:rPr>
            </w:pPr>
            <w:r w:rsidRPr="008858B9">
              <w:rPr>
                <w:rFonts w:asciiTheme="majorBidi" w:hAnsiTheme="majorBidi" w:cstheme="majorBidi"/>
                <w:sz w:val="24"/>
                <w:szCs w:val="24"/>
              </w:rPr>
              <w:t>0.788</w:t>
            </w:r>
          </w:p>
        </w:tc>
      </w:tr>
      <w:tr w:rsidR="005236B6" w:rsidRPr="008858B9" w:rsidTr="00EC7780">
        <w:tc>
          <w:tcPr>
            <w:tcW w:w="1968" w:type="dxa"/>
            <w:vMerge/>
            <w:tcBorders>
              <w:left w:val="outset" w:sz="6" w:space="0" w:color="auto"/>
              <w:bottom w:val="outset" w:sz="6" w:space="0" w:color="auto"/>
              <w:right w:val="outset" w:sz="6" w:space="0" w:color="auto"/>
            </w:tcBorders>
          </w:tcPr>
          <w:p w:rsidR="005236B6" w:rsidRPr="008858B9" w:rsidRDefault="005236B6" w:rsidP="00F7493D">
            <w:pPr>
              <w:spacing w:line="360" w:lineRule="auto"/>
              <w:rPr>
                <w:rFonts w:asciiTheme="majorBidi" w:hAnsiTheme="majorBidi" w:cstheme="majorBidi"/>
                <w:sz w:val="24"/>
                <w:szCs w:val="24"/>
              </w:rPr>
            </w:pPr>
          </w:p>
        </w:tc>
        <w:tc>
          <w:tcPr>
            <w:tcW w:w="2424" w:type="dxa"/>
            <w:tcBorders>
              <w:top w:val="nil"/>
              <w:left w:val="outset" w:sz="6" w:space="0" w:color="auto"/>
              <w:bottom w:val="outset" w:sz="6" w:space="0" w:color="auto"/>
              <w:right w:val="outset" w:sz="6" w:space="0" w:color="auto"/>
            </w:tcBorders>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Intention d’achat</w:t>
            </w:r>
          </w:p>
        </w:tc>
        <w:tc>
          <w:tcPr>
            <w:tcW w:w="2340" w:type="dxa"/>
            <w:tcBorders>
              <w:top w:val="nil"/>
              <w:left w:val="outset" w:sz="6" w:space="0" w:color="auto"/>
              <w:bottom w:val="outset" w:sz="6" w:space="0" w:color="auto"/>
              <w:right w:val="outset" w:sz="6" w:space="0" w:color="auto"/>
            </w:tcBorders>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4</w:t>
            </w:r>
          </w:p>
        </w:tc>
        <w:tc>
          <w:tcPr>
            <w:tcW w:w="2316" w:type="dxa"/>
            <w:tcBorders>
              <w:top w:val="nil"/>
              <w:left w:val="outset" w:sz="6" w:space="0" w:color="auto"/>
              <w:bottom w:val="outset" w:sz="6" w:space="0" w:color="auto"/>
              <w:right w:val="outset" w:sz="6" w:space="0" w:color="auto"/>
            </w:tcBorders>
          </w:tcPr>
          <w:p w:rsidR="005236B6" w:rsidRPr="008858B9" w:rsidRDefault="005236B6" w:rsidP="00F7493D">
            <w:pPr>
              <w:spacing w:line="360" w:lineRule="auto"/>
              <w:rPr>
                <w:rFonts w:asciiTheme="majorBidi" w:hAnsiTheme="majorBidi" w:cstheme="majorBidi"/>
                <w:sz w:val="24"/>
                <w:szCs w:val="24"/>
                <w:lang w:val="en-US"/>
              </w:rPr>
            </w:pPr>
            <w:r w:rsidRPr="008858B9">
              <w:rPr>
                <w:rFonts w:asciiTheme="majorBidi" w:hAnsiTheme="majorBidi" w:cstheme="majorBidi"/>
                <w:sz w:val="24"/>
                <w:szCs w:val="24"/>
                <w:lang w:val="en-US"/>
              </w:rPr>
              <w:t>0.795</w:t>
            </w:r>
          </w:p>
        </w:tc>
      </w:tr>
      <w:tr w:rsidR="005236B6" w:rsidRPr="008858B9" w:rsidTr="00EC7780">
        <w:tc>
          <w:tcPr>
            <w:tcW w:w="1968"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 xml:space="preserve">La variable dépendante </w:t>
            </w:r>
          </w:p>
        </w:tc>
        <w:tc>
          <w:tcPr>
            <w:tcW w:w="2424"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b/>
                <w:bCs/>
                <w:sz w:val="24"/>
                <w:szCs w:val="24"/>
              </w:rPr>
            </w:pPr>
            <w:r w:rsidRPr="008858B9">
              <w:rPr>
                <w:rFonts w:asciiTheme="majorBidi" w:hAnsiTheme="majorBidi" w:cstheme="majorBidi"/>
                <w:b/>
                <w:bCs/>
                <w:sz w:val="24"/>
                <w:szCs w:val="24"/>
              </w:rPr>
              <w:t>sécurité sanitaire des aliments</w:t>
            </w:r>
          </w:p>
        </w:tc>
        <w:tc>
          <w:tcPr>
            <w:tcW w:w="2340"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16</w:t>
            </w:r>
          </w:p>
        </w:tc>
        <w:tc>
          <w:tcPr>
            <w:tcW w:w="2316" w:type="dxa"/>
            <w:tcBorders>
              <w:top w:val="nil"/>
              <w:left w:val="outset" w:sz="6" w:space="0" w:color="auto"/>
              <w:bottom w:val="outset" w:sz="6" w:space="0" w:color="auto"/>
              <w:right w:val="outset" w:sz="6" w:space="0" w:color="auto"/>
            </w:tcBorders>
            <w:hideMark/>
          </w:tcPr>
          <w:p w:rsidR="005236B6" w:rsidRPr="008858B9" w:rsidRDefault="005236B6" w:rsidP="00F7493D">
            <w:pPr>
              <w:spacing w:line="360" w:lineRule="auto"/>
              <w:rPr>
                <w:rFonts w:asciiTheme="majorBidi" w:hAnsiTheme="majorBidi" w:cstheme="majorBidi"/>
                <w:sz w:val="24"/>
                <w:szCs w:val="24"/>
              </w:rPr>
            </w:pPr>
            <w:r w:rsidRPr="008858B9">
              <w:rPr>
                <w:rFonts w:asciiTheme="majorBidi" w:hAnsiTheme="majorBidi" w:cstheme="majorBidi"/>
                <w:sz w:val="24"/>
                <w:szCs w:val="24"/>
              </w:rPr>
              <w:t>0.872</w:t>
            </w:r>
          </w:p>
          <w:p w:rsidR="005236B6" w:rsidRPr="008858B9" w:rsidRDefault="005236B6" w:rsidP="00F7493D">
            <w:pPr>
              <w:spacing w:line="360" w:lineRule="auto"/>
              <w:rPr>
                <w:rFonts w:asciiTheme="majorBidi" w:hAnsiTheme="majorBidi" w:cstheme="majorBidi"/>
                <w:sz w:val="24"/>
                <w:szCs w:val="24"/>
              </w:rPr>
            </w:pP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22867" w:rsidRDefault="005236B6" w:rsidP="00F7493D">
      <w:pPr>
        <w:autoSpaceDE w:val="0"/>
        <w:adjustRightInd w:val="0"/>
        <w:spacing w:after="0" w:line="360" w:lineRule="auto"/>
        <w:jc w:val="both"/>
        <w:rPr>
          <w:rFonts w:ascii="Times New Roman" w:hAnsi="Times New Roman" w:cs="Times New Roman"/>
          <w:sz w:val="24"/>
          <w:szCs w:val="24"/>
        </w:rPr>
      </w:pPr>
      <w:r w:rsidRPr="009322D6">
        <w:rPr>
          <w:rFonts w:ascii="Times New Roman" w:hAnsi="Times New Roman" w:cs="Times New Roman"/>
          <w:sz w:val="24"/>
          <w:szCs w:val="24"/>
        </w:rPr>
        <w:t xml:space="preserve">L'analyse de la fiabilité montre que l'instrument de mesure est statistiquement robuste, avec un coefficient Alpha de Cronbach global de </w:t>
      </w:r>
      <w:r w:rsidRPr="009322D6">
        <w:rPr>
          <w:rFonts w:ascii="Times New Roman" w:hAnsi="Times New Roman" w:cs="Times New Roman"/>
          <w:b/>
          <w:bCs/>
          <w:sz w:val="24"/>
          <w:szCs w:val="24"/>
        </w:rPr>
        <w:t>0,872</w:t>
      </w:r>
      <w:r w:rsidRPr="009322D6">
        <w:rPr>
          <w:rFonts w:ascii="Times New Roman" w:hAnsi="Times New Roman" w:cs="Times New Roman"/>
          <w:sz w:val="24"/>
          <w:szCs w:val="24"/>
        </w:rPr>
        <w:t>, témoignant d'une excellente coh</w:t>
      </w:r>
      <w:r>
        <w:rPr>
          <w:rFonts w:ascii="Times New Roman" w:hAnsi="Times New Roman" w:cs="Times New Roman"/>
          <w:sz w:val="24"/>
          <w:szCs w:val="24"/>
        </w:rPr>
        <w:t>érence interne. Les trois axes s</w:t>
      </w:r>
      <w:r w:rsidRPr="009322D6">
        <w:rPr>
          <w:rFonts w:ascii="Times New Roman" w:hAnsi="Times New Roman" w:cs="Times New Roman"/>
          <w:sz w:val="24"/>
          <w:szCs w:val="24"/>
        </w:rPr>
        <w:t>écurité sanitaire (</w:t>
      </w:r>
      <w:r w:rsidRPr="009322D6">
        <w:rPr>
          <w:rFonts w:ascii="Times New Roman" w:hAnsi="Times New Roman" w:cs="Times New Roman"/>
          <w:b/>
          <w:bCs/>
          <w:sz w:val="24"/>
          <w:szCs w:val="24"/>
        </w:rPr>
        <w:t>0,827</w:t>
      </w:r>
      <w:r>
        <w:rPr>
          <w:rFonts w:ascii="Times New Roman" w:hAnsi="Times New Roman" w:cs="Times New Roman"/>
          <w:sz w:val="24"/>
          <w:szCs w:val="24"/>
        </w:rPr>
        <w:t>), c</w:t>
      </w:r>
      <w:r w:rsidRPr="009322D6">
        <w:rPr>
          <w:rFonts w:ascii="Times New Roman" w:hAnsi="Times New Roman" w:cs="Times New Roman"/>
          <w:sz w:val="24"/>
          <w:szCs w:val="24"/>
        </w:rPr>
        <w:t>onscience sanitaire (</w:t>
      </w:r>
      <w:r w:rsidRPr="009322D6">
        <w:rPr>
          <w:rFonts w:ascii="Times New Roman" w:hAnsi="Times New Roman" w:cs="Times New Roman"/>
          <w:b/>
          <w:bCs/>
          <w:sz w:val="24"/>
          <w:szCs w:val="24"/>
        </w:rPr>
        <w:t>0,788</w:t>
      </w:r>
      <w:r>
        <w:rPr>
          <w:rFonts w:ascii="Times New Roman" w:hAnsi="Times New Roman" w:cs="Times New Roman"/>
          <w:sz w:val="24"/>
          <w:szCs w:val="24"/>
        </w:rPr>
        <w:t>) et i</w:t>
      </w:r>
      <w:r w:rsidRPr="009322D6">
        <w:rPr>
          <w:rFonts w:ascii="Times New Roman" w:hAnsi="Times New Roman" w:cs="Times New Roman"/>
          <w:sz w:val="24"/>
          <w:szCs w:val="24"/>
        </w:rPr>
        <w:t>ntention d'achat (</w:t>
      </w:r>
      <w:r w:rsidRPr="009322D6">
        <w:rPr>
          <w:rFonts w:ascii="Times New Roman" w:hAnsi="Times New Roman" w:cs="Times New Roman"/>
          <w:b/>
          <w:bCs/>
          <w:sz w:val="24"/>
          <w:szCs w:val="24"/>
        </w:rPr>
        <w:t>0,795</w:t>
      </w:r>
      <w:r>
        <w:rPr>
          <w:rFonts w:ascii="Times New Roman" w:hAnsi="Times New Roman" w:cs="Times New Roman"/>
          <w:sz w:val="24"/>
          <w:szCs w:val="24"/>
        </w:rPr>
        <w:t>)</w:t>
      </w:r>
      <w:r w:rsidRPr="009322D6">
        <w:rPr>
          <w:rFonts w:ascii="Times New Roman" w:hAnsi="Times New Roman" w:cs="Times New Roman"/>
          <w:sz w:val="24"/>
          <w:szCs w:val="24"/>
        </w:rPr>
        <w:t xml:space="preserve"> présentent tous des scores supérieurs au seuil critique de </w:t>
      </w:r>
      <w:r w:rsidRPr="009322D6">
        <w:rPr>
          <w:rFonts w:ascii="Times New Roman" w:hAnsi="Times New Roman" w:cs="Times New Roman"/>
          <w:b/>
          <w:bCs/>
          <w:sz w:val="24"/>
          <w:szCs w:val="24"/>
        </w:rPr>
        <w:t>0,70</w:t>
      </w:r>
      <w:r w:rsidRPr="009322D6">
        <w:rPr>
          <w:rFonts w:ascii="Times New Roman" w:hAnsi="Times New Roman" w:cs="Times New Roman"/>
          <w:sz w:val="24"/>
          <w:szCs w:val="24"/>
        </w:rPr>
        <w:t xml:space="preserve">, validant ainsi la fiabilité de chaque dimension. Cette stabilité indique que les 16 éléments du questionnaire </w:t>
      </w:r>
      <w:r w:rsidRPr="009322D6">
        <w:rPr>
          <w:rFonts w:ascii="Times New Roman" w:hAnsi="Times New Roman" w:cs="Times New Roman"/>
          <w:sz w:val="24"/>
          <w:szCs w:val="24"/>
        </w:rPr>
        <w:lastRenderedPageBreak/>
        <w:t>mesurent de manière homogène et précise</w:t>
      </w:r>
      <w:r>
        <w:rPr>
          <w:rFonts w:ascii="Times New Roman" w:hAnsi="Times New Roman" w:cs="Times New Roman"/>
          <w:sz w:val="24"/>
          <w:szCs w:val="24"/>
        </w:rPr>
        <w:t xml:space="preserve"> (crédible)</w:t>
      </w:r>
      <w:r w:rsidRPr="009322D6">
        <w:rPr>
          <w:rFonts w:ascii="Times New Roman" w:hAnsi="Times New Roman" w:cs="Times New Roman"/>
          <w:sz w:val="24"/>
          <w:szCs w:val="24"/>
        </w:rPr>
        <w:t xml:space="preserve"> la variable dépendante « la sécurité sanitaire des aliments ».</w:t>
      </w:r>
    </w:p>
    <w:p w:rsidR="005236B6" w:rsidRPr="00860658" w:rsidRDefault="005236B6" w:rsidP="00F7493D">
      <w:pPr>
        <w:pStyle w:val="Paragraphedeliste"/>
        <w:spacing w:line="360" w:lineRule="auto"/>
        <w:rPr>
          <w:rFonts w:asciiTheme="majorBidi" w:hAnsiTheme="majorBidi" w:cstheme="majorBidi"/>
          <w:b/>
          <w:bCs/>
          <w:sz w:val="24"/>
          <w:szCs w:val="24"/>
        </w:rPr>
      </w:pPr>
      <w:bookmarkStart w:id="360" w:name="_Toc168176822"/>
      <w:bookmarkStart w:id="361" w:name="_Toc197816675"/>
      <w:bookmarkStart w:id="362" w:name="_Toc197863077"/>
      <w:bookmarkStart w:id="363" w:name="_Toc197863288"/>
      <w:r w:rsidRPr="00860658">
        <w:rPr>
          <w:rFonts w:asciiTheme="majorBidi" w:hAnsiTheme="majorBidi" w:cstheme="majorBidi"/>
          <w:b/>
          <w:bCs/>
          <w:sz w:val="24"/>
          <w:szCs w:val="24"/>
        </w:rPr>
        <w:t xml:space="preserve">L’analyse des axes de la partie </w:t>
      </w:r>
      <w:bookmarkEnd w:id="360"/>
      <w:r w:rsidRPr="00860658">
        <w:rPr>
          <w:rFonts w:asciiTheme="majorBidi" w:hAnsiTheme="majorBidi" w:cstheme="majorBidi"/>
          <w:b/>
          <w:bCs/>
          <w:sz w:val="24"/>
          <w:szCs w:val="24"/>
        </w:rPr>
        <w:t>de la sécurité sanitaire des aliments.</w:t>
      </w:r>
      <w:bookmarkStart w:id="364" w:name="_Toc168176823"/>
      <w:bookmarkStart w:id="365" w:name="_Toc197863078"/>
      <w:bookmarkStart w:id="366" w:name="_Toc197863289"/>
      <w:bookmarkEnd w:id="361"/>
      <w:bookmarkEnd w:id="362"/>
      <w:bookmarkEnd w:id="363"/>
    </w:p>
    <w:bookmarkEnd w:id="364"/>
    <w:bookmarkEnd w:id="365"/>
    <w:bookmarkEnd w:id="366"/>
    <w:p w:rsidR="005236B6" w:rsidRPr="00240D54" w:rsidRDefault="005236B6" w:rsidP="00F7493D">
      <w:pPr>
        <w:autoSpaceDE w:val="0"/>
        <w:adjustRightInd w:val="0"/>
        <w:spacing w:after="0" w:line="360" w:lineRule="auto"/>
        <w:jc w:val="center"/>
        <w:rPr>
          <w:rFonts w:ascii="Times New Roman" w:hAnsi="Times New Roman" w:cs="Times New Roman"/>
          <w:b/>
          <w:bCs/>
          <w:sz w:val="24"/>
          <w:szCs w:val="24"/>
        </w:rPr>
      </w:pPr>
      <w:r w:rsidRPr="00860658">
        <w:rPr>
          <w:rFonts w:ascii="Times New Roman" w:hAnsi="Times New Roman" w:cs="Times New Roman"/>
          <w:b/>
          <w:bCs/>
          <w:color w:val="000000"/>
          <w:sz w:val="24"/>
          <w:szCs w:val="24"/>
        </w:rPr>
        <w:t xml:space="preserve">Tableau N° </w:t>
      </w:r>
      <w:r>
        <w:rPr>
          <w:rFonts w:ascii="Times New Roman" w:hAnsi="Times New Roman" w:cs="Times New Roman"/>
          <w:b/>
          <w:bCs/>
          <w:color w:val="000000"/>
          <w:sz w:val="24"/>
          <w:szCs w:val="24"/>
        </w:rPr>
        <w:t>29</w:t>
      </w:r>
      <w:r w:rsidRPr="00860658">
        <w:rPr>
          <w:rFonts w:ascii="Times New Roman" w:hAnsi="Times New Roman" w:cs="Times New Roman"/>
          <w:b/>
          <w:bCs/>
          <w:color w:val="000000"/>
          <w:sz w:val="24"/>
          <w:szCs w:val="24"/>
        </w:rPr>
        <w:t xml:space="preserve"> : </w:t>
      </w:r>
      <w:r w:rsidRPr="007C6094">
        <w:rPr>
          <w:rFonts w:asciiTheme="majorBidi" w:hAnsiTheme="majorBidi" w:cstheme="majorBidi"/>
          <w:b/>
          <w:bCs/>
          <w:color w:val="000000" w:themeColor="text1"/>
          <w:sz w:val="24"/>
          <w:szCs w:val="24"/>
        </w:rPr>
        <w:t>Analyse</w:t>
      </w:r>
      <w:r>
        <w:rPr>
          <w:rFonts w:asciiTheme="majorBidi" w:hAnsiTheme="majorBidi" w:cstheme="majorBidi"/>
          <w:b/>
          <w:bCs/>
          <w:color w:val="000000" w:themeColor="text1"/>
          <w:sz w:val="24"/>
          <w:szCs w:val="24"/>
        </w:rPr>
        <w:t xml:space="preserve"> statistique</w:t>
      </w:r>
      <w:r w:rsidRPr="007C6094">
        <w:rPr>
          <w:rFonts w:asciiTheme="majorBidi" w:hAnsiTheme="majorBidi" w:cstheme="majorBidi"/>
          <w:b/>
          <w:bCs/>
          <w:color w:val="000000" w:themeColor="text1"/>
          <w:sz w:val="24"/>
          <w:szCs w:val="24"/>
        </w:rPr>
        <w:t xml:space="preserve"> descriptive des données de </w:t>
      </w:r>
      <w:r>
        <w:rPr>
          <w:rFonts w:asciiTheme="majorBidi" w:hAnsiTheme="majorBidi" w:cstheme="majorBidi"/>
          <w:b/>
          <w:bCs/>
          <w:color w:val="000000" w:themeColor="text1"/>
          <w:sz w:val="24"/>
          <w:szCs w:val="24"/>
        </w:rPr>
        <w:t>l’axe «</w:t>
      </w:r>
      <w:r w:rsidRPr="00CA02C7">
        <w:rPr>
          <w:rFonts w:asciiTheme="majorBidi" w:hAnsiTheme="majorBidi" w:cstheme="majorBidi"/>
          <w:b/>
          <w:bCs/>
          <w:color w:val="000000" w:themeColor="text1"/>
          <w:sz w:val="24"/>
          <w:szCs w:val="24"/>
        </w:rPr>
        <w:t>la sécurité sanitaire</w:t>
      </w:r>
      <w:r>
        <w:rPr>
          <w:rFonts w:asciiTheme="majorBidi" w:hAnsiTheme="majorBidi" w:cstheme="majorBidi"/>
          <w:b/>
          <w:bCs/>
          <w:color w:val="000000" w:themeColor="text1"/>
          <w:sz w:val="24"/>
          <w:szCs w:val="24"/>
        </w:rPr>
        <w:t>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75"/>
        <w:gridCol w:w="1114"/>
        <w:gridCol w:w="994"/>
        <w:gridCol w:w="993"/>
        <w:gridCol w:w="898"/>
        <w:gridCol w:w="1306"/>
        <w:gridCol w:w="1474"/>
        <w:gridCol w:w="1102"/>
      </w:tblGrid>
      <w:tr w:rsidR="005236B6" w:rsidRPr="00240D54" w:rsidTr="00EC7780">
        <w:tc>
          <w:tcPr>
            <w:tcW w:w="1175"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Questions</w:t>
            </w:r>
          </w:p>
        </w:tc>
        <w:tc>
          <w:tcPr>
            <w:tcW w:w="1114"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Moyenne</w:t>
            </w:r>
          </w:p>
        </w:tc>
        <w:tc>
          <w:tcPr>
            <w:tcW w:w="994"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Ecart type</w:t>
            </w:r>
          </w:p>
        </w:tc>
        <w:tc>
          <w:tcPr>
            <w:tcW w:w="993"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Test t</w:t>
            </w:r>
          </w:p>
        </w:tc>
        <w:tc>
          <w:tcPr>
            <w:tcW w:w="898"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Degré de liberté</w:t>
            </w:r>
          </w:p>
        </w:tc>
        <w:tc>
          <w:tcPr>
            <w:tcW w:w="1306"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Sig.</w:t>
            </w:r>
          </w:p>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(Bilatérale)</w:t>
            </w:r>
          </w:p>
        </w:tc>
        <w:tc>
          <w:tcPr>
            <w:tcW w:w="1474"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Classification</w:t>
            </w:r>
          </w:p>
        </w:tc>
        <w:tc>
          <w:tcPr>
            <w:tcW w:w="1102"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Niveau d’accord</w:t>
            </w:r>
          </w:p>
        </w:tc>
      </w:tr>
      <w:tr w:rsidR="005236B6" w:rsidRPr="00240D54" w:rsidTr="00EC7780">
        <w:tc>
          <w:tcPr>
            <w:tcW w:w="1175"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Q17</w:t>
            </w:r>
          </w:p>
        </w:tc>
        <w:tc>
          <w:tcPr>
            <w:tcW w:w="111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3,91</w:t>
            </w:r>
          </w:p>
        </w:tc>
        <w:tc>
          <w:tcPr>
            <w:tcW w:w="99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0,864</w:t>
            </w:r>
          </w:p>
        </w:tc>
        <w:tc>
          <w:tcPr>
            <w:tcW w:w="993"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64,803</w:t>
            </w:r>
          </w:p>
        </w:tc>
        <w:tc>
          <w:tcPr>
            <w:tcW w:w="898"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204</w:t>
            </w:r>
          </w:p>
        </w:tc>
        <w:tc>
          <w:tcPr>
            <w:tcW w:w="1306"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0,000</w:t>
            </w:r>
          </w:p>
        </w:tc>
        <w:tc>
          <w:tcPr>
            <w:tcW w:w="1474"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4</w:t>
            </w:r>
          </w:p>
        </w:tc>
        <w:tc>
          <w:tcPr>
            <w:tcW w:w="1102"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D’accord</w:t>
            </w:r>
          </w:p>
        </w:tc>
      </w:tr>
      <w:tr w:rsidR="005236B6" w:rsidRPr="00240D54" w:rsidTr="00EC7780">
        <w:tc>
          <w:tcPr>
            <w:tcW w:w="1175"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Q18</w:t>
            </w:r>
          </w:p>
        </w:tc>
        <w:tc>
          <w:tcPr>
            <w:tcW w:w="111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3,84</w:t>
            </w:r>
          </w:p>
        </w:tc>
        <w:tc>
          <w:tcPr>
            <w:tcW w:w="99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0,801</w:t>
            </w:r>
          </w:p>
        </w:tc>
        <w:tc>
          <w:tcPr>
            <w:tcW w:w="993"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68,678</w:t>
            </w:r>
          </w:p>
        </w:tc>
        <w:tc>
          <w:tcPr>
            <w:tcW w:w="898"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204</w:t>
            </w:r>
          </w:p>
        </w:tc>
        <w:tc>
          <w:tcPr>
            <w:tcW w:w="1306"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0,000</w:t>
            </w:r>
          </w:p>
        </w:tc>
        <w:tc>
          <w:tcPr>
            <w:tcW w:w="1474"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2</w:t>
            </w:r>
          </w:p>
        </w:tc>
        <w:tc>
          <w:tcPr>
            <w:tcW w:w="1102"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D’accord</w:t>
            </w:r>
          </w:p>
        </w:tc>
      </w:tr>
      <w:tr w:rsidR="005236B6" w:rsidRPr="00240D54" w:rsidTr="00EC7780">
        <w:tc>
          <w:tcPr>
            <w:tcW w:w="1175"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Q19</w:t>
            </w:r>
          </w:p>
        </w:tc>
        <w:tc>
          <w:tcPr>
            <w:tcW w:w="111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3,95</w:t>
            </w:r>
          </w:p>
        </w:tc>
        <w:tc>
          <w:tcPr>
            <w:tcW w:w="99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0,739</w:t>
            </w:r>
          </w:p>
        </w:tc>
        <w:tc>
          <w:tcPr>
            <w:tcW w:w="993"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76,518</w:t>
            </w:r>
          </w:p>
        </w:tc>
        <w:tc>
          <w:tcPr>
            <w:tcW w:w="898"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204</w:t>
            </w:r>
          </w:p>
        </w:tc>
        <w:tc>
          <w:tcPr>
            <w:tcW w:w="1306"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0,000</w:t>
            </w:r>
          </w:p>
        </w:tc>
        <w:tc>
          <w:tcPr>
            <w:tcW w:w="1474"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1</w:t>
            </w:r>
          </w:p>
        </w:tc>
        <w:tc>
          <w:tcPr>
            <w:tcW w:w="1102"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D’accord</w:t>
            </w:r>
          </w:p>
        </w:tc>
      </w:tr>
      <w:tr w:rsidR="005236B6" w:rsidRPr="00240D54" w:rsidTr="00EC7780">
        <w:tc>
          <w:tcPr>
            <w:tcW w:w="1175" w:type="dxa"/>
            <w:vAlign w:val="center"/>
            <w:hideMark/>
          </w:tcPr>
          <w:p w:rsidR="005236B6" w:rsidRPr="00240D54" w:rsidRDefault="005236B6" w:rsidP="00F7493D">
            <w:pPr>
              <w:spacing w:line="360" w:lineRule="auto"/>
              <w:jc w:val="center"/>
              <w:rPr>
                <w:rFonts w:asciiTheme="majorBidi" w:hAnsiTheme="majorBidi" w:cstheme="majorBidi"/>
                <w:sz w:val="24"/>
                <w:szCs w:val="24"/>
                <w:lang w:val="en-US"/>
              </w:rPr>
            </w:pPr>
            <w:r w:rsidRPr="00240D54">
              <w:rPr>
                <w:rFonts w:asciiTheme="majorBidi" w:hAnsiTheme="majorBidi" w:cstheme="majorBidi"/>
                <w:sz w:val="24"/>
                <w:szCs w:val="24"/>
              </w:rPr>
              <w:t>Q20</w:t>
            </w:r>
          </w:p>
        </w:tc>
        <w:tc>
          <w:tcPr>
            <w:tcW w:w="111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3,93</w:t>
            </w:r>
          </w:p>
        </w:tc>
        <w:tc>
          <w:tcPr>
            <w:tcW w:w="994"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0,828</w:t>
            </w:r>
          </w:p>
        </w:tc>
        <w:tc>
          <w:tcPr>
            <w:tcW w:w="993"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67,892</w:t>
            </w:r>
          </w:p>
        </w:tc>
        <w:tc>
          <w:tcPr>
            <w:tcW w:w="898"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204</w:t>
            </w:r>
          </w:p>
        </w:tc>
        <w:tc>
          <w:tcPr>
            <w:tcW w:w="1306" w:type="dxa"/>
            <w:shd w:val="clear" w:color="auto" w:fill="FFFFFF"/>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0,000</w:t>
            </w:r>
          </w:p>
        </w:tc>
        <w:tc>
          <w:tcPr>
            <w:tcW w:w="1474"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3</w:t>
            </w:r>
          </w:p>
        </w:tc>
        <w:tc>
          <w:tcPr>
            <w:tcW w:w="1102"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D’accord</w:t>
            </w:r>
          </w:p>
        </w:tc>
      </w:tr>
      <w:tr w:rsidR="005236B6" w:rsidRPr="00240D54" w:rsidTr="00EC7780">
        <w:tc>
          <w:tcPr>
            <w:tcW w:w="1175"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Total</w:t>
            </w:r>
          </w:p>
        </w:tc>
        <w:tc>
          <w:tcPr>
            <w:tcW w:w="1114" w:type="dxa"/>
            <w:shd w:val="clear" w:color="auto" w:fill="FFFFFF"/>
            <w:vAlign w:val="center"/>
            <w:hideMark/>
          </w:tcPr>
          <w:p w:rsidR="005236B6" w:rsidRPr="00240D54"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240D54">
              <w:rPr>
                <w:rFonts w:asciiTheme="majorBidi" w:hAnsiTheme="majorBidi" w:cstheme="majorBidi"/>
                <w:color w:val="010205"/>
                <w:sz w:val="24"/>
                <w:szCs w:val="24"/>
              </w:rPr>
              <w:t>3,9085</w:t>
            </w:r>
          </w:p>
        </w:tc>
        <w:tc>
          <w:tcPr>
            <w:tcW w:w="994" w:type="dxa"/>
            <w:shd w:val="clear" w:color="auto" w:fill="FFFFFF"/>
            <w:vAlign w:val="center"/>
            <w:hideMark/>
          </w:tcPr>
          <w:p w:rsidR="005236B6" w:rsidRPr="00240D54"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240D54">
              <w:rPr>
                <w:rFonts w:asciiTheme="majorBidi" w:hAnsiTheme="majorBidi" w:cstheme="majorBidi"/>
                <w:color w:val="010205"/>
                <w:sz w:val="24"/>
                <w:szCs w:val="24"/>
              </w:rPr>
              <w:t>,65715</w:t>
            </w:r>
          </w:p>
        </w:tc>
        <w:tc>
          <w:tcPr>
            <w:tcW w:w="993" w:type="dxa"/>
            <w:shd w:val="clear" w:color="auto" w:fill="FFFFFF"/>
            <w:vAlign w:val="center"/>
            <w:hideMark/>
          </w:tcPr>
          <w:p w:rsidR="005236B6" w:rsidRPr="00240D54"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240D54">
              <w:rPr>
                <w:rFonts w:asciiTheme="majorBidi" w:hAnsiTheme="majorBidi" w:cstheme="majorBidi"/>
                <w:color w:val="010205"/>
                <w:sz w:val="24"/>
                <w:szCs w:val="24"/>
              </w:rPr>
              <w:t>85,158</w:t>
            </w:r>
          </w:p>
        </w:tc>
        <w:tc>
          <w:tcPr>
            <w:tcW w:w="898" w:type="dxa"/>
            <w:shd w:val="clear" w:color="auto" w:fill="FFFFFF"/>
            <w:vAlign w:val="center"/>
            <w:hideMark/>
          </w:tcPr>
          <w:p w:rsidR="005236B6" w:rsidRPr="00240D54"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240D54">
              <w:rPr>
                <w:rFonts w:asciiTheme="majorBidi" w:hAnsiTheme="majorBidi" w:cstheme="majorBidi"/>
                <w:color w:val="010205"/>
                <w:sz w:val="24"/>
                <w:szCs w:val="24"/>
              </w:rPr>
              <w:t>204</w:t>
            </w:r>
          </w:p>
        </w:tc>
        <w:tc>
          <w:tcPr>
            <w:tcW w:w="1306" w:type="dxa"/>
            <w:shd w:val="clear" w:color="auto" w:fill="FFFFFF"/>
            <w:vAlign w:val="center"/>
            <w:hideMark/>
          </w:tcPr>
          <w:p w:rsidR="005236B6" w:rsidRPr="00240D54"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240D54">
              <w:rPr>
                <w:rFonts w:asciiTheme="majorBidi" w:hAnsiTheme="majorBidi" w:cstheme="majorBidi"/>
                <w:color w:val="010205"/>
                <w:sz w:val="24"/>
                <w:szCs w:val="24"/>
              </w:rPr>
              <w:t>,000</w:t>
            </w:r>
          </w:p>
        </w:tc>
        <w:tc>
          <w:tcPr>
            <w:tcW w:w="1474" w:type="dxa"/>
            <w:vAlign w:val="center"/>
          </w:tcPr>
          <w:p w:rsidR="005236B6" w:rsidRPr="00240D54" w:rsidRDefault="005236B6" w:rsidP="00F7493D">
            <w:pPr>
              <w:spacing w:line="360" w:lineRule="auto"/>
              <w:jc w:val="center"/>
              <w:rPr>
                <w:rFonts w:asciiTheme="majorBidi" w:hAnsiTheme="majorBidi" w:cstheme="majorBidi"/>
                <w:sz w:val="24"/>
                <w:szCs w:val="24"/>
              </w:rPr>
            </w:pPr>
          </w:p>
        </w:tc>
        <w:tc>
          <w:tcPr>
            <w:tcW w:w="1102" w:type="dxa"/>
            <w:vAlign w:val="center"/>
            <w:hideMark/>
          </w:tcPr>
          <w:p w:rsidR="005236B6" w:rsidRPr="00240D54" w:rsidRDefault="005236B6" w:rsidP="00F7493D">
            <w:pPr>
              <w:spacing w:line="360" w:lineRule="auto"/>
              <w:jc w:val="center"/>
              <w:rPr>
                <w:rFonts w:asciiTheme="majorBidi" w:hAnsiTheme="majorBidi" w:cstheme="majorBidi"/>
                <w:sz w:val="24"/>
                <w:szCs w:val="24"/>
              </w:rPr>
            </w:pPr>
            <w:r w:rsidRPr="00240D54">
              <w:rPr>
                <w:rFonts w:asciiTheme="majorBidi" w:hAnsiTheme="majorBidi" w:cstheme="majorBidi"/>
                <w:sz w:val="24"/>
                <w:szCs w:val="24"/>
              </w:rPr>
              <w:t>D’accord</w:t>
            </w:r>
          </w:p>
        </w:tc>
      </w:tr>
    </w:tbl>
    <w:p w:rsidR="005236B6" w:rsidRPr="00DE60BF"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spacing w:line="360" w:lineRule="auto"/>
        <w:jc w:val="both"/>
        <w:rPr>
          <w:rFonts w:asciiTheme="majorBidi" w:hAnsiTheme="majorBidi" w:cstheme="majorBidi"/>
          <w:sz w:val="24"/>
          <w:szCs w:val="24"/>
        </w:rPr>
      </w:pPr>
    </w:p>
    <w:p w:rsidR="005236B6" w:rsidRDefault="005236B6" w:rsidP="00F7493D">
      <w:pPr>
        <w:spacing w:line="360" w:lineRule="auto"/>
        <w:jc w:val="both"/>
        <w:rPr>
          <w:rFonts w:asciiTheme="majorBidi" w:hAnsiTheme="majorBidi" w:cstheme="majorBidi"/>
          <w:sz w:val="24"/>
          <w:szCs w:val="24"/>
        </w:rPr>
      </w:pPr>
      <w:r w:rsidRPr="007E53E0">
        <w:rPr>
          <w:rFonts w:asciiTheme="majorBidi" w:hAnsiTheme="majorBidi" w:cstheme="majorBidi"/>
          <w:noProof/>
          <w:sz w:val="24"/>
          <w:szCs w:val="24"/>
          <w:lang w:eastAsia="fr-FR"/>
        </w:rPr>
        <w:drawing>
          <wp:inline distT="0" distB="0" distL="0" distR="0">
            <wp:extent cx="5731510" cy="337470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374701"/>
                    </a:xfrm>
                    <a:prstGeom prst="rect">
                      <a:avLst/>
                    </a:prstGeom>
                    <a:noFill/>
                    <a:ln>
                      <a:noFill/>
                    </a:ln>
                  </pic:spPr>
                </pic:pic>
              </a:graphicData>
            </a:graphic>
          </wp:inline>
        </w:drawing>
      </w:r>
    </w:p>
    <w:p w:rsidR="005236B6" w:rsidRPr="00240D54" w:rsidRDefault="005236B6" w:rsidP="00F7493D">
      <w:pPr>
        <w:spacing w:line="360" w:lineRule="auto"/>
        <w:jc w:val="both"/>
        <w:rPr>
          <w:rFonts w:asciiTheme="majorBidi" w:hAnsiTheme="majorBidi" w:cstheme="majorBidi"/>
          <w:sz w:val="24"/>
          <w:szCs w:val="24"/>
          <w:rtl/>
          <w:lang w:bidi="ar-DZ"/>
        </w:rPr>
      </w:pPr>
      <w:r w:rsidRPr="00240D54">
        <w:rPr>
          <w:rFonts w:asciiTheme="majorBidi" w:hAnsiTheme="majorBidi" w:cstheme="majorBidi"/>
          <w:sz w:val="24"/>
          <w:szCs w:val="24"/>
        </w:rPr>
        <w:lastRenderedPageBreak/>
        <w:t xml:space="preserve">L'analyse de l'axe « sécurité sanitaire » révèle une adhésion massive et homogène des répondants avec une moyenne générale très élevée de 3,91, indiquant un niveau « d'accord ». La solidité statistique est confirmée par un Test-t de 85,16 et une p-valeur de 0,000, garantissant que ces résultats </w:t>
      </w:r>
      <w:r>
        <w:rPr>
          <w:rFonts w:asciiTheme="majorBidi" w:hAnsiTheme="majorBidi" w:cstheme="majorBidi"/>
          <w:sz w:val="24"/>
          <w:szCs w:val="24"/>
        </w:rPr>
        <w:t>sont statistiquement significatifs</w:t>
      </w:r>
      <w:r w:rsidRPr="00240D54">
        <w:rPr>
          <w:rFonts w:asciiTheme="majorBidi" w:hAnsiTheme="majorBidi" w:cstheme="majorBidi"/>
          <w:sz w:val="24"/>
          <w:szCs w:val="24"/>
        </w:rPr>
        <w:t xml:space="preserve">. La question Q19 arrive en tête de classement (Moyenne = 3,95), ce qui démontre une perception particulièrement positive de cet indicateur spécifique. L'écart-type global de 0,65 reflète une faible dispersion, prouvant une convergence réelle des avis sur l'importance de la sécurité sanitaire. </w:t>
      </w:r>
    </w:p>
    <w:p w:rsidR="005236B6" w:rsidRPr="00C75482" w:rsidRDefault="005236B6" w:rsidP="00F7493D">
      <w:pPr>
        <w:tabs>
          <w:tab w:val="left" w:pos="530"/>
          <w:tab w:val="center" w:pos="4513"/>
        </w:tabs>
        <w:autoSpaceDE w:val="0"/>
        <w:adjustRightInd w:val="0"/>
        <w:spacing w:after="0" w:line="360" w:lineRule="auto"/>
        <w:rPr>
          <w:rFonts w:ascii="Times New Roman" w:hAnsi="Times New Roman" w:cs="Times New Roman"/>
          <w:b/>
          <w:bCs/>
          <w:sz w:val="24"/>
          <w:szCs w:val="24"/>
        </w:rPr>
      </w:pPr>
      <w:r>
        <w:rPr>
          <w:rFonts w:asciiTheme="majorBidi" w:hAnsiTheme="majorBidi" w:cstheme="majorBidi"/>
          <w:b/>
          <w:bCs/>
          <w:color w:val="000000" w:themeColor="text1"/>
          <w:sz w:val="24"/>
          <w:szCs w:val="24"/>
        </w:rPr>
        <w:tab/>
      </w:r>
      <w:r w:rsidRPr="00860658">
        <w:rPr>
          <w:rFonts w:ascii="Times New Roman" w:hAnsi="Times New Roman" w:cs="Times New Roman"/>
          <w:b/>
          <w:bCs/>
          <w:color w:val="000000"/>
          <w:sz w:val="24"/>
          <w:szCs w:val="24"/>
        </w:rPr>
        <w:t xml:space="preserve">Tableau N° </w:t>
      </w:r>
      <w:r>
        <w:rPr>
          <w:rFonts w:ascii="Times New Roman" w:hAnsi="Times New Roman" w:cs="Times New Roman"/>
          <w:b/>
          <w:bCs/>
          <w:color w:val="000000"/>
          <w:sz w:val="24"/>
          <w:szCs w:val="24"/>
        </w:rPr>
        <w:t>30</w:t>
      </w:r>
      <w:r w:rsidRPr="00860658">
        <w:rPr>
          <w:rFonts w:ascii="Times New Roman" w:hAnsi="Times New Roman" w:cs="Times New Roman"/>
          <w:b/>
          <w:bCs/>
          <w:color w:val="000000"/>
          <w:sz w:val="24"/>
          <w:szCs w:val="24"/>
        </w:rPr>
        <w:t xml:space="preserve"> :</w:t>
      </w:r>
      <w:r w:rsidRPr="00860658">
        <w:rPr>
          <w:rFonts w:asciiTheme="majorBidi" w:hAnsiTheme="majorBidi" w:cstheme="majorBidi"/>
          <w:b/>
          <w:bCs/>
          <w:color w:val="000000" w:themeColor="text1"/>
          <w:sz w:val="28"/>
          <w:szCs w:val="28"/>
        </w:rPr>
        <w:tab/>
      </w:r>
      <w:r w:rsidRPr="00C75482">
        <w:rPr>
          <w:rFonts w:asciiTheme="majorBidi" w:hAnsiTheme="majorBidi" w:cstheme="majorBidi"/>
          <w:b/>
          <w:bCs/>
          <w:color w:val="000000" w:themeColor="text1"/>
          <w:sz w:val="24"/>
          <w:szCs w:val="24"/>
        </w:rPr>
        <w:t xml:space="preserve">Analyse statistique descriptive des données de </w:t>
      </w:r>
      <w:r>
        <w:rPr>
          <w:rFonts w:asciiTheme="majorBidi" w:hAnsiTheme="majorBidi" w:cstheme="majorBidi"/>
          <w:b/>
          <w:bCs/>
          <w:color w:val="000000" w:themeColor="text1"/>
          <w:sz w:val="24"/>
          <w:szCs w:val="24"/>
        </w:rPr>
        <w:t>l’axe « </w:t>
      </w:r>
      <w:r w:rsidRPr="00C75482">
        <w:rPr>
          <w:rFonts w:ascii="Times New Roman" w:hAnsi="Times New Roman" w:cs="Times New Roman"/>
          <w:b/>
          <w:bCs/>
          <w:sz w:val="24"/>
          <w:szCs w:val="24"/>
        </w:rPr>
        <w:t>conscience sanitaire</w:t>
      </w:r>
      <w:r>
        <w:rPr>
          <w:rFonts w:ascii="Times New Roman" w:hAnsi="Times New Roman" w:cs="Times New Roman"/>
          <w:b/>
          <w:bCs/>
          <w:sz w:val="24"/>
          <w:szCs w:val="24"/>
        </w:rPr>
        <w:t> »</w:t>
      </w:r>
      <w:r w:rsidRPr="00C75482">
        <w:rPr>
          <w:rFonts w:asciiTheme="majorBidi" w:hAnsiTheme="majorBidi" w:cstheme="majorBidi"/>
          <w:b/>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75"/>
        <w:gridCol w:w="1114"/>
        <w:gridCol w:w="994"/>
        <w:gridCol w:w="993"/>
        <w:gridCol w:w="898"/>
        <w:gridCol w:w="1306"/>
        <w:gridCol w:w="1474"/>
        <w:gridCol w:w="1102"/>
      </w:tblGrid>
      <w:tr w:rsidR="005236B6" w:rsidRPr="00C75482" w:rsidTr="00EC7780">
        <w:tc>
          <w:tcPr>
            <w:tcW w:w="1175"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Questions</w:t>
            </w:r>
          </w:p>
        </w:tc>
        <w:tc>
          <w:tcPr>
            <w:tcW w:w="1114"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Moyenne</w:t>
            </w:r>
          </w:p>
        </w:tc>
        <w:tc>
          <w:tcPr>
            <w:tcW w:w="994"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Ecart type</w:t>
            </w:r>
          </w:p>
        </w:tc>
        <w:tc>
          <w:tcPr>
            <w:tcW w:w="993"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Test t</w:t>
            </w:r>
          </w:p>
        </w:tc>
        <w:tc>
          <w:tcPr>
            <w:tcW w:w="898"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Degré de liberté</w:t>
            </w:r>
          </w:p>
        </w:tc>
        <w:tc>
          <w:tcPr>
            <w:tcW w:w="1306"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Sig.</w:t>
            </w:r>
          </w:p>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(Bilatérale)</w:t>
            </w:r>
          </w:p>
        </w:tc>
        <w:tc>
          <w:tcPr>
            <w:tcW w:w="1474"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classification</w:t>
            </w:r>
          </w:p>
        </w:tc>
        <w:tc>
          <w:tcPr>
            <w:tcW w:w="1102"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Niveau d’accord</w:t>
            </w:r>
          </w:p>
        </w:tc>
      </w:tr>
      <w:tr w:rsidR="005236B6" w:rsidRPr="00C75482" w:rsidTr="00EC7780">
        <w:tc>
          <w:tcPr>
            <w:tcW w:w="1175"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Q21</w:t>
            </w:r>
          </w:p>
        </w:tc>
        <w:tc>
          <w:tcPr>
            <w:tcW w:w="111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4,08</w:t>
            </w:r>
          </w:p>
        </w:tc>
        <w:tc>
          <w:tcPr>
            <w:tcW w:w="99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0,713</w:t>
            </w:r>
          </w:p>
        </w:tc>
        <w:tc>
          <w:tcPr>
            <w:tcW w:w="993"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82,036</w:t>
            </w:r>
          </w:p>
        </w:tc>
        <w:tc>
          <w:tcPr>
            <w:tcW w:w="898"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204</w:t>
            </w:r>
          </w:p>
        </w:tc>
        <w:tc>
          <w:tcPr>
            <w:tcW w:w="1306"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0,000</w:t>
            </w:r>
          </w:p>
        </w:tc>
        <w:tc>
          <w:tcPr>
            <w:tcW w:w="1474"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2</w:t>
            </w:r>
          </w:p>
        </w:tc>
        <w:tc>
          <w:tcPr>
            <w:tcW w:w="1102"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d’accord</w:t>
            </w:r>
          </w:p>
        </w:tc>
      </w:tr>
      <w:tr w:rsidR="005236B6" w:rsidRPr="00C75482" w:rsidTr="00EC7780">
        <w:tc>
          <w:tcPr>
            <w:tcW w:w="1175"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Q22</w:t>
            </w:r>
          </w:p>
        </w:tc>
        <w:tc>
          <w:tcPr>
            <w:tcW w:w="111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4,18</w:t>
            </w:r>
          </w:p>
        </w:tc>
        <w:tc>
          <w:tcPr>
            <w:tcW w:w="99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0,768</w:t>
            </w:r>
          </w:p>
        </w:tc>
        <w:tc>
          <w:tcPr>
            <w:tcW w:w="993"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77,938</w:t>
            </w:r>
          </w:p>
        </w:tc>
        <w:tc>
          <w:tcPr>
            <w:tcW w:w="898"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204</w:t>
            </w:r>
          </w:p>
        </w:tc>
        <w:tc>
          <w:tcPr>
            <w:tcW w:w="1306"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0,000</w:t>
            </w:r>
          </w:p>
        </w:tc>
        <w:tc>
          <w:tcPr>
            <w:tcW w:w="1474"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3</w:t>
            </w:r>
          </w:p>
        </w:tc>
        <w:tc>
          <w:tcPr>
            <w:tcW w:w="1102"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D’accord</w:t>
            </w:r>
          </w:p>
        </w:tc>
      </w:tr>
      <w:tr w:rsidR="005236B6" w:rsidRPr="00C75482" w:rsidTr="00EC7780">
        <w:tc>
          <w:tcPr>
            <w:tcW w:w="1175"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Q23</w:t>
            </w:r>
          </w:p>
        </w:tc>
        <w:tc>
          <w:tcPr>
            <w:tcW w:w="111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4,10</w:t>
            </w:r>
          </w:p>
        </w:tc>
        <w:tc>
          <w:tcPr>
            <w:tcW w:w="99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0,710</w:t>
            </w:r>
          </w:p>
        </w:tc>
        <w:tc>
          <w:tcPr>
            <w:tcW w:w="993"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82,725</w:t>
            </w:r>
          </w:p>
        </w:tc>
        <w:tc>
          <w:tcPr>
            <w:tcW w:w="898"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204</w:t>
            </w:r>
          </w:p>
        </w:tc>
        <w:tc>
          <w:tcPr>
            <w:tcW w:w="1306"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0,000</w:t>
            </w:r>
          </w:p>
        </w:tc>
        <w:tc>
          <w:tcPr>
            <w:tcW w:w="1474"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1</w:t>
            </w:r>
          </w:p>
        </w:tc>
        <w:tc>
          <w:tcPr>
            <w:tcW w:w="1102"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D’accord</w:t>
            </w:r>
          </w:p>
        </w:tc>
      </w:tr>
      <w:tr w:rsidR="005236B6" w:rsidRPr="00C75482" w:rsidTr="00EC7780">
        <w:tc>
          <w:tcPr>
            <w:tcW w:w="1175" w:type="dxa"/>
            <w:vAlign w:val="center"/>
            <w:hideMark/>
          </w:tcPr>
          <w:p w:rsidR="005236B6" w:rsidRPr="00C75482" w:rsidRDefault="005236B6" w:rsidP="00F7493D">
            <w:pPr>
              <w:spacing w:line="360" w:lineRule="auto"/>
              <w:jc w:val="center"/>
              <w:rPr>
                <w:rFonts w:asciiTheme="majorBidi" w:hAnsiTheme="majorBidi" w:cstheme="majorBidi"/>
                <w:sz w:val="24"/>
                <w:szCs w:val="24"/>
                <w:rtl/>
                <w:lang w:val="en-US" w:bidi="ar-DZ"/>
              </w:rPr>
            </w:pPr>
            <w:r w:rsidRPr="00C75482">
              <w:rPr>
                <w:rFonts w:asciiTheme="majorBidi" w:hAnsiTheme="majorBidi" w:cstheme="majorBidi"/>
                <w:sz w:val="24"/>
                <w:szCs w:val="24"/>
              </w:rPr>
              <w:t>Q24</w:t>
            </w:r>
          </w:p>
        </w:tc>
        <w:tc>
          <w:tcPr>
            <w:tcW w:w="111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4,11</w:t>
            </w:r>
          </w:p>
        </w:tc>
        <w:tc>
          <w:tcPr>
            <w:tcW w:w="994"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0,785</w:t>
            </w:r>
          </w:p>
        </w:tc>
        <w:tc>
          <w:tcPr>
            <w:tcW w:w="993"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74,936</w:t>
            </w:r>
          </w:p>
        </w:tc>
        <w:tc>
          <w:tcPr>
            <w:tcW w:w="898"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204</w:t>
            </w:r>
          </w:p>
        </w:tc>
        <w:tc>
          <w:tcPr>
            <w:tcW w:w="1306" w:type="dxa"/>
            <w:shd w:val="clear" w:color="auto" w:fill="FFFFFF"/>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0,000</w:t>
            </w:r>
          </w:p>
        </w:tc>
        <w:tc>
          <w:tcPr>
            <w:tcW w:w="1474"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4</w:t>
            </w:r>
          </w:p>
        </w:tc>
        <w:tc>
          <w:tcPr>
            <w:tcW w:w="1102"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D’accord</w:t>
            </w:r>
          </w:p>
        </w:tc>
      </w:tr>
      <w:tr w:rsidR="005236B6" w:rsidRPr="00C75482" w:rsidTr="00EC7780">
        <w:tc>
          <w:tcPr>
            <w:tcW w:w="1175"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Total</w:t>
            </w:r>
          </w:p>
        </w:tc>
        <w:tc>
          <w:tcPr>
            <w:tcW w:w="1114" w:type="dxa"/>
            <w:shd w:val="clear" w:color="auto" w:fill="FFFFFF"/>
            <w:vAlign w:val="center"/>
            <w:hideMark/>
          </w:tcPr>
          <w:p w:rsidR="005236B6" w:rsidRPr="00C75482"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C75482">
              <w:rPr>
                <w:rFonts w:asciiTheme="majorBidi" w:hAnsiTheme="majorBidi" w:cstheme="majorBidi"/>
                <w:color w:val="010205"/>
                <w:sz w:val="24"/>
                <w:szCs w:val="24"/>
              </w:rPr>
              <w:t>4,1183</w:t>
            </w:r>
          </w:p>
        </w:tc>
        <w:tc>
          <w:tcPr>
            <w:tcW w:w="994" w:type="dxa"/>
            <w:shd w:val="clear" w:color="auto" w:fill="FFFFFF"/>
            <w:vAlign w:val="center"/>
            <w:hideMark/>
          </w:tcPr>
          <w:p w:rsidR="005236B6" w:rsidRPr="00C75482"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C75482">
              <w:rPr>
                <w:rFonts w:asciiTheme="majorBidi" w:hAnsiTheme="majorBidi" w:cstheme="majorBidi"/>
                <w:color w:val="010205"/>
                <w:sz w:val="24"/>
                <w:szCs w:val="24"/>
              </w:rPr>
              <w:t>,58187</w:t>
            </w:r>
          </w:p>
        </w:tc>
        <w:tc>
          <w:tcPr>
            <w:tcW w:w="993" w:type="dxa"/>
            <w:shd w:val="clear" w:color="auto" w:fill="FFFFFF"/>
            <w:vAlign w:val="center"/>
            <w:hideMark/>
          </w:tcPr>
          <w:p w:rsidR="005236B6" w:rsidRPr="00C75482"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C75482">
              <w:rPr>
                <w:rFonts w:asciiTheme="majorBidi" w:hAnsiTheme="majorBidi" w:cstheme="majorBidi"/>
                <w:color w:val="010205"/>
                <w:sz w:val="24"/>
                <w:szCs w:val="24"/>
              </w:rPr>
              <w:t>101,337</w:t>
            </w:r>
          </w:p>
        </w:tc>
        <w:tc>
          <w:tcPr>
            <w:tcW w:w="898" w:type="dxa"/>
            <w:shd w:val="clear" w:color="auto" w:fill="FFFFFF"/>
            <w:vAlign w:val="center"/>
            <w:hideMark/>
          </w:tcPr>
          <w:p w:rsidR="005236B6" w:rsidRPr="00C75482"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sidRPr="00C75482">
              <w:rPr>
                <w:rFonts w:asciiTheme="majorBidi" w:hAnsiTheme="majorBidi" w:cstheme="majorBidi"/>
                <w:color w:val="010205"/>
                <w:sz w:val="24"/>
                <w:szCs w:val="24"/>
              </w:rPr>
              <w:t>204</w:t>
            </w:r>
          </w:p>
        </w:tc>
        <w:tc>
          <w:tcPr>
            <w:tcW w:w="1306" w:type="dxa"/>
            <w:shd w:val="clear" w:color="auto" w:fill="FFFFFF"/>
            <w:vAlign w:val="center"/>
            <w:hideMark/>
          </w:tcPr>
          <w:p w:rsidR="005236B6" w:rsidRPr="00C75482" w:rsidRDefault="005236B6" w:rsidP="00F7493D">
            <w:pPr>
              <w:autoSpaceDE w:val="0"/>
              <w:adjustRightInd w:val="0"/>
              <w:spacing w:after="0"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C75482">
              <w:rPr>
                <w:rFonts w:asciiTheme="majorBidi" w:hAnsiTheme="majorBidi" w:cstheme="majorBidi"/>
                <w:color w:val="010205"/>
                <w:sz w:val="24"/>
                <w:szCs w:val="24"/>
              </w:rPr>
              <w:t>,000</w:t>
            </w:r>
          </w:p>
        </w:tc>
        <w:tc>
          <w:tcPr>
            <w:tcW w:w="1474" w:type="dxa"/>
            <w:vAlign w:val="center"/>
          </w:tcPr>
          <w:p w:rsidR="005236B6" w:rsidRPr="00C75482" w:rsidRDefault="005236B6" w:rsidP="00F7493D">
            <w:pPr>
              <w:spacing w:line="360" w:lineRule="auto"/>
              <w:jc w:val="center"/>
              <w:rPr>
                <w:rFonts w:asciiTheme="majorBidi" w:hAnsiTheme="majorBidi" w:cstheme="majorBidi"/>
                <w:sz w:val="24"/>
                <w:szCs w:val="24"/>
              </w:rPr>
            </w:pPr>
          </w:p>
        </w:tc>
        <w:tc>
          <w:tcPr>
            <w:tcW w:w="1102" w:type="dxa"/>
            <w:vAlign w:val="center"/>
            <w:hideMark/>
          </w:tcPr>
          <w:p w:rsidR="005236B6" w:rsidRPr="00C75482" w:rsidRDefault="005236B6" w:rsidP="00F7493D">
            <w:pPr>
              <w:spacing w:line="360" w:lineRule="auto"/>
              <w:jc w:val="center"/>
              <w:rPr>
                <w:rFonts w:asciiTheme="majorBidi" w:hAnsiTheme="majorBidi" w:cstheme="majorBidi"/>
                <w:sz w:val="24"/>
                <w:szCs w:val="24"/>
              </w:rPr>
            </w:pPr>
            <w:r w:rsidRPr="00C75482">
              <w:rPr>
                <w:rFonts w:asciiTheme="majorBidi" w:hAnsiTheme="majorBidi" w:cstheme="majorBidi"/>
                <w:sz w:val="24"/>
                <w:szCs w:val="24"/>
              </w:rPr>
              <w:t>D’accord</w:t>
            </w:r>
          </w:p>
        </w:tc>
      </w:tr>
    </w:tbl>
    <w:p w:rsidR="005236B6" w:rsidRPr="00DE60BF"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spacing w:line="360" w:lineRule="auto"/>
        <w:jc w:val="both"/>
        <w:rPr>
          <w:rFonts w:asciiTheme="majorBidi" w:hAnsiTheme="majorBidi" w:cstheme="majorBidi"/>
          <w:sz w:val="24"/>
          <w:szCs w:val="24"/>
        </w:rPr>
      </w:pPr>
    </w:p>
    <w:p w:rsidR="005236B6" w:rsidRDefault="005236B6" w:rsidP="00F7493D">
      <w:pPr>
        <w:spacing w:line="360" w:lineRule="auto"/>
        <w:jc w:val="both"/>
        <w:rPr>
          <w:rFonts w:asciiTheme="majorBidi" w:hAnsiTheme="majorBidi" w:cstheme="majorBidi"/>
          <w:sz w:val="24"/>
          <w:szCs w:val="24"/>
        </w:rPr>
      </w:pPr>
    </w:p>
    <w:p w:rsidR="005236B6" w:rsidRDefault="005236B6" w:rsidP="00F7493D">
      <w:pPr>
        <w:spacing w:line="360" w:lineRule="auto"/>
        <w:jc w:val="both"/>
        <w:rPr>
          <w:rFonts w:asciiTheme="majorBidi" w:hAnsiTheme="majorBidi" w:cstheme="majorBidi"/>
          <w:sz w:val="24"/>
          <w:szCs w:val="24"/>
        </w:rPr>
      </w:pPr>
      <w:r w:rsidRPr="007E53E0">
        <w:rPr>
          <w:rFonts w:asciiTheme="majorBidi" w:hAnsiTheme="majorBidi" w:cstheme="majorBidi"/>
          <w:noProof/>
          <w:sz w:val="24"/>
          <w:szCs w:val="24"/>
          <w:lang w:eastAsia="fr-FR"/>
        </w:rPr>
        <w:lastRenderedPageBreak/>
        <w:drawing>
          <wp:inline distT="0" distB="0" distL="0" distR="0">
            <wp:extent cx="5731510" cy="337439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374390"/>
                    </a:xfrm>
                    <a:prstGeom prst="rect">
                      <a:avLst/>
                    </a:prstGeom>
                    <a:noFill/>
                    <a:ln>
                      <a:noFill/>
                    </a:ln>
                  </pic:spPr>
                </pic:pic>
              </a:graphicData>
            </a:graphic>
          </wp:inline>
        </w:drawing>
      </w:r>
    </w:p>
    <w:p w:rsidR="005236B6" w:rsidRPr="00C75482" w:rsidRDefault="005236B6" w:rsidP="00F7493D">
      <w:pPr>
        <w:spacing w:line="360" w:lineRule="auto"/>
        <w:jc w:val="both"/>
        <w:rPr>
          <w:rFonts w:asciiTheme="majorBidi" w:hAnsiTheme="majorBidi" w:cstheme="majorBidi"/>
          <w:sz w:val="24"/>
          <w:szCs w:val="24"/>
        </w:rPr>
      </w:pPr>
      <w:r w:rsidRPr="00C75482">
        <w:rPr>
          <w:rFonts w:asciiTheme="majorBidi" w:hAnsiTheme="majorBidi" w:cstheme="majorBidi"/>
          <w:sz w:val="24"/>
          <w:szCs w:val="24"/>
        </w:rPr>
        <w:t>L'analyse de l'axe « conscience sanitaire » témoigne d'un niveau d'engagement exceptionn</w:t>
      </w:r>
      <w:r>
        <w:rPr>
          <w:rFonts w:asciiTheme="majorBidi" w:hAnsiTheme="majorBidi" w:cstheme="majorBidi"/>
          <w:sz w:val="24"/>
          <w:szCs w:val="24"/>
        </w:rPr>
        <w:t xml:space="preserve">el avec une moyenne globale </w:t>
      </w:r>
      <w:r w:rsidRPr="00C75482">
        <w:rPr>
          <w:rFonts w:asciiTheme="majorBidi" w:hAnsiTheme="majorBidi" w:cstheme="majorBidi"/>
          <w:sz w:val="24"/>
          <w:szCs w:val="24"/>
        </w:rPr>
        <w:t xml:space="preserve">élevée de </w:t>
      </w:r>
      <w:r w:rsidRPr="00C75482">
        <w:rPr>
          <w:rFonts w:asciiTheme="majorBidi" w:hAnsiTheme="majorBidi" w:cstheme="majorBidi"/>
          <w:b/>
          <w:bCs/>
          <w:sz w:val="24"/>
          <w:szCs w:val="24"/>
        </w:rPr>
        <w:t>4,12</w:t>
      </w:r>
      <w:r w:rsidRPr="00C75482">
        <w:rPr>
          <w:rFonts w:asciiTheme="majorBidi" w:hAnsiTheme="majorBidi" w:cstheme="majorBidi"/>
          <w:sz w:val="24"/>
          <w:szCs w:val="24"/>
        </w:rPr>
        <w:t xml:space="preserve">, confirmant un fort degré d'accord chez les répondants. La robustesse statistique est frappante, marquée par un Test-t de </w:t>
      </w:r>
      <w:r w:rsidRPr="00C75482">
        <w:rPr>
          <w:rFonts w:asciiTheme="majorBidi" w:hAnsiTheme="majorBidi" w:cstheme="majorBidi"/>
          <w:b/>
          <w:bCs/>
          <w:sz w:val="24"/>
          <w:szCs w:val="24"/>
        </w:rPr>
        <w:t>101,34</w:t>
      </w:r>
      <w:r w:rsidRPr="00C75482">
        <w:rPr>
          <w:rFonts w:asciiTheme="majorBidi" w:hAnsiTheme="majorBidi" w:cstheme="majorBidi"/>
          <w:sz w:val="24"/>
          <w:szCs w:val="24"/>
        </w:rPr>
        <w:t xml:space="preserve"> et une valeur de signification de </w:t>
      </w:r>
      <w:r w:rsidRPr="00C75482">
        <w:rPr>
          <w:rFonts w:asciiTheme="majorBidi" w:hAnsiTheme="majorBidi" w:cstheme="majorBidi"/>
          <w:b/>
          <w:bCs/>
          <w:sz w:val="24"/>
          <w:szCs w:val="24"/>
        </w:rPr>
        <w:t>0,000</w:t>
      </w:r>
      <w:r w:rsidRPr="00C75482">
        <w:rPr>
          <w:rFonts w:asciiTheme="majorBidi" w:hAnsiTheme="majorBidi" w:cstheme="majorBidi"/>
          <w:sz w:val="24"/>
          <w:szCs w:val="24"/>
        </w:rPr>
        <w:t xml:space="preserve">, ce qui valide totalement la fiabilité des résultats. La question </w:t>
      </w:r>
      <w:r w:rsidRPr="00C75482">
        <w:rPr>
          <w:rFonts w:asciiTheme="majorBidi" w:hAnsiTheme="majorBidi" w:cstheme="majorBidi"/>
          <w:b/>
          <w:bCs/>
          <w:sz w:val="24"/>
          <w:szCs w:val="24"/>
        </w:rPr>
        <w:t>Q23</w:t>
      </w:r>
      <w:r w:rsidRPr="00C75482">
        <w:rPr>
          <w:rFonts w:asciiTheme="majorBidi" w:hAnsiTheme="majorBidi" w:cstheme="majorBidi"/>
          <w:sz w:val="24"/>
          <w:szCs w:val="24"/>
        </w:rPr>
        <w:t xml:space="preserve"> arrive en tête du classement, bien que l'ensemble des moyennes individuelles dépasse le score de 4,00, illustrant une perception très positive et uniforme. L'écart-type global réduit (</w:t>
      </w:r>
      <w:r w:rsidRPr="00C75482">
        <w:rPr>
          <w:rFonts w:asciiTheme="majorBidi" w:hAnsiTheme="majorBidi" w:cstheme="majorBidi"/>
          <w:b/>
          <w:bCs/>
          <w:sz w:val="24"/>
          <w:szCs w:val="24"/>
        </w:rPr>
        <w:t>0,58</w:t>
      </w:r>
      <w:r>
        <w:rPr>
          <w:rFonts w:asciiTheme="majorBidi" w:hAnsiTheme="majorBidi" w:cstheme="majorBidi"/>
          <w:sz w:val="24"/>
          <w:szCs w:val="24"/>
        </w:rPr>
        <w:t>) indique une</w:t>
      </w:r>
      <w:r w:rsidRPr="00C75482">
        <w:rPr>
          <w:rFonts w:asciiTheme="majorBidi" w:hAnsiTheme="majorBidi" w:cstheme="majorBidi"/>
          <w:sz w:val="24"/>
          <w:szCs w:val="24"/>
        </w:rPr>
        <w:t xml:space="preserve"> cohérence des avis, sans disparités majeures dans l'échantillon.</w:t>
      </w:r>
    </w:p>
    <w:p w:rsidR="005236B6" w:rsidRPr="00373E5E" w:rsidRDefault="005236B6" w:rsidP="00F7493D">
      <w:pPr>
        <w:autoSpaceDE w:val="0"/>
        <w:adjustRightInd w:val="0"/>
        <w:spacing w:after="0" w:line="360" w:lineRule="auto"/>
        <w:rPr>
          <w:rFonts w:ascii="Times New Roman" w:hAnsi="Times New Roman" w:cs="Times New Roman"/>
          <w:b/>
          <w:bCs/>
          <w:sz w:val="24"/>
          <w:szCs w:val="24"/>
        </w:rPr>
      </w:pPr>
      <w:r w:rsidRPr="00860658">
        <w:rPr>
          <w:rFonts w:ascii="Times New Roman" w:hAnsi="Times New Roman" w:cs="Times New Roman"/>
          <w:b/>
          <w:bCs/>
          <w:color w:val="000000"/>
          <w:sz w:val="24"/>
          <w:szCs w:val="24"/>
        </w:rPr>
        <w:t xml:space="preserve">Tableau N° </w:t>
      </w:r>
      <w:r>
        <w:rPr>
          <w:rFonts w:ascii="Times New Roman" w:hAnsi="Times New Roman" w:cs="Times New Roman"/>
          <w:b/>
          <w:bCs/>
          <w:color w:val="000000"/>
          <w:sz w:val="24"/>
          <w:szCs w:val="24"/>
        </w:rPr>
        <w:t>31</w:t>
      </w:r>
      <w:r w:rsidRPr="00860658">
        <w:rPr>
          <w:rFonts w:ascii="Times New Roman" w:hAnsi="Times New Roman" w:cs="Times New Roman"/>
          <w:b/>
          <w:bCs/>
          <w:color w:val="000000"/>
          <w:sz w:val="24"/>
          <w:szCs w:val="24"/>
        </w:rPr>
        <w:t xml:space="preserve"> :</w:t>
      </w:r>
      <w:r w:rsidRPr="00373E5E">
        <w:rPr>
          <w:rFonts w:asciiTheme="majorBidi" w:hAnsiTheme="majorBidi" w:cstheme="majorBidi"/>
          <w:b/>
          <w:bCs/>
          <w:color w:val="000000" w:themeColor="text1"/>
          <w:sz w:val="24"/>
          <w:szCs w:val="24"/>
        </w:rPr>
        <w:t xml:space="preserve"> Analyse statistique descriptive des données de</w:t>
      </w:r>
      <w:r>
        <w:rPr>
          <w:rFonts w:asciiTheme="majorBidi" w:hAnsiTheme="majorBidi" w:cstheme="majorBidi"/>
          <w:b/>
          <w:bCs/>
          <w:color w:val="000000" w:themeColor="text1"/>
          <w:sz w:val="24"/>
          <w:szCs w:val="24"/>
        </w:rPr>
        <w:t xml:space="preserve"> l’axe « </w:t>
      </w:r>
      <w:r w:rsidRPr="00373E5E">
        <w:rPr>
          <w:rFonts w:asciiTheme="majorBidi" w:hAnsiTheme="majorBidi" w:cstheme="majorBidi"/>
          <w:b/>
          <w:bCs/>
          <w:color w:val="000000" w:themeColor="text1"/>
          <w:sz w:val="24"/>
          <w:szCs w:val="24"/>
        </w:rPr>
        <w:t>l’intention</w:t>
      </w:r>
      <w:r w:rsidRPr="00373E5E">
        <w:rPr>
          <w:rFonts w:ascii="Times New Roman" w:hAnsi="Times New Roman" w:cs="Times New Roman"/>
          <w:b/>
          <w:bCs/>
          <w:sz w:val="24"/>
          <w:szCs w:val="24"/>
        </w:rPr>
        <w:t xml:space="preserve"> d'achat</w:t>
      </w:r>
      <w:r>
        <w:rPr>
          <w:rFonts w:ascii="Times New Roman" w:hAnsi="Times New Roman" w:cs="Times New Roman"/>
          <w:b/>
          <w:bCs/>
          <w:sz w:val="24"/>
          <w:szCs w:val="24"/>
        </w:rPr>
        <w:t> »</w:t>
      </w:r>
      <w:r w:rsidRPr="00373E5E">
        <w:rPr>
          <w:rFonts w:asciiTheme="majorBidi" w:hAnsiTheme="majorBidi" w:cstheme="majorBidi"/>
          <w:b/>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75"/>
        <w:gridCol w:w="1114"/>
        <w:gridCol w:w="994"/>
        <w:gridCol w:w="993"/>
        <w:gridCol w:w="898"/>
        <w:gridCol w:w="1306"/>
        <w:gridCol w:w="1474"/>
        <w:gridCol w:w="1102"/>
      </w:tblGrid>
      <w:tr w:rsidR="005236B6" w:rsidRPr="00373E5E" w:rsidTr="00EC7780">
        <w:tc>
          <w:tcPr>
            <w:tcW w:w="1175"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Questions</w:t>
            </w:r>
          </w:p>
        </w:tc>
        <w:tc>
          <w:tcPr>
            <w:tcW w:w="1114"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Moyenne</w:t>
            </w:r>
          </w:p>
        </w:tc>
        <w:tc>
          <w:tcPr>
            <w:tcW w:w="994"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Ecart type</w:t>
            </w:r>
          </w:p>
        </w:tc>
        <w:tc>
          <w:tcPr>
            <w:tcW w:w="993"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Test t</w:t>
            </w:r>
          </w:p>
        </w:tc>
        <w:tc>
          <w:tcPr>
            <w:tcW w:w="898"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Degré de liberté</w:t>
            </w:r>
          </w:p>
        </w:tc>
        <w:tc>
          <w:tcPr>
            <w:tcW w:w="1306"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Sig.</w:t>
            </w:r>
          </w:p>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(Bilatérale)</w:t>
            </w:r>
          </w:p>
        </w:tc>
        <w:tc>
          <w:tcPr>
            <w:tcW w:w="1474"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classification</w:t>
            </w:r>
          </w:p>
        </w:tc>
        <w:tc>
          <w:tcPr>
            <w:tcW w:w="1102"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Niveau d’accord</w:t>
            </w:r>
          </w:p>
        </w:tc>
      </w:tr>
      <w:tr w:rsidR="005236B6" w:rsidRPr="00373E5E" w:rsidTr="00EC7780">
        <w:tc>
          <w:tcPr>
            <w:tcW w:w="1175"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Q25</w:t>
            </w:r>
          </w:p>
        </w:tc>
        <w:tc>
          <w:tcPr>
            <w:tcW w:w="111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3,67</w:t>
            </w:r>
          </w:p>
        </w:tc>
        <w:tc>
          <w:tcPr>
            <w:tcW w:w="99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0,839</w:t>
            </w:r>
          </w:p>
        </w:tc>
        <w:tc>
          <w:tcPr>
            <w:tcW w:w="993"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62,635</w:t>
            </w:r>
          </w:p>
        </w:tc>
        <w:tc>
          <w:tcPr>
            <w:tcW w:w="898"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204</w:t>
            </w:r>
          </w:p>
        </w:tc>
        <w:tc>
          <w:tcPr>
            <w:tcW w:w="1306"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0,000</w:t>
            </w:r>
          </w:p>
        </w:tc>
        <w:tc>
          <w:tcPr>
            <w:tcW w:w="1474"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4</w:t>
            </w:r>
          </w:p>
        </w:tc>
        <w:tc>
          <w:tcPr>
            <w:tcW w:w="1102"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d’accord</w:t>
            </w:r>
          </w:p>
        </w:tc>
      </w:tr>
      <w:tr w:rsidR="005236B6" w:rsidRPr="00373E5E" w:rsidTr="00EC7780">
        <w:tc>
          <w:tcPr>
            <w:tcW w:w="1175"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Q26</w:t>
            </w:r>
          </w:p>
        </w:tc>
        <w:tc>
          <w:tcPr>
            <w:tcW w:w="111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3,80</w:t>
            </w:r>
          </w:p>
        </w:tc>
        <w:tc>
          <w:tcPr>
            <w:tcW w:w="99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0,761</w:t>
            </w:r>
          </w:p>
        </w:tc>
        <w:tc>
          <w:tcPr>
            <w:tcW w:w="993"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71,570</w:t>
            </w:r>
          </w:p>
        </w:tc>
        <w:tc>
          <w:tcPr>
            <w:tcW w:w="898"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204</w:t>
            </w:r>
          </w:p>
        </w:tc>
        <w:tc>
          <w:tcPr>
            <w:tcW w:w="1306"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0,000</w:t>
            </w:r>
          </w:p>
        </w:tc>
        <w:tc>
          <w:tcPr>
            <w:tcW w:w="1474"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2</w:t>
            </w:r>
          </w:p>
        </w:tc>
        <w:tc>
          <w:tcPr>
            <w:tcW w:w="1102"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D’accord</w:t>
            </w:r>
          </w:p>
        </w:tc>
      </w:tr>
      <w:tr w:rsidR="005236B6" w:rsidRPr="00373E5E" w:rsidTr="00EC7780">
        <w:tc>
          <w:tcPr>
            <w:tcW w:w="1175"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Q27</w:t>
            </w:r>
          </w:p>
        </w:tc>
        <w:tc>
          <w:tcPr>
            <w:tcW w:w="111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3,72</w:t>
            </w:r>
          </w:p>
        </w:tc>
        <w:tc>
          <w:tcPr>
            <w:tcW w:w="99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0,791</w:t>
            </w:r>
          </w:p>
        </w:tc>
        <w:tc>
          <w:tcPr>
            <w:tcW w:w="993"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67,295</w:t>
            </w:r>
          </w:p>
        </w:tc>
        <w:tc>
          <w:tcPr>
            <w:tcW w:w="898"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204</w:t>
            </w:r>
          </w:p>
        </w:tc>
        <w:tc>
          <w:tcPr>
            <w:tcW w:w="1306"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0,000</w:t>
            </w:r>
          </w:p>
        </w:tc>
        <w:tc>
          <w:tcPr>
            <w:tcW w:w="1474"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3</w:t>
            </w:r>
          </w:p>
        </w:tc>
        <w:tc>
          <w:tcPr>
            <w:tcW w:w="1102"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D’accord</w:t>
            </w:r>
          </w:p>
        </w:tc>
      </w:tr>
      <w:tr w:rsidR="005236B6" w:rsidRPr="00373E5E" w:rsidTr="00EC7780">
        <w:tc>
          <w:tcPr>
            <w:tcW w:w="1175" w:type="dxa"/>
            <w:hideMark/>
          </w:tcPr>
          <w:p w:rsidR="005236B6" w:rsidRPr="00373E5E" w:rsidRDefault="005236B6" w:rsidP="00140168">
            <w:pPr>
              <w:spacing w:after="0" w:line="360" w:lineRule="auto"/>
              <w:jc w:val="center"/>
              <w:rPr>
                <w:rFonts w:asciiTheme="majorBidi" w:hAnsiTheme="majorBidi" w:cstheme="majorBidi"/>
                <w:sz w:val="24"/>
                <w:szCs w:val="24"/>
                <w:rtl/>
                <w:lang w:val="en-US" w:bidi="ar-DZ"/>
              </w:rPr>
            </w:pPr>
            <w:r w:rsidRPr="00373E5E">
              <w:rPr>
                <w:rFonts w:asciiTheme="majorBidi" w:hAnsiTheme="majorBidi" w:cstheme="majorBidi"/>
                <w:sz w:val="24"/>
                <w:szCs w:val="24"/>
              </w:rPr>
              <w:t>Q28</w:t>
            </w:r>
          </w:p>
        </w:tc>
        <w:tc>
          <w:tcPr>
            <w:tcW w:w="111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3,93</w:t>
            </w:r>
          </w:p>
        </w:tc>
        <w:tc>
          <w:tcPr>
            <w:tcW w:w="99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0,711</w:t>
            </w:r>
          </w:p>
        </w:tc>
        <w:tc>
          <w:tcPr>
            <w:tcW w:w="993"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79,207</w:t>
            </w:r>
          </w:p>
        </w:tc>
        <w:tc>
          <w:tcPr>
            <w:tcW w:w="898"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204</w:t>
            </w:r>
          </w:p>
        </w:tc>
        <w:tc>
          <w:tcPr>
            <w:tcW w:w="1306"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0,000</w:t>
            </w:r>
          </w:p>
        </w:tc>
        <w:tc>
          <w:tcPr>
            <w:tcW w:w="1474"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1</w:t>
            </w:r>
          </w:p>
        </w:tc>
        <w:tc>
          <w:tcPr>
            <w:tcW w:w="1102"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D’accord</w:t>
            </w:r>
          </w:p>
        </w:tc>
      </w:tr>
      <w:tr w:rsidR="005236B6" w:rsidRPr="00373E5E" w:rsidTr="00EC7780">
        <w:tc>
          <w:tcPr>
            <w:tcW w:w="1175"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Total</w:t>
            </w:r>
          </w:p>
        </w:tc>
        <w:tc>
          <w:tcPr>
            <w:tcW w:w="111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3,7805</w:t>
            </w:r>
          </w:p>
        </w:tc>
        <w:tc>
          <w:tcPr>
            <w:tcW w:w="994" w:type="dxa"/>
            <w:shd w:val="clear" w:color="auto" w:fill="FFFFFF"/>
            <w:hideMark/>
          </w:tcPr>
          <w:p w:rsidR="005236B6" w:rsidRPr="00373E5E" w:rsidRDefault="005236B6" w:rsidP="00140168">
            <w:pPr>
              <w:autoSpaceDE w:val="0"/>
              <w:adjustRightInd w:val="0"/>
              <w:spacing w:after="0"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,61136</w:t>
            </w:r>
          </w:p>
        </w:tc>
        <w:tc>
          <w:tcPr>
            <w:tcW w:w="993"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88,538</w:t>
            </w:r>
          </w:p>
        </w:tc>
        <w:tc>
          <w:tcPr>
            <w:tcW w:w="898"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204</w:t>
            </w:r>
          </w:p>
        </w:tc>
        <w:tc>
          <w:tcPr>
            <w:tcW w:w="1306" w:type="dxa"/>
            <w:shd w:val="clear" w:color="auto" w:fill="FFFFFF"/>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,000</w:t>
            </w:r>
          </w:p>
        </w:tc>
        <w:tc>
          <w:tcPr>
            <w:tcW w:w="1474" w:type="dxa"/>
          </w:tcPr>
          <w:p w:rsidR="005236B6" w:rsidRPr="00373E5E" w:rsidRDefault="005236B6" w:rsidP="00140168">
            <w:pPr>
              <w:spacing w:after="0" w:line="360" w:lineRule="auto"/>
              <w:jc w:val="center"/>
              <w:rPr>
                <w:rFonts w:asciiTheme="majorBidi" w:hAnsiTheme="majorBidi" w:cstheme="majorBidi"/>
                <w:sz w:val="24"/>
                <w:szCs w:val="24"/>
              </w:rPr>
            </w:pPr>
          </w:p>
        </w:tc>
        <w:tc>
          <w:tcPr>
            <w:tcW w:w="1102" w:type="dxa"/>
            <w:hideMark/>
          </w:tcPr>
          <w:p w:rsidR="005236B6" w:rsidRPr="00373E5E" w:rsidRDefault="005236B6" w:rsidP="00140168">
            <w:pPr>
              <w:spacing w:after="0" w:line="360" w:lineRule="auto"/>
              <w:jc w:val="center"/>
              <w:rPr>
                <w:rFonts w:asciiTheme="majorBidi" w:hAnsiTheme="majorBidi" w:cstheme="majorBidi"/>
                <w:sz w:val="24"/>
                <w:szCs w:val="24"/>
              </w:rPr>
            </w:pPr>
            <w:r w:rsidRPr="00373E5E">
              <w:rPr>
                <w:rFonts w:asciiTheme="majorBidi" w:hAnsiTheme="majorBidi" w:cstheme="majorBidi"/>
                <w:sz w:val="24"/>
                <w:szCs w:val="24"/>
              </w:rPr>
              <w:t>D’accord</w:t>
            </w: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spacing w:line="360" w:lineRule="auto"/>
        <w:jc w:val="both"/>
        <w:rPr>
          <w:rFonts w:asciiTheme="majorBidi" w:hAnsiTheme="majorBidi" w:cstheme="majorBidi"/>
          <w:sz w:val="24"/>
          <w:szCs w:val="24"/>
        </w:rPr>
      </w:pPr>
      <w:r w:rsidRPr="007E53E0">
        <w:rPr>
          <w:rFonts w:asciiTheme="majorBidi" w:hAnsiTheme="majorBidi" w:cstheme="majorBidi"/>
          <w:noProof/>
          <w:sz w:val="24"/>
          <w:szCs w:val="24"/>
          <w:lang w:eastAsia="fr-FR"/>
        </w:rPr>
        <w:lastRenderedPageBreak/>
        <w:drawing>
          <wp:inline distT="0" distB="0" distL="0" distR="0">
            <wp:extent cx="5731510" cy="3374701"/>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374701"/>
                    </a:xfrm>
                    <a:prstGeom prst="rect">
                      <a:avLst/>
                    </a:prstGeom>
                    <a:noFill/>
                    <a:ln>
                      <a:noFill/>
                    </a:ln>
                  </pic:spPr>
                </pic:pic>
              </a:graphicData>
            </a:graphic>
          </wp:inline>
        </w:drawing>
      </w:r>
    </w:p>
    <w:p w:rsidR="005236B6" w:rsidRPr="00971C0C" w:rsidRDefault="005236B6" w:rsidP="00F7493D">
      <w:pPr>
        <w:spacing w:line="360" w:lineRule="auto"/>
        <w:jc w:val="both"/>
        <w:rPr>
          <w:rFonts w:asciiTheme="majorBidi" w:hAnsiTheme="majorBidi" w:cstheme="majorBidi"/>
          <w:sz w:val="24"/>
          <w:szCs w:val="24"/>
        </w:rPr>
      </w:pPr>
      <w:r w:rsidRPr="00971C0C">
        <w:rPr>
          <w:rFonts w:asciiTheme="majorBidi" w:hAnsiTheme="majorBidi" w:cstheme="majorBidi"/>
          <w:sz w:val="24"/>
          <w:szCs w:val="24"/>
        </w:rPr>
        <w:t>L'analyse de l'axe « intention d'achat » révèle une attitude très positive des répondants avec une moyenne générale de 3,78, confirmant un niveau d'accord explicite. La fiabilité statistique est validée par un Test-t de 88,54 et une p-valeur de 0,000, prouvant que les résultats sont hautement significatifs. La question Q28 se distingue nettement en tête de classement (Moyenne = 3,93), montrant un moteur d'achat particulièrement puissant au sein de cet échantillon. L'écart-type de 0,61 indique une dispersion modérée, reflétant une certaine cohésion dans les intentions exprimées.</w:t>
      </w:r>
    </w:p>
    <w:p w:rsidR="005236B6" w:rsidRPr="00860658" w:rsidRDefault="005236B6" w:rsidP="00F7493D">
      <w:pPr>
        <w:autoSpaceDE w:val="0"/>
        <w:adjustRightInd w:val="0"/>
        <w:spacing w:after="0" w:line="360" w:lineRule="auto"/>
        <w:ind w:left="360"/>
        <w:rPr>
          <w:rFonts w:asciiTheme="majorBidi" w:hAnsiTheme="majorBidi" w:cstheme="majorBidi"/>
          <w:b/>
          <w:bCs/>
          <w:sz w:val="24"/>
          <w:szCs w:val="24"/>
        </w:rPr>
      </w:pPr>
      <w:r w:rsidRPr="00860658">
        <w:rPr>
          <w:rFonts w:ascii="Times New Roman" w:hAnsi="Times New Roman" w:cs="Times New Roman"/>
          <w:b/>
          <w:bCs/>
          <w:color w:val="000000"/>
          <w:sz w:val="24"/>
          <w:szCs w:val="24"/>
        </w:rPr>
        <w:t xml:space="preserve">Tableau N° </w:t>
      </w:r>
      <w:r>
        <w:rPr>
          <w:rFonts w:ascii="Times New Roman" w:hAnsi="Times New Roman" w:cs="Times New Roman"/>
          <w:b/>
          <w:bCs/>
          <w:color w:val="000000"/>
          <w:sz w:val="24"/>
          <w:szCs w:val="24"/>
        </w:rPr>
        <w:t>32</w:t>
      </w:r>
      <w:r w:rsidRPr="00860658">
        <w:rPr>
          <w:rFonts w:ascii="Times New Roman" w:hAnsi="Times New Roman" w:cs="Times New Roman"/>
          <w:b/>
          <w:bCs/>
          <w:color w:val="000000"/>
          <w:sz w:val="24"/>
          <w:szCs w:val="24"/>
        </w:rPr>
        <w:t xml:space="preserve"> :</w:t>
      </w:r>
      <w:r w:rsidRPr="00860658">
        <w:rPr>
          <w:rFonts w:asciiTheme="majorBidi" w:hAnsiTheme="majorBidi" w:cstheme="majorBidi"/>
          <w:b/>
          <w:bCs/>
          <w:color w:val="000000" w:themeColor="text1"/>
          <w:sz w:val="28"/>
          <w:szCs w:val="28"/>
        </w:rPr>
        <w:tab/>
      </w:r>
      <w:r w:rsidRPr="00860658">
        <w:rPr>
          <w:rFonts w:asciiTheme="majorBidi" w:hAnsiTheme="majorBidi" w:cstheme="majorBidi"/>
          <w:b/>
          <w:bCs/>
          <w:color w:val="000000" w:themeColor="text1"/>
          <w:sz w:val="24"/>
          <w:szCs w:val="24"/>
        </w:rPr>
        <w:t>Degré globale de la partie de la variable dépendante « la</w:t>
      </w:r>
      <w:r w:rsidRPr="00860658">
        <w:rPr>
          <w:rFonts w:asciiTheme="majorBidi" w:hAnsiTheme="majorBidi" w:cstheme="majorBidi"/>
          <w:b/>
          <w:bCs/>
          <w:sz w:val="24"/>
          <w:szCs w:val="24"/>
        </w:rPr>
        <w:t xml:space="preserve"> sécurité sanitaire des aliments</w:t>
      </w:r>
      <w:r w:rsidRPr="00860658">
        <w:rPr>
          <w:rFonts w:asciiTheme="majorBidi" w:hAnsiTheme="majorBidi" w:cstheme="majorBidi"/>
          <w:b/>
          <w:bCs/>
          <w:color w:val="000000" w:themeColor="text1"/>
          <w:sz w:val="24"/>
          <w:szCs w:val="24"/>
        </w:rPr>
        <w:t>».</w:t>
      </w:r>
    </w:p>
    <w:tbl>
      <w:tblPr>
        <w:tblStyle w:val="CV12"/>
        <w:tblW w:w="0" w:type="auto"/>
        <w:tblLook w:val="04A0"/>
      </w:tblPr>
      <w:tblGrid>
        <w:gridCol w:w="1869"/>
        <w:gridCol w:w="1463"/>
        <w:gridCol w:w="1412"/>
        <w:gridCol w:w="1407"/>
        <w:gridCol w:w="1414"/>
        <w:gridCol w:w="1497"/>
      </w:tblGrid>
      <w:tr w:rsidR="005236B6" w:rsidRPr="00971C0C" w:rsidTr="00EC7780">
        <w:tc>
          <w:tcPr>
            <w:tcW w:w="1869"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Axes</w:t>
            </w:r>
          </w:p>
        </w:tc>
        <w:tc>
          <w:tcPr>
            <w:tcW w:w="1463"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Moyenne</w:t>
            </w:r>
          </w:p>
        </w:tc>
        <w:tc>
          <w:tcPr>
            <w:tcW w:w="1412"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Ecart type</w:t>
            </w:r>
          </w:p>
        </w:tc>
        <w:tc>
          <w:tcPr>
            <w:tcW w:w="1407"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Test « t »</w:t>
            </w:r>
          </w:p>
        </w:tc>
        <w:tc>
          <w:tcPr>
            <w:tcW w:w="1414"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Degré de liberté</w:t>
            </w:r>
          </w:p>
        </w:tc>
        <w:tc>
          <w:tcPr>
            <w:tcW w:w="1497"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Sig.</w:t>
            </w:r>
          </w:p>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(Bilatérale)</w:t>
            </w:r>
          </w:p>
        </w:tc>
      </w:tr>
      <w:tr w:rsidR="005236B6" w:rsidRPr="003B2C0C" w:rsidTr="00EC7780">
        <w:tc>
          <w:tcPr>
            <w:tcW w:w="1869" w:type="dxa"/>
          </w:tcPr>
          <w:p w:rsidR="005236B6" w:rsidRPr="00CA02C7" w:rsidRDefault="005236B6" w:rsidP="00140168">
            <w:pPr>
              <w:spacing w:line="360" w:lineRule="auto"/>
              <w:jc w:val="center"/>
              <w:rPr>
                <w:rFonts w:asciiTheme="majorBidi" w:eastAsia="Calibri" w:hAnsiTheme="majorBidi" w:cstheme="majorBidi"/>
                <w:color w:val="000000"/>
                <w:sz w:val="24"/>
                <w:szCs w:val="24"/>
              </w:rPr>
            </w:pPr>
            <w:r w:rsidRPr="00CA02C7">
              <w:rPr>
                <w:rFonts w:asciiTheme="majorBidi" w:hAnsiTheme="majorBidi" w:cstheme="majorBidi"/>
                <w:sz w:val="24"/>
                <w:szCs w:val="24"/>
              </w:rPr>
              <w:t>La sécurité sanitaire</w:t>
            </w:r>
          </w:p>
        </w:tc>
        <w:tc>
          <w:tcPr>
            <w:tcW w:w="1463" w:type="dxa"/>
            <w:shd w:val="clear" w:color="auto" w:fill="FFFFFF"/>
          </w:tcPr>
          <w:p w:rsidR="005236B6" w:rsidRPr="00240D54"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240D54">
              <w:rPr>
                <w:rFonts w:asciiTheme="majorBidi" w:hAnsiTheme="majorBidi" w:cstheme="majorBidi"/>
                <w:color w:val="010205"/>
                <w:sz w:val="24"/>
                <w:szCs w:val="24"/>
              </w:rPr>
              <w:t>3,9085</w:t>
            </w:r>
          </w:p>
        </w:tc>
        <w:tc>
          <w:tcPr>
            <w:tcW w:w="1412" w:type="dxa"/>
            <w:shd w:val="clear" w:color="auto" w:fill="FFFFFF"/>
          </w:tcPr>
          <w:p w:rsidR="005236B6" w:rsidRPr="00240D54"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3B2C0C">
              <w:rPr>
                <w:rFonts w:asciiTheme="majorBidi" w:hAnsiTheme="majorBidi" w:cstheme="majorBidi"/>
                <w:color w:val="010205"/>
                <w:sz w:val="24"/>
                <w:szCs w:val="24"/>
              </w:rPr>
              <w:t>0</w:t>
            </w:r>
            <w:r w:rsidRPr="00240D54">
              <w:rPr>
                <w:rFonts w:asciiTheme="majorBidi" w:hAnsiTheme="majorBidi" w:cstheme="majorBidi"/>
                <w:color w:val="010205"/>
                <w:sz w:val="24"/>
                <w:szCs w:val="24"/>
              </w:rPr>
              <w:t>,65715</w:t>
            </w:r>
          </w:p>
        </w:tc>
        <w:tc>
          <w:tcPr>
            <w:tcW w:w="1407" w:type="dxa"/>
            <w:shd w:val="clear" w:color="auto" w:fill="FFFFFF"/>
          </w:tcPr>
          <w:p w:rsidR="005236B6" w:rsidRPr="00240D54"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240D54">
              <w:rPr>
                <w:rFonts w:asciiTheme="majorBidi" w:hAnsiTheme="majorBidi" w:cstheme="majorBidi"/>
                <w:color w:val="010205"/>
                <w:sz w:val="24"/>
                <w:szCs w:val="24"/>
              </w:rPr>
              <w:t>85,158</w:t>
            </w:r>
          </w:p>
        </w:tc>
        <w:tc>
          <w:tcPr>
            <w:tcW w:w="1414" w:type="dxa"/>
            <w:shd w:val="clear" w:color="auto" w:fill="FFFFFF"/>
          </w:tcPr>
          <w:p w:rsidR="005236B6" w:rsidRPr="00240D54"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240D54">
              <w:rPr>
                <w:rFonts w:asciiTheme="majorBidi" w:hAnsiTheme="majorBidi" w:cstheme="majorBidi"/>
                <w:color w:val="010205"/>
                <w:sz w:val="24"/>
                <w:szCs w:val="24"/>
              </w:rPr>
              <w:t>204</w:t>
            </w:r>
          </w:p>
        </w:tc>
        <w:tc>
          <w:tcPr>
            <w:tcW w:w="1497" w:type="dxa"/>
            <w:shd w:val="clear" w:color="auto" w:fill="FFFFFF"/>
          </w:tcPr>
          <w:p w:rsidR="005236B6" w:rsidRPr="00240D54"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3B2C0C">
              <w:rPr>
                <w:rFonts w:asciiTheme="majorBidi" w:hAnsiTheme="majorBidi" w:cstheme="majorBidi"/>
                <w:color w:val="010205"/>
                <w:sz w:val="24"/>
                <w:szCs w:val="24"/>
              </w:rPr>
              <w:t>0</w:t>
            </w:r>
            <w:r w:rsidRPr="00240D54">
              <w:rPr>
                <w:rFonts w:asciiTheme="majorBidi" w:hAnsiTheme="majorBidi" w:cstheme="majorBidi"/>
                <w:color w:val="010205"/>
                <w:sz w:val="24"/>
                <w:szCs w:val="24"/>
              </w:rPr>
              <w:t>,000</w:t>
            </w:r>
          </w:p>
        </w:tc>
      </w:tr>
      <w:tr w:rsidR="005236B6" w:rsidRPr="003B2C0C" w:rsidTr="00EC7780">
        <w:tc>
          <w:tcPr>
            <w:tcW w:w="1869" w:type="dxa"/>
          </w:tcPr>
          <w:p w:rsidR="005236B6" w:rsidRPr="00CA02C7" w:rsidRDefault="005236B6" w:rsidP="00140168">
            <w:pPr>
              <w:spacing w:line="360" w:lineRule="auto"/>
              <w:jc w:val="center"/>
              <w:rPr>
                <w:rFonts w:asciiTheme="majorBidi" w:eastAsia="Calibri" w:hAnsiTheme="majorBidi" w:cstheme="majorBidi"/>
                <w:color w:val="000000"/>
                <w:sz w:val="24"/>
                <w:szCs w:val="24"/>
              </w:rPr>
            </w:pPr>
            <w:r w:rsidRPr="00CA02C7">
              <w:rPr>
                <w:rFonts w:asciiTheme="majorBidi" w:eastAsia="Calibri" w:hAnsiTheme="majorBidi" w:cstheme="majorBidi"/>
                <w:color w:val="000000"/>
                <w:sz w:val="24"/>
                <w:szCs w:val="24"/>
              </w:rPr>
              <w:t>la conscience sanitaire</w:t>
            </w:r>
          </w:p>
        </w:tc>
        <w:tc>
          <w:tcPr>
            <w:tcW w:w="1463" w:type="dxa"/>
            <w:shd w:val="clear" w:color="auto" w:fill="FFFFFF"/>
          </w:tcPr>
          <w:p w:rsidR="005236B6" w:rsidRPr="00C75482"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C75482">
              <w:rPr>
                <w:rFonts w:asciiTheme="majorBidi" w:hAnsiTheme="majorBidi" w:cstheme="majorBidi"/>
                <w:color w:val="010205"/>
                <w:sz w:val="24"/>
                <w:szCs w:val="24"/>
              </w:rPr>
              <w:t>4,1183</w:t>
            </w:r>
          </w:p>
        </w:tc>
        <w:tc>
          <w:tcPr>
            <w:tcW w:w="1412" w:type="dxa"/>
            <w:shd w:val="clear" w:color="auto" w:fill="FFFFFF"/>
          </w:tcPr>
          <w:p w:rsidR="005236B6" w:rsidRPr="00C75482"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3B2C0C">
              <w:rPr>
                <w:rFonts w:asciiTheme="majorBidi" w:hAnsiTheme="majorBidi" w:cstheme="majorBidi"/>
                <w:color w:val="010205"/>
                <w:sz w:val="24"/>
                <w:szCs w:val="24"/>
              </w:rPr>
              <w:t>0</w:t>
            </w:r>
            <w:r w:rsidRPr="00C75482">
              <w:rPr>
                <w:rFonts w:asciiTheme="majorBidi" w:hAnsiTheme="majorBidi" w:cstheme="majorBidi"/>
                <w:color w:val="010205"/>
                <w:sz w:val="24"/>
                <w:szCs w:val="24"/>
              </w:rPr>
              <w:t>,58187</w:t>
            </w:r>
          </w:p>
        </w:tc>
        <w:tc>
          <w:tcPr>
            <w:tcW w:w="1407" w:type="dxa"/>
            <w:shd w:val="clear" w:color="auto" w:fill="FFFFFF"/>
          </w:tcPr>
          <w:p w:rsidR="005236B6" w:rsidRPr="00C75482"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C75482">
              <w:rPr>
                <w:rFonts w:asciiTheme="majorBidi" w:hAnsiTheme="majorBidi" w:cstheme="majorBidi"/>
                <w:color w:val="010205"/>
                <w:sz w:val="24"/>
                <w:szCs w:val="24"/>
              </w:rPr>
              <w:t>101,337</w:t>
            </w:r>
          </w:p>
        </w:tc>
        <w:tc>
          <w:tcPr>
            <w:tcW w:w="1414" w:type="dxa"/>
            <w:shd w:val="clear" w:color="auto" w:fill="FFFFFF"/>
          </w:tcPr>
          <w:p w:rsidR="005236B6" w:rsidRPr="00C75482"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C75482">
              <w:rPr>
                <w:rFonts w:asciiTheme="majorBidi" w:hAnsiTheme="majorBidi" w:cstheme="majorBidi"/>
                <w:color w:val="010205"/>
                <w:sz w:val="24"/>
                <w:szCs w:val="24"/>
              </w:rPr>
              <w:t>204</w:t>
            </w:r>
          </w:p>
        </w:tc>
        <w:tc>
          <w:tcPr>
            <w:tcW w:w="1497" w:type="dxa"/>
            <w:shd w:val="clear" w:color="auto" w:fill="FFFFFF"/>
          </w:tcPr>
          <w:p w:rsidR="005236B6" w:rsidRPr="00C75482"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C75482">
              <w:rPr>
                <w:rFonts w:asciiTheme="majorBidi" w:hAnsiTheme="majorBidi" w:cstheme="majorBidi"/>
                <w:color w:val="010205"/>
                <w:sz w:val="24"/>
                <w:szCs w:val="24"/>
              </w:rPr>
              <w:t>,000</w:t>
            </w:r>
          </w:p>
        </w:tc>
      </w:tr>
      <w:tr w:rsidR="005236B6" w:rsidRPr="003B2C0C" w:rsidTr="00EC7780">
        <w:tc>
          <w:tcPr>
            <w:tcW w:w="1869" w:type="dxa"/>
          </w:tcPr>
          <w:p w:rsidR="005236B6" w:rsidRPr="00CA02C7" w:rsidRDefault="005236B6" w:rsidP="00140168">
            <w:pPr>
              <w:spacing w:line="360" w:lineRule="auto"/>
              <w:jc w:val="center"/>
              <w:rPr>
                <w:rFonts w:asciiTheme="majorBidi" w:eastAsia="Calibri" w:hAnsiTheme="majorBidi" w:cstheme="majorBidi"/>
                <w:color w:val="000000"/>
                <w:sz w:val="24"/>
                <w:szCs w:val="24"/>
              </w:rPr>
            </w:pPr>
            <w:r w:rsidRPr="00CA02C7">
              <w:rPr>
                <w:rFonts w:asciiTheme="majorBidi" w:hAnsiTheme="majorBidi" w:cstheme="majorBidi"/>
                <w:color w:val="000000" w:themeColor="text1"/>
                <w:sz w:val="24"/>
                <w:szCs w:val="24"/>
              </w:rPr>
              <w:t>l’</w:t>
            </w:r>
            <w:r w:rsidRPr="00CA02C7">
              <w:rPr>
                <w:rFonts w:asciiTheme="majorBidi" w:hAnsiTheme="majorBidi" w:cstheme="majorBidi"/>
                <w:sz w:val="24"/>
                <w:szCs w:val="24"/>
              </w:rPr>
              <w:t>intention d'achat</w:t>
            </w:r>
          </w:p>
        </w:tc>
        <w:tc>
          <w:tcPr>
            <w:tcW w:w="1463" w:type="dxa"/>
            <w:shd w:val="clear" w:color="auto" w:fill="FFFFFF"/>
          </w:tcPr>
          <w:p w:rsidR="005236B6" w:rsidRPr="00373E5E"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373E5E">
              <w:rPr>
                <w:rFonts w:asciiTheme="majorBidi" w:hAnsiTheme="majorBidi" w:cstheme="majorBidi"/>
                <w:color w:val="010205"/>
                <w:sz w:val="24"/>
                <w:szCs w:val="24"/>
              </w:rPr>
              <w:t>3,7805</w:t>
            </w:r>
          </w:p>
        </w:tc>
        <w:tc>
          <w:tcPr>
            <w:tcW w:w="1412" w:type="dxa"/>
            <w:shd w:val="clear" w:color="auto" w:fill="FFFFFF"/>
          </w:tcPr>
          <w:p w:rsidR="005236B6" w:rsidRPr="00373E5E"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373E5E">
              <w:rPr>
                <w:rFonts w:asciiTheme="majorBidi" w:hAnsiTheme="majorBidi" w:cstheme="majorBidi"/>
                <w:color w:val="010205"/>
                <w:sz w:val="24"/>
                <w:szCs w:val="24"/>
              </w:rPr>
              <w:t>,61136</w:t>
            </w:r>
          </w:p>
        </w:tc>
        <w:tc>
          <w:tcPr>
            <w:tcW w:w="1407" w:type="dxa"/>
            <w:shd w:val="clear" w:color="auto" w:fill="FFFFFF"/>
          </w:tcPr>
          <w:p w:rsidR="005236B6" w:rsidRPr="003B2C0C" w:rsidRDefault="005236B6" w:rsidP="00140168">
            <w:pPr>
              <w:spacing w:line="360" w:lineRule="auto"/>
              <w:jc w:val="center"/>
              <w:rPr>
                <w:rFonts w:asciiTheme="majorBidi" w:hAnsiTheme="majorBidi" w:cstheme="majorBidi"/>
                <w:sz w:val="24"/>
                <w:szCs w:val="24"/>
              </w:rPr>
            </w:pPr>
            <w:r w:rsidRPr="003B2C0C">
              <w:rPr>
                <w:rFonts w:asciiTheme="majorBidi" w:hAnsiTheme="majorBidi" w:cstheme="majorBidi"/>
                <w:sz w:val="24"/>
                <w:szCs w:val="24"/>
              </w:rPr>
              <w:t>88,538</w:t>
            </w:r>
          </w:p>
        </w:tc>
        <w:tc>
          <w:tcPr>
            <w:tcW w:w="1414" w:type="dxa"/>
            <w:shd w:val="clear" w:color="auto" w:fill="FFFFFF"/>
          </w:tcPr>
          <w:p w:rsidR="005236B6" w:rsidRPr="003B2C0C" w:rsidRDefault="005236B6" w:rsidP="00140168">
            <w:pPr>
              <w:spacing w:line="360" w:lineRule="auto"/>
              <w:jc w:val="center"/>
              <w:rPr>
                <w:rFonts w:asciiTheme="majorBidi" w:hAnsiTheme="majorBidi" w:cstheme="majorBidi"/>
                <w:sz w:val="24"/>
                <w:szCs w:val="24"/>
              </w:rPr>
            </w:pPr>
            <w:r w:rsidRPr="003B2C0C">
              <w:rPr>
                <w:rFonts w:asciiTheme="majorBidi" w:hAnsiTheme="majorBidi" w:cstheme="majorBidi"/>
                <w:sz w:val="24"/>
                <w:szCs w:val="24"/>
              </w:rPr>
              <w:t>204</w:t>
            </w:r>
          </w:p>
        </w:tc>
        <w:tc>
          <w:tcPr>
            <w:tcW w:w="1497" w:type="dxa"/>
            <w:shd w:val="clear" w:color="auto" w:fill="FFFFFF"/>
          </w:tcPr>
          <w:p w:rsidR="005236B6" w:rsidRPr="003B2C0C" w:rsidRDefault="005236B6" w:rsidP="00140168">
            <w:pPr>
              <w:spacing w:line="360" w:lineRule="auto"/>
              <w:jc w:val="center"/>
              <w:rPr>
                <w:rFonts w:asciiTheme="majorBidi" w:hAnsiTheme="majorBidi" w:cstheme="majorBidi"/>
                <w:sz w:val="24"/>
                <w:szCs w:val="24"/>
              </w:rPr>
            </w:pPr>
            <w:r w:rsidRPr="003B2C0C">
              <w:rPr>
                <w:rFonts w:asciiTheme="majorBidi" w:hAnsiTheme="majorBidi" w:cstheme="majorBidi"/>
                <w:sz w:val="24"/>
                <w:szCs w:val="24"/>
              </w:rPr>
              <w:t>,000</w:t>
            </w:r>
          </w:p>
        </w:tc>
      </w:tr>
      <w:tr w:rsidR="005236B6" w:rsidRPr="003B2C0C" w:rsidTr="00EC7780">
        <w:tc>
          <w:tcPr>
            <w:tcW w:w="1869"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Score total</w:t>
            </w:r>
          </w:p>
        </w:tc>
        <w:tc>
          <w:tcPr>
            <w:tcW w:w="1463" w:type="dxa"/>
            <w:shd w:val="clear" w:color="auto" w:fill="FFFFFF"/>
          </w:tcPr>
          <w:p w:rsidR="005236B6" w:rsidRPr="003B2C0C"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sidRPr="003B2C0C">
              <w:rPr>
                <w:rFonts w:asciiTheme="majorBidi" w:hAnsiTheme="majorBidi" w:cstheme="majorBidi"/>
                <w:color w:val="010205"/>
                <w:sz w:val="24"/>
                <w:szCs w:val="24"/>
              </w:rPr>
              <w:t>3,9358</w:t>
            </w:r>
          </w:p>
        </w:tc>
        <w:tc>
          <w:tcPr>
            <w:tcW w:w="1412" w:type="dxa"/>
            <w:shd w:val="clear" w:color="auto" w:fill="FFFFFF"/>
          </w:tcPr>
          <w:p w:rsidR="005236B6" w:rsidRPr="003B2C0C" w:rsidRDefault="005236B6" w:rsidP="00140168">
            <w:pPr>
              <w:autoSpaceDE w:val="0"/>
              <w:autoSpaceDN w:val="0"/>
              <w:adjustRightInd w:val="0"/>
              <w:spacing w:line="360" w:lineRule="auto"/>
              <w:ind w:left="60" w:right="60"/>
              <w:jc w:val="center"/>
              <w:rPr>
                <w:rFonts w:asciiTheme="majorBidi" w:hAnsiTheme="majorBidi" w:cstheme="majorBidi"/>
                <w:color w:val="010205"/>
                <w:sz w:val="24"/>
                <w:szCs w:val="24"/>
              </w:rPr>
            </w:pPr>
            <w:r>
              <w:rPr>
                <w:rFonts w:asciiTheme="majorBidi" w:hAnsiTheme="majorBidi" w:cstheme="majorBidi"/>
                <w:color w:val="010205"/>
                <w:sz w:val="24"/>
                <w:szCs w:val="24"/>
              </w:rPr>
              <w:t>0</w:t>
            </w:r>
            <w:r w:rsidRPr="003B2C0C">
              <w:rPr>
                <w:rFonts w:asciiTheme="majorBidi" w:hAnsiTheme="majorBidi" w:cstheme="majorBidi"/>
                <w:color w:val="010205"/>
                <w:sz w:val="24"/>
                <w:szCs w:val="24"/>
              </w:rPr>
              <w:t>,50089</w:t>
            </w:r>
          </w:p>
        </w:tc>
        <w:tc>
          <w:tcPr>
            <w:tcW w:w="1407" w:type="dxa"/>
            <w:shd w:val="clear" w:color="auto" w:fill="FFFFFF"/>
          </w:tcPr>
          <w:p w:rsidR="005236B6" w:rsidRPr="003B2C0C" w:rsidRDefault="005236B6" w:rsidP="00140168">
            <w:pPr>
              <w:spacing w:line="360" w:lineRule="auto"/>
              <w:jc w:val="center"/>
              <w:rPr>
                <w:rFonts w:asciiTheme="majorBidi" w:hAnsiTheme="majorBidi" w:cstheme="majorBidi"/>
                <w:sz w:val="24"/>
                <w:szCs w:val="24"/>
              </w:rPr>
            </w:pPr>
            <w:r w:rsidRPr="003B2C0C">
              <w:rPr>
                <w:rFonts w:asciiTheme="majorBidi" w:hAnsiTheme="majorBidi" w:cstheme="majorBidi"/>
                <w:sz w:val="24"/>
                <w:szCs w:val="24"/>
              </w:rPr>
              <w:t>112,503</w:t>
            </w:r>
          </w:p>
        </w:tc>
        <w:tc>
          <w:tcPr>
            <w:tcW w:w="1414" w:type="dxa"/>
            <w:shd w:val="clear" w:color="auto" w:fill="FFFFFF"/>
          </w:tcPr>
          <w:p w:rsidR="005236B6" w:rsidRPr="003B2C0C" w:rsidRDefault="005236B6" w:rsidP="00140168">
            <w:pPr>
              <w:spacing w:line="360" w:lineRule="auto"/>
              <w:jc w:val="center"/>
              <w:rPr>
                <w:rFonts w:asciiTheme="majorBidi" w:hAnsiTheme="majorBidi" w:cstheme="majorBidi"/>
                <w:sz w:val="24"/>
                <w:szCs w:val="24"/>
              </w:rPr>
            </w:pPr>
            <w:r w:rsidRPr="003B2C0C">
              <w:rPr>
                <w:rFonts w:asciiTheme="majorBidi" w:hAnsiTheme="majorBidi" w:cstheme="majorBidi"/>
                <w:sz w:val="24"/>
                <w:szCs w:val="24"/>
              </w:rPr>
              <w:t>204</w:t>
            </w:r>
          </w:p>
        </w:tc>
        <w:tc>
          <w:tcPr>
            <w:tcW w:w="1497" w:type="dxa"/>
          </w:tcPr>
          <w:p w:rsidR="005236B6" w:rsidRPr="00971C0C" w:rsidRDefault="005236B6" w:rsidP="00140168">
            <w:pPr>
              <w:spacing w:line="360" w:lineRule="auto"/>
              <w:jc w:val="center"/>
              <w:rPr>
                <w:rFonts w:asciiTheme="majorBidi" w:eastAsia="Calibri" w:hAnsiTheme="majorBidi" w:cstheme="majorBidi"/>
                <w:color w:val="000000"/>
                <w:sz w:val="24"/>
                <w:szCs w:val="24"/>
              </w:rPr>
            </w:pPr>
            <w:r w:rsidRPr="00971C0C">
              <w:rPr>
                <w:rFonts w:asciiTheme="majorBidi" w:eastAsia="Calibri" w:hAnsiTheme="majorBidi" w:cstheme="majorBidi"/>
                <w:color w:val="000000"/>
                <w:sz w:val="24"/>
                <w:szCs w:val="24"/>
              </w:rPr>
              <w:t>0.000</w:t>
            </w: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6E799B" w:rsidRDefault="005236B6" w:rsidP="00F7493D">
      <w:pPr>
        <w:spacing w:line="360" w:lineRule="auto"/>
        <w:jc w:val="both"/>
        <w:rPr>
          <w:rFonts w:asciiTheme="majorBidi" w:hAnsiTheme="majorBidi" w:cstheme="majorBidi"/>
          <w:sz w:val="24"/>
          <w:szCs w:val="24"/>
        </w:rPr>
      </w:pPr>
      <w:r w:rsidRPr="0034517B">
        <w:rPr>
          <w:rFonts w:asciiTheme="majorBidi" w:hAnsiTheme="majorBidi" w:cstheme="majorBidi"/>
          <w:sz w:val="24"/>
          <w:szCs w:val="24"/>
        </w:rPr>
        <w:lastRenderedPageBreak/>
        <w:t xml:space="preserve">L'analyse consolidée de la variable dépendante « la sécurité sanitaire des aliments » révèle une performance globale excellente avec une moyenne totale de </w:t>
      </w:r>
      <w:r w:rsidRPr="0034517B">
        <w:rPr>
          <w:rFonts w:asciiTheme="majorBidi" w:hAnsiTheme="majorBidi" w:cstheme="majorBidi"/>
          <w:b/>
          <w:bCs/>
          <w:sz w:val="24"/>
          <w:szCs w:val="24"/>
        </w:rPr>
        <w:t>3,94</w:t>
      </w:r>
      <w:r w:rsidRPr="0034517B">
        <w:rPr>
          <w:rFonts w:asciiTheme="majorBidi" w:hAnsiTheme="majorBidi" w:cstheme="majorBidi"/>
          <w:sz w:val="24"/>
          <w:szCs w:val="24"/>
        </w:rPr>
        <w:t xml:space="preserve">, confirmant un niveau d'accord très solide. La robustesse statistique est exceptionnelle, avec un Test-t de </w:t>
      </w:r>
      <w:r w:rsidRPr="0034517B">
        <w:rPr>
          <w:rFonts w:asciiTheme="majorBidi" w:hAnsiTheme="majorBidi" w:cstheme="majorBidi"/>
          <w:b/>
          <w:bCs/>
          <w:sz w:val="24"/>
          <w:szCs w:val="24"/>
        </w:rPr>
        <w:t>112,50</w:t>
      </w:r>
      <w:r w:rsidRPr="0034517B">
        <w:rPr>
          <w:rFonts w:asciiTheme="majorBidi" w:hAnsiTheme="majorBidi" w:cstheme="majorBidi"/>
          <w:sz w:val="24"/>
          <w:szCs w:val="24"/>
        </w:rPr>
        <w:t xml:space="preserve"> et une p-valeur de </w:t>
      </w:r>
      <w:r w:rsidRPr="0034517B">
        <w:rPr>
          <w:rFonts w:asciiTheme="majorBidi" w:hAnsiTheme="majorBidi" w:cstheme="majorBidi"/>
          <w:b/>
          <w:bCs/>
          <w:sz w:val="24"/>
          <w:szCs w:val="24"/>
        </w:rPr>
        <w:t>0,000</w:t>
      </w:r>
      <w:r w:rsidRPr="0034517B">
        <w:rPr>
          <w:rFonts w:asciiTheme="majorBidi" w:hAnsiTheme="majorBidi" w:cstheme="majorBidi"/>
          <w:sz w:val="24"/>
          <w:szCs w:val="24"/>
        </w:rPr>
        <w:t>, garantissant la haute fiabilité des résultats. L'axe de la « conscience sanitaire » se démarque comme le moteur principal avec le score le plus élevé (</w:t>
      </w:r>
      <w:r w:rsidRPr="0034517B">
        <w:rPr>
          <w:rFonts w:asciiTheme="majorBidi" w:hAnsiTheme="majorBidi" w:cstheme="majorBidi"/>
          <w:b/>
          <w:bCs/>
          <w:sz w:val="24"/>
          <w:szCs w:val="24"/>
        </w:rPr>
        <w:t>4,12</w:t>
      </w:r>
      <w:r w:rsidRPr="0034517B">
        <w:rPr>
          <w:rFonts w:asciiTheme="majorBidi" w:hAnsiTheme="majorBidi" w:cstheme="majorBidi"/>
          <w:sz w:val="24"/>
          <w:szCs w:val="24"/>
        </w:rPr>
        <w:t>), tandis que « l'intention d'achat » affiche la moyenne la plus modeste (</w:t>
      </w:r>
      <w:r w:rsidRPr="0034517B">
        <w:rPr>
          <w:rFonts w:asciiTheme="majorBidi" w:hAnsiTheme="majorBidi" w:cstheme="majorBidi"/>
          <w:b/>
          <w:bCs/>
          <w:sz w:val="24"/>
          <w:szCs w:val="24"/>
        </w:rPr>
        <w:t>3,78</w:t>
      </w:r>
      <w:r w:rsidRPr="0034517B">
        <w:rPr>
          <w:rFonts w:asciiTheme="majorBidi" w:hAnsiTheme="majorBidi" w:cstheme="majorBidi"/>
          <w:sz w:val="24"/>
          <w:szCs w:val="24"/>
        </w:rPr>
        <w:t xml:space="preserve">), bien que restant très positive. La faible dispersion globale (Écart-type = </w:t>
      </w:r>
      <w:r w:rsidRPr="0034517B">
        <w:rPr>
          <w:rFonts w:asciiTheme="majorBidi" w:hAnsiTheme="majorBidi" w:cstheme="majorBidi"/>
          <w:b/>
          <w:bCs/>
          <w:sz w:val="24"/>
          <w:szCs w:val="24"/>
        </w:rPr>
        <w:t>0,50</w:t>
      </w:r>
      <w:r w:rsidRPr="0034517B">
        <w:rPr>
          <w:rFonts w:asciiTheme="majorBidi" w:hAnsiTheme="majorBidi" w:cstheme="majorBidi"/>
          <w:sz w:val="24"/>
          <w:szCs w:val="24"/>
        </w:rPr>
        <w:t>) souligne une forte homogénéité des opinions au sein de l'échantillon. En conclusion, les répondants manifestent une confiance et une sensibilisation marquées envers la sécurité sanitaire, ce qui valide la pertinence du modèle d'étude. Cette synergie entre conscience et sécurité constitue une base favorable pour pérenniser les intentions d'achat.</w:t>
      </w:r>
    </w:p>
    <w:p w:rsidR="005236B6" w:rsidRPr="00516205" w:rsidRDefault="006E799B" w:rsidP="00F7493D">
      <w:pPr>
        <w:pStyle w:val="Titre3"/>
        <w:spacing w:line="360" w:lineRule="auto"/>
        <w:rPr>
          <w:rFonts w:ascii="Times New Roman" w:hAnsi="Times New Roman"/>
          <w:b/>
          <w:bCs/>
          <w:color w:val="auto"/>
          <w:sz w:val="24"/>
          <w:szCs w:val="24"/>
        </w:rPr>
      </w:pPr>
      <w:bookmarkStart w:id="367" w:name="_Toc230558746"/>
      <w:bookmarkStart w:id="368" w:name="_Toc230900380"/>
      <w:r w:rsidRPr="00516205">
        <w:rPr>
          <w:rFonts w:ascii="Times New Roman" w:hAnsi="Times New Roman"/>
          <w:b/>
          <w:bCs/>
          <w:color w:val="auto"/>
          <w:sz w:val="24"/>
          <w:szCs w:val="24"/>
        </w:rPr>
        <w:t>4.</w:t>
      </w:r>
      <w:r w:rsidR="005236B6" w:rsidRPr="00516205">
        <w:rPr>
          <w:rFonts w:ascii="Times New Roman" w:hAnsi="Times New Roman"/>
          <w:b/>
          <w:bCs/>
          <w:color w:val="auto"/>
          <w:sz w:val="24"/>
          <w:szCs w:val="24"/>
        </w:rPr>
        <w:t>Tester les hypothèses :</w:t>
      </w:r>
      <w:bookmarkEnd w:id="367"/>
      <w:bookmarkEnd w:id="368"/>
    </w:p>
    <w:p w:rsidR="005236B6" w:rsidRDefault="005236B6" w:rsidP="00F7493D">
      <w:pPr>
        <w:spacing w:line="360" w:lineRule="auto"/>
        <w:jc w:val="both"/>
        <w:rPr>
          <w:rFonts w:asciiTheme="majorBidi" w:hAnsiTheme="majorBidi" w:cstheme="majorBidi"/>
          <w:color w:val="000000" w:themeColor="text1"/>
          <w:sz w:val="24"/>
          <w:szCs w:val="24"/>
        </w:rPr>
      </w:pPr>
      <w:r w:rsidRPr="00D74E48">
        <w:rPr>
          <w:rFonts w:asciiTheme="majorBidi" w:hAnsiTheme="majorBidi" w:cstheme="majorBidi"/>
          <w:color w:val="000000" w:themeColor="text1"/>
          <w:sz w:val="24"/>
          <w:szCs w:val="24"/>
        </w:rPr>
        <w:t>Nous avons obtenu les résultats suivants en utilis</w:t>
      </w:r>
      <w:r>
        <w:rPr>
          <w:rFonts w:asciiTheme="majorBidi" w:hAnsiTheme="majorBidi" w:cstheme="majorBidi"/>
          <w:color w:val="000000" w:themeColor="text1"/>
          <w:sz w:val="24"/>
          <w:szCs w:val="24"/>
        </w:rPr>
        <w:t>ant le logiciel SPSS v 25</w:t>
      </w:r>
      <w:r w:rsidRPr="00D74E48">
        <w:rPr>
          <w:rFonts w:asciiTheme="majorBidi" w:hAnsiTheme="majorBidi" w:cstheme="majorBidi"/>
          <w:color w:val="000000" w:themeColor="text1"/>
          <w:sz w:val="24"/>
          <w:szCs w:val="24"/>
        </w:rPr>
        <w:t xml:space="preserve"> :</w:t>
      </w:r>
    </w:p>
    <w:p w:rsidR="005236B6" w:rsidRPr="00516205" w:rsidRDefault="006E799B" w:rsidP="00F7493D">
      <w:pPr>
        <w:pStyle w:val="Titre4"/>
        <w:spacing w:line="360" w:lineRule="auto"/>
        <w:rPr>
          <w:rStyle w:val="Titre3Car"/>
          <w:rFonts w:ascii="Times New Roman" w:hAnsi="Times New Roman"/>
          <w:b/>
          <w:bCs/>
          <w:i w:val="0"/>
          <w:iCs w:val="0"/>
          <w:color w:val="auto"/>
          <w:sz w:val="24"/>
          <w:szCs w:val="24"/>
        </w:rPr>
      </w:pPr>
      <w:bookmarkStart w:id="369" w:name="_Toc168176829"/>
      <w:bookmarkStart w:id="370" w:name="_Toc197863083"/>
      <w:bookmarkStart w:id="371" w:name="_Toc197863294"/>
      <w:bookmarkStart w:id="372" w:name="_Toc230558747"/>
      <w:bookmarkStart w:id="373" w:name="_Toc230900381"/>
      <w:r w:rsidRPr="00516205">
        <w:rPr>
          <w:rStyle w:val="Titre3Car"/>
          <w:rFonts w:ascii="Times New Roman" w:hAnsi="Times New Roman"/>
          <w:b/>
          <w:bCs/>
          <w:i w:val="0"/>
          <w:iCs w:val="0"/>
          <w:color w:val="auto"/>
          <w:sz w:val="24"/>
          <w:szCs w:val="24"/>
        </w:rPr>
        <w:t>4.1. </w:t>
      </w:r>
      <w:r w:rsidR="005236B6" w:rsidRPr="00516205">
        <w:rPr>
          <w:rStyle w:val="Titre3Car"/>
          <w:rFonts w:ascii="Times New Roman" w:hAnsi="Times New Roman"/>
          <w:b/>
          <w:bCs/>
          <w:i w:val="0"/>
          <w:iCs w:val="0"/>
          <w:color w:val="auto"/>
          <w:sz w:val="24"/>
          <w:szCs w:val="24"/>
        </w:rPr>
        <w:t>L’hypothèse principale :</w:t>
      </w:r>
      <w:bookmarkEnd w:id="369"/>
      <w:bookmarkEnd w:id="370"/>
      <w:bookmarkEnd w:id="371"/>
      <w:bookmarkEnd w:id="372"/>
      <w:bookmarkEnd w:id="373"/>
    </w:p>
    <w:p w:rsidR="005236B6" w:rsidRPr="00CA02C7" w:rsidRDefault="005236B6" w:rsidP="00F7493D">
      <w:pPr>
        <w:spacing w:line="360" w:lineRule="auto"/>
        <w:rPr>
          <w:rFonts w:asciiTheme="majorBidi" w:hAnsiTheme="majorBidi" w:cstheme="majorBidi"/>
          <w:sz w:val="24"/>
          <w:szCs w:val="24"/>
        </w:rPr>
      </w:pPr>
      <w:r w:rsidRPr="00CA02C7">
        <w:rPr>
          <w:rFonts w:asciiTheme="majorBidi" w:hAnsiTheme="majorBidi" w:cstheme="majorBidi"/>
          <w:b/>
          <w:bCs/>
          <w:sz w:val="24"/>
          <w:szCs w:val="24"/>
        </w:rPr>
        <w:t>H1 :</w:t>
      </w:r>
      <w:r w:rsidRPr="00CA02C7">
        <w:rPr>
          <w:rFonts w:asciiTheme="majorBidi" w:hAnsiTheme="majorBidi" w:cstheme="majorBidi"/>
          <w:sz w:val="24"/>
          <w:szCs w:val="24"/>
        </w:rPr>
        <w:t xml:space="preserve"> Le marketing des produits biologiques influence positivement la perception de la sécurité sanitaire des aliments.</w:t>
      </w:r>
    </w:p>
    <w:p w:rsidR="005236B6" w:rsidRPr="005D60E1" w:rsidRDefault="005236B6" w:rsidP="00F7493D">
      <w:pPr>
        <w:pStyle w:val="Paragraphedeliste"/>
        <w:spacing w:line="360" w:lineRule="auto"/>
        <w:jc w:val="both"/>
        <w:rPr>
          <w:rFonts w:asciiTheme="majorBidi" w:hAnsiTheme="majorBidi" w:cstheme="majorBidi"/>
          <w:b/>
          <w:bCs/>
          <w:color w:val="000000" w:themeColor="text1"/>
          <w:sz w:val="24"/>
          <w:szCs w:val="24"/>
        </w:rPr>
      </w:pPr>
      <w:r w:rsidRPr="005D60E1">
        <w:rPr>
          <w:rFonts w:asciiTheme="majorBidi" w:hAnsiTheme="majorBidi" w:cstheme="majorBidi"/>
          <w:b/>
          <w:bCs/>
          <w:color w:val="000000" w:themeColor="text1"/>
          <w:sz w:val="24"/>
          <w:szCs w:val="24"/>
        </w:rPr>
        <w:t>Coefficient de corrélation et l’ANOVA :</w:t>
      </w:r>
    </w:p>
    <w:p w:rsidR="005236B6" w:rsidRPr="005D60E1" w:rsidRDefault="005236B6" w:rsidP="00F7493D">
      <w:pPr>
        <w:pStyle w:val="Paragraphedeliste"/>
        <w:spacing w:line="360" w:lineRule="auto"/>
        <w:rPr>
          <w:rFonts w:asciiTheme="majorBidi" w:hAnsiTheme="majorBidi" w:cstheme="majorBidi"/>
          <w:b/>
          <w:bCs/>
          <w:color w:val="000000" w:themeColor="text1"/>
          <w:sz w:val="24"/>
          <w:szCs w:val="24"/>
        </w:rPr>
      </w:pPr>
      <w:r w:rsidRPr="005D60E1">
        <w:rPr>
          <w:rFonts w:asciiTheme="majorBidi" w:hAnsiTheme="majorBidi" w:cstheme="majorBidi"/>
          <w:b/>
          <w:bCs/>
          <w:color w:val="000000" w:themeColor="text1"/>
          <w:sz w:val="24"/>
          <w:szCs w:val="24"/>
        </w:rPr>
        <w:t>Tableau N°</w:t>
      </w:r>
      <w:r>
        <w:rPr>
          <w:rFonts w:asciiTheme="majorBidi" w:hAnsiTheme="majorBidi" w:cstheme="majorBidi"/>
          <w:b/>
          <w:bCs/>
          <w:color w:val="000000" w:themeColor="text1"/>
          <w:sz w:val="24"/>
          <w:szCs w:val="24"/>
        </w:rPr>
        <w:t>33</w:t>
      </w:r>
      <w:r w:rsidRPr="005D60E1">
        <w:rPr>
          <w:rFonts w:asciiTheme="majorBidi" w:hAnsiTheme="majorBidi" w:cstheme="majorBidi"/>
          <w:b/>
          <w:bCs/>
          <w:color w:val="000000" w:themeColor="text1"/>
          <w:sz w:val="24"/>
          <w:szCs w:val="24"/>
        </w:rPr>
        <w:t> : Coefficient de corrélation et l’ANOVA de H1 :</w:t>
      </w:r>
    </w:p>
    <w:tbl>
      <w:tblPr>
        <w:tblStyle w:val="CV13"/>
        <w:tblW w:w="0" w:type="auto"/>
        <w:jc w:val="center"/>
        <w:tblLook w:val="04A0"/>
      </w:tblPr>
      <w:tblGrid>
        <w:gridCol w:w="1723"/>
        <w:gridCol w:w="990"/>
        <w:gridCol w:w="1024"/>
        <w:gridCol w:w="1010"/>
        <w:gridCol w:w="996"/>
        <w:gridCol w:w="945"/>
        <w:gridCol w:w="945"/>
      </w:tblGrid>
      <w:tr w:rsidR="005236B6" w:rsidRPr="00F47CB4" w:rsidTr="00EC7780">
        <w:trPr>
          <w:jc w:val="center"/>
        </w:trPr>
        <w:tc>
          <w:tcPr>
            <w:tcW w:w="1723" w:type="dxa"/>
          </w:tcPr>
          <w:p w:rsidR="005236B6" w:rsidRPr="00F47CB4" w:rsidRDefault="005236B6" w:rsidP="00140168">
            <w:pPr>
              <w:spacing w:line="360" w:lineRule="auto"/>
              <w:rPr>
                <w:rFonts w:asciiTheme="majorBidi" w:eastAsia="Calibri" w:hAnsiTheme="majorBidi" w:cstheme="majorBidi"/>
                <w:sz w:val="24"/>
                <w:szCs w:val="24"/>
              </w:rPr>
            </w:pPr>
            <w:r w:rsidRPr="00F47CB4">
              <w:rPr>
                <w:rFonts w:asciiTheme="majorBidi" w:eastAsia="Calibri" w:hAnsiTheme="majorBidi" w:cstheme="majorBidi"/>
                <w:sz w:val="24"/>
                <w:szCs w:val="24"/>
              </w:rPr>
              <w:t xml:space="preserve">H1 </w:t>
            </w:r>
          </w:p>
        </w:tc>
        <w:tc>
          <w:tcPr>
            <w:tcW w:w="990" w:type="dxa"/>
          </w:tcPr>
          <w:p w:rsidR="005236B6" w:rsidRPr="00F47CB4" w:rsidRDefault="005236B6" w:rsidP="00140168">
            <w:pPr>
              <w:spacing w:line="360" w:lineRule="auto"/>
              <w:rPr>
                <w:rFonts w:asciiTheme="majorBidi" w:eastAsia="Calibri" w:hAnsiTheme="majorBidi" w:cstheme="majorBidi"/>
                <w:sz w:val="24"/>
                <w:szCs w:val="24"/>
              </w:rPr>
            </w:pPr>
            <w:r w:rsidRPr="00F47CB4">
              <w:rPr>
                <w:rFonts w:asciiTheme="majorBidi" w:eastAsia="Calibri" w:hAnsiTheme="majorBidi" w:cstheme="majorBidi"/>
                <w:sz w:val="24"/>
                <w:szCs w:val="24"/>
              </w:rPr>
              <w:t>R</w:t>
            </w:r>
          </w:p>
        </w:tc>
        <w:tc>
          <w:tcPr>
            <w:tcW w:w="1024" w:type="dxa"/>
          </w:tcPr>
          <w:p w:rsidR="005236B6" w:rsidRPr="00F47CB4" w:rsidRDefault="005236B6" w:rsidP="00140168">
            <w:pPr>
              <w:spacing w:line="360" w:lineRule="auto"/>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R-deux</w:t>
            </w:r>
          </w:p>
        </w:tc>
        <w:tc>
          <w:tcPr>
            <w:tcW w:w="1010" w:type="dxa"/>
          </w:tcPr>
          <w:p w:rsidR="005236B6" w:rsidRPr="00F47CB4" w:rsidRDefault="005236B6" w:rsidP="00140168">
            <w:pPr>
              <w:spacing w:line="360" w:lineRule="auto"/>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R-deux ajusté</w:t>
            </w:r>
          </w:p>
        </w:tc>
        <w:tc>
          <w:tcPr>
            <w:tcW w:w="996" w:type="dxa"/>
          </w:tcPr>
          <w:p w:rsidR="005236B6" w:rsidRPr="00F47CB4" w:rsidRDefault="005236B6" w:rsidP="00140168">
            <w:pPr>
              <w:spacing w:line="360" w:lineRule="auto"/>
              <w:rPr>
                <w:rFonts w:asciiTheme="majorBidi" w:eastAsia="Calibri" w:hAnsiTheme="majorBidi" w:cstheme="majorBidi"/>
                <w:sz w:val="24"/>
                <w:szCs w:val="24"/>
              </w:rPr>
            </w:pPr>
            <w:r w:rsidRPr="00F47CB4">
              <w:rPr>
                <w:rFonts w:asciiTheme="majorBidi" w:eastAsia="Calibri" w:hAnsiTheme="majorBidi" w:cstheme="majorBidi"/>
                <w:sz w:val="24"/>
                <w:szCs w:val="24"/>
              </w:rPr>
              <w:t>F</w:t>
            </w:r>
          </w:p>
        </w:tc>
        <w:tc>
          <w:tcPr>
            <w:tcW w:w="945" w:type="dxa"/>
          </w:tcPr>
          <w:p w:rsidR="005236B6" w:rsidRPr="00F47CB4" w:rsidRDefault="005236B6" w:rsidP="00140168">
            <w:pPr>
              <w:spacing w:line="360" w:lineRule="auto"/>
              <w:rPr>
                <w:rFonts w:asciiTheme="majorBidi" w:eastAsia="Calibri" w:hAnsiTheme="majorBidi" w:cstheme="majorBidi"/>
                <w:sz w:val="24"/>
                <w:szCs w:val="24"/>
              </w:rPr>
            </w:pPr>
            <w:r w:rsidRPr="00F47CB4">
              <w:rPr>
                <w:rFonts w:asciiTheme="majorBidi" w:eastAsia="Calibri" w:hAnsiTheme="majorBidi" w:cstheme="majorBidi"/>
                <w:sz w:val="24"/>
                <w:szCs w:val="24"/>
              </w:rPr>
              <w:t>Sig</w:t>
            </w:r>
          </w:p>
        </w:tc>
        <w:tc>
          <w:tcPr>
            <w:tcW w:w="945" w:type="dxa"/>
          </w:tcPr>
          <w:p w:rsidR="005236B6" w:rsidRPr="00F47CB4" w:rsidRDefault="005236B6" w:rsidP="00140168">
            <w:pPr>
              <w:spacing w:line="360" w:lineRule="auto"/>
              <w:rPr>
                <w:rFonts w:asciiTheme="majorBidi" w:eastAsia="Calibri" w:hAnsiTheme="majorBidi" w:cstheme="majorBidi"/>
                <w:sz w:val="24"/>
                <w:szCs w:val="24"/>
              </w:rPr>
            </w:pPr>
            <w:r w:rsidRPr="00F47CB4">
              <w:rPr>
                <w:rFonts w:asciiTheme="majorBidi" w:eastAsia="Calibri" w:hAnsiTheme="majorBidi" w:cstheme="majorBidi"/>
                <w:color w:val="000000"/>
                <w:sz w:val="24"/>
                <w:szCs w:val="24"/>
              </w:rPr>
              <w:t>Degré de liberté</w:t>
            </w:r>
          </w:p>
        </w:tc>
      </w:tr>
      <w:tr w:rsidR="005236B6" w:rsidRPr="00F47CB4" w:rsidTr="00EC7780">
        <w:trPr>
          <w:jc w:val="center"/>
        </w:trPr>
        <w:tc>
          <w:tcPr>
            <w:tcW w:w="1723" w:type="dxa"/>
          </w:tcPr>
          <w:p w:rsidR="005236B6" w:rsidRPr="00F47CB4" w:rsidRDefault="005236B6" w:rsidP="00140168">
            <w:pPr>
              <w:spacing w:line="360" w:lineRule="auto"/>
              <w:rPr>
                <w:rFonts w:asciiTheme="majorBidi" w:eastAsia="Calibri" w:hAnsiTheme="majorBidi" w:cstheme="majorBidi"/>
                <w:sz w:val="24"/>
                <w:szCs w:val="24"/>
                <w:lang w:bidi="ar-DZ"/>
              </w:rPr>
            </w:pPr>
            <w:r w:rsidRPr="00F47CB4">
              <w:rPr>
                <w:rFonts w:asciiTheme="majorBidi" w:eastAsia="Calibri" w:hAnsiTheme="majorBidi" w:cstheme="majorBidi"/>
                <w:sz w:val="24"/>
                <w:szCs w:val="24"/>
              </w:rPr>
              <w:t xml:space="preserve">la sécurité sanitaire des aliments </w:t>
            </w:r>
            <w:r w:rsidRPr="00F47CB4">
              <w:rPr>
                <w:rFonts w:asciiTheme="majorBidi" w:eastAsia="Calibri" w:hAnsiTheme="majorBidi" w:cstheme="majorBidi"/>
                <w:sz w:val="24"/>
                <w:szCs w:val="24"/>
                <w:rtl/>
                <w:lang w:bidi="ar-DZ"/>
              </w:rPr>
              <w:t>~</w:t>
            </w:r>
            <w:r w:rsidRPr="00F47CB4">
              <w:rPr>
                <w:rFonts w:asciiTheme="majorBidi" w:eastAsia="Calibri" w:hAnsiTheme="majorBidi" w:cstheme="majorBidi"/>
                <w:sz w:val="24"/>
                <w:szCs w:val="24"/>
                <w:lang w:bidi="ar-DZ"/>
              </w:rPr>
              <w:t xml:space="preserve"> marketing des produits biologiques</w:t>
            </w:r>
          </w:p>
        </w:tc>
        <w:tc>
          <w:tcPr>
            <w:tcW w:w="990" w:type="dxa"/>
            <w:shd w:val="clear" w:color="auto" w:fill="FFFFFF"/>
          </w:tcPr>
          <w:p w:rsidR="005236B6" w:rsidRPr="00F47CB4" w:rsidRDefault="005236B6" w:rsidP="00140168">
            <w:pPr>
              <w:spacing w:line="360" w:lineRule="auto"/>
              <w:rPr>
                <w:rFonts w:asciiTheme="majorBidi" w:hAnsiTheme="majorBidi" w:cstheme="majorBidi"/>
                <w:sz w:val="24"/>
                <w:szCs w:val="24"/>
              </w:rPr>
            </w:pPr>
            <w:r>
              <w:rPr>
                <w:rFonts w:asciiTheme="majorBidi" w:hAnsiTheme="majorBidi" w:cstheme="majorBidi"/>
                <w:sz w:val="24"/>
                <w:szCs w:val="24"/>
              </w:rPr>
              <w:t>0</w:t>
            </w:r>
            <w:r w:rsidRPr="00F47CB4">
              <w:rPr>
                <w:rFonts w:asciiTheme="majorBidi" w:hAnsiTheme="majorBidi" w:cstheme="majorBidi"/>
                <w:sz w:val="24"/>
                <w:szCs w:val="24"/>
              </w:rPr>
              <w:t>,620</w:t>
            </w:r>
            <w:r w:rsidRPr="00F47CB4">
              <w:rPr>
                <w:rFonts w:asciiTheme="majorBidi" w:hAnsiTheme="majorBidi" w:cstheme="majorBidi"/>
                <w:sz w:val="24"/>
                <w:szCs w:val="24"/>
                <w:vertAlign w:val="superscript"/>
              </w:rPr>
              <w:t>a</w:t>
            </w:r>
          </w:p>
        </w:tc>
        <w:tc>
          <w:tcPr>
            <w:tcW w:w="1024" w:type="dxa"/>
            <w:shd w:val="clear" w:color="auto" w:fill="FFFFFF"/>
          </w:tcPr>
          <w:p w:rsidR="005236B6" w:rsidRPr="00F47CB4" w:rsidRDefault="005236B6" w:rsidP="00140168">
            <w:pPr>
              <w:spacing w:line="360" w:lineRule="auto"/>
              <w:rPr>
                <w:rFonts w:asciiTheme="majorBidi" w:hAnsiTheme="majorBidi" w:cstheme="majorBidi"/>
                <w:sz w:val="24"/>
                <w:szCs w:val="24"/>
              </w:rPr>
            </w:pPr>
            <w:r>
              <w:rPr>
                <w:rFonts w:asciiTheme="majorBidi" w:hAnsiTheme="majorBidi" w:cstheme="majorBidi"/>
                <w:sz w:val="24"/>
                <w:szCs w:val="24"/>
              </w:rPr>
              <w:t>0</w:t>
            </w:r>
            <w:r w:rsidRPr="00F47CB4">
              <w:rPr>
                <w:rFonts w:asciiTheme="majorBidi" w:hAnsiTheme="majorBidi" w:cstheme="majorBidi"/>
                <w:sz w:val="24"/>
                <w:szCs w:val="24"/>
              </w:rPr>
              <w:t>,384</w:t>
            </w:r>
          </w:p>
        </w:tc>
        <w:tc>
          <w:tcPr>
            <w:tcW w:w="1010" w:type="dxa"/>
            <w:shd w:val="clear" w:color="auto" w:fill="FFFFFF"/>
          </w:tcPr>
          <w:p w:rsidR="005236B6" w:rsidRPr="00F47CB4" w:rsidRDefault="005236B6" w:rsidP="00140168">
            <w:pPr>
              <w:spacing w:line="360" w:lineRule="auto"/>
              <w:rPr>
                <w:rFonts w:asciiTheme="majorBidi" w:hAnsiTheme="majorBidi" w:cstheme="majorBidi"/>
                <w:sz w:val="24"/>
                <w:szCs w:val="24"/>
              </w:rPr>
            </w:pPr>
            <w:r>
              <w:rPr>
                <w:rFonts w:asciiTheme="majorBidi" w:hAnsiTheme="majorBidi" w:cstheme="majorBidi"/>
                <w:sz w:val="24"/>
                <w:szCs w:val="24"/>
              </w:rPr>
              <w:t>0</w:t>
            </w:r>
            <w:r w:rsidRPr="00F47CB4">
              <w:rPr>
                <w:rFonts w:asciiTheme="majorBidi" w:hAnsiTheme="majorBidi" w:cstheme="majorBidi"/>
                <w:sz w:val="24"/>
                <w:szCs w:val="24"/>
              </w:rPr>
              <w:t>,381</w:t>
            </w:r>
          </w:p>
        </w:tc>
        <w:tc>
          <w:tcPr>
            <w:tcW w:w="996" w:type="dxa"/>
          </w:tcPr>
          <w:p w:rsidR="005236B6" w:rsidRPr="00F47CB4" w:rsidRDefault="005236B6" w:rsidP="00140168">
            <w:pPr>
              <w:spacing w:line="360" w:lineRule="auto"/>
              <w:contextualSpacing/>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126,641</w:t>
            </w:r>
          </w:p>
        </w:tc>
        <w:tc>
          <w:tcPr>
            <w:tcW w:w="945" w:type="dxa"/>
          </w:tcPr>
          <w:p w:rsidR="005236B6" w:rsidRPr="00F47CB4" w:rsidRDefault="005236B6" w:rsidP="00140168">
            <w:pPr>
              <w:spacing w:line="360" w:lineRule="auto"/>
              <w:contextualSpacing/>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0.000</w:t>
            </w:r>
          </w:p>
        </w:tc>
        <w:tc>
          <w:tcPr>
            <w:tcW w:w="945" w:type="dxa"/>
          </w:tcPr>
          <w:p w:rsidR="005236B6" w:rsidRPr="00F47CB4" w:rsidRDefault="005236B6" w:rsidP="00140168">
            <w:pPr>
              <w:spacing w:line="360" w:lineRule="auto"/>
              <w:contextualSpacing/>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1</w:t>
            </w:r>
          </w:p>
          <w:p w:rsidR="005236B6" w:rsidRPr="00F47CB4" w:rsidRDefault="005236B6" w:rsidP="00140168">
            <w:pPr>
              <w:spacing w:line="360" w:lineRule="auto"/>
              <w:contextualSpacing/>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203</w:t>
            </w:r>
          </w:p>
          <w:p w:rsidR="005236B6" w:rsidRPr="00F47CB4" w:rsidRDefault="005236B6" w:rsidP="00140168">
            <w:pPr>
              <w:spacing w:line="360" w:lineRule="auto"/>
              <w:contextualSpacing/>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204</w:t>
            </w:r>
          </w:p>
        </w:tc>
      </w:tr>
    </w:tbl>
    <w:p w:rsidR="005236B6" w:rsidRDefault="005236B6" w:rsidP="00F7493D">
      <w:pPr>
        <w:spacing w:line="360" w:lineRule="auto"/>
        <w:ind w:left="360"/>
        <w:jc w:val="center"/>
        <w:rPr>
          <w:rFonts w:asciiTheme="majorBidi" w:hAnsiTheme="majorBidi" w:cstheme="majorBidi"/>
          <w:sz w:val="20"/>
          <w:szCs w:val="20"/>
          <w:rtl/>
        </w:rPr>
      </w:pPr>
      <w:r w:rsidRPr="00523C8D">
        <w:rPr>
          <w:rFonts w:asciiTheme="majorBidi" w:hAnsiTheme="majorBidi" w:cstheme="majorBidi"/>
          <w:b/>
          <w:bCs/>
          <w:sz w:val="20"/>
          <w:szCs w:val="20"/>
        </w:rPr>
        <w:t>Source :</w:t>
      </w:r>
      <w:r w:rsidRPr="00523C8D">
        <w:rPr>
          <w:rFonts w:asciiTheme="majorBidi" w:hAnsiTheme="majorBidi" w:cstheme="majorBidi"/>
          <w:sz w:val="20"/>
          <w:szCs w:val="20"/>
        </w:rPr>
        <w:t xml:space="preserve"> les résultats de SPSS</w:t>
      </w:r>
    </w:p>
    <w:p w:rsidR="00140168" w:rsidRDefault="00140168" w:rsidP="00F7493D">
      <w:pPr>
        <w:spacing w:line="360" w:lineRule="auto"/>
        <w:ind w:left="360"/>
        <w:jc w:val="center"/>
        <w:rPr>
          <w:rFonts w:asciiTheme="majorBidi" w:hAnsiTheme="majorBidi" w:cstheme="majorBidi"/>
          <w:sz w:val="20"/>
          <w:szCs w:val="20"/>
          <w:rtl/>
          <w:lang w:bidi="ar-DZ"/>
        </w:rPr>
      </w:pPr>
    </w:p>
    <w:p w:rsidR="00140168" w:rsidRDefault="00140168" w:rsidP="00F7493D">
      <w:pPr>
        <w:spacing w:line="360" w:lineRule="auto"/>
        <w:ind w:left="360"/>
        <w:jc w:val="center"/>
        <w:rPr>
          <w:rFonts w:asciiTheme="majorBidi" w:hAnsiTheme="majorBidi" w:cstheme="majorBidi"/>
          <w:sz w:val="20"/>
          <w:szCs w:val="20"/>
          <w:rtl/>
          <w:lang w:bidi="ar-DZ"/>
        </w:rPr>
      </w:pPr>
    </w:p>
    <w:p w:rsidR="00140168" w:rsidRPr="00523C8D" w:rsidRDefault="00140168" w:rsidP="00F7493D">
      <w:pPr>
        <w:spacing w:line="360" w:lineRule="auto"/>
        <w:ind w:left="360"/>
        <w:jc w:val="center"/>
        <w:rPr>
          <w:rFonts w:asciiTheme="majorBidi" w:hAnsiTheme="majorBidi" w:cstheme="majorBidi"/>
          <w:sz w:val="20"/>
          <w:szCs w:val="20"/>
          <w:rtl/>
          <w:lang w:bidi="ar-DZ"/>
        </w:rPr>
      </w:pPr>
    </w:p>
    <w:p w:rsidR="005236B6" w:rsidRPr="00B8064A" w:rsidRDefault="00B8064A" w:rsidP="00F7493D">
      <w:pPr>
        <w:spacing w:after="0" w:line="360" w:lineRule="auto"/>
        <w:jc w:val="lowKashida"/>
        <w:rPr>
          <w:rFonts w:asciiTheme="majorBidi" w:hAnsiTheme="majorBidi" w:cstheme="majorBidi"/>
          <w:b/>
          <w:bCs/>
          <w:sz w:val="24"/>
          <w:szCs w:val="24"/>
          <w:lang w:eastAsia="fr-FR"/>
        </w:rPr>
      </w:pPr>
      <w:r>
        <w:rPr>
          <w:rFonts w:asciiTheme="majorBidi" w:hAnsiTheme="majorBidi" w:cstheme="majorBidi"/>
          <w:b/>
          <w:bCs/>
          <w:sz w:val="24"/>
          <w:szCs w:val="24"/>
          <w:lang w:eastAsia="fr-FR"/>
        </w:rPr>
        <w:lastRenderedPageBreak/>
        <w:t xml:space="preserve">1.  </w:t>
      </w:r>
      <w:r w:rsidR="005236B6" w:rsidRPr="00B8064A">
        <w:rPr>
          <w:rFonts w:asciiTheme="majorBidi" w:hAnsiTheme="majorBidi" w:cstheme="majorBidi"/>
          <w:b/>
          <w:bCs/>
          <w:sz w:val="24"/>
          <w:szCs w:val="24"/>
          <w:lang w:eastAsia="fr-FR"/>
        </w:rPr>
        <w:t>Analyse de la Corrélation (L'intensité du lien)</w:t>
      </w:r>
    </w:p>
    <w:p w:rsidR="005236B6" w:rsidRPr="00527F9C" w:rsidRDefault="005236B6" w:rsidP="00D078CC">
      <w:pPr>
        <w:numPr>
          <w:ilvl w:val="0"/>
          <w:numId w:val="15"/>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527F9C">
        <w:rPr>
          <w:rFonts w:ascii="Times New Roman" w:eastAsia="Times New Roman" w:hAnsi="Times New Roman" w:cs="Times New Roman"/>
          <w:b/>
          <w:bCs/>
          <w:sz w:val="24"/>
          <w:szCs w:val="24"/>
          <w:lang w:eastAsia="fr-FR"/>
        </w:rPr>
        <w:t>Le Coefficient de Corrélation (R = 0,620) :</w:t>
      </w:r>
      <w:r w:rsidRPr="00527F9C">
        <w:rPr>
          <w:rFonts w:ascii="Times New Roman" w:eastAsia="Times New Roman" w:hAnsi="Times New Roman" w:cs="Times New Roman"/>
          <w:sz w:val="24"/>
          <w:szCs w:val="24"/>
          <w:lang w:eastAsia="fr-FR"/>
        </w:rPr>
        <w:t xml:space="preserve"> Cette valeur indique une </w:t>
      </w:r>
      <w:r w:rsidRPr="00527F9C">
        <w:rPr>
          <w:rFonts w:ascii="Times New Roman" w:eastAsia="Times New Roman" w:hAnsi="Times New Roman" w:cs="Times New Roman"/>
          <w:b/>
          <w:bCs/>
          <w:sz w:val="24"/>
          <w:szCs w:val="24"/>
          <w:lang w:eastAsia="fr-FR"/>
        </w:rPr>
        <w:t>corrélation pos</w:t>
      </w:r>
      <w:r w:rsidRPr="00527F9C">
        <w:rPr>
          <w:rFonts w:ascii="Times New Roman" w:eastAsia="Times New Roman" w:hAnsi="Times New Roman" w:cs="Times New Roman"/>
          <w:b/>
          <w:bCs/>
          <w:sz w:val="24"/>
          <w:szCs w:val="24"/>
          <w:lang w:eastAsia="fr-FR"/>
        </w:rPr>
        <w:t>i</w:t>
      </w:r>
      <w:r w:rsidRPr="00527F9C">
        <w:rPr>
          <w:rFonts w:ascii="Times New Roman" w:eastAsia="Times New Roman" w:hAnsi="Times New Roman" w:cs="Times New Roman"/>
          <w:b/>
          <w:bCs/>
          <w:sz w:val="24"/>
          <w:szCs w:val="24"/>
          <w:lang w:eastAsia="fr-FR"/>
        </w:rPr>
        <w:t>tive forte</w:t>
      </w:r>
      <w:r w:rsidRPr="00527F9C">
        <w:rPr>
          <w:rFonts w:ascii="Times New Roman" w:eastAsia="Times New Roman" w:hAnsi="Times New Roman" w:cs="Times New Roman"/>
          <w:sz w:val="24"/>
          <w:szCs w:val="24"/>
          <w:lang w:eastAsia="fr-FR"/>
        </w:rPr>
        <w:t>. Un score de 0,62 est excellent en marketing ; il démontre que le marketing des produits biologiques est un levier très puissant pour influencer la perception de la sécurité sanitaire. Les deux variables évoluent ensemble de manière très cohérente.</w:t>
      </w:r>
    </w:p>
    <w:p w:rsidR="005236B6" w:rsidRDefault="005236B6" w:rsidP="00D078CC">
      <w:pPr>
        <w:numPr>
          <w:ilvl w:val="0"/>
          <w:numId w:val="15"/>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527F9C">
        <w:rPr>
          <w:rFonts w:ascii="Times New Roman" w:eastAsia="Times New Roman" w:hAnsi="Times New Roman" w:cs="Times New Roman"/>
          <w:b/>
          <w:bCs/>
          <w:sz w:val="24"/>
          <w:szCs w:val="24"/>
          <w:lang w:eastAsia="fr-FR"/>
        </w:rPr>
        <w:t>Le Coefficient de Détermination (R2 = 0,384) :</w:t>
      </w:r>
      <w:r w:rsidRPr="00527F9C">
        <w:rPr>
          <w:rFonts w:ascii="Times New Roman" w:eastAsia="Times New Roman" w:hAnsi="Times New Roman" w:cs="Times New Roman"/>
          <w:sz w:val="24"/>
          <w:szCs w:val="24"/>
          <w:lang w:eastAsia="fr-FR"/>
        </w:rPr>
        <w:t xml:space="preserve"> Ce résultat est majeur. Il signifie que le marketing des produits biologiques explique à lui seul </w:t>
      </w:r>
      <w:r w:rsidRPr="00527F9C">
        <w:rPr>
          <w:rFonts w:ascii="Times New Roman" w:eastAsia="Times New Roman" w:hAnsi="Times New Roman" w:cs="Times New Roman"/>
          <w:b/>
          <w:bCs/>
          <w:sz w:val="24"/>
          <w:szCs w:val="24"/>
          <w:lang w:eastAsia="fr-FR"/>
        </w:rPr>
        <w:t>38,4 %</w:t>
      </w:r>
      <w:r w:rsidRPr="00527F9C">
        <w:rPr>
          <w:rFonts w:ascii="Times New Roman" w:eastAsia="Times New Roman" w:hAnsi="Times New Roman" w:cs="Times New Roman"/>
          <w:sz w:val="24"/>
          <w:szCs w:val="24"/>
          <w:lang w:eastAsia="fr-FR"/>
        </w:rPr>
        <w:t xml:space="preserve"> de la variance de la perce</w:t>
      </w:r>
      <w:r w:rsidRPr="00527F9C">
        <w:rPr>
          <w:rFonts w:ascii="Times New Roman" w:eastAsia="Times New Roman" w:hAnsi="Times New Roman" w:cs="Times New Roman"/>
          <w:sz w:val="24"/>
          <w:szCs w:val="24"/>
          <w:lang w:eastAsia="fr-FR"/>
        </w:rPr>
        <w:t>p</w:t>
      </w:r>
      <w:r w:rsidRPr="00527F9C">
        <w:rPr>
          <w:rFonts w:ascii="Times New Roman" w:eastAsia="Times New Roman" w:hAnsi="Times New Roman" w:cs="Times New Roman"/>
          <w:sz w:val="24"/>
          <w:szCs w:val="24"/>
          <w:lang w:eastAsia="fr-FR"/>
        </w:rPr>
        <w:t>tion de la sécurité sanitaire des aliments.</w:t>
      </w:r>
    </w:p>
    <w:p w:rsidR="005236B6" w:rsidRPr="00B8064A" w:rsidRDefault="00B8064A" w:rsidP="00F7493D">
      <w:pPr>
        <w:spacing w:after="0" w:line="360" w:lineRule="auto"/>
        <w:jc w:val="lowKashida"/>
        <w:rPr>
          <w:rFonts w:asciiTheme="majorBidi" w:hAnsiTheme="majorBidi" w:cstheme="majorBidi"/>
          <w:b/>
          <w:bCs/>
          <w:sz w:val="24"/>
          <w:szCs w:val="24"/>
          <w:lang w:eastAsia="fr-FR"/>
        </w:rPr>
      </w:pPr>
      <w:r>
        <w:rPr>
          <w:rFonts w:asciiTheme="majorBidi" w:hAnsiTheme="majorBidi" w:cstheme="majorBidi"/>
          <w:b/>
          <w:bCs/>
          <w:sz w:val="24"/>
          <w:szCs w:val="24"/>
          <w:lang w:eastAsia="fr-FR"/>
        </w:rPr>
        <w:t xml:space="preserve">2.  </w:t>
      </w:r>
      <w:r w:rsidR="005236B6" w:rsidRPr="00B8064A">
        <w:rPr>
          <w:rFonts w:asciiTheme="majorBidi" w:hAnsiTheme="majorBidi" w:cstheme="majorBidi"/>
          <w:b/>
          <w:bCs/>
          <w:sz w:val="24"/>
          <w:szCs w:val="24"/>
          <w:lang w:eastAsia="fr-FR"/>
        </w:rPr>
        <w:t>Analyse de la Validité Statistique (ANOVA)</w:t>
      </w:r>
    </w:p>
    <w:p w:rsidR="005236B6" w:rsidRPr="00527F9C" w:rsidRDefault="005236B6" w:rsidP="00F7493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527F9C">
        <w:rPr>
          <w:rFonts w:ascii="Times New Roman" w:eastAsia="Times New Roman" w:hAnsi="Times New Roman" w:cs="Times New Roman"/>
          <w:sz w:val="24"/>
          <w:szCs w:val="24"/>
          <w:lang w:eastAsia="fr-FR"/>
        </w:rPr>
        <w:t>Le modèle présente une robustesse statistique remarquable :</w:t>
      </w:r>
    </w:p>
    <w:p w:rsidR="005236B6" w:rsidRPr="00527F9C" w:rsidRDefault="005236B6" w:rsidP="00D078CC">
      <w:pPr>
        <w:numPr>
          <w:ilvl w:val="0"/>
          <w:numId w:val="16"/>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527F9C">
        <w:rPr>
          <w:rFonts w:ascii="Times New Roman" w:eastAsia="Times New Roman" w:hAnsi="Times New Roman" w:cs="Times New Roman"/>
          <w:b/>
          <w:bCs/>
          <w:sz w:val="24"/>
          <w:szCs w:val="24"/>
          <w:lang w:eastAsia="fr-FR"/>
        </w:rPr>
        <w:t>La Statistique F (126,641) :</w:t>
      </w:r>
      <w:r w:rsidRPr="00527F9C">
        <w:rPr>
          <w:rFonts w:ascii="Times New Roman" w:eastAsia="Times New Roman" w:hAnsi="Times New Roman" w:cs="Times New Roman"/>
          <w:sz w:val="24"/>
          <w:szCs w:val="24"/>
          <w:lang w:eastAsia="fr-FR"/>
        </w:rPr>
        <w:t xml:space="preserve"> Une valeur F aussi élevée (supérieure à 100) indique un m</w:t>
      </w:r>
      <w:r w:rsidRPr="00527F9C">
        <w:rPr>
          <w:rFonts w:ascii="Times New Roman" w:eastAsia="Times New Roman" w:hAnsi="Times New Roman" w:cs="Times New Roman"/>
          <w:sz w:val="24"/>
          <w:szCs w:val="24"/>
          <w:lang w:eastAsia="fr-FR"/>
        </w:rPr>
        <w:t>o</w:t>
      </w:r>
      <w:r w:rsidRPr="00527F9C">
        <w:rPr>
          <w:rFonts w:ascii="Times New Roman" w:eastAsia="Times New Roman" w:hAnsi="Times New Roman" w:cs="Times New Roman"/>
          <w:sz w:val="24"/>
          <w:szCs w:val="24"/>
          <w:lang w:eastAsia="fr-FR"/>
        </w:rPr>
        <w:t>dèle extrêmement prédictif et performant. L'écart entre ce que le modèle explique et l'e</w:t>
      </w:r>
      <w:r w:rsidRPr="00527F9C">
        <w:rPr>
          <w:rFonts w:ascii="Times New Roman" w:eastAsia="Times New Roman" w:hAnsi="Times New Roman" w:cs="Times New Roman"/>
          <w:sz w:val="24"/>
          <w:szCs w:val="24"/>
          <w:lang w:eastAsia="fr-FR"/>
        </w:rPr>
        <w:t>r</w:t>
      </w:r>
      <w:r w:rsidRPr="00527F9C">
        <w:rPr>
          <w:rFonts w:ascii="Times New Roman" w:eastAsia="Times New Roman" w:hAnsi="Times New Roman" w:cs="Times New Roman"/>
          <w:sz w:val="24"/>
          <w:szCs w:val="24"/>
          <w:lang w:eastAsia="fr-FR"/>
        </w:rPr>
        <w:t>reur résiduelle est très vaste.</w:t>
      </w:r>
    </w:p>
    <w:p w:rsidR="005236B6" w:rsidRDefault="005236B6" w:rsidP="00D078CC">
      <w:pPr>
        <w:numPr>
          <w:ilvl w:val="0"/>
          <w:numId w:val="16"/>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527F9C">
        <w:rPr>
          <w:rFonts w:ascii="Times New Roman" w:eastAsia="Times New Roman" w:hAnsi="Times New Roman" w:cs="Times New Roman"/>
          <w:b/>
          <w:bCs/>
          <w:sz w:val="24"/>
          <w:szCs w:val="24"/>
          <w:lang w:eastAsia="fr-FR"/>
        </w:rPr>
        <w:t>La Signification (Sig. = 0,000) :</w:t>
      </w:r>
      <w:r>
        <w:rPr>
          <w:rFonts w:ascii="Times New Roman" w:eastAsia="Times New Roman" w:hAnsi="Times New Roman" w:cs="Times New Roman"/>
          <w:sz w:val="24"/>
          <w:szCs w:val="24"/>
          <w:lang w:eastAsia="fr-FR"/>
        </w:rPr>
        <w:t xml:space="preserve"> Avec une valeur p de 0,000</w:t>
      </w:r>
      <w:r w:rsidRPr="00527F9C">
        <w:rPr>
          <w:rFonts w:ascii="Times New Roman" w:eastAsia="Times New Roman" w:hAnsi="Times New Roman" w:cs="Times New Roman"/>
          <w:sz w:val="24"/>
          <w:szCs w:val="24"/>
          <w:lang w:eastAsia="fr-FR"/>
        </w:rPr>
        <w:t xml:space="preserve">, le risque d'erreur est quasi nul. Le lien entre le marketing bio et la sécurité sanitaire est </w:t>
      </w:r>
      <w:r w:rsidRPr="00527F9C">
        <w:rPr>
          <w:rFonts w:ascii="Times New Roman" w:eastAsia="Times New Roman" w:hAnsi="Times New Roman" w:cs="Times New Roman"/>
          <w:b/>
          <w:bCs/>
          <w:sz w:val="24"/>
          <w:szCs w:val="24"/>
          <w:lang w:eastAsia="fr-FR"/>
        </w:rPr>
        <w:t>hautement significatif</w:t>
      </w:r>
      <w:r w:rsidRPr="00527F9C">
        <w:rPr>
          <w:rFonts w:ascii="Times New Roman" w:eastAsia="Times New Roman" w:hAnsi="Times New Roman" w:cs="Times New Roman"/>
          <w:sz w:val="24"/>
          <w:szCs w:val="24"/>
          <w:lang w:eastAsia="fr-FR"/>
        </w:rPr>
        <w:t>.</w:t>
      </w:r>
    </w:p>
    <w:p w:rsidR="005236B6" w:rsidRDefault="005236B6" w:rsidP="00D078CC">
      <w:pPr>
        <w:numPr>
          <w:ilvl w:val="0"/>
          <w:numId w:val="16"/>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527F9C">
        <w:rPr>
          <w:rFonts w:ascii="Times New Roman" w:eastAsia="Times New Roman" w:hAnsi="Times New Roman" w:cs="Times New Roman"/>
          <w:b/>
          <w:bCs/>
          <w:sz w:val="24"/>
          <w:szCs w:val="24"/>
          <w:lang w:eastAsia="fr-FR"/>
        </w:rPr>
        <w:t>Degré de liberté (1 ; 203) :</w:t>
      </w:r>
      <w:r w:rsidRPr="00527F9C">
        <w:rPr>
          <w:rFonts w:ascii="Times New Roman" w:eastAsia="Times New Roman" w:hAnsi="Times New Roman" w:cs="Times New Roman"/>
          <w:sz w:val="24"/>
          <w:szCs w:val="24"/>
          <w:lang w:eastAsia="fr-FR"/>
        </w:rPr>
        <w:t xml:space="preserve"> On note ici un échantillon plus large (N=204</w:t>
      </w:r>
      <w:r>
        <w:rPr>
          <w:rFonts w:ascii="Times New Roman" w:eastAsia="Times New Roman" w:hAnsi="Times New Roman" w:cs="Times New Roman"/>
          <w:sz w:val="24"/>
          <w:szCs w:val="24"/>
          <w:lang w:eastAsia="fr-FR"/>
        </w:rPr>
        <w:t>-1, avec 1 repr</w:t>
      </w:r>
      <w:r>
        <w:rPr>
          <w:rFonts w:ascii="Times New Roman" w:eastAsia="Times New Roman" w:hAnsi="Times New Roman" w:cs="Times New Roman"/>
          <w:sz w:val="24"/>
          <w:szCs w:val="24"/>
          <w:lang w:eastAsia="fr-FR"/>
        </w:rPr>
        <w:t>é</w:t>
      </w:r>
      <w:r>
        <w:rPr>
          <w:rFonts w:ascii="Times New Roman" w:eastAsia="Times New Roman" w:hAnsi="Times New Roman" w:cs="Times New Roman"/>
          <w:sz w:val="24"/>
          <w:szCs w:val="24"/>
          <w:lang w:eastAsia="fr-FR"/>
        </w:rPr>
        <w:t>sente la variable explicatif « marketing des produits biologiques</w:t>
      </w:r>
      <w:r w:rsidRPr="00527F9C">
        <w:rPr>
          <w:rFonts w:ascii="Times New Roman" w:eastAsia="Times New Roman" w:hAnsi="Times New Roman" w:cs="Times New Roman"/>
          <w:sz w:val="24"/>
          <w:szCs w:val="24"/>
          <w:lang w:eastAsia="fr-FR"/>
        </w:rPr>
        <w:t>) que dans vos tests préc</w:t>
      </w:r>
      <w:r w:rsidRPr="00527F9C">
        <w:rPr>
          <w:rFonts w:ascii="Times New Roman" w:eastAsia="Times New Roman" w:hAnsi="Times New Roman" w:cs="Times New Roman"/>
          <w:sz w:val="24"/>
          <w:szCs w:val="24"/>
          <w:lang w:eastAsia="fr-FR"/>
        </w:rPr>
        <w:t>é</w:t>
      </w:r>
      <w:r w:rsidRPr="00527F9C">
        <w:rPr>
          <w:rFonts w:ascii="Times New Roman" w:eastAsia="Times New Roman" w:hAnsi="Times New Roman" w:cs="Times New Roman"/>
          <w:sz w:val="24"/>
          <w:szCs w:val="24"/>
          <w:lang w:eastAsia="fr-FR"/>
        </w:rPr>
        <w:t>dents, ce qui renforce considérablement la fiabilité et la généralisation de vos conclusions.</w:t>
      </w:r>
    </w:p>
    <w:p w:rsidR="005236B6" w:rsidRDefault="005236B6" w:rsidP="00140168">
      <w:pPr>
        <w:spacing w:before="100" w:beforeAutospacing="1" w:after="100" w:afterAutospacing="1" w:line="360" w:lineRule="auto"/>
        <w:ind w:left="360"/>
        <w:jc w:val="both"/>
        <w:rPr>
          <w:rFonts w:ascii="Times New Roman" w:eastAsia="Times New Roman" w:hAnsi="Times New Roman" w:cs="Times New Roman"/>
          <w:sz w:val="24"/>
          <w:szCs w:val="24"/>
          <w:rtl/>
          <w:lang w:eastAsia="fr-FR"/>
        </w:rPr>
      </w:pPr>
      <w:r w:rsidRPr="00527F9C">
        <w:rPr>
          <w:rFonts w:ascii="Times New Roman" w:eastAsia="Times New Roman" w:hAnsi="Times New Roman" w:cs="Times New Roman"/>
          <w:sz w:val="24"/>
          <w:szCs w:val="24"/>
          <w:lang w:eastAsia="fr-FR"/>
        </w:rPr>
        <w:t xml:space="preserve">Au regard de la puissance des indicateurs (R=0,620 ; F=126,641 ; p &lt; 0,01), </w:t>
      </w:r>
      <w:r w:rsidRPr="00527F9C">
        <w:rPr>
          <w:rFonts w:ascii="Times New Roman" w:eastAsia="Times New Roman" w:hAnsi="Times New Roman" w:cs="Times New Roman"/>
          <w:b/>
          <w:bCs/>
          <w:sz w:val="24"/>
          <w:szCs w:val="24"/>
          <w:lang w:eastAsia="fr-FR"/>
        </w:rPr>
        <w:t>l'hypothèse H1 est confirmée avec une grande certitude.</w:t>
      </w:r>
      <w:r w:rsidRPr="00527F9C">
        <w:rPr>
          <w:rFonts w:ascii="Times New Roman" w:eastAsia="Times New Roman" w:hAnsi="Times New Roman" w:cs="Times New Roman"/>
          <w:sz w:val="24"/>
          <w:szCs w:val="24"/>
          <w:lang w:eastAsia="fr-FR"/>
        </w:rPr>
        <w:t>Cesrésultats prouvent que le marketing est le vecteur principal par lequel la sécurité sanitaire est perçue. Plus le marketing bio est structuré et visible, plus le consommateur est convaincu que l'aliment est sûr pour sa santé. C'est votre résultat le plus probant jusqu'ici.</w:t>
      </w:r>
    </w:p>
    <w:p w:rsidR="00140168" w:rsidRDefault="00140168" w:rsidP="00140168">
      <w:pPr>
        <w:spacing w:before="100" w:beforeAutospacing="1" w:after="100" w:afterAutospacing="1" w:line="360" w:lineRule="auto"/>
        <w:ind w:left="360"/>
        <w:jc w:val="both"/>
        <w:rPr>
          <w:rFonts w:ascii="Times New Roman" w:eastAsia="Times New Roman" w:hAnsi="Times New Roman" w:cs="Times New Roman"/>
          <w:sz w:val="24"/>
          <w:szCs w:val="24"/>
          <w:rtl/>
          <w:lang w:eastAsia="fr-FR"/>
        </w:rPr>
      </w:pPr>
    </w:p>
    <w:p w:rsidR="00140168" w:rsidRDefault="00140168" w:rsidP="00140168">
      <w:pPr>
        <w:spacing w:before="100" w:beforeAutospacing="1" w:after="100" w:afterAutospacing="1" w:line="360" w:lineRule="auto"/>
        <w:ind w:left="360"/>
        <w:jc w:val="both"/>
        <w:rPr>
          <w:rFonts w:ascii="Times New Roman" w:eastAsia="Times New Roman" w:hAnsi="Times New Roman" w:cs="Times New Roman"/>
          <w:sz w:val="24"/>
          <w:szCs w:val="24"/>
          <w:rtl/>
          <w:lang w:eastAsia="fr-FR"/>
        </w:rPr>
      </w:pPr>
    </w:p>
    <w:p w:rsidR="00140168" w:rsidRDefault="00140168" w:rsidP="00140168">
      <w:pPr>
        <w:spacing w:before="100" w:beforeAutospacing="1" w:after="100" w:afterAutospacing="1" w:line="360" w:lineRule="auto"/>
        <w:ind w:left="360"/>
        <w:jc w:val="both"/>
        <w:rPr>
          <w:rFonts w:ascii="Times New Roman" w:eastAsia="Times New Roman" w:hAnsi="Times New Roman" w:cs="Times New Roman"/>
          <w:sz w:val="24"/>
          <w:szCs w:val="24"/>
          <w:rtl/>
          <w:lang w:eastAsia="fr-FR"/>
        </w:rPr>
      </w:pPr>
    </w:p>
    <w:p w:rsidR="00140168" w:rsidRPr="00527F9C" w:rsidRDefault="00140168" w:rsidP="00140168">
      <w:pPr>
        <w:spacing w:before="100" w:beforeAutospacing="1" w:after="100" w:afterAutospacing="1" w:line="360" w:lineRule="auto"/>
        <w:ind w:left="360"/>
        <w:jc w:val="both"/>
        <w:rPr>
          <w:rFonts w:ascii="Times New Roman" w:eastAsia="Times New Roman" w:hAnsi="Times New Roman" w:cs="Times New Roman"/>
          <w:sz w:val="24"/>
          <w:szCs w:val="24"/>
          <w:lang w:eastAsia="fr-FR"/>
        </w:rPr>
      </w:pPr>
    </w:p>
    <w:p w:rsidR="005236B6" w:rsidRPr="00985E00" w:rsidRDefault="005236B6" w:rsidP="00F7493D">
      <w:pPr>
        <w:spacing w:line="360" w:lineRule="auto"/>
        <w:ind w:left="720"/>
        <w:contextualSpacing/>
        <w:rPr>
          <w:rFonts w:asciiTheme="majorBidi" w:hAnsiTheme="majorBidi" w:cstheme="majorBidi"/>
          <w:b/>
          <w:bCs/>
          <w:color w:val="000000" w:themeColor="text1"/>
          <w:sz w:val="24"/>
          <w:szCs w:val="24"/>
        </w:rPr>
      </w:pPr>
      <w:r w:rsidRPr="00860658">
        <w:rPr>
          <w:rFonts w:ascii="Times New Roman" w:hAnsi="Times New Roman" w:cs="Times New Roman"/>
          <w:b/>
          <w:bCs/>
          <w:color w:val="000000"/>
          <w:sz w:val="24"/>
          <w:szCs w:val="24"/>
        </w:rPr>
        <w:lastRenderedPageBreak/>
        <w:t xml:space="preserve">Tableau N° </w:t>
      </w:r>
      <w:r>
        <w:rPr>
          <w:rFonts w:ascii="Times New Roman" w:hAnsi="Times New Roman" w:cs="Times New Roman"/>
          <w:b/>
          <w:bCs/>
          <w:color w:val="000000"/>
          <w:sz w:val="24"/>
          <w:szCs w:val="24"/>
        </w:rPr>
        <w:t>34</w:t>
      </w:r>
      <w:r w:rsidRPr="00860658">
        <w:rPr>
          <w:rFonts w:ascii="Times New Roman" w:hAnsi="Times New Roman" w:cs="Times New Roman"/>
          <w:b/>
          <w:bCs/>
          <w:color w:val="000000"/>
          <w:sz w:val="24"/>
          <w:szCs w:val="24"/>
        </w:rPr>
        <w:t xml:space="preserve"> :</w:t>
      </w:r>
      <w:r w:rsidRPr="00985E00">
        <w:rPr>
          <w:rFonts w:asciiTheme="majorBidi" w:hAnsiTheme="majorBidi" w:cstheme="majorBidi"/>
          <w:b/>
          <w:bCs/>
          <w:color w:val="000000" w:themeColor="text1"/>
          <w:sz w:val="24"/>
          <w:szCs w:val="24"/>
        </w:rPr>
        <w:t xml:space="preserve"> La régression linéaire :</w:t>
      </w:r>
    </w:p>
    <w:tbl>
      <w:tblPr>
        <w:tblStyle w:val="CV14"/>
        <w:tblW w:w="0" w:type="auto"/>
        <w:jc w:val="center"/>
        <w:tblLook w:val="04A0"/>
      </w:tblPr>
      <w:tblGrid>
        <w:gridCol w:w="1084"/>
        <w:gridCol w:w="1789"/>
        <w:gridCol w:w="1183"/>
        <w:gridCol w:w="1248"/>
        <w:gridCol w:w="1183"/>
        <w:gridCol w:w="1183"/>
      </w:tblGrid>
      <w:tr w:rsidR="005236B6" w:rsidRPr="00F47CB4" w:rsidTr="00EC7780">
        <w:trPr>
          <w:jc w:val="center"/>
        </w:trPr>
        <w:tc>
          <w:tcPr>
            <w:tcW w:w="2873" w:type="dxa"/>
            <w:gridSpan w:val="2"/>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p>
        </w:tc>
        <w:tc>
          <w:tcPr>
            <w:tcW w:w="2431" w:type="dxa"/>
            <w:gridSpan w:val="2"/>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Coefficients non standardisés</w:t>
            </w:r>
          </w:p>
        </w:tc>
        <w:tc>
          <w:tcPr>
            <w:tcW w:w="1183" w:type="dxa"/>
            <w:vMerge w:val="restart"/>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T</w:t>
            </w:r>
          </w:p>
        </w:tc>
        <w:tc>
          <w:tcPr>
            <w:tcW w:w="1183" w:type="dxa"/>
            <w:vMerge w:val="restart"/>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Sig</w:t>
            </w:r>
          </w:p>
        </w:tc>
      </w:tr>
      <w:tr w:rsidR="005236B6" w:rsidRPr="00F47CB4" w:rsidTr="00EC7780">
        <w:trPr>
          <w:jc w:val="center"/>
        </w:trPr>
        <w:tc>
          <w:tcPr>
            <w:tcW w:w="2873" w:type="dxa"/>
            <w:gridSpan w:val="2"/>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Modèle</w:t>
            </w:r>
          </w:p>
        </w:tc>
        <w:tc>
          <w:tcPr>
            <w:tcW w:w="1183" w:type="dxa"/>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B</w:t>
            </w:r>
          </w:p>
        </w:tc>
        <w:tc>
          <w:tcPr>
            <w:tcW w:w="1248" w:type="dxa"/>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Ecart standard</w:t>
            </w:r>
          </w:p>
        </w:tc>
        <w:tc>
          <w:tcPr>
            <w:tcW w:w="1183" w:type="dxa"/>
            <w:vMerge/>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p>
        </w:tc>
        <w:tc>
          <w:tcPr>
            <w:tcW w:w="1183" w:type="dxa"/>
            <w:vMerge/>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p>
        </w:tc>
      </w:tr>
      <w:tr w:rsidR="005236B6" w:rsidRPr="00F47CB4" w:rsidTr="00EC7780">
        <w:trPr>
          <w:jc w:val="center"/>
        </w:trPr>
        <w:tc>
          <w:tcPr>
            <w:tcW w:w="1084" w:type="dxa"/>
            <w:vMerge w:val="restart"/>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1</w:t>
            </w:r>
          </w:p>
        </w:tc>
        <w:tc>
          <w:tcPr>
            <w:tcW w:w="1789" w:type="dxa"/>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Constante</w:t>
            </w:r>
          </w:p>
        </w:tc>
        <w:tc>
          <w:tcPr>
            <w:tcW w:w="1183" w:type="dxa"/>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Pr>
                <w:rFonts w:asciiTheme="majorBidi" w:hAnsiTheme="majorBidi" w:cstheme="majorBidi"/>
                <w:sz w:val="24"/>
                <w:szCs w:val="24"/>
              </w:rPr>
              <w:t>0</w:t>
            </w:r>
            <w:r w:rsidRPr="00F47CB4">
              <w:rPr>
                <w:rFonts w:asciiTheme="majorBidi" w:hAnsiTheme="majorBidi" w:cstheme="majorBidi"/>
                <w:sz w:val="24"/>
                <w:szCs w:val="24"/>
              </w:rPr>
              <w:t>,910</w:t>
            </w:r>
          </w:p>
        </w:tc>
        <w:tc>
          <w:tcPr>
            <w:tcW w:w="1248" w:type="dxa"/>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Pr>
                <w:rFonts w:asciiTheme="majorBidi" w:hAnsiTheme="majorBidi" w:cstheme="majorBidi"/>
                <w:sz w:val="24"/>
                <w:szCs w:val="24"/>
              </w:rPr>
              <w:t>0</w:t>
            </w:r>
            <w:r w:rsidRPr="00F47CB4">
              <w:rPr>
                <w:rFonts w:asciiTheme="majorBidi" w:hAnsiTheme="majorBidi" w:cstheme="majorBidi"/>
                <w:sz w:val="24"/>
                <w:szCs w:val="24"/>
              </w:rPr>
              <w:t>,270</w:t>
            </w:r>
          </w:p>
        </w:tc>
        <w:tc>
          <w:tcPr>
            <w:tcW w:w="1183" w:type="dxa"/>
            <w:shd w:val="clear" w:color="auto" w:fill="FFFFFF"/>
          </w:tcPr>
          <w:p w:rsidR="005236B6" w:rsidRPr="00F47CB4" w:rsidRDefault="005236B6" w:rsidP="00F7493D">
            <w:pPr>
              <w:spacing w:after="160" w:line="360" w:lineRule="auto"/>
              <w:rPr>
                <w:rFonts w:asciiTheme="majorBidi" w:hAnsiTheme="majorBidi" w:cstheme="majorBidi"/>
                <w:sz w:val="24"/>
                <w:szCs w:val="24"/>
              </w:rPr>
            </w:pPr>
            <w:r w:rsidRPr="00F47CB4">
              <w:rPr>
                <w:rFonts w:asciiTheme="majorBidi" w:hAnsiTheme="majorBidi" w:cstheme="majorBidi"/>
                <w:sz w:val="24"/>
                <w:szCs w:val="24"/>
              </w:rPr>
              <w:t>3,369</w:t>
            </w:r>
          </w:p>
        </w:tc>
        <w:tc>
          <w:tcPr>
            <w:tcW w:w="1183" w:type="dxa"/>
            <w:shd w:val="clear" w:color="auto" w:fill="FFFFFF"/>
          </w:tcPr>
          <w:p w:rsidR="005236B6" w:rsidRPr="00F47CB4" w:rsidRDefault="005236B6" w:rsidP="00F7493D">
            <w:pPr>
              <w:spacing w:after="160" w:line="360" w:lineRule="auto"/>
              <w:rPr>
                <w:rFonts w:asciiTheme="majorBidi" w:hAnsiTheme="majorBidi" w:cstheme="majorBidi"/>
                <w:sz w:val="24"/>
                <w:szCs w:val="24"/>
              </w:rPr>
            </w:pPr>
            <w:r>
              <w:rPr>
                <w:rFonts w:asciiTheme="majorBidi" w:hAnsiTheme="majorBidi" w:cstheme="majorBidi"/>
                <w:sz w:val="24"/>
                <w:szCs w:val="24"/>
              </w:rPr>
              <w:t>0</w:t>
            </w:r>
            <w:r w:rsidRPr="00F47CB4">
              <w:rPr>
                <w:rFonts w:asciiTheme="majorBidi" w:hAnsiTheme="majorBidi" w:cstheme="majorBidi"/>
                <w:sz w:val="24"/>
                <w:szCs w:val="24"/>
              </w:rPr>
              <w:t>,001</w:t>
            </w:r>
          </w:p>
        </w:tc>
      </w:tr>
      <w:tr w:rsidR="005236B6" w:rsidRPr="00F47CB4" w:rsidTr="00EC7780">
        <w:trPr>
          <w:jc w:val="center"/>
        </w:trPr>
        <w:tc>
          <w:tcPr>
            <w:tcW w:w="1084" w:type="dxa"/>
            <w:vMerge/>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p>
        </w:tc>
        <w:tc>
          <w:tcPr>
            <w:tcW w:w="1789" w:type="dxa"/>
          </w:tcPr>
          <w:p w:rsidR="005236B6" w:rsidRPr="00F47CB4" w:rsidRDefault="005236B6" w:rsidP="00F7493D">
            <w:pPr>
              <w:spacing w:after="160" w:line="360" w:lineRule="auto"/>
              <w:jc w:val="center"/>
              <w:rPr>
                <w:rFonts w:asciiTheme="majorBidi" w:eastAsia="Calibri" w:hAnsiTheme="majorBidi" w:cstheme="majorBidi"/>
                <w:color w:val="000000"/>
                <w:sz w:val="24"/>
                <w:szCs w:val="24"/>
              </w:rPr>
            </w:pPr>
            <w:r w:rsidRPr="00F47CB4">
              <w:rPr>
                <w:rFonts w:asciiTheme="majorBidi" w:eastAsia="Calibri" w:hAnsiTheme="majorBidi" w:cstheme="majorBidi"/>
                <w:color w:val="000000"/>
                <w:sz w:val="24"/>
                <w:szCs w:val="24"/>
              </w:rPr>
              <w:t>marketing des produits biologiques</w:t>
            </w:r>
          </w:p>
        </w:tc>
        <w:tc>
          <w:tcPr>
            <w:tcW w:w="1183" w:type="dxa"/>
            <w:shd w:val="clear" w:color="auto" w:fill="FFFFFF"/>
          </w:tcPr>
          <w:p w:rsidR="005236B6" w:rsidRPr="00F47CB4" w:rsidRDefault="005236B6" w:rsidP="00F7493D">
            <w:pPr>
              <w:spacing w:after="160" w:line="360" w:lineRule="auto"/>
              <w:rPr>
                <w:rFonts w:asciiTheme="majorBidi" w:hAnsiTheme="majorBidi" w:cstheme="majorBidi"/>
                <w:sz w:val="24"/>
                <w:szCs w:val="24"/>
              </w:rPr>
            </w:pPr>
            <w:r>
              <w:rPr>
                <w:rFonts w:asciiTheme="majorBidi" w:hAnsiTheme="majorBidi" w:cstheme="majorBidi"/>
                <w:sz w:val="24"/>
                <w:szCs w:val="24"/>
              </w:rPr>
              <w:t>0</w:t>
            </w:r>
            <w:r w:rsidRPr="00F47CB4">
              <w:rPr>
                <w:rFonts w:asciiTheme="majorBidi" w:hAnsiTheme="majorBidi" w:cstheme="majorBidi"/>
                <w:sz w:val="24"/>
                <w:szCs w:val="24"/>
              </w:rPr>
              <w:t>,835</w:t>
            </w:r>
          </w:p>
        </w:tc>
        <w:tc>
          <w:tcPr>
            <w:tcW w:w="1248" w:type="dxa"/>
            <w:shd w:val="clear" w:color="auto" w:fill="FFFFFF"/>
          </w:tcPr>
          <w:p w:rsidR="005236B6" w:rsidRPr="00F47CB4" w:rsidRDefault="005236B6" w:rsidP="00F7493D">
            <w:pPr>
              <w:spacing w:after="160" w:line="360" w:lineRule="auto"/>
              <w:rPr>
                <w:rFonts w:asciiTheme="majorBidi" w:hAnsiTheme="majorBidi" w:cstheme="majorBidi"/>
                <w:sz w:val="24"/>
                <w:szCs w:val="24"/>
              </w:rPr>
            </w:pPr>
            <w:r>
              <w:rPr>
                <w:rFonts w:asciiTheme="majorBidi" w:hAnsiTheme="majorBidi" w:cstheme="majorBidi"/>
                <w:sz w:val="24"/>
                <w:szCs w:val="24"/>
              </w:rPr>
              <w:t>0</w:t>
            </w:r>
            <w:r w:rsidRPr="00F47CB4">
              <w:rPr>
                <w:rFonts w:asciiTheme="majorBidi" w:hAnsiTheme="majorBidi" w:cstheme="majorBidi"/>
                <w:sz w:val="24"/>
                <w:szCs w:val="24"/>
              </w:rPr>
              <w:t>,074</w:t>
            </w:r>
          </w:p>
        </w:tc>
        <w:tc>
          <w:tcPr>
            <w:tcW w:w="1183" w:type="dxa"/>
            <w:shd w:val="clear" w:color="auto" w:fill="FFFFFF"/>
          </w:tcPr>
          <w:p w:rsidR="005236B6" w:rsidRPr="00F47CB4" w:rsidRDefault="005236B6" w:rsidP="00F7493D">
            <w:pPr>
              <w:spacing w:after="160" w:line="360" w:lineRule="auto"/>
              <w:rPr>
                <w:rFonts w:asciiTheme="majorBidi" w:hAnsiTheme="majorBidi" w:cstheme="majorBidi"/>
                <w:sz w:val="24"/>
                <w:szCs w:val="24"/>
              </w:rPr>
            </w:pPr>
            <w:r w:rsidRPr="00F47CB4">
              <w:rPr>
                <w:rFonts w:asciiTheme="majorBidi" w:hAnsiTheme="majorBidi" w:cstheme="majorBidi"/>
                <w:sz w:val="24"/>
                <w:szCs w:val="24"/>
              </w:rPr>
              <w:t>11,254</w:t>
            </w:r>
          </w:p>
        </w:tc>
        <w:tc>
          <w:tcPr>
            <w:tcW w:w="1183" w:type="dxa"/>
            <w:shd w:val="clear" w:color="auto" w:fill="FFFFFF"/>
          </w:tcPr>
          <w:p w:rsidR="005236B6" w:rsidRPr="00F47CB4" w:rsidRDefault="005236B6" w:rsidP="00F7493D">
            <w:pPr>
              <w:spacing w:after="160" w:line="360" w:lineRule="auto"/>
              <w:rPr>
                <w:rFonts w:asciiTheme="majorBidi" w:hAnsiTheme="majorBidi" w:cstheme="majorBidi"/>
                <w:sz w:val="24"/>
                <w:szCs w:val="24"/>
              </w:rPr>
            </w:pPr>
            <w:r>
              <w:rPr>
                <w:rFonts w:asciiTheme="majorBidi" w:hAnsiTheme="majorBidi" w:cstheme="majorBidi"/>
                <w:sz w:val="24"/>
                <w:szCs w:val="24"/>
              </w:rPr>
              <w:t>0</w:t>
            </w:r>
            <w:r w:rsidRPr="00F47CB4">
              <w:rPr>
                <w:rFonts w:asciiTheme="majorBidi" w:hAnsiTheme="majorBidi" w:cstheme="majorBidi"/>
                <w:sz w:val="24"/>
                <w:szCs w:val="24"/>
              </w:rPr>
              <w:t>,000</w:t>
            </w: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Default="005236B6" w:rsidP="00F7493D">
      <w:pPr>
        <w:autoSpaceDE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974715" cy="3517900"/>
            <wp:effectExtent l="0" t="0" r="6985"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4715" cy="3517900"/>
                    </a:xfrm>
                    <a:prstGeom prst="rect">
                      <a:avLst/>
                    </a:prstGeom>
                    <a:noFill/>
                    <a:ln>
                      <a:noFill/>
                    </a:ln>
                  </pic:spPr>
                </pic:pic>
              </a:graphicData>
            </a:graphic>
          </wp:inline>
        </w:drawing>
      </w:r>
    </w:p>
    <w:p w:rsidR="005236B6" w:rsidRPr="000E5613" w:rsidRDefault="005236B6" w:rsidP="00140168">
      <w:pPr>
        <w:spacing w:after="0" w:line="360" w:lineRule="auto"/>
        <w:outlineLvl w:val="2"/>
        <w:rPr>
          <w:rFonts w:ascii="Times New Roman" w:eastAsia="Times New Roman" w:hAnsi="Times New Roman" w:cs="Times New Roman"/>
          <w:b/>
          <w:bCs/>
          <w:sz w:val="27"/>
          <w:szCs w:val="27"/>
          <w:lang w:eastAsia="fr-FR"/>
        </w:rPr>
      </w:pPr>
      <w:bookmarkStart w:id="374" w:name="_Toc230558748"/>
      <w:bookmarkStart w:id="375" w:name="_Toc230900382"/>
      <w:r w:rsidRPr="000E5613">
        <w:rPr>
          <w:rFonts w:ascii="Times New Roman" w:eastAsia="Times New Roman" w:hAnsi="Times New Roman" w:cs="Times New Roman"/>
          <w:b/>
          <w:bCs/>
          <w:sz w:val="27"/>
          <w:szCs w:val="27"/>
          <w:lang w:eastAsia="fr-FR"/>
        </w:rPr>
        <w:t>Analyse des Coefficients de Régression</w:t>
      </w:r>
      <w:bookmarkEnd w:id="374"/>
      <w:bookmarkEnd w:id="375"/>
    </w:p>
    <w:p w:rsidR="005236B6" w:rsidRPr="000E5613" w:rsidRDefault="005236B6" w:rsidP="00140168">
      <w:pPr>
        <w:spacing w:after="0" w:line="360" w:lineRule="auto"/>
        <w:rPr>
          <w:rFonts w:ascii="Times New Roman" w:eastAsia="Times New Roman" w:hAnsi="Times New Roman" w:cs="Times New Roman"/>
          <w:sz w:val="24"/>
          <w:szCs w:val="24"/>
          <w:lang w:eastAsia="fr-FR"/>
        </w:rPr>
      </w:pPr>
      <w:r w:rsidRPr="000E5613">
        <w:rPr>
          <w:rFonts w:ascii="Times New Roman" w:eastAsia="Times New Roman" w:hAnsi="Times New Roman" w:cs="Times New Roman"/>
          <w:sz w:val="24"/>
          <w:szCs w:val="24"/>
          <w:lang w:eastAsia="fr-FR"/>
        </w:rPr>
        <w:t>Les coefficients permettent de quantifier précisément la force de l'influence du marketing sur la perception sanitaire :</w:t>
      </w:r>
    </w:p>
    <w:p w:rsidR="005236B6" w:rsidRPr="000E5613" w:rsidRDefault="005236B6" w:rsidP="00140168">
      <w:pPr>
        <w:numPr>
          <w:ilvl w:val="0"/>
          <w:numId w:val="17"/>
        </w:numPr>
        <w:suppressAutoHyphens w:val="0"/>
        <w:autoSpaceDN/>
        <w:spacing w:after="0" w:line="360" w:lineRule="auto"/>
        <w:textAlignment w:val="auto"/>
        <w:rPr>
          <w:rFonts w:ascii="Times New Roman" w:eastAsia="Times New Roman" w:hAnsi="Times New Roman" w:cs="Times New Roman"/>
          <w:sz w:val="24"/>
          <w:szCs w:val="24"/>
          <w:lang w:eastAsia="fr-FR"/>
        </w:rPr>
      </w:pPr>
      <w:r w:rsidRPr="000E5613">
        <w:rPr>
          <w:rFonts w:ascii="Times New Roman" w:eastAsia="Times New Roman" w:hAnsi="Times New Roman" w:cs="Times New Roman"/>
          <w:b/>
          <w:bCs/>
          <w:sz w:val="24"/>
          <w:szCs w:val="24"/>
          <w:lang w:eastAsia="fr-FR"/>
        </w:rPr>
        <w:t>L’Équation de régression :</w:t>
      </w:r>
      <w:r w:rsidRPr="000E5613">
        <w:rPr>
          <w:rFonts w:ascii="Times New Roman" w:eastAsia="Times New Roman" w:hAnsi="Times New Roman" w:cs="Times New Roman"/>
          <w:sz w:val="24"/>
          <w:szCs w:val="24"/>
          <w:lang w:eastAsia="fr-FR"/>
        </w:rPr>
        <w:t xml:space="preserve"> Selon les résultats du tableau, l'équation s'établit comme suit </w:t>
      </w:r>
    </w:p>
    <w:p w:rsidR="005236B6" w:rsidRDefault="005236B6" w:rsidP="00140168">
      <w:pPr>
        <w:spacing w:before="100" w:beforeAutospacing="1" w:after="100" w:afterAutospacing="1" w:line="360" w:lineRule="auto"/>
        <w:ind w:left="720"/>
        <w:jc w:val="center"/>
        <w:rPr>
          <w:rFonts w:ascii="Times New Roman" w:eastAsia="Times New Roman" w:hAnsi="Times New Roman" w:cs="Times New Roman"/>
          <w:b/>
          <w:bCs/>
          <w:sz w:val="24"/>
          <w:szCs w:val="24"/>
          <w:lang w:eastAsia="fr-FR"/>
        </w:rPr>
      </w:pPr>
      <w:r w:rsidRPr="000E5613">
        <w:rPr>
          <w:rFonts w:ascii="Times New Roman" w:eastAsia="Times New Roman" w:hAnsi="Times New Roman" w:cs="Times New Roman"/>
          <w:b/>
          <w:bCs/>
          <w:sz w:val="24"/>
          <w:szCs w:val="24"/>
          <w:lang w:eastAsia="fr-FR"/>
        </w:rPr>
        <w:t>Y (Sécurité Sanitaire) = 0,835 *(Marketing Bio) + 0,910</w:t>
      </w:r>
    </w:p>
    <w:p w:rsidR="005236B6" w:rsidRDefault="005236B6" w:rsidP="00F7493D">
      <w:pPr>
        <w:spacing w:beforeAutospacing="1" w:after="0" w:afterAutospacing="1" w:line="360" w:lineRule="auto"/>
        <w:ind w:left="720"/>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Y=0.910+0.835*X</w:t>
      </w:r>
    </w:p>
    <w:p w:rsidR="005236B6" w:rsidRPr="000E5613" w:rsidRDefault="005236B6" w:rsidP="00F7493D">
      <w:pPr>
        <w:spacing w:beforeAutospacing="1" w:after="0" w:afterAutospacing="1" w:line="360" w:lineRule="auto"/>
        <w:ind w:left="720"/>
        <w:rPr>
          <w:rFonts w:ascii="Times New Roman" w:eastAsia="Times New Roman" w:hAnsi="Times New Roman" w:cs="Times New Roman"/>
          <w:b/>
          <w:bCs/>
          <w:sz w:val="24"/>
          <w:szCs w:val="24"/>
          <w:lang w:eastAsia="fr-FR"/>
        </w:rPr>
      </w:pPr>
      <w:r w:rsidRPr="000E5613">
        <w:rPr>
          <w:rFonts w:ascii="Times New Roman" w:eastAsia="Times New Roman" w:hAnsi="Times New Roman" w:cs="Times New Roman"/>
          <w:b/>
          <w:bCs/>
          <w:sz w:val="24"/>
          <w:szCs w:val="24"/>
          <w:lang w:eastAsia="fr-FR"/>
        </w:rPr>
        <w:lastRenderedPageBreak/>
        <w:t xml:space="preserve">Où Y représente la </w:t>
      </w:r>
      <w:r>
        <w:rPr>
          <w:rFonts w:ascii="Times New Roman" w:eastAsia="Times New Roman" w:hAnsi="Times New Roman" w:cs="Times New Roman"/>
          <w:b/>
          <w:bCs/>
          <w:sz w:val="24"/>
          <w:szCs w:val="24"/>
          <w:lang w:eastAsia="fr-FR"/>
        </w:rPr>
        <w:t>variable</w:t>
      </w:r>
      <w:r w:rsidRPr="000E5613">
        <w:rPr>
          <w:rFonts w:ascii="Times New Roman" w:eastAsia="Times New Roman" w:hAnsi="Times New Roman" w:cs="Times New Roman"/>
          <w:b/>
          <w:bCs/>
          <w:sz w:val="24"/>
          <w:szCs w:val="24"/>
          <w:lang w:eastAsia="fr-FR"/>
        </w:rPr>
        <w:t xml:space="preserve"> dépendante (</w:t>
      </w:r>
      <w:r>
        <w:rPr>
          <w:rFonts w:ascii="Times New Roman" w:eastAsia="Times New Roman" w:hAnsi="Times New Roman" w:cs="Times New Roman"/>
          <w:b/>
          <w:bCs/>
          <w:sz w:val="24"/>
          <w:szCs w:val="24"/>
          <w:lang w:eastAsia="fr-FR"/>
        </w:rPr>
        <w:t>sécurité sanitaire) et X</w:t>
      </w:r>
      <w:r w:rsidRPr="000E5613">
        <w:rPr>
          <w:rFonts w:ascii="Times New Roman" w:eastAsia="Times New Roman" w:hAnsi="Times New Roman" w:cs="Times New Roman"/>
          <w:b/>
          <w:bCs/>
          <w:sz w:val="24"/>
          <w:szCs w:val="24"/>
          <w:lang w:eastAsia="fr-FR"/>
        </w:rPr>
        <w:t xml:space="preserve"> est la </w:t>
      </w:r>
      <w:r>
        <w:rPr>
          <w:rFonts w:ascii="Times New Roman" w:eastAsia="Times New Roman" w:hAnsi="Times New Roman" w:cs="Times New Roman"/>
          <w:b/>
          <w:bCs/>
          <w:sz w:val="24"/>
          <w:szCs w:val="24"/>
          <w:lang w:eastAsia="fr-FR"/>
        </w:rPr>
        <w:t>variable</w:t>
      </w:r>
      <w:r w:rsidRPr="000E5613">
        <w:rPr>
          <w:rFonts w:ascii="Times New Roman" w:eastAsia="Times New Roman" w:hAnsi="Times New Roman" w:cs="Times New Roman"/>
          <w:b/>
          <w:bCs/>
          <w:sz w:val="24"/>
          <w:szCs w:val="24"/>
          <w:lang w:eastAsia="fr-FR"/>
        </w:rPr>
        <w:t xml:space="preserve"> indépendante</w:t>
      </w:r>
      <w:r>
        <w:rPr>
          <w:rFonts w:ascii="Times New Roman" w:eastAsia="Times New Roman" w:hAnsi="Times New Roman" w:cs="Times New Roman"/>
          <w:b/>
          <w:bCs/>
          <w:sz w:val="24"/>
          <w:szCs w:val="24"/>
          <w:lang w:eastAsia="fr-FR"/>
        </w:rPr>
        <w:t xml:space="preserve"> (marketing des produits biologiques).</w:t>
      </w:r>
    </w:p>
    <w:p w:rsidR="005236B6" w:rsidRPr="000E5613" w:rsidRDefault="005236B6" w:rsidP="00140168">
      <w:pPr>
        <w:numPr>
          <w:ilvl w:val="0"/>
          <w:numId w:val="17"/>
        </w:numPr>
        <w:suppressAutoHyphens w:val="0"/>
        <w:autoSpaceDN/>
        <w:spacing w:before="100" w:beforeAutospacing="1" w:after="0" w:line="360" w:lineRule="auto"/>
        <w:jc w:val="both"/>
        <w:textAlignment w:val="auto"/>
        <w:rPr>
          <w:rFonts w:ascii="Times New Roman" w:eastAsia="Times New Roman" w:hAnsi="Times New Roman" w:cs="Times New Roman"/>
          <w:sz w:val="24"/>
          <w:szCs w:val="24"/>
          <w:lang w:eastAsia="fr-FR"/>
        </w:rPr>
      </w:pPr>
      <w:r w:rsidRPr="000E5613">
        <w:rPr>
          <w:rFonts w:ascii="Times New Roman" w:eastAsia="Times New Roman" w:hAnsi="Times New Roman" w:cs="Times New Roman"/>
          <w:b/>
          <w:bCs/>
          <w:sz w:val="24"/>
          <w:szCs w:val="24"/>
          <w:lang w:eastAsia="fr-FR"/>
        </w:rPr>
        <w:t>Coefficient B (0,835) :</w:t>
      </w:r>
      <w:r w:rsidRPr="000E5613">
        <w:rPr>
          <w:rFonts w:ascii="Times New Roman" w:eastAsia="Times New Roman" w:hAnsi="Times New Roman" w:cs="Times New Roman"/>
          <w:sz w:val="24"/>
          <w:szCs w:val="24"/>
          <w:lang w:eastAsia="fr-FR"/>
        </w:rPr>
        <w:t xml:space="preserve"> Ce score est particulièrement élevé. Il indique que pour chaque augmentation d'un point dans l'intensité du </w:t>
      </w:r>
      <w:r w:rsidRPr="000E5613">
        <w:rPr>
          <w:rFonts w:ascii="Times New Roman" w:eastAsia="Times New Roman" w:hAnsi="Times New Roman" w:cs="Times New Roman"/>
          <w:b/>
          <w:bCs/>
          <w:sz w:val="24"/>
          <w:szCs w:val="24"/>
          <w:lang w:eastAsia="fr-FR"/>
        </w:rPr>
        <w:t>marketing des produits biologiques</w:t>
      </w:r>
      <w:r w:rsidRPr="000E5613">
        <w:rPr>
          <w:rFonts w:ascii="Times New Roman" w:eastAsia="Times New Roman" w:hAnsi="Times New Roman" w:cs="Times New Roman"/>
          <w:sz w:val="24"/>
          <w:szCs w:val="24"/>
          <w:lang w:eastAsia="fr-FR"/>
        </w:rPr>
        <w:t>, la pe</w:t>
      </w:r>
      <w:r w:rsidRPr="000E5613">
        <w:rPr>
          <w:rFonts w:ascii="Times New Roman" w:eastAsia="Times New Roman" w:hAnsi="Times New Roman" w:cs="Times New Roman"/>
          <w:sz w:val="24"/>
          <w:szCs w:val="24"/>
          <w:lang w:eastAsia="fr-FR"/>
        </w:rPr>
        <w:t>r</w:t>
      </w:r>
      <w:r w:rsidRPr="000E5613">
        <w:rPr>
          <w:rFonts w:ascii="Times New Roman" w:eastAsia="Times New Roman" w:hAnsi="Times New Roman" w:cs="Times New Roman"/>
          <w:sz w:val="24"/>
          <w:szCs w:val="24"/>
          <w:lang w:eastAsia="fr-FR"/>
        </w:rPr>
        <w:t xml:space="preserve">ception de la </w:t>
      </w:r>
      <w:r w:rsidRPr="000E5613">
        <w:rPr>
          <w:rFonts w:ascii="Times New Roman" w:eastAsia="Times New Roman" w:hAnsi="Times New Roman" w:cs="Times New Roman"/>
          <w:b/>
          <w:bCs/>
          <w:sz w:val="24"/>
          <w:szCs w:val="24"/>
          <w:lang w:eastAsia="fr-FR"/>
        </w:rPr>
        <w:t>sécurité sanitaire</w:t>
      </w:r>
      <w:r w:rsidRPr="000E5613">
        <w:rPr>
          <w:rFonts w:ascii="Times New Roman" w:eastAsia="Times New Roman" w:hAnsi="Times New Roman" w:cs="Times New Roman"/>
          <w:sz w:val="24"/>
          <w:szCs w:val="24"/>
          <w:lang w:eastAsia="fr-FR"/>
        </w:rPr>
        <w:t xml:space="preserve"> progresse de </w:t>
      </w:r>
      <w:r w:rsidRPr="000E5613">
        <w:rPr>
          <w:rFonts w:ascii="Times New Roman" w:eastAsia="Times New Roman" w:hAnsi="Times New Roman" w:cs="Times New Roman"/>
          <w:b/>
          <w:bCs/>
          <w:sz w:val="24"/>
          <w:szCs w:val="24"/>
          <w:lang w:eastAsia="fr-FR"/>
        </w:rPr>
        <w:t>0,835 point</w:t>
      </w:r>
      <w:r w:rsidRPr="000E5613">
        <w:rPr>
          <w:rFonts w:ascii="Times New Roman" w:eastAsia="Times New Roman" w:hAnsi="Times New Roman" w:cs="Times New Roman"/>
          <w:sz w:val="24"/>
          <w:szCs w:val="24"/>
          <w:lang w:eastAsia="fr-FR"/>
        </w:rPr>
        <w:t>. La relation est donc extrêm</w:t>
      </w:r>
      <w:r w:rsidRPr="000E5613">
        <w:rPr>
          <w:rFonts w:ascii="Times New Roman" w:eastAsia="Times New Roman" w:hAnsi="Times New Roman" w:cs="Times New Roman"/>
          <w:sz w:val="24"/>
          <w:szCs w:val="24"/>
          <w:lang w:eastAsia="fr-FR"/>
        </w:rPr>
        <w:t>e</w:t>
      </w:r>
      <w:r w:rsidRPr="000E5613">
        <w:rPr>
          <w:rFonts w:ascii="Times New Roman" w:eastAsia="Times New Roman" w:hAnsi="Times New Roman" w:cs="Times New Roman"/>
          <w:sz w:val="24"/>
          <w:szCs w:val="24"/>
          <w:lang w:eastAsia="fr-FR"/>
        </w:rPr>
        <w:t>ment positive et forte.</w:t>
      </w:r>
    </w:p>
    <w:p w:rsidR="005236B6" w:rsidRDefault="005236B6" w:rsidP="00140168">
      <w:pPr>
        <w:numPr>
          <w:ilvl w:val="0"/>
          <w:numId w:val="17"/>
        </w:numPr>
        <w:suppressAutoHyphens w:val="0"/>
        <w:autoSpaceDN/>
        <w:spacing w:before="100" w:beforeAutospacing="1" w:after="0" w:line="360" w:lineRule="auto"/>
        <w:jc w:val="both"/>
        <w:textAlignment w:val="auto"/>
        <w:rPr>
          <w:rFonts w:ascii="Times New Roman" w:eastAsia="Times New Roman" w:hAnsi="Times New Roman" w:cs="Times New Roman"/>
          <w:sz w:val="24"/>
          <w:szCs w:val="24"/>
          <w:lang w:eastAsia="fr-FR"/>
        </w:rPr>
      </w:pPr>
      <w:r w:rsidRPr="000E5613">
        <w:rPr>
          <w:rFonts w:ascii="Times New Roman" w:eastAsia="Times New Roman" w:hAnsi="Times New Roman" w:cs="Times New Roman"/>
          <w:b/>
          <w:bCs/>
          <w:sz w:val="24"/>
          <w:szCs w:val="24"/>
          <w:lang w:eastAsia="fr-FR"/>
        </w:rPr>
        <w:t>La Constante (0,910) :</w:t>
      </w:r>
      <w:r w:rsidRPr="000E5613">
        <w:rPr>
          <w:rFonts w:ascii="Times New Roman" w:eastAsia="Times New Roman" w:hAnsi="Times New Roman" w:cs="Times New Roman"/>
          <w:sz w:val="24"/>
          <w:szCs w:val="24"/>
          <w:lang w:eastAsia="fr-FR"/>
        </w:rPr>
        <w:t xml:space="preserve"> ici la constante est très significative (p = 0,001), ce qui renforce la stabilité du modèle.</w:t>
      </w:r>
    </w:p>
    <w:p w:rsidR="005236B6" w:rsidRPr="000E5613" w:rsidRDefault="005236B6" w:rsidP="00140168">
      <w:pPr>
        <w:pStyle w:val="Titre3"/>
        <w:spacing w:after="0" w:line="360" w:lineRule="auto"/>
        <w:jc w:val="both"/>
        <w:rPr>
          <w:rFonts w:asciiTheme="majorBidi" w:hAnsiTheme="majorBidi"/>
          <w:b/>
          <w:bCs/>
          <w:color w:val="auto"/>
        </w:rPr>
      </w:pPr>
      <w:bookmarkStart w:id="376" w:name="_Toc230558749"/>
      <w:bookmarkStart w:id="377" w:name="_Toc230900383"/>
      <w:r w:rsidRPr="000E5613">
        <w:rPr>
          <w:rFonts w:asciiTheme="majorBidi" w:hAnsiTheme="majorBidi"/>
          <w:b/>
          <w:bCs/>
          <w:color w:val="auto"/>
        </w:rPr>
        <w:t>Analyse du Graphique de Régression</w:t>
      </w:r>
      <w:bookmarkEnd w:id="376"/>
      <w:bookmarkEnd w:id="377"/>
    </w:p>
    <w:p w:rsidR="005236B6" w:rsidRDefault="005236B6" w:rsidP="00140168">
      <w:pPr>
        <w:pStyle w:val="NormalWeb"/>
        <w:spacing w:after="0" w:line="360" w:lineRule="auto"/>
        <w:jc w:val="both"/>
      </w:pPr>
      <w:r>
        <w:t>Le graphique de dispersion visibilise la puissance de cette relation :</w:t>
      </w:r>
    </w:p>
    <w:p w:rsidR="005236B6" w:rsidRDefault="005236B6" w:rsidP="00140168">
      <w:pPr>
        <w:pStyle w:val="NormalWeb"/>
        <w:numPr>
          <w:ilvl w:val="0"/>
          <w:numId w:val="18"/>
        </w:numPr>
        <w:spacing w:before="100" w:beforeAutospacing="1" w:after="0" w:line="360" w:lineRule="auto"/>
        <w:jc w:val="both"/>
      </w:pPr>
      <w:r>
        <w:rPr>
          <w:b/>
          <w:bCs/>
        </w:rPr>
        <w:t>La Droite de Régression :</w:t>
      </w:r>
      <w:r>
        <w:t xml:space="preserve"> La pente est très inclinée vers le haut, ce qui illustre graph</w:t>
      </w:r>
      <w:r>
        <w:t>i</w:t>
      </w:r>
      <w:r>
        <w:t>quement la force du coefficient B (0,835). On voit clairement que plus on avance sur l'axe horizontal (Marketing), plus les points montent sur l'axe vertical (Sécurité).</w:t>
      </w:r>
    </w:p>
    <w:p w:rsidR="005236B6" w:rsidRDefault="005236B6" w:rsidP="00140168">
      <w:pPr>
        <w:pStyle w:val="NormalWeb"/>
        <w:numPr>
          <w:ilvl w:val="0"/>
          <w:numId w:val="18"/>
        </w:numPr>
        <w:spacing w:before="100" w:beforeAutospacing="1" w:after="0" w:line="360" w:lineRule="auto"/>
        <w:jc w:val="both"/>
      </w:pPr>
      <w:r>
        <w:rPr>
          <w:b/>
          <w:bCs/>
        </w:rPr>
        <w:t>Concentration des données :</w:t>
      </w:r>
      <w:r>
        <w:t xml:space="preserve"> On observe une forme de "nuage" allongé qui suit étroit</w:t>
      </w:r>
      <w:r>
        <w:t>e</w:t>
      </w:r>
      <w:r>
        <w:t xml:space="preserve">ment la droite. Cela explique le </w:t>
      </w:r>
      <w:r>
        <w:rPr>
          <w:rStyle w:val="math-inline"/>
        </w:rPr>
        <w:t>R2</w:t>
      </w:r>
      <w:r>
        <w:t xml:space="preserve"> élevé de </w:t>
      </w:r>
      <w:r>
        <w:rPr>
          <w:b/>
          <w:bCs/>
        </w:rPr>
        <w:t>0,384</w:t>
      </w:r>
      <w:r>
        <w:t xml:space="preserve">. Les réponses des consommateurs sont très cohérentes </w:t>
      </w:r>
    </w:p>
    <w:p w:rsidR="005236B6" w:rsidRPr="000E5613" w:rsidRDefault="005236B6" w:rsidP="00140168">
      <w:pPr>
        <w:spacing w:before="100" w:beforeAutospacing="1" w:after="0" w:line="360" w:lineRule="auto"/>
        <w:jc w:val="both"/>
        <w:rPr>
          <w:rFonts w:ascii="Times New Roman" w:eastAsia="Times New Roman" w:hAnsi="Times New Roman" w:cs="Times New Roman"/>
          <w:sz w:val="24"/>
          <w:szCs w:val="24"/>
          <w:lang w:eastAsia="fr-FR"/>
        </w:rPr>
      </w:pPr>
      <w:r w:rsidRPr="000E5613">
        <w:rPr>
          <w:rFonts w:ascii="Times New Roman" w:eastAsia="Times New Roman" w:hAnsi="Times New Roman" w:cs="Times New Roman"/>
          <w:sz w:val="24"/>
          <w:szCs w:val="24"/>
          <w:lang w:eastAsia="fr-FR"/>
        </w:rPr>
        <w:t xml:space="preserve">Le marketing des produits biologiques n'est pas perçu par le consommateur comme une simple publicité, mais comme une </w:t>
      </w:r>
      <w:r w:rsidRPr="000E5613">
        <w:rPr>
          <w:rFonts w:ascii="Times New Roman" w:eastAsia="Times New Roman" w:hAnsi="Times New Roman" w:cs="Times New Roman"/>
          <w:b/>
          <w:bCs/>
          <w:sz w:val="24"/>
          <w:szCs w:val="24"/>
          <w:lang w:eastAsia="fr-FR"/>
        </w:rPr>
        <w:t>promesse de santé</w:t>
      </w:r>
      <w:r w:rsidRPr="000E5613">
        <w:rPr>
          <w:rFonts w:ascii="Times New Roman" w:eastAsia="Times New Roman" w:hAnsi="Times New Roman" w:cs="Times New Roman"/>
          <w:sz w:val="24"/>
          <w:szCs w:val="24"/>
          <w:lang w:eastAsia="fr-FR"/>
        </w:rPr>
        <w:t>.</w:t>
      </w:r>
    </w:p>
    <w:p w:rsidR="005236B6" w:rsidRPr="00516205" w:rsidRDefault="006E799B" w:rsidP="00140168">
      <w:pPr>
        <w:pStyle w:val="Titre4"/>
        <w:spacing w:after="0" w:line="360" w:lineRule="auto"/>
        <w:rPr>
          <w:rFonts w:ascii="Times New Roman" w:hAnsi="Times New Roman"/>
          <w:b/>
          <w:bCs/>
          <w:i w:val="0"/>
          <w:iCs w:val="0"/>
          <w:color w:val="auto"/>
          <w:sz w:val="24"/>
          <w:szCs w:val="24"/>
        </w:rPr>
      </w:pPr>
      <w:bookmarkStart w:id="378" w:name="_Toc230558750"/>
      <w:bookmarkStart w:id="379" w:name="_Toc230900384"/>
      <w:r w:rsidRPr="00516205">
        <w:rPr>
          <w:rFonts w:ascii="Times New Roman" w:hAnsi="Times New Roman"/>
          <w:b/>
          <w:bCs/>
          <w:i w:val="0"/>
          <w:iCs w:val="0"/>
          <w:color w:val="auto"/>
          <w:sz w:val="24"/>
          <w:szCs w:val="24"/>
        </w:rPr>
        <w:t>4.2. </w:t>
      </w:r>
      <w:r w:rsidR="005236B6" w:rsidRPr="00516205">
        <w:rPr>
          <w:rFonts w:ascii="Times New Roman" w:hAnsi="Times New Roman"/>
          <w:b/>
          <w:bCs/>
          <w:i w:val="0"/>
          <w:iCs w:val="0"/>
          <w:color w:val="auto"/>
          <w:sz w:val="24"/>
          <w:szCs w:val="24"/>
        </w:rPr>
        <w:t>La première sous hypothèse (H1(a)) :</w:t>
      </w:r>
      <w:bookmarkEnd w:id="378"/>
      <w:bookmarkEnd w:id="379"/>
    </w:p>
    <w:p w:rsidR="005236B6" w:rsidRPr="005D60E1" w:rsidRDefault="005236B6" w:rsidP="00140168">
      <w:pPr>
        <w:pStyle w:val="Paragraphedeliste"/>
        <w:spacing w:after="0" w:line="360" w:lineRule="auto"/>
        <w:rPr>
          <w:rFonts w:asciiTheme="majorBidi" w:hAnsiTheme="majorBidi" w:cstheme="majorBidi"/>
          <w:b/>
          <w:bCs/>
          <w:sz w:val="24"/>
          <w:szCs w:val="24"/>
        </w:rPr>
      </w:pPr>
      <w:r w:rsidRPr="005D60E1">
        <w:rPr>
          <w:rFonts w:asciiTheme="majorBidi" w:hAnsiTheme="majorBidi" w:cstheme="majorBidi"/>
          <w:b/>
          <w:bCs/>
          <w:sz w:val="24"/>
          <w:szCs w:val="24"/>
        </w:rPr>
        <w:t xml:space="preserve">H1 (a) : </w:t>
      </w:r>
      <w:r w:rsidRPr="005D60E1">
        <w:rPr>
          <w:rFonts w:asciiTheme="majorBidi" w:hAnsiTheme="majorBidi" w:cstheme="majorBidi"/>
          <w:sz w:val="24"/>
          <w:szCs w:val="24"/>
        </w:rPr>
        <w:t>La présence d’un label biologique certifié renforce la confiance du consommateur.</w:t>
      </w:r>
    </w:p>
    <w:p w:rsidR="005236B6" w:rsidRPr="005D60E1" w:rsidRDefault="005236B6" w:rsidP="00140168">
      <w:pPr>
        <w:pStyle w:val="Paragraphedeliste"/>
        <w:spacing w:after="0" w:line="360" w:lineRule="auto"/>
        <w:rPr>
          <w:rFonts w:asciiTheme="majorBidi" w:hAnsiTheme="majorBidi" w:cstheme="majorBidi"/>
          <w:b/>
          <w:bCs/>
          <w:sz w:val="24"/>
          <w:szCs w:val="24"/>
        </w:rPr>
      </w:pPr>
      <w:r w:rsidRPr="00860658">
        <w:rPr>
          <w:rFonts w:ascii="Times New Roman" w:hAnsi="Times New Roman" w:cs="Times New Roman"/>
          <w:b/>
          <w:bCs/>
          <w:color w:val="000000"/>
          <w:sz w:val="24"/>
          <w:szCs w:val="24"/>
        </w:rPr>
        <w:t xml:space="preserve">Tableau N° </w:t>
      </w:r>
      <w:r>
        <w:rPr>
          <w:rFonts w:ascii="Times New Roman" w:hAnsi="Times New Roman" w:cs="Times New Roman"/>
          <w:b/>
          <w:bCs/>
          <w:color w:val="000000"/>
          <w:sz w:val="24"/>
          <w:szCs w:val="24"/>
        </w:rPr>
        <w:t>35</w:t>
      </w:r>
      <w:r w:rsidRPr="00860658">
        <w:rPr>
          <w:rFonts w:ascii="Times New Roman" w:hAnsi="Times New Roman" w:cs="Times New Roman"/>
          <w:b/>
          <w:bCs/>
          <w:color w:val="000000"/>
          <w:sz w:val="24"/>
          <w:szCs w:val="24"/>
        </w:rPr>
        <w:t xml:space="preserve"> :</w:t>
      </w:r>
      <w:r w:rsidRPr="005D60E1">
        <w:rPr>
          <w:rFonts w:asciiTheme="majorBidi" w:hAnsiTheme="majorBidi" w:cstheme="majorBidi"/>
          <w:b/>
          <w:bCs/>
          <w:sz w:val="24"/>
          <w:szCs w:val="24"/>
        </w:rPr>
        <w:t xml:space="preserve"> Coefficient de corrélation et l’ANOVA :</w:t>
      </w:r>
    </w:p>
    <w:tbl>
      <w:tblPr>
        <w:tblStyle w:val="CV15"/>
        <w:tblW w:w="0" w:type="auto"/>
        <w:jc w:val="center"/>
        <w:tblLook w:val="04A0"/>
      </w:tblPr>
      <w:tblGrid>
        <w:gridCol w:w="2003"/>
        <w:gridCol w:w="990"/>
        <w:gridCol w:w="1024"/>
        <w:gridCol w:w="1010"/>
        <w:gridCol w:w="891"/>
        <w:gridCol w:w="945"/>
        <w:gridCol w:w="945"/>
      </w:tblGrid>
      <w:tr w:rsidR="005236B6" w:rsidRPr="00DB5642" w:rsidTr="00EC7780">
        <w:trPr>
          <w:jc w:val="center"/>
        </w:trPr>
        <w:tc>
          <w:tcPr>
            <w:tcW w:w="2003" w:type="dxa"/>
            <w:vAlign w:val="center"/>
          </w:tcPr>
          <w:p w:rsidR="005236B6" w:rsidRPr="00DB5642" w:rsidRDefault="005236B6" w:rsidP="00F7493D">
            <w:pPr>
              <w:spacing w:after="160"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H1 (a)</w:t>
            </w:r>
          </w:p>
        </w:tc>
        <w:tc>
          <w:tcPr>
            <w:tcW w:w="990" w:type="dxa"/>
            <w:vAlign w:val="center"/>
          </w:tcPr>
          <w:p w:rsidR="005236B6" w:rsidRPr="00DB5642" w:rsidRDefault="005236B6" w:rsidP="00F7493D">
            <w:pPr>
              <w:spacing w:after="160"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R</w:t>
            </w:r>
          </w:p>
        </w:tc>
        <w:tc>
          <w:tcPr>
            <w:tcW w:w="1024" w:type="dxa"/>
            <w:vAlign w:val="center"/>
          </w:tcPr>
          <w:p w:rsidR="005236B6" w:rsidRPr="00DB5642" w:rsidRDefault="005236B6" w:rsidP="00F7493D">
            <w:pPr>
              <w:spacing w:after="160" w:line="360" w:lineRule="auto"/>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R-deux</w:t>
            </w:r>
          </w:p>
        </w:tc>
        <w:tc>
          <w:tcPr>
            <w:tcW w:w="1010" w:type="dxa"/>
            <w:vAlign w:val="center"/>
          </w:tcPr>
          <w:p w:rsidR="005236B6" w:rsidRPr="00DB5642" w:rsidRDefault="005236B6" w:rsidP="00F7493D">
            <w:pPr>
              <w:spacing w:after="160" w:line="360" w:lineRule="auto"/>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R-deux ajusté</w:t>
            </w:r>
          </w:p>
        </w:tc>
        <w:tc>
          <w:tcPr>
            <w:tcW w:w="891" w:type="dxa"/>
            <w:vAlign w:val="center"/>
          </w:tcPr>
          <w:p w:rsidR="005236B6" w:rsidRPr="00DB5642" w:rsidRDefault="005236B6" w:rsidP="00F7493D">
            <w:pPr>
              <w:spacing w:after="160"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F</w:t>
            </w:r>
          </w:p>
        </w:tc>
        <w:tc>
          <w:tcPr>
            <w:tcW w:w="945" w:type="dxa"/>
            <w:vAlign w:val="center"/>
          </w:tcPr>
          <w:p w:rsidR="005236B6" w:rsidRPr="00DB5642" w:rsidRDefault="005236B6" w:rsidP="00F7493D">
            <w:pPr>
              <w:spacing w:after="160"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sig</w:t>
            </w:r>
          </w:p>
        </w:tc>
        <w:tc>
          <w:tcPr>
            <w:tcW w:w="945" w:type="dxa"/>
            <w:vAlign w:val="center"/>
          </w:tcPr>
          <w:p w:rsidR="005236B6" w:rsidRPr="00DB5642" w:rsidRDefault="005236B6" w:rsidP="00F7493D">
            <w:pPr>
              <w:spacing w:after="160" w:line="360" w:lineRule="auto"/>
              <w:jc w:val="center"/>
              <w:rPr>
                <w:rFonts w:asciiTheme="majorBidi" w:eastAsia="Calibri" w:hAnsiTheme="majorBidi" w:cstheme="majorBidi"/>
                <w:sz w:val="24"/>
                <w:szCs w:val="24"/>
              </w:rPr>
            </w:pPr>
            <w:r w:rsidRPr="00DB5642">
              <w:rPr>
                <w:rFonts w:asciiTheme="majorBidi" w:eastAsia="Calibri" w:hAnsiTheme="majorBidi" w:cstheme="majorBidi"/>
                <w:color w:val="000000"/>
                <w:sz w:val="24"/>
                <w:szCs w:val="24"/>
              </w:rPr>
              <w:t>Degré de liberté</w:t>
            </w:r>
          </w:p>
        </w:tc>
      </w:tr>
      <w:tr w:rsidR="005236B6" w:rsidRPr="00DB5642" w:rsidTr="00EC7780">
        <w:trPr>
          <w:jc w:val="center"/>
        </w:trPr>
        <w:tc>
          <w:tcPr>
            <w:tcW w:w="2003" w:type="dxa"/>
            <w:vAlign w:val="center"/>
          </w:tcPr>
          <w:p w:rsidR="005236B6" w:rsidRPr="00DB5642" w:rsidRDefault="005236B6" w:rsidP="00F7493D">
            <w:pPr>
              <w:spacing w:after="160" w:line="360" w:lineRule="auto"/>
              <w:jc w:val="center"/>
              <w:rPr>
                <w:rFonts w:asciiTheme="majorBidi" w:eastAsia="Calibri" w:hAnsiTheme="majorBidi" w:cstheme="majorBidi"/>
                <w:sz w:val="24"/>
                <w:szCs w:val="24"/>
                <w:lang w:bidi="ar-DZ"/>
              </w:rPr>
            </w:pPr>
            <w:r>
              <w:rPr>
                <w:rFonts w:asciiTheme="majorBidi" w:eastAsia="Calibri" w:hAnsiTheme="majorBidi" w:cstheme="majorBidi"/>
                <w:sz w:val="24"/>
                <w:szCs w:val="24"/>
              </w:rPr>
              <w:t>Conscience sanitaire</w:t>
            </w:r>
            <w:r w:rsidRPr="00DB5642">
              <w:rPr>
                <w:rFonts w:asciiTheme="majorBidi" w:eastAsia="Calibri" w:hAnsiTheme="majorBidi" w:cstheme="majorBidi"/>
                <w:sz w:val="24"/>
                <w:szCs w:val="24"/>
                <w:rtl/>
                <w:lang w:bidi="ar-DZ"/>
              </w:rPr>
              <w:t xml:space="preserve"> ~</w:t>
            </w:r>
            <w:r>
              <w:rPr>
                <w:rFonts w:asciiTheme="majorBidi" w:eastAsia="Calibri" w:hAnsiTheme="majorBidi" w:cstheme="majorBidi"/>
                <w:sz w:val="24"/>
                <w:szCs w:val="24"/>
              </w:rPr>
              <w:t>label biologique/produit</w:t>
            </w:r>
          </w:p>
        </w:tc>
        <w:tc>
          <w:tcPr>
            <w:tcW w:w="990"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Pr>
                <w:rFonts w:asciiTheme="majorBidi" w:hAnsiTheme="majorBidi" w:cstheme="majorBidi"/>
                <w:sz w:val="24"/>
                <w:szCs w:val="24"/>
              </w:rPr>
              <w:t>0</w:t>
            </w:r>
            <w:r w:rsidRPr="00DB5642">
              <w:rPr>
                <w:rFonts w:asciiTheme="majorBidi" w:hAnsiTheme="majorBidi" w:cstheme="majorBidi"/>
                <w:sz w:val="24"/>
                <w:szCs w:val="24"/>
              </w:rPr>
              <w:t>,531</w:t>
            </w:r>
            <w:r w:rsidRPr="00DB5642">
              <w:rPr>
                <w:rFonts w:asciiTheme="majorBidi" w:hAnsiTheme="majorBidi" w:cstheme="majorBidi"/>
                <w:sz w:val="24"/>
                <w:szCs w:val="24"/>
                <w:vertAlign w:val="superscript"/>
              </w:rPr>
              <w:t>a</w:t>
            </w:r>
          </w:p>
        </w:tc>
        <w:tc>
          <w:tcPr>
            <w:tcW w:w="1024"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Pr>
                <w:rFonts w:asciiTheme="majorBidi" w:hAnsiTheme="majorBidi" w:cstheme="majorBidi"/>
                <w:sz w:val="24"/>
                <w:szCs w:val="24"/>
              </w:rPr>
              <w:t>0</w:t>
            </w:r>
            <w:r w:rsidRPr="00DB5642">
              <w:rPr>
                <w:rFonts w:asciiTheme="majorBidi" w:hAnsiTheme="majorBidi" w:cstheme="majorBidi"/>
                <w:sz w:val="24"/>
                <w:szCs w:val="24"/>
              </w:rPr>
              <w:t>,282</w:t>
            </w:r>
          </w:p>
        </w:tc>
        <w:tc>
          <w:tcPr>
            <w:tcW w:w="1010"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Pr>
                <w:rFonts w:asciiTheme="majorBidi" w:hAnsiTheme="majorBidi" w:cstheme="majorBidi"/>
                <w:sz w:val="24"/>
                <w:szCs w:val="24"/>
              </w:rPr>
              <w:t>0</w:t>
            </w:r>
            <w:r w:rsidRPr="00DB5642">
              <w:rPr>
                <w:rFonts w:asciiTheme="majorBidi" w:hAnsiTheme="majorBidi" w:cstheme="majorBidi"/>
                <w:sz w:val="24"/>
                <w:szCs w:val="24"/>
              </w:rPr>
              <w:t>,278</w:t>
            </w:r>
          </w:p>
        </w:tc>
        <w:tc>
          <w:tcPr>
            <w:tcW w:w="891" w:type="dxa"/>
            <w:vAlign w:val="center"/>
          </w:tcPr>
          <w:p w:rsidR="005236B6" w:rsidRPr="00DB5642" w:rsidRDefault="005236B6" w:rsidP="00F7493D">
            <w:pPr>
              <w:spacing w:after="160" w:line="360" w:lineRule="auto"/>
              <w:contextualSpacing/>
              <w:jc w:val="center"/>
              <w:rPr>
                <w:rFonts w:asciiTheme="majorBidi" w:eastAsia="Calibri" w:hAnsiTheme="majorBidi" w:cstheme="majorBidi"/>
                <w:color w:val="000000"/>
                <w:sz w:val="24"/>
                <w:szCs w:val="24"/>
              </w:rPr>
            </w:pPr>
            <w:r w:rsidRPr="00DB5642">
              <w:rPr>
                <w:rFonts w:asciiTheme="majorBidi" w:hAnsiTheme="majorBidi" w:cstheme="majorBidi"/>
                <w:color w:val="010205"/>
                <w:sz w:val="24"/>
                <w:szCs w:val="24"/>
              </w:rPr>
              <w:t>79,609</w:t>
            </w:r>
          </w:p>
        </w:tc>
        <w:tc>
          <w:tcPr>
            <w:tcW w:w="945" w:type="dxa"/>
            <w:vAlign w:val="center"/>
          </w:tcPr>
          <w:p w:rsidR="005236B6" w:rsidRPr="00DB5642" w:rsidRDefault="005236B6" w:rsidP="00F7493D">
            <w:pPr>
              <w:spacing w:after="160"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0.000</w:t>
            </w:r>
          </w:p>
        </w:tc>
        <w:tc>
          <w:tcPr>
            <w:tcW w:w="945" w:type="dxa"/>
            <w:vAlign w:val="center"/>
          </w:tcPr>
          <w:p w:rsidR="005236B6" w:rsidRPr="00DB5642" w:rsidRDefault="005236B6" w:rsidP="00F7493D">
            <w:pPr>
              <w:spacing w:after="160"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1</w:t>
            </w:r>
          </w:p>
          <w:p w:rsidR="005236B6" w:rsidRPr="00DB5642" w:rsidRDefault="005236B6" w:rsidP="00F7493D">
            <w:pPr>
              <w:spacing w:after="160"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203</w:t>
            </w:r>
          </w:p>
          <w:p w:rsidR="005236B6" w:rsidRPr="00DB5642" w:rsidRDefault="005236B6" w:rsidP="00F7493D">
            <w:pPr>
              <w:spacing w:after="160"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204</w:t>
            </w:r>
          </w:p>
        </w:tc>
      </w:tr>
    </w:tbl>
    <w:p w:rsidR="005236B6" w:rsidRDefault="005236B6" w:rsidP="00F7493D">
      <w:pPr>
        <w:spacing w:line="360" w:lineRule="auto"/>
        <w:jc w:val="center"/>
        <w:rPr>
          <w:rFonts w:asciiTheme="majorBidi" w:hAnsiTheme="majorBidi" w:cstheme="majorBidi"/>
          <w:sz w:val="20"/>
          <w:szCs w:val="20"/>
          <w:rtl/>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140168" w:rsidRPr="00523C8D" w:rsidRDefault="00140168" w:rsidP="00F7493D">
      <w:pPr>
        <w:spacing w:line="360" w:lineRule="auto"/>
        <w:jc w:val="center"/>
        <w:rPr>
          <w:rFonts w:asciiTheme="majorBidi" w:hAnsiTheme="majorBidi" w:cstheme="majorBidi"/>
          <w:sz w:val="20"/>
          <w:szCs w:val="20"/>
        </w:rPr>
      </w:pPr>
    </w:p>
    <w:p w:rsidR="005236B6" w:rsidRPr="009D0249" w:rsidRDefault="005236B6" w:rsidP="00F7493D">
      <w:pPr>
        <w:spacing w:after="0" w:line="360" w:lineRule="auto"/>
        <w:jc w:val="lowKashida"/>
        <w:rPr>
          <w:rFonts w:asciiTheme="majorBidi" w:hAnsiTheme="majorBidi" w:cstheme="majorBidi"/>
          <w:b/>
          <w:bCs/>
          <w:sz w:val="24"/>
          <w:szCs w:val="24"/>
          <w:lang w:eastAsia="fr-FR"/>
        </w:rPr>
      </w:pPr>
      <w:r w:rsidRPr="009D0249">
        <w:rPr>
          <w:rFonts w:asciiTheme="majorBidi" w:hAnsiTheme="majorBidi" w:cstheme="majorBidi"/>
          <w:b/>
          <w:bCs/>
          <w:sz w:val="24"/>
          <w:szCs w:val="24"/>
          <w:lang w:eastAsia="fr-FR"/>
        </w:rPr>
        <w:lastRenderedPageBreak/>
        <w:t>Analyse de la Corrélation (Lien entre les variables)</w:t>
      </w:r>
    </w:p>
    <w:p w:rsidR="005236B6" w:rsidRPr="009F593D" w:rsidRDefault="005236B6" w:rsidP="00D078CC">
      <w:pPr>
        <w:numPr>
          <w:ilvl w:val="0"/>
          <w:numId w:val="19"/>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9F593D">
        <w:rPr>
          <w:rFonts w:ascii="Times New Roman" w:eastAsia="Times New Roman" w:hAnsi="Times New Roman" w:cs="Times New Roman"/>
          <w:b/>
          <w:bCs/>
          <w:sz w:val="24"/>
          <w:szCs w:val="24"/>
          <w:lang w:eastAsia="fr-FR"/>
        </w:rPr>
        <w:t>Le Coefficient de Corrélation (R = 0,531) :</w:t>
      </w:r>
      <w:r w:rsidRPr="009F593D">
        <w:rPr>
          <w:rFonts w:ascii="Times New Roman" w:eastAsia="Times New Roman" w:hAnsi="Times New Roman" w:cs="Times New Roman"/>
          <w:sz w:val="24"/>
          <w:szCs w:val="24"/>
          <w:lang w:eastAsia="fr-FR"/>
        </w:rPr>
        <w:t xml:space="preserve"> Cette valeur indique une </w:t>
      </w:r>
      <w:r w:rsidRPr="009F593D">
        <w:rPr>
          <w:rFonts w:ascii="Times New Roman" w:eastAsia="Times New Roman" w:hAnsi="Times New Roman" w:cs="Times New Roman"/>
          <w:b/>
          <w:bCs/>
          <w:sz w:val="24"/>
          <w:szCs w:val="24"/>
          <w:lang w:eastAsia="fr-FR"/>
        </w:rPr>
        <w:t>corrélation pos</w:t>
      </w:r>
      <w:r w:rsidRPr="009F593D">
        <w:rPr>
          <w:rFonts w:ascii="Times New Roman" w:eastAsia="Times New Roman" w:hAnsi="Times New Roman" w:cs="Times New Roman"/>
          <w:b/>
          <w:bCs/>
          <w:sz w:val="24"/>
          <w:szCs w:val="24"/>
          <w:lang w:eastAsia="fr-FR"/>
        </w:rPr>
        <w:t>i</w:t>
      </w:r>
      <w:r w:rsidRPr="009F593D">
        <w:rPr>
          <w:rFonts w:ascii="Times New Roman" w:eastAsia="Times New Roman" w:hAnsi="Times New Roman" w:cs="Times New Roman"/>
          <w:b/>
          <w:bCs/>
          <w:sz w:val="24"/>
          <w:szCs w:val="24"/>
          <w:lang w:eastAsia="fr-FR"/>
        </w:rPr>
        <w:t>tive d'intensité forte</w:t>
      </w:r>
      <w:r w:rsidRPr="009F593D">
        <w:rPr>
          <w:rFonts w:ascii="Times New Roman" w:eastAsia="Times New Roman" w:hAnsi="Times New Roman" w:cs="Times New Roman"/>
          <w:sz w:val="24"/>
          <w:szCs w:val="24"/>
          <w:lang w:eastAsia="fr-FR"/>
        </w:rPr>
        <w:t>. Cela signifie qu'il existe un lien direct et significatif : plus le co</w:t>
      </w:r>
      <w:r w:rsidRPr="009F593D">
        <w:rPr>
          <w:rFonts w:ascii="Times New Roman" w:eastAsia="Times New Roman" w:hAnsi="Times New Roman" w:cs="Times New Roman"/>
          <w:sz w:val="24"/>
          <w:szCs w:val="24"/>
          <w:lang w:eastAsia="fr-FR"/>
        </w:rPr>
        <w:t>n</w:t>
      </w:r>
      <w:r w:rsidRPr="009F593D">
        <w:rPr>
          <w:rFonts w:ascii="Times New Roman" w:eastAsia="Times New Roman" w:hAnsi="Times New Roman" w:cs="Times New Roman"/>
          <w:sz w:val="24"/>
          <w:szCs w:val="24"/>
          <w:lang w:eastAsia="fr-FR"/>
        </w:rPr>
        <w:t>sommateur perçoit la présence d'un label biologique certifié, plus sa conscience (ou co</w:t>
      </w:r>
      <w:r w:rsidRPr="009F593D">
        <w:rPr>
          <w:rFonts w:ascii="Times New Roman" w:eastAsia="Times New Roman" w:hAnsi="Times New Roman" w:cs="Times New Roman"/>
          <w:sz w:val="24"/>
          <w:szCs w:val="24"/>
          <w:lang w:eastAsia="fr-FR"/>
        </w:rPr>
        <w:t>n</w:t>
      </w:r>
      <w:r w:rsidRPr="009F593D">
        <w:rPr>
          <w:rFonts w:ascii="Times New Roman" w:eastAsia="Times New Roman" w:hAnsi="Times New Roman" w:cs="Times New Roman"/>
          <w:sz w:val="24"/>
          <w:szCs w:val="24"/>
          <w:lang w:eastAsia="fr-FR"/>
        </w:rPr>
        <w:t>fiance) sanitaire est élevée.</w:t>
      </w:r>
    </w:p>
    <w:p w:rsidR="005236B6" w:rsidRDefault="005236B6" w:rsidP="00D078CC">
      <w:pPr>
        <w:numPr>
          <w:ilvl w:val="0"/>
          <w:numId w:val="19"/>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9F593D">
        <w:rPr>
          <w:rFonts w:ascii="Times New Roman" w:eastAsia="Times New Roman" w:hAnsi="Times New Roman" w:cs="Times New Roman"/>
          <w:b/>
          <w:bCs/>
          <w:sz w:val="24"/>
          <w:szCs w:val="24"/>
          <w:lang w:eastAsia="fr-FR"/>
        </w:rPr>
        <w:t>Le Coefficient de Détermination (</w:t>
      </w:r>
      <w:r>
        <w:rPr>
          <w:rFonts w:ascii="Times New Roman" w:eastAsia="Times New Roman" w:hAnsi="Times New Roman" w:cs="Times New Roman"/>
          <w:b/>
          <w:bCs/>
          <w:sz w:val="24"/>
          <w:szCs w:val="24"/>
          <w:lang w:eastAsia="fr-FR"/>
        </w:rPr>
        <w:t>R2</w:t>
      </w:r>
      <w:r w:rsidRPr="009F593D">
        <w:rPr>
          <w:rFonts w:ascii="Times New Roman" w:eastAsia="Times New Roman" w:hAnsi="Times New Roman" w:cs="Times New Roman"/>
          <w:b/>
          <w:bCs/>
          <w:sz w:val="24"/>
          <w:szCs w:val="24"/>
          <w:lang w:eastAsia="fr-FR"/>
        </w:rPr>
        <w:t xml:space="preserve"> = 0,282) :</w:t>
      </w:r>
      <w:r w:rsidRPr="009F593D">
        <w:rPr>
          <w:rFonts w:ascii="Times New Roman" w:eastAsia="Times New Roman" w:hAnsi="Times New Roman" w:cs="Times New Roman"/>
          <w:sz w:val="24"/>
          <w:szCs w:val="24"/>
          <w:lang w:eastAsia="fr-FR"/>
        </w:rPr>
        <w:t xml:space="preserve"> Ce résultat est très parlant en marketing. Il signifie que la présence du label biologique explique à elle seule </w:t>
      </w:r>
      <w:r w:rsidRPr="009F593D">
        <w:rPr>
          <w:rFonts w:ascii="Times New Roman" w:eastAsia="Times New Roman" w:hAnsi="Times New Roman" w:cs="Times New Roman"/>
          <w:b/>
          <w:bCs/>
          <w:sz w:val="24"/>
          <w:szCs w:val="24"/>
          <w:lang w:eastAsia="fr-FR"/>
        </w:rPr>
        <w:t>28,2 %</w:t>
      </w:r>
      <w:r w:rsidRPr="009F593D">
        <w:rPr>
          <w:rFonts w:ascii="Times New Roman" w:eastAsia="Times New Roman" w:hAnsi="Times New Roman" w:cs="Times New Roman"/>
          <w:sz w:val="24"/>
          <w:szCs w:val="24"/>
          <w:lang w:eastAsia="fr-FR"/>
        </w:rPr>
        <w:t xml:space="preserve"> de la variance de la conscience sanitaire.</w:t>
      </w:r>
    </w:p>
    <w:p w:rsidR="005236B6" w:rsidRPr="009D0249" w:rsidRDefault="005236B6" w:rsidP="00F7493D">
      <w:pPr>
        <w:spacing w:after="0" w:line="360" w:lineRule="auto"/>
        <w:jc w:val="lowKashida"/>
        <w:rPr>
          <w:rFonts w:asciiTheme="majorBidi" w:hAnsiTheme="majorBidi" w:cstheme="majorBidi"/>
          <w:b/>
          <w:bCs/>
          <w:sz w:val="24"/>
          <w:szCs w:val="24"/>
        </w:rPr>
      </w:pPr>
      <w:r w:rsidRPr="009D0249">
        <w:rPr>
          <w:rFonts w:asciiTheme="majorBidi" w:hAnsiTheme="majorBidi" w:cstheme="majorBidi"/>
          <w:b/>
          <w:bCs/>
          <w:sz w:val="24"/>
          <w:szCs w:val="24"/>
        </w:rPr>
        <w:t>Analyse de la Validité Statistique (ANOVA)</w:t>
      </w:r>
    </w:p>
    <w:p w:rsidR="005236B6" w:rsidRDefault="005236B6" w:rsidP="00F7493D">
      <w:pPr>
        <w:pStyle w:val="NormalWeb"/>
        <w:spacing w:line="360" w:lineRule="auto"/>
        <w:jc w:val="both"/>
      </w:pPr>
      <w:r>
        <w:t>Le tableau ANOVA confirme que cette relation n'est pas due au hasard :</w:t>
      </w:r>
    </w:p>
    <w:p w:rsidR="005236B6" w:rsidRDefault="005236B6" w:rsidP="00D078CC">
      <w:pPr>
        <w:pStyle w:val="NormalWeb"/>
        <w:numPr>
          <w:ilvl w:val="0"/>
          <w:numId w:val="20"/>
        </w:numPr>
        <w:spacing w:before="100" w:beforeAutospacing="1" w:after="100" w:afterAutospacing="1" w:line="360" w:lineRule="auto"/>
        <w:jc w:val="both"/>
      </w:pPr>
      <w:r>
        <w:rPr>
          <w:b/>
          <w:bCs/>
        </w:rPr>
        <w:t>La Statistique F (79,609) :</w:t>
      </w:r>
      <w:r>
        <w:t xml:space="preserve"> Cette valeur très élevée indique que le modèle est glob</w:t>
      </w:r>
      <w:r>
        <w:t>a</w:t>
      </w:r>
      <w:r>
        <w:t>lement très performant pour prédire la conscience sanitaire.</w:t>
      </w:r>
    </w:p>
    <w:p w:rsidR="005236B6" w:rsidRDefault="005236B6" w:rsidP="00D078CC">
      <w:pPr>
        <w:pStyle w:val="NormalWeb"/>
        <w:numPr>
          <w:ilvl w:val="0"/>
          <w:numId w:val="20"/>
        </w:numPr>
        <w:spacing w:before="100" w:beforeAutospacing="1" w:after="100" w:afterAutospacing="1" w:line="360" w:lineRule="auto"/>
        <w:jc w:val="both"/>
      </w:pPr>
      <w:r>
        <w:rPr>
          <w:b/>
          <w:bCs/>
        </w:rPr>
        <w:t>La Signification (Sig = 0,000) :</w:t>
      </w:r>
      <w:r>
        <w:t xml:space="preserve"> La valeur </w:t>
      </w:r>
      <w:r>
        <w:rPr>
          <w:rStyle w:val="math-inline"/>
        </w:rPr>
        <w:t>p</w:t>
      </w:r>
      <w:r>
        <w:t xml:space="preserve"> étant inférieure à </w:t>
      </w:r>
      <w:r>
        <w:rPr>
          <w:rStyle w:val="math-inline"/>
        </w:rPr>
        <w:t>0,05</w:t>
      </w:r>
      <w:r>
        <w:t xml:space="preserve">, le test est </w:t>
      </w:r>
      <w:r>
        <w:rPr>
          <w:b/>
          <w:bCs/>
        </w:rPr>
        <w:t>haut</w:t>
      </w:r>
      <w:r>
        <w:rPr>
          <w:b/>
          <w:bCs/>
        </w:rPr>
        <w:t>e</w:t>
      </w:r>
      <w:r>
        <w:rPr>
          <w:b/>
          <w:bCs/>
        </w:rPr>
        <w:t>ment significatif</w:t>
      </w:r>
      <w:r>
        <w:t>. On rejette l'hypothèse nulle avec une confiance quasi totale.</w:t>
      </w:r>
    </w:p>
    <w:p w:rsidR="005236B6" w:rsidRPr="007723D2" w:rsidRDefault="005236B6" w:rsidP="00F7493D">
      <w:pPr>
        <w:pStyle w:val="NormalWeb"/>
        <w:spacing w:line="360" w:lineRule="auto"/>
      </w:pPr>
      <w:r>
        <w:t xml:space="preserve">Au vu de ces résultats (R=0,531 ; F=79,609 ; p &lt; 0,01), </w:t>
      </w:r>
      <w:r>
        <w:rPr>
          <w:b/>
          <w:bCs/>
        </w:rPr>
        <w:t>l'hypothèse H1(a) est confirmée.</w:t>
      </w:r>
    </w:p>
    <w:p w:rsidR="005236B6" w:rsidRPr="005D60E1" w:rsidRDefault="005236B6" w:rsidP="00F7493D">
      <w:pPr>
        <w:pStyle w:val="Paragraphedeliste"/>
        <w:spacing w:line="360" w:lineRule="auto"/>
        <w:rPr>
          <w:rFonts w:asciiTheme="majorBidi" w:hAnsiTheme="majorBidi" w:cstheme="majorBidi"/>
          <w:b/>
          <w:bCs/>
          <w:color w:val="000000" w:themeColor="text1"/>
          <w:sz w:val="24"/>
          <w:szCs w:val="24"/>
        </w:rPr>
      </w:pPr>
      <w:r w:rsidRPr="00860658">
        <w:rPr>
          <w:rFonts w:ascii="Times New Roman" w:hAnsi="Times New Roman" w:cs="Times New Roman"/>
          <w:b/>
          <w:bCs/>
          <w:color w:val="000000"/>
          <w:sz w:val="24"/>
          <w:szCs w:val="24"/>
        </w:rPr>
        <w:t xml:space="preserve">Tableau N° </w:t>
      </w:r>
      <w:r>
        <w:rPr>
          <w:rFonts w:ascii="Times New Roman" w:hAnsi="Times New Roman" w:cs="Times New Roman"/>
          <w:b/>
          <w:bCs/>
          <w:color w:val="000000"/>
          <w:sz w:val="24"/>
          <w:szCs w:val="24"/>
        </w:rPr>
        <w:t>3</w:t>
      </w:r>
      <w:r w:rsidRPr="00860658">
        <w:rPr>
          <w:rFonts w:ascii="Times New Roman" w:hAnsi="Times New Roman" w:cs="Times New Roman"/>
          <w:b/>
          <w:bCs/>
          <w:color w:val="000000"/>
          <w:sz w:val="24"/>
          <w:szCs w:val="24"/>
        </w:rPr>
        <w:t>6 :</w:t>
      </w:r>
      <w:r w:rsidRPr="005D60E1">
        <w:rPr>
          <w:rFonts w:asciiTheme="majorBidi" w:hAnsiTheme="majorBidi" w:cstheme="majorBidi"/>
          <w:b/>
          <w:bCs/>
          <w:color w:val="000000" w:themeColor="text1"/>
          <w:sz w:val="24"/>
          <w:szCs w:val="24"/>
        </w:rPr>
        <w:t xml:space="preserve"> Coefficients de régression linéaire :</w:t>
      </w:r>
    </w:p>
    <w:tbl>
      <w:tblPr>
        <w:tblStyle w:val="Grilledutableau"/>
        <w:tblW w:w="0" w:type="auto"/>
        <w:jc w:val="center"/>
        <w:tblLook w:val="04A0"/>
      </w:tblPr>
      <w:tblGrid>
        <w:gridCol w:w="1081"/>
        <w:gridCol w:w="2003"/>
        <w:gridCol w:w="1184"/>
        <w:gridCol w:w="1248"/>
        <w:gridCol w:w="1184"/>
        <w:gridCol w:w="1184"/>
      </w:tblGrid>
      <w:tr w:rsidR="005236B6" w:rsidRPr="00DB5642" w:rsidTr="00EC7780">
        <w:trPr>
          <w:jc w:val="center"/>
        </w:trPr>
        <w:tc>
          <w:tcPr>
            <w:tcW w:w="3084" w:type="dxa"/>
            <w:gridSpan w:val="2"/>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p>
        </w:tc>
        <w:tc>
          <w:tcPr>
            <w:tcW w:w="2432" w:type="dxa"/>
            <w:gridSpan w:val="2"/>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Coefficients non standardisés</w:t>
            </w:r>
          </w:p>
        </w:tc>
        <w:tc>
          <w:tcPr>
            <w:tcW w:w="1184" w:type="dxa"/>
            <w:vMerge w:val="restart"/>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T</w:t>
            </w:r>
          </w:p>
        </w:tc>
        <w:tc>
          <w:tcPr>
            <w:tcW w:w="1184" w:type="dxa"/>
            <w:vMerge w:val="restart"/>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Sig</w:t>
            </w:r>
          </w:p>
        </w:tc>
      </w:tr>
      <w:tr w:rsidR="005236B6" w:rsidRPr="00DB5642" w:rsidTr="00EC7780">
        <w:trPr>
          <w:jc w:val="center"/>
        </w:trPr>
        <w:tc>
          <w:tcPr>
            <w:tcW w:w="3084" w:type="dxa"/>
            <w:gridSpan w:val="2"/>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Modèle</w:t>
            </w:r>
          </w:p>
        </w:tc>
        <w:tc>
          <w:tcPr>
            <w:tcW w:w="1184" w:type="dxa"/>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B</w:t>
            </w:r>
          </w:p>
        </w:tc>
        <w:tc>
          <w:tcPr>
            <w:tcW w:w="1248" w:type="dxa"/>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Ecart standard</w:t>
            </w:r>
          </w:p>
        </w:tc>
        <w:tc>
          <w:tcPr>
            <w:tcW w:w="1184" w:type="dxa"/>
            <w:vMerge/>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p>
        </w:tc>
        <w:tc>
          <w:tcPr>
            <w:tcW w:w="1184" w:type="dxa"/>
            <w:vMerge/>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p>
        </w:tc>
      </w:tr>
      <w:tr w:rsidR="005236B6" w:rsidRPr="00DB5642" w:rsidTr="00EC7780">
        <w:trPr>
          <w:jc w:val="center"/>
        </w:trPr>
        <w:tc>
          <w:tcPr>
            <w:tcW w:w="1081" w:type="dxa"/>
            <w:vMerge w:val="restart"/>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1</w:t>
            </w:r>
          </w:p>
        </w:tc>
        <w:tc>
          <w:tcPr>
            <w:tcW w:w="2003" w:type="dxa"/>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sidRPr="00DB5642">
              <w:rPr>
                <w:rFonts w:asciiTheme="majorBidi" w:hAnsiTheme="majorBidi" w:cstheme="majorBidi"/>
                <w:color w:val="000000" w:themeColor="text1"/>
                <w:sz w:val="24"/>
                <w:szCs w:val="24"/>
              </w:rPr>
              <w:t>Constante</w:t>
            </w:r>
          </w:p>
        </w:tc>
        <w:tc>
          <w:tcPr>
            <w:tcW w:w="1184"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sidRPr="00DB5642">
              <w:rPr>
                <w:rFonts w:asciiTheme="majorBidi" w:hAnsiTheme="majorBidi" w:cstheme="majorBidi"/>
                <w:sz w:val="24"/>
                <w:szCs w:val="24"/>
              </w:rPr>
              <w:t>1,704</w:t>
            </w:r>
          </w:p>
        </w:tc>
        <w:tc>
          <w:tcPr>
            <w:tcW w:w="1248"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Pr>
                <w:rFonts w:asciiTheme="majorBidi" w:hAnsiTheme="majorBidi" w:cstheme="majorBidi"/>
                <w:sz w:val="24"/>
                <w:szCs w:val="24"/>
              </w:rPr>
              <w:t>0</w:t>
            </w:r>
            <w:r w:rsidRPr="00DB5642">
              <w:rPr>
                <w:rFonts w:asciiTheme="majorBidi" w:hAnsiTheme="majorBidi" w:cstheme="majorBidi"/>
                <w:sz w:val="24"/>
                <w:szCs w:val="24"/>
              </w:rPr>
              <w:t>,273</w:t>
            </w:r>
          </w:p>
        </w:tc>
        <w:tc>
          <w:tcPr>
            <w:tcW w:w="1184"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sidRPr="00DB5642">
              <w:rPr>
                <w:rFonts w:asciiTheme="majorBidi" w:hAnsiTheme="majorBidi" w:cstheme="majorBidi"/>
                <w:sz w:val="24"/>
                <w:szCs w:val="24"/>
              </w:rPr>
              <w:t>6,245</w:t>
            </w:r>
          </w:p>
        </w:tc>
        <w:tc>
          <w:tcPr>
            <w:tcW w:w="1184"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sidRPr="00DB5642">
              <w:rPr>
                <w:rFonts w:asciiTheme="majorBidi" w:hAnsiTheme="majorBidi" w:cstheme="majorBidi"/>
                <w:sz w:val="24"/>
                <w:szCs w:val="24"/>
              </w:rPr>
              <w:t>,000</w:t>
            </w:r>
          </w:p>
        </w:tc>
      </w:tr>
      <w:tr w:rsidR="005236B6" w:rsidRPr="00DB5642" w:rsidTr="00EC7780">
        <w:trPr>
          <w:jc w:val="center"/>
        </w:trPr>
        <w:tc>
          <w:tcPr>
            <w:tcW w:w="1081" w:type="dxa"/>
            <w:vMerge/>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p>
        </w:tc>
        <w:tc>
          <w:tcPr>
            <w:tcW w:w="2003" w:type="dxa"/>
            <w:vAlign w:val="center"/>
          </w:tcPr>
          <w:p w:rsidR="005236B6" w:rsidRPr="00DB5642" w:rsidRDefault="005236B6" w:rsidP="00F7493D">
            <w:pPr>
              <w:spacing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Label biologique/produit </w:t>
            </w:r>
          </w:p>
        </w:tc>
        <w:tc>
          <w:tcPr>
            <w:tcW w:w="1184"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Pr>
                <w:rFonts w:asciiTheme="majorBidi" w:hAnsiTheme="majorBidi" w:cstheme="majorBidi"/>
                <w:sz w:val="24"/>
                <w:szCs w:val="24"/>
              </w:rPr>
              <w:t>0</w:t>
            </w:r>
            <w:r w:rsidRPr="00DB5642">
              <w:rPr>
                <w:rFonts w:asciiTheme="majorBidi" w:hAnsiTheme="majorBidi" w:cstheme="majorBidi"/>
                <w:sz w:val="24"/>
                <w:szCs w:val="24"/>
              </w:rPr>
              <w:t>,602</w:t>
            </w:r>
          </w:p>
        </w:tc>
        <w:tc>
          <w:tcPr>
            <w:tcW w:w="1248"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Pr>
                <w:rFonts w:asciiTheme="majorBidi" w:hAnsiTheme="majorBidi" w:cstheme="majorBidi"/>
                <w:sz w:val="24"/>
                <w:szCs w:val="24"/>
              </w:rPr>
              <w:t>0</w:t>
            </w:r>
            <w:r w:rsidRPr="00DB5642">
              <w:rPr>
                <w:rFonts w:asciiTheme="majorBidi" w:hAnsiTheme="majorBidi" w:cstheme="majorBidi"/>
                <w:sz w:val="24"/>
                <w:szCs w:val="24"/>
              </w:rPr>
              <w:t>,067</w:t>
            </w:r>
          </w:p>
        </w:tc>
        <w:tc>
          <w:tcPr>
            <w:tcW w:w="1184"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sidRPr="00DB5642">
              <w:rPr>
                <w:rFonts w:asciiTheme="majorBidi" w:hAnsiTheme="majorBidi" w:cstheme="majorBidi"/>
                <w:sz w:val="24"/>
                <w:szCs w:val="24"/>
              </w:rPr>
              <w:t>8,922</w:t>
            </w:r>
          </w:p>
        </w:tc>
        <w:tc>
          <w:tcPr>
            <w:tcW w:w="1184" w:type="dxa"/>
            <w:shd w:val="clear" w:color="auto" w:fill="FFFFFF"/>
            <w:vAlign w:val="center"/>
          </w:tcPr>
          <w:p w:rsidR="005236B6" w:rsidRPr="00DB5642" w:rsidRDefault="005236B6" w:rsidP="00F7493D">
            <w:pPr>
              <w:spacing w:after="160" w:line="360" w:lineRule="auto"/>
              <w:jc w:val="center"/>
              <w:rPr>
                <w:rFonts w:asciiTheme="majorBidi" w:hAnsiTheme="majorBidi" w:cstheme="majorBidi"/>
                <w:sz w:val="24"/>
                <w:szCs w:val="24"/>
              </w:rPr>
            </w:pPr>
            <w:r w:rsidRPr="00DB5642">
              <w:rPr>
                <w:rFonts w:asciiTheme="majorBidi" w:hAnsiTheme="majorBidi" w:cstheme="majorBidi"/>
                <w:sz w:val="24"/>
                <w:szCs w:val="24"/>
              </w:rPr>
              <w:t>,000</w:t>
            </w: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D0249" w:rsidRDefault="005236B6" w:rsidP="00F7493D">
      <w:pPr>
        <w:spacing w:after="0" w:line="360" w:lineRule="auto"/>
        <w:jc w:val="lowKashida"/>
        <w:rPr>
          <w:rFonts w:asciiTheme="majorBidi" w:hAnsiTheme="majorBidi" w:cstheme="majorBidi"/>
          <w:b/>
          <w:bCs/>
          <w:sz w:val="24"/>
          <w:szCs w:val="24"/>
          <w:lang w:eastAsia="fr-FR"/>
        </w:rPr>
      </w:pPr>
      <w:r w:rsidRPr="009D0249">
        <w:rPr>
          <w:rFonts w:asciiTheme="majorBidi" w:hAnsiTheme="majorBidi" w:cstheme="majorBidi"/>
          <w:b/>
          <w:bCs/>
          <w:sz w:val="24"/>
          <w:szCs w:val="24"/>
          <w:lang w:eastAsia="fr-FR"/>
        </w:rPr>
        <w:t>Analyse des Coefficients de Régression</w:t>
      </w:r>
    </w:p>
    <w:p w:rsidR="005236B6" w:rsidRDefault="005236B6" w:rsidP="00140168">
      <w:pPr>
        <w:spacing w:before="100" w:beforeAutospacing="1" w:after="100" w:afterAutospacing="1" w:line="360" w:lineRule="auto"/>
        <w:jc w:val="both"/>
        <w:rPr>
          <w:rFonts w:ascii="Times New Roman" w:eastAsia="Times New Roman" w:hAnsi="Times New Roman" w:cs="Times New Roman"/>
          <w:sz w:val="24"/>
          <w:szCs w:val="24"/>
          <w:rtl/>
          <w:lang w:eastAsia="fr-FR"/>
        </w:rPr>
      </w:pPr>
      <w:r w:rsidRPr="007723D2">
        <w:rPr>
          <w:rFonts w:ascii="Times New Roman" w:eastAsia="Times New Roman" w:hAnsi="Times New Roman" w:cs="Times New Roman"/>
          <w:sz w:val="24"/>
          <w:szCs w:val="24"/>
          <w:lang w:eastAsia="fr-FR"/>
        </w:rPr>
        <w:t>Le tableau des coefficients nous permet de modéliser mathématiquement l'influence du label sur la conscience du consommateur :</w:t>
      </w:r>
    </w:p>
    <w:p w:rsidR="00140168" w:rsidRPr="007723D2" w:rsidRDefault="00140168" w:rsidP="00140168">
      <w:pPr>
        <w:spacing w:before="100" w:beforeAutospacing="1" w:after="100" w:afterAutospacing="1" w:line="360" w:lineRule="auto"/>
        <w:jc w:val="both"/>
        <w:rPr>
          <w:rFonts w:ascii="Times New Roman" w:eastAsia="Times New Roman" w:hAnsi="Times New Roman" w:cs="Times New Roman"/>
          <w:sz w:val="24"/>
          <w:szCs w:val="24"/>
          <w:lang w:eastAsia="fr-FR"/>
        </w:rPr>
      </w:pPr>
    </w:p>
    <w:p w:rsidR="005236B6" w:rsidRPr="007723D2" w:rsidRDefault="005236B6" w:rsidP="00D078CC">
      <w:pPr>
        <w:numPr>
          <w:ilvl w:val="0"/>
          <w:numId w:val="21"/>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7723D2">
        <w:rPr>
          <w:rFonts w:ascii="Times New Roman" w:eastAsia="Times New Roman" w:hAnsi="Times New Roman" w:cs="Times New Roman"/>
          <w:b/>
          <w:bCs/>
          <w:sz w:val="24"/>
          <w:szCs w:val="24"/>
          <w:lang w:eastAsia="fr-FR"/>
        </w:rPr>
        <w:lastRenderedPageBreak/>
        <w:t>L’Équation de régression :</w:t>
      </w:r>
      <w:r w:rsidRPr="007723D2">
        <w:rPr>
          <w:rFonts w:ascii="Times New Roman" w:eastAsia="Times New Roman" w:hAnsi="Times New Roman" w:cs="Times New Roman"/>
          <w:sz w:val="24"/>
          <w:szCs w:val="24"/>
          <w:lang w:eastAsia="fr-FR"/>
        </w:rPr>
        <w:t xml:space="preserve"> Selon les données, l'équation s'écrit :</w:t>
      </w:r>
    </w:p>
    <w:p w:rsidR="005236B6" w:rsidRDefault="005236B6" w:rsidP="00F7493D">
      <w:pPr>
        <w:spacing w:beforeAutospacing="1" w:after="0" w:afterAutospacing="1" w:line="360" w:lineRule="auto"/>
        <w:ind w:left="720"/>
        <w:jc w:val="center"/>
        <w:rPr>
          <w:rFonts w:ascii="Times New Roman" w:eastAsia="Times New Roman" w:hAnsi="Times New Roman" w:cs="Times New Roman"/>
          <w:b/>
          <w:bCs/>
          <w:sz w:val="24"/>
          <w:szCs w:val="24"/>
          <w:lang w:eastAsia="fr-FR"/>
        </w:rPr>
      </w:pPr>
      <w:r w:rsidRPr="007723D2">
        <w:rPr>
          <w:rFonts w:ascii="Times New Roman" w:eastAsia="Times New Roman" w:hAnsi="Times New Roman" w:cs="Times New Roman"/>
          <w:b/>
          <w:bCs/>
          <w:sz w:val="24"/>
          <w:szCs w:val="24"/>
          <w:lang w:eastAsia="fr-FR"/>
        </w:rPr>
        <w:t>Y (Conscience Sanitaire) = 0,602 *(Label Bio) + 1,704</w:t>
      </w:r>
    </w:p>
    <w:p w:rsidR="005236B6" w:rsidRDefault="005236B6" w:rsidP="00F7493D">
      <w:pPr>
        <w:spacing w:beforeAutospacing="1" w:after="0" w:afterAutospacing="1" w:line="360" w:lineRule="auto"/>
        <w:ind w:left="720"/>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Y=1.704+0.602*X1</w:t>
      </w:r>
    </w:p>
    <w:p w:rsidR="005236B6" w:rsidRPr="007723D2" w:rsidRDefault="005236B6" w:rsidP="00140168">
      <w:pPr>
        <w:spacing w:after="0" w:line="360" w:lineRule="auto"/>
        <w:ind w:left="720"/>
        <w:jc w:val="both"/>
        <w:rPr>
          <w:rFonts w:ascii="Times New Roman" w:eastAsia="Times New Roman" w:hAnsi="Times New Roman" w:cs="Times New Roman"/>
          <w:b/>
          <w:bCs/>
          <w:sz w:val="24"/>
          <w:szCs w:val="24"/>
          <w:lang w:eastAsia="fr-FR"/>
        </w:rPr>
      </w:pPr>
      <w:r w:rsidRPr="000E5613">
        <w:rPr>
          <w:rFonts w:ascii="Times New Roman" w:eastAsia="Times New Roman" w:hAnsi="Times New Roman" w:cs="Times New Roman"/>
          <w:b/>
          <w:bCs/>
          <w:sz w:val="24"/>
          <w:szCs w:val="24"/>
          <w:lang w:eastAsia="fr-FR"/>
        </w:rPr>
        <w:t xml:space="preserve">Où Y représente la </w:t>
      </w:r>
      <w:r>
        <w:rPr>
          <w:rFonts w:ascii="Times New Roman" w:eastAsia="Times New Roman" w:hAnsi="Times New Roman" w:cs="Times New Roman"/>
          <w:b/>
          <w:bCs/>
          <w:sz w:val="24"/>
          <w:szCs w:val="24"/>
          <w:lang w:eastAsia="fr-FR"/>
        </w:rPr>
        <w:t>variable</w:t>
      </w:r>
      <w:r w:rsidRPr="000E5613">
        <w:rPr>
          <w:rFonts w:ascii="Times New Roman" w:eastAsia="Times New Roman" w:hAnsi="Times New Roman" w:cs="Times New Roman"/>
          <w:b/>
          <w:bCs/>
          <w:sz w:val="24"/>
          <w:szCs w:val="24"/>
          <w:lang w:eastAsia="fr-FR"/>
        </w:rPr>
        <w:t xml:space="preserve"> dépendante (</w:t>
      </w:r>
      <w:r>
        <w:rPr>
          <w:rFonts w:ascii="Times New Roman" w:eastAsia="Times New Roman" w:hAnsi="Times New Roman" w:cs="Times New Roman"/>
          <w:b/>
          <w:bCs/>
          <w:sz w:val="24"/>
          <w:szCs w:val="24"/>
          <w:lang w:eastAsia="fr-FR"/>
        </w:rPr>
        <w:t>conscience sanitaire) et X</w:t>
      </w:r>
      <w:r w:rsidRPr="000E5613">
        <w:rPr>
          <w:rFonts w:ascii="Times New Roman" w:eastAsia="Times New Roman" w:hAnsi="Times New Roman" w:cs="Times New Roman"/>
          <w:b/>
          <w:bCs/>
          <w:sz w:val="24"/>
          <w:szCs w:val="24"/>
          <w:lang w:eastAsia="fr-FR"/>
        </w:rPr>
        <w:t xml:space="preserve"> est la </w:t>
      </w:r>
      <w:r>
        <w:rPr>
          <w:rFonts w:ascii="Times New Roman" w:eastAsia="Times New Roman" w:hAnsi="Times New Roman" w:cs="Times New Roman"/>
          <w:b/>
          <w:bCs/>
          <w:sz w:val="24"/>
          <w:szCs w:val="24"/>
          <w:lang w:eastAsia="fr-FR"/>
        </w:rPr>
        <w:t>variable</w:t>
      </w:r>
      <w:r w:rsidRPr="000E5613">
        <w:rPr>
          <w:rFonts w:ascii="Times New Roman" w:eastAsia="Times New Roman" w:hAnsi="Times New Roman" w:cs="Times New Roman"/>
          <w:b/>
          <w:bCs/>
          <w:sz w:val="24"/>
          <w:szCs w:val="24"/>
          <w:lang w:eastAsia="fr-FR"/>
        </w:rPr>
        <w:t xml:space="preserve"> indépendante</w:t>
      </w:r>
      <w:r>
        <w:rPr>
          <w:rFonts w:ascii="Times New Roman" w:eastAsia="Times New Roman" w:hAnsi="Times New Roman" w:cs="Times New Roman"/>
          <w:b/>
          <w:bCs/>
          <w:sz w:val="24"/>
          <w:szCs w:val="24"/>
          <w:lang w:eastAsia="fr-FR"/>
        </w:rPr>
        <w:t xml:space="preserve"> (label biologique).</w:t>
      </w:r>
    </w:p>
    <w:p w:rsidR="005236B6" w:rsidRPr="007723D2" w:rsidRDefault="005236B6" w:rsidP="00140168">
      <w:pPr>
        <w:numPr>
          <w:ilvl w:val="0"/>
          <w:numId w:val="21"/>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7723D2">
        <w:rPr>
          <w:rFonts w:ascii="Times New Roman" w:eastAsia="Times New Roman" w:hAnsi="Times New Roman" w:cs="Times New Roman"/>
          <w:b/>
          <w:bCs/>
          <w:sz w:val="24"/>
          <w:szCs w:val="24"/>
          <w:lang w:eastAsia="fr-FR"/>
        </w:rPr>
        <w:t>Coefficient B (0,602) :</w:t>
      </w:r>
      <w:r w:rsidRPr="007723D2">
        <w:rPr>
          <w:rFonts w:ascii="Times New Roman" w:eastAsia="Times New Roman" w:hAnsi="Times New Roman" w:cs="Times New Roman"/>
          <w:sz w:val="24"/>
          <w:szCs w:val="24"/>
          <w:lang w:eastAsia="fr-FR"/>
        </w:rPr>
        <w:t xml:space="preserve"> Ce coefficient positif indique que chaque amélioration d'un point dans la perception ou la reconnaissance du </w:t>
      </w:r>
      <w:r w:rsidRPr="007723D2">
        <w:rPr>
          <w:rFonts w:ascii="Times New Roman" w:eastAsia="Times New Roman" w:hAnsi="Times New Roman" w:cs="Times New Roman"/>
          <w:b/>
          <w:bCs/>
          <w:sz w:val="24"/>
          <w:szCs w:val="24"/>
          <w:lang w:eastAsia="fr-FR"/>
        </w:rPr>
        <w:t>label biologique</w:t>
      </w:r>
      <w:r w:rsidRPr="007723D2">
        <w:rPr>
          <w:rFonts w:ascii="Times New Roman" w:eastAsia="Times New Roman" w:hAnsi="Times New Roman" w:cs="Times New Roman"/>
          <w:sz w:val="24"/>
          <w:szCs w:val="24"/>
          <w:lang w:eastAsia="fr-FR"/>
        </w:rPr>
        <w:t xml:space="preserve"> entraîne une hausse de </w:t>
      </w:r>
      <w:r w:rsidRPr="007723D2">
        <w:rPr>
          <w:rFonts w:ascii="Times New Roman" w:eastAsia="Times New Roman" w:hAnsi="Times New Roman" w:cs="Times New Roman"/>
          <w:b/>
          <w:bCs/>
          <w:sz w:val="24"/>
          <w:szCs w:val="24"/>
          <w:lang w:eastAsia="fr-FR"/>
        </w:rPr>
        <w:t>0,602 point</w:t>
      </w:r>
      <w:r w:rsidRPr="007723D2">
        <w:rPr>
          <w:rFonts w:ascii="Times New Roman" w:eastAsia="Times New Roman" w:hAnsi="Times New Roman" w:cs="Times New Roman"/>
          <w:sz w:val="24"/>
          <w:szCs w:val="24"/>
          <w:lang w:eastAsia="fr-FR"/>
        </w:rPr>
        <w:t xml:space="preserve"> de la </w:t>
      </w:r>
      <w:r w:rsidRPr="007723D2">
        <w:rPr>
          <w:rFonts w:ascii="Times New Roman" w:eastAsia="Times New Roman" w:hAnsi="Times New Roman" w:cs="Times New Roman"/>
          <w:b/>
          <w:bCs/>
          <w:sz w:val="24"/>
          <w:szCs w:val="24"/>
          <w:lang w:eastAsia="fr-FR"/>
        </w:rPr>
        <w:t>conscience sanitaire</w:t>
      </w:r>
      <w:r w:rsidRPr="007723D2">
        <w:rPr>
          <w:rFonts w:ascii="Times New Roman" w:eastAsia="Times New Roman" w:hAnsi="Times New Roman" w:cs="Times New Roman"/>
          <w:sz w:val="24"/>
          <w:szCs w:val="24"/>
          <w:lang w:eastAsia="fr-FR"/>
        </w:rPr>
        <w:t>. Le label agit donc comme un catalyseur d</w:t>
      </w:r>
      <w:r w:rsidRPr="007723D2">
        <w:rPr>
          <w:rFonts w:ascii="Times New Roman" w:eastAsia="Times New Roman" w:hAnsi="Times New Roman" w:cs="Times New Roman"/>
          <w:sz w:val="24"/>
          <w:szCs w:val="24"/>
          <w:lang w:eastAsia="fr-FR"/>
        </w:rPr>
        <w:t>i</w:t>
      </w:r>
      <w:r w:rsidRPr="007723D2">
        <w:rPr>
          <w:rFonts w:ascii="Times New Roman" w:eastAsia="Times New Roman" w:hAnsi="Times New Roman" w:cs="Times New Roman"/>
          <w:sz w:val="24"/>
          <w:szCs w:val="24"/>
          <w:lang w:eastAsia="fr-FR"/>
        </w:rPr>
        <w:t>rect de rassurance.</w:t>
      </w:r>
    </w:p>
    <w:p w:rsidR="005236B6" w:rsidRPr="00257B8F" w:rsidRDefault="005236B6" w:rsidP="00140168">
      <w:pPr>
        <w:numPr>
          <w:ilvl w:val="0"/>
          <w:numId w:val="21"/>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7723D2">
        <w:rPr>
          <w:rFonts w:ascii="Times New Roman" w:eastAsia="Times New Roman" w:hAnsi="Times New Roman" w:cs="Times New Roman"/>
          <w:b/>
          <w:bCs/>
          <w:sz w:val="24"/>
          <w:szCs w:val="24"/>
          <w:lang w:eastAsia="fr-FR"/>
        </w:rPr>
        <w:t>La Constante (1,704) :</w:t>
      </w:r>
      <w:r w:rsidRPr="007723D2">
        <w:rPr>
          <w:rFonts w:ascii="Times New Roman" w:eastAsia="Times New Roman" w:hAnsi="Times New Roman" w:cs="Times New Roman"/>
          <w:sz w:val="24"/>
          <w:szCs w:val="24"/>
          <w:lang w:eastAsia="fr-FR"/>
        </w:rPr>
        <w:t xml:space="preserve"> Elle est également très significative (p = 0,000</w:t>
      </w:r>
      <w:r>
        <w:rPr>
          <w:rFonts w:ascii="Times New Roman" w:eastAsia="Times New Roman" w:hAnsi="Times New Roman" w:cs="Times New Roman"/>
          <w:sz w:val="24"/>
          <w:szCs w:val="24"/>
          <w:lang w:eastAsia="fr-FR"/>
        </w:rPr>
        <w:t>)</w:t>
      </w:r>
      <w:r w:rsidRPr="007723D2">
        <w:rPr>
          <w:rFonts w:ascii="Times New Roman" w:eastAsia="Times New Roman" w:hAnsi="Times New Roman" w:cs="Times New Roman"/>
          <w:sz w:val="24"/>
          <w:szCs w:val="24"/>
          <w:lang w:eastAsia="fr-FR"/>
        </w:rPr>
        <w:t>. Elle repr</w:t>
      </w:r>
      <w:r w:rsidRPr="007723D2">
        <w:rPr>
          <w:rFonts w:ascii="Times New Roman" w:eastAsia="Times New Roman" w:hAnsi="Times New Roman" w:cs="Times New Roman"/>
          <w:sz w:val="24"/>
          <w:szCs w:val="24"/>
          <w:lang w:eastAsia="fr-FR"/>
        </w:rPr>
        <w:t>é</w:t>
      </w:r>
      <w:r w:rsidRPr="007723D2">
        <w:rPr>
          <w:rFonts w:ascii="Times New Roman" w:eastAsia="Times New Roman" w:hAnsi="Times New Roman" w:cs="Times New Roman"/>
          <w:sz w:val="24"/>
          <w:szCs w:val="24"/>
          <w:lang w:eastAsia="fr-FR"/>
        </w:rPr>
        <w:t>sente le niveau de conscience sanitaire résiduel du consommateur, même en l'absence de sollicitation par le label.</w:t>
      </w:r>
    </w:p>
    <w:p w:rsidR="005236B6" w:rsidRPr="00054F18" w:rsidRDefault="005236B6" w:rsidP="00140168">
      <w:pPr>
        <w:spacing w:after="0" w:line="360" w:lineRule="auto"/>
      </w:pPr>
      <w:r w:rsidRPr="00054F18">
        <w:rPr>
          <w:noProof/>
          <w:lang w:eastAsia="fr-FR"/>
        </w:rPr>
        <w:drawing>
          <wp:inline distT="0" distB="0" distL="0" distR="0">
            <wp:extent cx="5974715" cy="3517900"/>
            <wp:effectExtent l="0" t="0" r="6985"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4715" cy="3517900"/>
                    </a:xfrm>
                    <a:prstGeom prst="rect">
                      <a:avLst/>
                    </a:prstGeom>
                    <a:noFill/>
                    <a:ln>
                      <a:noFill/>
                    </a:ln>
                  </pic:spPr>
                </pic:pic>
              </a:graphicData>
            </a:graphic>
          </wp:inline>
        </w:drawing>
      </w:r>
    </w:p>
    <w:p w:rsidR="005236B6" w:rsidRPr="00257B8F" w:rsidRDefault="005236B6" w:rsidP="00140168">
      <w:pPr>
        <w:spacing w:after="0" w:line="360" w:lineRule="auto"/>
        <w:jc w:val="both"/>
        <w:rPr>
          <w:rFonts w:ascii="Times New Roman" w:eastAsia="Times New Roman" w:hAnsi="Times New Roman" w:cs="Times New Roman"/>
          <w:sz w:val="24"/>
          <w:szCs w:val="24"/>
          <w:lang w:eastAsia="fr-FR"/>
        </w:rPr>
      </w:pPr>
      <w:r w:rsidRPr="00257B8F">
        <w:rPr>
          <w:rFonts w:ascii="Times New Roman" w:eastAsia="Times New Roman" w:hAnsi="Times New Roman" w:cs="Times New Roman"/>
          <w:sz w:val="24"/>
          <w:szCs w:val="24"/>
          <w:lang w:eastAsia="fr-FR"/>
        </w:rPr>
        <w:t>Le graphique visibilise la force de cette relation de cause à effet :</w:t>
      </w:r>
    </w:p>
    <w:p w:rsidR="005236B6" w:rsidRPr="00257B8F" w:rsidRDefault="005236B6" w:rsidP="00140168">
      <w:pPr>
        <w:numPr>
          <w:ilvl w:val="0"/>
          <w:numId w:val="22"/>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257B8F">
        <w:rPr>
          <w:rFonts w:ascii="Times New Roman" w:eastAsia="Times New Roman" w:hAnsi="Times New Roman" w:cs="Times New Roman"/>
          <w:b/>
          <w:bCs/>
          <w:sz w:val="24"/>
          <w:szCs w:val="24"/>
          <w:lang w:eastAsia="fr-FR"/>
        </w:rPr>
        <w:t>La Droite de Régression :</w:t>
      </w:r>
      <w:r w:rsidRPr="00257B8F">
        <w:rPr>
          <w:rFonts w:ascii="Times New Roman" w:eastAsia="Times New Roman" w:hAnsi="Times New Roman" w:cs="Times New Roman"/>
          <w:sz w:val="24"/>
          <w:szCs w:val="24"/>
          <w:lang w:eastAsia="fr-FR"/>
        </w:rPr>
        <w:t xml:space="preserve"> La pente ascendante est nette. Elle montre une progression constante : plus le score accordé au label biologique augmente (axe X), plus le score de conscience sanitaire s'élève (axe Y).</w:t>
      </w:r>
    </w:p>
    <w:p w:rsidR="005236B6" w:rsidRPr="00257B8F" w:rsidRDefault="005236B6" w:rsidP="00140168">
      <w:pPr>
        <w:numPr>
          <w:ilvl w:val="0"/>
          <w:numId w:val="22"/>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257B8F">
        <w:rPr>
          <w:rFonts w:ascii="Times New Roman" w:eastAsia="Times New Roman" w:hAnsi="Times New Roman" w:cs="Times New Roman"/>
          <w:b/>
          <w:bCs/>
          <w:sz w:val="24"/>
          <w:szCs w:val="24"/>
          <w:lang w:eastAsia="fr-FR"/>
        </w:rPr>
        <w:t>Distribution des points :</w:t>
      </w:r>
      <w:r w:rsidRPr="00257B8F">
        <w:rPr>
          <w:rFonts w:ascii="Times New Roman" w:eastAsia="Times New Roman" w:hAnsi="Times New Roman" w:cs="Times New Roman"/>
          <w:sz w:val="24"/>
          <w:szCs w:val="24"/>
          <w:lang w:eastAsia="fr-FR"/>
        </w:rPr>
        <w:t xml:space="preserve"> On observe une forte concentration de points dans la partie supérieure droite du graphique (entre les scores 3,5 et 5,0). Cela indique que pour une </w:t>
      </w:r>
      <w:r w:rsidRPr="00257B8F">
        <w:rPr>
          <w:rFonts w:ascii="Times New Roman" w:eastAsia="Times New Roman" w:hAnsi="Times New Roman" w:cs="Times New Roman"/>
          <w:sz w:val="24"/>
          <w:szCs w:val="24"/>
          <w:lang w:eastAsia="fr-FR"/>
        </w:rPr>
        <w:lastRenderedPageBreak/>
        <w:t>grande majorité des répondants, le label biologique est indissociable d'une forte con</w:t>
      </w:r>
      <w:r w:rsidRPr="00257B8F">
        <w:rPr>
          <w:rFonts w:ascii="Times New Roman" w:eastAsia="Times New Roman" w:hAnsi="Times New Roman" w:cs="Times New Roman"/>
          <w:sz w:val="24"/>
          <w:szCs w:val="24"/>
          <w:lang w:eastAsia="fr-FR"/>
        </w:rPr>
        <w:t>s</w:t>
      </w:r>
      <w:r w:rsidRPr="00257B8F">
        <w:rPr>
          <w:rFonts w:ascii="Times New Roman" w:eastAsia="Times New Roman" w:hAnsi="Times New Roman" w:cs="Times New Roman"/>
          <w:sz w:val="24"/>
          <w:szCs w:val="24"/>
          <w:lang w:eastAsia="fr-FR"/>
        </w:rPr>
        <w:t>cience sanitaire.</w:t>
      </w:r>
    </w:p>
    <w:p w:rsidR="005236B6" w:rsidRPr="00257B8F" w:rsidRDefault="005236B6" w:rsidP="00140168">
      <w:pPr>
        <w:numPr>
          <w:ilvl w:val="0"/>
          <w:numId w:val="22"/>
        </w:numPr>
        <w:suppressAutoHyphens w:val="0"/>
        <w:autoSpaceDN/>
        <w:spacing w:after="0" w:line="360" w:lineRule="auto"/>
        <w:textAlignment w:val="auto"/>
        <w:rPr>
          <w:rFonts w:ascii="Times New Roman" w:eastAsia="Times New Roman" w:hAnsi="Times New Roman" w:cs="Times New Roman"/>
          <w:sz w:val="24"/>
          <w:szCs w:val="24"/>
          <w:lang w:eastAsia="fr-FR"/>
        </w:rPr>
      </w:pPr>
      <w:r w:rsidRPr="00257B8F">
        <w:rPr>
          <w:rFonts w:ascii="Times New Roman" w:eastAsia="Times New Roman" w:hAnsi="Times New Roman" w:cs="Times New Roman"/>
          <w:sz w:val="24"/>
          <w:szCs w:val="24"/>
          <w:lang w:eastAsia="fr-FR"/>
        </w:rPr>
        <w:t xml:space="preserve">Au terme de cette analyse complète, </w:t>
      </w:r>
      <w:r w:rsidRPr="00257B8F">
        <w:rPr>
          <w:rFonts w:ascii="Times New Roman" w:eastAsia="Times New Roman" w:hAnsi="Times New Roman" w:cs="Times New Roman"/>
          <w:b/>
          <w:bCs/>
          <w:sz w:val="24"/>
          <w:szCs w:val="24"/>
          <w:lang w:eastAsia="fr-FR"/>
        </w:rPr>
        <w:t>l’hypothèse H1(a) est confirmée avec une grande fiabilité.</w:t>
      </w:r>
    </w:p>
    <w:p w:rsidR="005236B6" w:rsidRPr="00257B8F" w:rsidRDefault="005236B6" w:rsidP="00140168">
      <w:pPr>
        <w:spacing w:after="0" w:line="360" w:lineRule="auto"/>
        <w:jc w:val="both"/>
        <w:rPr>
          <w:rFonts w:asciiTheme="majorBidi" w:hAnsiTheme="majorBidi" w:cstheme="majorBidi"/>
          <w:sz w:val="24"/>
          <w:szCs w:val="24"/>
        </w:rPr>
      </w:pPr>
      <w:r w:rsidRPr="00257B8F">
        <w:rPr>
          <w:rFonts w:asciiTheme="majorBidi" w:hAnsiTheme="majorBidi" w:cstheme="majorBidi"/>
          <w:sz w:val="24"/>
          <w:szCs w:val="24"/>
        </w:rPr>
        <w:t>En résumé, le label bio est le garant visuel qui légitime la conscience sanitaire de l'acheteur et sécurise son acte de consommation.</w:t>
      </w:r>
    </w:p>
    <w:p w:rsidR="005236B6" w:rsidRPr="00516205" w:rsidRDefault="006E799B" w:rsidP="00140168">
      <w:pPr>
        <w:pStyle w:val="Titre4"/>
        <w:spacing w:before="0" w:after="0" w:line="360" w:lineRule="auto"/>
        <w:rPr>
          <w:rFonts w:ascii="Times New Roman" w:hAnsi="Times New Roman"/>
          <w:b/>
          <w:bCs/>
          <w:i w:val="0"/>
          <w:iCs w:val="0"/>
          <w:color w:val="auto"/>
          <w:sz w:val="24"/>
          <w:szCs w:val="24"/>
        </w:rPr>
      </w:pPr>
      <w:bookmarkStart w:id="380" w:name="_Toc230558751"/>
      <w:bookmarkStart w:id="381" w:name="_Toc230900385"/>
      <w:r w:rsidRPr="00516205">
        <w:rPr>
          <w:rFonts w:ascii="Times New Roman" w:hAnsi="Times New Roman"/>
          <w:b/>
          <w:bCs/>
          <w:i w:val="0"/>
          <w:iCs w:val="0"/>
          <w:color w:val="auto"/>
          <w:sz w:val="24"/>
          <w:szCs w:val="24"/>
        </w:rPr>
        <w:t>4.3.</w:t>
      </w:r>
      <w:r w:rsidR="005236B6" w:rsidRPr="00516205">
        <w:rPr>
          <w:rFonts w:ascii="Times New Roman" w:hAnsi="Times New Roman"/>
          <w:b/>
          <w:bCs/>
          <w:i w:val="0"/>
          <w:iCs w:val="0"/>
          <w:color w:val="auto"/>
          <w:sz w:val="24"/>
          <w:szCs w:val="24"/>
        </w:rPr>
        <w:t>La deuxième sous hypothèse (H1(b)) :</w:t>
      </w:r>
      <w:bookmarkEnd w:id="380"/>
      <w:bookmarkEnd w:id="381"/>
    </w:p>
    <w:p w:rsidR="005236B6" w:rsidRDefault="005236B6" w:rsidP="00140168">
      <w:pPr>
        <w:pStyle w:val="Paragraphedeliste"/>
        <w:spacing w:after="0" w:line="360" w:lineRule="auto"/>
        <w:rPr>
          <w:rFonts w:ascii="Times New Roman" w:eastAsia="Times New Roman" w:hAnsi="Times New Roman" w:cs="Times New Roman"/>
          <w:lang w:eastAsia="fr-FR"/>
        </w:rPr>
      </w:pPr>
      <w:r>
        <w:rPr>
          <w:rFonts w:ascii="Times New Roman" w:eastAsia="Times New Roman" w:hAnsi="Times New Roman" w:cs="Times New Roman"/>
          <w:b/>
          <w:bCs/>
          <w:lang w:eastAsia="fr-FR"/>
        </w:rPr>
        <w:t xml:space="preserve">H1(b) : </w:t>
      </w:r>
      <w:r w:rsidRPr="004C31D8">
        <w:rPr>
          <w:rFonts w:ascii="Times New Roman" w:eastAsia="Times New Roman" w:hAnsi="Times New Roman" w:cs="Times New Roman"/>
          <w:lang w:eastAsia="fr-FR"/>
        </w:rPr>
        <w:t>Le prix constitue un facteur modérateur dans la décision d’achat des produits</w:t>
      </w:r>
      <w:r>
        <w:rPr>
          <w:rFonts w:ascii="Times New Roman" w:eastAsia="Times New Roman" w:hAnsi="Times New Roman" w:cs="Times New Roman"/>
          <w:lang w:eastAsia="fr-FR"/>
        </w:rPr>
        <w:t>.</w:t>
      </w:r>
    </w:p>
    <w:p w:rsidR="005236B6" w:rsidRPr="004C31D8" w:rsidRDefault="005236B6" w:rsidP="00140168">
      <w:pPr>
        <w:pStyle w:val="Paragraphedeliste"/>
        <w:spacing w:after="0" w:line="360" w:lineRule="auto"/>
        <w:rPr>
          <w:b/>
          <w:bCs/>
        </w:rPr>
      </w:pPr>
      <w:r w:rsidRPr="00DB5642">
        <w:rPr>
          <w:b/>
          <w:bCs/>
        </w:rPr>
        <w:t>Coefficient de corrélation et l’ANOVA :</w:t>
      </w:r>
    </w:p>
    <w:tbl>
      <w:tblPr>
        <w:tblStyle w:val="CV15"/>
        <w:tblW w:w="0" w:type="auto"/>
        <w:jc w:val="center"/>
        <w:tblLook w:val="04A0"/>
      </w:tblPr>
      <w:tblGrid>
        <w:gridCol w:w="2003"/>
        <w:gridCol w:w="990"/>
        <w:gridCol w:w="1024"/>
        <w:gridCol w:w="1010"/>
        <w:gridCol w:w="891"/>
        <w:gridCol w:w="945"/>
        <w:gridCol w:w="945"/>
      </w:tblGrid>
      <w:tr w:rsidR="005236B6" w:rsidRPr="00054F18" w:rsidTr="00EC7780">
        <w:trPr>
          <w:jc w:val="center"/>
        </w:trPr>
        <w:tc>
          <w:tcPr>
            <w:tcW w:w="2003" w:type="dxa"/>
            <w:vAlign w:val="center"/>
          </w:tcPr>
          <w:p w:rsidR="005236B6" w:rsidRPr="00054F18" w:rsidRDefault="005236B6" w:rsidP="00140168">
            <w:pPr>
              <w:spacing w:line="360" w:lineRule="auto"/>
              <w:jc w:val="center"/>
              <w:rPr>
                <w:rFonts w:asciiTheme="majorBidi" w:eastAsia="Calibri" w:hAnsiTheme="majorBidi" w:cstheme="majorBidi"/>
                <w:sz w:val="24"/>
                <w:szCs w:val="24"/>
              </w:rPr>
            </w:pPr>
            <w:r w:rsidRPr="00054F18">
              <w:rPr>
                <w:rFonts w:asciiTheme="majorBidi" w:eastAsia="Calibri" w:hAnsiTheme="majorBidi" w:cstheme="majorBidi"/>
                <w:sz w:val="24"/>
                <w:szCs w:val="24"/>
              </w:rPr>
              <w:t>H1 (a)</w:t>
            </w:r>
          </w:p>
        </w:tc>
        <w:tc>
          <w:tcPr>
            <w:tcW w:w="990" w:type="dxa"/>
            <w:vAlign w:val="center"/>
          </w:tcPr>
          <w:p w:rsidR="005236B6" w:rsidRPr="00054F18" w:rsidRDefault="005236B6" w:rsidP="00140168">
            <w:pPr>
              <w:spacing w:line="360" w:lineRule="auto"/>
              <w:jc w:val="center"/>
              <w:rPr>
                <w:rFonts w:asciiTheme="majorBidi" w:eastAsia="Calibri" w:hAnsiTheme="majorBidi" w:cstheme="majorBidi"/>
                <w:sz w:val="24"/>
                <w:szCs w:val="24"/>
              </w:rPr>
            </w:pPr>
            <w:r w:rsidRPr="00054F18">
              <w:rPr>
                <w:rFonts w:asciiTheme="majorBidi" w:eastAsia="Calibri" w:hAnsiTheme="majorBidi" w:cstheme="majorBidi"/>
                <w:sz w:val="24"/>
                <w:szCs w:val="24"/>
              </w:rPr>
              <w:t>R</w:t>
            </w:r>
          </w:p>
        </w:tc>
        <w:tc>
          <w:tcPr>
            <w:tcW w:w="1024" w:type="dxa"/>
            <w:vAlign w:val="center"/>
          </w:tcPr>
          <w:p w:rsidR="005236B6" w:rsidRPr="00054F18" w:rsidRDefault="005236B6" w:rsidP="00140168">
            <w:pPr>
              <w:spacing w:line="360" w:lineRule="auto"/>
              <w:jc w:val="center"/>
              <w:rPr>
                <w:rFonts w:asciiTheme="majorBidi" w:eastAsia="Calibri" w:hAnsiTheme="majorBidi" w:cstheme="majorBidi"/>
                <w:color w:val="000000"/>
                <w:sz w:val="24"/>
                <w:szCs w:val="24"/>
              </w:rPr>
            </w:pPr>
            <w:r w:rsidRPr="00054F18">
              <w:rPr>
                <w:rFonts w:asciiTheme="majorBidi" w:eastAsia="Calibri" w:hAnsiTheme="majorBidi" w:cstheme="majorBidi"/>
                <w:color w:val="000000"/>
                <w:sz w:val="24"/>
                <w:szCs w:val="24"/>
              </w:rPr>
              <w:t>R-deux</w:t>
            </w:r>
          </w:p>
        </w:tc>
        <w:tc>
          <w:tcPr>
            <w:tcW w:w="1010" w:type="dxa"/>
            <w:vAlign w:val="center"/>
          </w:tcPr>
          <w:p w:rsidR="005236B6" w:rsidRPr="00054F18" w:rsidRDefault="005236B6" w:rsidP="00140168">
            <w:pPr>
              <w:spacing w:line="360" w:lineRule="auto"/>
              <w:jc w:val="center"/>
              <w:rPr>
                <w:rFonts w:asciiTheme="majorBidi" w:eastAsia="Calibri" w:hAnsiTheme="majorBidi" w:cstheme="majorBidi"/>
                <w:color w:val="000000"/>
                <w:sz w:val="24"/>
                <w:szCs w:val="24"/>
              </w:rPr>
            </w:pPr>
            <w:r w:rsidRPr="00054F18">
              <w:rPr>
                <w:rFonts w:asciiTheme="majorBidi" w:eastAsia="Calibri" w:hAnsiTheme="majorBidi" w:cstheme="majorBidi"/>
                <w:color w:val="000000"/>
                <w:sz w:val="24"/>
                <w:szCs w:val="24"/>
              </w:rPr>
              <w:t>R-deux ajusté</w:t>
            </w:r>
          </w:p>
        </w:tc>
        <w:tc>
          <w:tcPr>
            <w:tcW w:w="891" w:type="dxa"/>
            <w:vAlign w:val="center"/>
          </w:tcPr>
          <w:p w:rsidR="005236B6" w:rsidRPr="00054F18" w:rsidRDefault="005236B6" w:rsidP="00140168">
            <w:pPr>
              <w:spacing w:line="360" w:lineRule="auto"/>
              <w:jc w:val="center"/>
              <w:rPr>
                <w:rFonts w:asciiTheme="majorBidi" w:eastAsia="Calibri" w:hAnsiTheme="majorBidi" w:cstheme="majorBidi"/>
                <w:sz w:val="24"/>
                <w:szCs w:val="24"/>
              </w:rPr>
            </w:pPr>
            <w:r w:rsidRPr="00054F18">
              <w:rPr>
                <w:rFonts w:asciiTheme="majorBidi" w:eastAsia="Calibri" w:hAnsiTheme="majorBidi" w:cstheme="majorBidi"/>
                <w:sz w:val="24"/>
                <w:szCs w:val="24"/>
              </w:rPr>
              <w:t>F</w:t>
            </w:r>
          </w:p>
        </w:tc>
        <w:tc>
          <w:tcPr>
            <w:tcW w:w="945" w:type="dxa"/>
            <w:vAlign w:val="center"/>
          </w:tcPr>
          <w:p w:rsidR="005236B6" w:rsidRPr="00054F18" w:rsidRDefault="005236B6" w:rsidP="00140168">
            <w:pPr>
              <w:spacing w:line="360" w:lineRule="auto"/>
              <w:jc w:val="center"/>
              <w:rPr>
                <w:rFonts w:asciiTheme="majorBidi" w:eastAsia="Calibri" w:hAnsiTheme="majorBidi" w:cstheme="majorBidi"/>
                <w:sz w:val="24"/>
                <w:szCs w:val="24"/>
              </w:rPr>
            </w:pPr>
            <w:r w:rsidRPr="00054F18">
              <w:rPr>
                <w:rFonts w:asciiTheme="majorBidi" w:eastAsia="Calibri" w:hAnsiTheme="majorBidi" w:cstheme="majorBidi"/>
                <w:sz w:val="24"/>
                <w:szCs w:val="24"/>
              </w:rPr>
              <w:t>sig</w:t>
            </w:r>
          </w:p>
        </w:tc>
        <w:tc>
          <w:tcPr>
            <w:tcW w:w="945" w:type="dxa"/>
            <w:vAlign w:val="center"/>
          </w:tcPr>
          <w:p w:rsidR="005236B6" w:rsidRPr="00054F18" w:rsidRDefault="005236B6" w:rsidP="00140168">
            <w:pPr>
              <w:spacing w:line="360" w:lineRule="auto"/>
              <w:jc w:val="center"/>
              <w:rPr>
                <w:rFonts w:asciiTheme="majorBidi" w:eastAsia="Calibri" w:hAnsiTheme="majorBidi" w:cstheme="majorBidi"/>
                <w:sz w:val="24"/>
                <w:szCs w:val="24"/>
              </w:rPr>
            </w:pPr>
            <w:r w:rsidRPr="00054F18">
              <w:rPr>
                <w:rFonts w:asciiTheme="majorBidi" w:eastAsia="Calibri" w:hAnsiTheme="majorBidi" w:cstheme="majorBidi"/>
                <w:color w:val="000000"/>
                <w:sz w:val="24"/>
                <w:szCs w:val="24"/>
              </w:rPr>
              <w:t>Degré de liberté</w:t>
            </w:r>
          </w:p>
        </w:tc>
      </w:tr>
      <w:tr w:rsidR="005236B6" w:rsidRPr="00054F18" w:rsidTr="00EC7780">
        <w:trPr>
          <w:jc w:val="center"/>
        </w:trPr>
        <w:tc>
          <w:tcPr>
            <w:tcW w:w="2003" w:type="dxa"/>
            <w:vAlign w:val="center"/>
          </w:tcPr>
          <w:p w:rsidR="005236B6" w:rsidRPr="00054F18" w:rsidRDefault="005236B6" w:rsidP="00140168">
            <w:pPr>
              <w:spacing w:line="360" w:lineRule="auto"/>
              <w:jc w:val="center"/>
              <w:rPr>
                <w:rFonts w:asciiTheme="majorBidi" w:eastAsia="Calibri" w:hAnsiTheme="majorBidi" w:cstheme="majorBidi"/>
                <w:sz w:val="24"/>
                <w:szCs w:val="24"/>
                <w:lang w:bidi="ar-DZ"/>
              </w:rPr>
            </w:pPr>
            <w:r>
              <w:rPr>
                <w:rFonts w:asciiTheme="majorBidi" w:eastAsia="Calibri" w:hAnsiTheme="majorBidi" w:cstheme="majorBidi"/>
                <w:sz w:val="24"/>
                <w:szCs w:val="24"/>
              </w:rPr>
              <w:t>Intention d’achat</w:t>
            </w:r>
            <w:r w:rsidRPr="00054F18">
              <w:rPr>
                <w:rFonts w:asciiTheme="majorBidi" w:eastAsia="Calibri" w:hAnsiTheme="majorBidi" w:cstheme="majorBidi"/>
                <w:sz w:val="24"/>
                <w:szCs w:val="24"/>
                <w:rtl/>
                <w:lang w:bidi="ar-DZ"/>
              </w:rPr>
              <w:t xml:space="preserve"> ~</w:t>
            </w:r>
            <w:r>
              <w:rPr>
                <w:rFonts w:asciiTheme="majorBidi" w:eastAsia="Calibri" w:hAnsiTheme="majorBidi" w:cstheme="majorBidi"/>
                <w:sz w:val="24"/>
                <w:szCs w:val="24"/>
              </w:rPr>
              <w:t>prix</w:t>
            </w:r>
          </w:p>
        </w:tc>
        <w:tc>
          <w:tcPr>
            <w:tcW w:w="990" w:type="dxa"/>
            <w:shd w:val="clear" w:color="auto" w:fill="FFFFFF"/>
            <w:vAlign w:val="center"/>
          </w:tcPr>
          <w:p w:rsidR="005236B6" w:rsidRPr="00054F18" w:rsidRDefault="005236B6" w:rsidP="00140168">
            <w:pPr>
              <w:spacing w:line="360" w:lineRule="auto"/>
              <w:jc w:val="center"/>
              <w:rPr>
                <w:rFonts w:asciiTheme="majorBidi" w:hAnsiTheme="majorBidi" w:cstheme="majorBidi"/>
                <w:sz w:val="24"/>
                <w:szCs w:val="24"/>
              </w:rPr>
            </w:pPr>
            <w:r>
              <w:rPr>
                <w:rFonts w:asciiTheme="majorBidi" w:hAnsiTheme="majorBidi" w:cstheme="majorBidi" w:hint="cs"/>
                <w:sz w:val="24"/>
                <w:szCs w:val="24"/>
                <w:rtl/>
              </w:rPr>
              <w:t>0</w:t>
            </w:r>
            <w:r w:rsidRPr="00054F18">
              <w:rPr>
                <w:rFonts w:asciiTheme="majorBidi" w:hAnsiTheme="majorBidi" w:cstheme="majorBidi"/>
                <w:sz w:val="24"/>
                <w:szCs w:val="24"/>
              </w:rPr>
              <w:t>,235</w:t>
            </w:r>
            <w:r w:rsidRPr="00054F18">
              <w:rPr>
                <w:rFonts w:asciiTheme="majorBidi" w:hAnsiTheme="majorBidi" w:cstheme="majorBidi"/>
                <w:sz w:val="24"/>
                <w:szCs w:val="24"/>
                <w:vertAlign w:val="superscript"/>
              </w:rPr>
              <w:t>a</w:t>
            </w:r>
          </w:p>
        </w:tc>
        <w:tc>
          <w:tcPr>
            <w:tcW w:w="1024" w:type="dxa"/>
            <w:shd w:val="clear" w:color="auto" w:fill="FFFFFF"/>
            <w:vAlign w:val="center"/>
          </w:tcPr>
          <w:p w:rsidR="005236B6" w:rsidRPr="00054F18" w:rsidRDefault="005236B6" w:rsidP="00140168">
            <w:pPr>
              <w:spacing w:line="360" w:lineRule="auto"/>
              <w:jc w:val="center"/>
              <w:rPr>
                <w:rFonts w:asciiTheme="majorBidi" w:hAnsiTheme="majorBidi" w:cstheme="majorBidi"/>
                <w:sz w:val="24"/>
                <w:szCs w:val="24"/>
              </w:rPr>
            </w:pPr>
            <w:r>
              <w:rPr>
                <w:rFonts w:asciiTheme="majorBidi" w:hAnsiTheme="majorBidi" w:cstheme="majorBidi" w:hint="cs"/>
                <w:sz w:val="24"/>
                <w:szCs w:val="24"/>
                <w:rtl/>
              </w:rPr>
              <w:t>0</w:t>
            </w:r>
            <w:r w:rsidRPr="00054F18">
              <w:rPr>
                <w:rFonts w:asciiTheme="majorBidi" w:hAnsiTheme="majorBidi" w:cstheme="majorBidi"/>
                <w:sz w:val="24"/>
                <w:szCs w:val="24"/>
              </w:rPr>
              <w:t>,055</w:t>
            </w:r>
          </w:p>
        </w:tc>
        <w:tc>
          <w:tcPr>
            <w:tcW w:w="1010" w:type="dxa"/>
            <w:shd w:val="clear" w:color="auto" w:fill="FFFFFF"/>
            <w:vAlign w:val="center"/>
          </w:tcPr>
          <w:p w:rsidR="005236B6" w:rsidRPr="00054F18" w:rsidRDefault="005236B6" w:rsidP="00140168">
            <w:pPr>
              <w:spacing w:line="360" w:lineRule="auto"/>
              <w:jc w:val="center"/>
              <w:rPr>
                <w:rFonts w:asciiTheme="majorBidi" w:hAnsiTheme="majorBidi" w:cstheme="majorBidi"/>
                <w:sz w:val="24"/>
                <w:szCs w:val="24"/>
              </w:rPr>
            </w:pPr>
            <w:r>
              <w:rPr>
                <w:rFonts w:asciiTheme="majorBidi" w:hAnsiTheme="majorBidi" w:cstheme="majorBidi" w:hint="cs"/>
                <w:sz w:val="24"/>
                <w:szCs w:val="24"/>
                <w:rtl/>
              </w:rPr>
              <w:t>0</w:t>
            </w:r>
            <w:r w:rsidRPr="00054F18">
              <w:rPr>
                <w:rFonts w:asciiTheme="majorBidi" w:hAnsiTheme="majorBidi" w:cstheme="majorBidi"/>
                <w:sz w:val="24"/>
                <w:szCs w:val="24"/>
              </w:rPr>
              <w:t>,051</w:t>
            </w:r>
          </w:p>
        </w:tc>
        <w:tc>
          <w:tcPr>
            <w:tcW w:w="891" w:type="dxa"/>
            <w:vAlign w:val="center"/>
          </w:tcPr>
          <w:p w:rsidR="005236B6" w:rsidRPr="00054F18" w:rsidRDefault="005236B6" w:rsidP="00140168">
            <w:pPr>
              <w:spacing w:line="360" w:lineRule="auto"/>
              <w:contextualSpacing/>
              <w:jc w:val="center"/>
              <w:rPr>
                <w:rFonts w:asciiTheme="majorBidi" w:eastAsia="Calibri" w:hAnsiTheme="majorBidi" w:cstheme="majorBidi"/>
                <w:color w:val="000000"/>
                <w:sz w:val="24"/>
                <w:szCs w:val="24"/>
              </w:rPr>
            </w:pPr>
            <w:r w:rsidRPr="00054F18">
              <w:rPr>
                <w:rFonts w:asciiTheme="majorBidi" w:hAnsiTheme="majorBidi" w:cstheme="majorBidi"/>
                <w:color w:val="010205"/>
                <w:sz w:val="24"/>
                <w:szCs w:val="24"/>
              </w:rPr>
              <w:t>11.895</w:t>
            </w:r>
          </w:p>
        </w:tc>
        <w:tc>
          <w:tcPr>
            <w:tcW w:w="945" w:type="dxa"/>
            <w:vAlign w:val="center"/>
          </w:tcPr>
          <w:p w:rsidR="005236B6" w:rsidRPr="00054F18" w:rsidRDefault="005236B6" w:rsidP="00140168">
            <w:pPr>
              <w:spacing w:line="360" w:lineRule="auto"/>
              <w:contextualSpacing/>
              <w:jc w:val="center"/>
              <w:rPr>
                <w:rFonts w:asciiTheme="majorBidi" w:eastAsia="Calibri" w:hAnsiTheme="majorBidi" w:cstheme="majorBidi"/>
                <w:color w:val="000000"/>
                <w:sz w:val="24"/>
                <w:szCs w:val="24"/>
              </w:rPr>
            </w:pPr>
            <w:r w:rsidRPr="00054F18">
              <w:rPr>
                <w:rFonts w:asciiTheme="majorBidi" w:eastAsia="Calibri" w:hAnsiTheme="majorBidi" w:cstheme="majorBidi"/>
                <w:color w:val="000000"/>
                <w:sz w:val="24"/>
                <w:szCs w:val="24"/>
              </w:rPr>
              <w:t>0.001</w:t>
            </w:r>
          </w:p>
        </w:tc>
        <w:tc>
          <w:tcPr>
            <w:tcW w:w="945" w:type="dxa"/>
            <w:vAlign w:val="center"/>
          </w:tcPr>
          <w:p w:rsidR="005236B6" w:rsidRPr="00054F18" w:rsidRDefault="005236B6" w:rsidP="00140168">
            <w:pPr>
              <w:spacing w:line="360" w:lineRule="auto"/>
              <w:contextualSpacing/>
              <w:jc w:val="center"/>
              <w:rPr>
                <w:rFonts w:asciiTheme="majorBidi" w:eastAsia="Calibri" w:hAnsiTheme="majorBidi" w:cstheme="majorBidi"/>
                <w:color w:val="000000"/>
                <w:sz w:val="24"/>
                <w:szCs w:val="24"/>
              </w:rPr>
            </w:pPr>
            <w:r w:rsidRPr="00054F18">
              <w:rPr>
                <w:rFonts w:asciiTheme="majorBidi" w:eastAsia="Calibri" w:hAnsiTheme="majorBidi" w:cstheme="majorBidi"/>
                <w:color w:val="000000"/>
                <w:sz w:val="24"/>
                <w:szCs w:val="24"/>
              </w:rPr>
              <w:t>1</w:t>
            </w:r>
          </w:p>
          <w:p w:rsidR="005236B6" w:rsidRPr="00054F18" w:rsidRDefault="005236B6" w:rsidP="00140168">
            <w:pPr>
              <w:spacing w:line="360" w:lineRule="auto"/>
              <w:contextualSpacing/>
              <w:jc w:val="center"/>
              <w:rPr>
                <w:rFonts w:asciiTheme="majorBidi" w:eastAsia="Calibri" w:hAnsiTheme="majorBidi" w:cstheme="majorBidi"/>
                <w:color w:val="000000"/>
                <w:sz w:val="24"/>
                <w:szCs w:val="24"/>
              </w:rPr>
            </w:pPr>
            <w:r w:rsidRPr="00054F18">
              <w:rPr>
                <w:rFonts w:asciiTheme="majorBidi" w:eastAsia="Calibri" w:hAnsiTheme="majorBidi" w:cstheme="majorBidi"/>
                <w:color w:val="000000"/>
                <w:sz w:val="24"/>
                <w:szCs w:val="24"/>
              </w:rPr>
              <w:t>203</w:t>
            </w:r>
          </w:p>
          <w:p w:rsidR="005236B6" w:rsidRPr="00054F18" w:rsidRDefault="005236B6" w:rsidP="00140168">
            <w:pPr>
              <w:spacing w:line="360" w:lineRule="auto"/>
              <w:contextualSpacing/>
              <w:jc w:val="center"/>
              <w:rPr>
                <w:rFonts w:asciiTheme="majorBidi" w:eastAsia="Calibri" w:hAnsiTheme="majorBidi" w:cstheme="majorBidi"/>
                <w:color w:val="000000"/>
                <w:sz w:val="24"/>
                <w:szCs w:val="24"/>
              </w:rPr>
            </w:pPr>
            <w:r w:rsidRPr="00054F18">
              <w:rPr>
                <w:rFonts w:asciiTheme="majorBidi" w:eastAsia="Calibri" w:hAnsiTheme="majorBidi" w:cstheme="majorBidi"/>
                <w:color w:val="000000"/>
                <w:sz w:val="24"/>
                <w:szCs w:val="24"/>
              </w:rPr>
              <w:t>204</w:t>
            </w:r>
          </w:p>
        </w:tc>
      </w:tr>
    </w:tbl>
    <w:p w:rsidR="009D0249" w:rsidRDefault="009D0249" w:rsidP="00140168">
      <w:pPr>
        <w:spacing w:after="0" w:line="360" w:lineRule="auto"/>
        <w:jc w:val="lowKashida"/>
        <w:rPr>
          <w:rFonts w:asciiTheme="majorBidi" w:hAnsiTheme="majorBidi" w:cstheme="majorBidi"/>
          <w:b/>
          <w:bCs/>
          <w:sz w:val="24"/>
          <w:szCs w:val="24"/>
          <w:lang w:eastAsia="fr-FR"/>
        </w:rPr>
      </w:pPr>
    </w:p>
    <w:p w:rsidR="005236B6" w:rsidRPr="009D0249" w:rsidRDefault="005236B6" w:rsidP="00140168">
      <w:pPr>
        <w:spacing w:after="0" w:line="360" w:lineRule="auto"/>
        <w:jc w:val="lowKashida"/>
        <w:rPr>
          <w:rFonts w:asciiTheme="majorBidi" w:hAnsiTheme="majorBidi" w:cstheme="majorBidi"/>
          <w:b/>
          <w:bCs/>
          <w:sz w:val="24"/>
          <w:szCs w:val="24"/>
          <w:lang w:eastAsia="fr-FR"/>
        </w:rPr>
      </w:pPr>
      <w:r w:rsidRPr="009D0249">
        <w:rPr>
          <w:rFonts w:asciiTheme="majorBidi" w:hAnsiTheme="majorBidi" w:cstheme="majorBidi"/>
          <w:b/>
          <w:bCs/>
          <w:sz w:val="24"/>
          <w:szCs w:val="24"/>
          <w:lang w:eastAsia="fr-FR"/>
        </w:rPr>
        <w:t>Analyse de la Corrélation (Force du lien)</w:t>
      </w:r>
    </w:p>
    <w:p w:rsidR="005236B6" w:rsidRPr="00A9186E" w:rsidRDefault="005236B6" w:rsidP="00140168">
      <w:pPr>
        <w:numPr>
          <w:ilvl w:val="0"/>
          <w:numId w:val="23"/>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A9186E">
        <w:rPr>
          <w:rFonts w:ascii="Times New Roman" w:eastAsia="Times New Roman" w:hAnsi="Times New Roman" w:cs="Times New Roman"/>
          <w:b/>
          <w:bCs/>
          <w:sz w:val="24"/>
          <w:szCs w:val="24"/>
          <w:lang w:eastAsia="fr-FR"/>
        </w:rPr>
        <w:t>Le Coefficient de Corrélation (R = 0,235) :</w:t>
      </w:r>
      <w:r w:rsidRPr="00A9186E">
        <w:rPr>
          <w:rFonts w:ascii="Times New Roman" w:eastAsia="Times New Roman" w:hAnsi="Times New Roman" w:cs="Times New Roman"/>
          <w:sz w:val="24"/>
          <w:szCs w:val="24"/>
          <w:lang w:eastAsia="fr-FR"/>
        </w:rPr>
        <w:t xml:space="preserve"> Cette valeur indique une </w:t>
      </w:r>
      <w:r w:rsidRPr="00A9186E">
        <w:rPr>
          <w:rFonts w:ascii="Times New Roman" w:eastAsia="Times New Roman" w:hAnsi="Times New Roman" w:cs="Times New Roman"/>
          <w:b/>
          <w:bCs/>
          <w:sz w:val="24"/>
          <w:szCs w:val="24"/>
          <w:lang w:eastAsia="fr-FR"/>
        </w:rPr>
        <w:t>corrélation p</w:t>
      </w:r>
      <w:r w:rsidRPr="00A9186E">
        <w:rPr>
          <w:rFonts w:ascii="Times New Roman" w:eastAsia="Times New Roman" w:hAnsi="Times New Roman" w:cs="Times New Roman"/>
          <w:b/>
          <w:bCs/>
          <w:sz w:val="24"/>
          <w:szCs w:val="24"/>
          <w:lang w:eastAsia="fr-FR"/>
        </w:rPr>
        <w:t>o</w:t>
      </w:r>
      <w:r w:rsidRPr="00A9186E">
        <w:rPr>
          <w:rFonts w:ascii="Times New Roman" w:eastAsia="Times New Roman" w:hAnsi="Times New Roman" w:cs="Times New Roman"/>
          <w:b/>
          <w:bCs/>
          <w:sz w:val="24"/>
          <w:szCs w:val="24"/>
          <w:lang w:eastAsia="fr-FR"/>
        </w:rPr>
        <w:t>sitive faible</w:t>
      </w:r>
      <w:r w:rsidRPr="00A9186E">
        <w:rPr>
          <w:rFonts w:ascii="Times New Roman" w:eastAsia="Times New Roman" w:hAnsi="Times New Roman" w:cs="Times New Roman"/>
          <w:sz w:val="24"/>
          <w:szCs w:val="24"/>
          <w:lang w:eastAsia="fr-FR"/>
        </w:rPr>
        <w:t>. Cela signifie qu'il existe un lien statistique entre le prix et l'intention d'achat, mais que ce lien n'est pas le moteur principal de la décision.</w:t>
      </w:r>
    </w:p>
    <w:p w:rsidR="005236B6" w:rsidRPr="00A9186E" w:rsidRDefault="005236B6" w:rsidP="00140168">
      <w:pPr>
        <w:numPr>
          <w:ilvl w:val="0"/>
          <w:numId w:val="23"/>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A9186E">
        <w:rPr>
          <w:rFonts w:ascii="Times New Roman" w:eastAsia="Times New Roman" w:hAnsi="Times New Roman" w:cs="Times New Roman"/>
          <w:b/>
          <w:bCs/>
          <w:sz w:val="24"/>
          <w:szCs w:val="24"/>
          <w:lang w:eastAsia="fr-FR"/>
        </w:rPr>
        <w:t>Le Coefficient de Détermination (</w:t>
      </w:r>
      <w:r>
        <w:rPr>
          <w:rFonts w:ascii="Times New Roman" w:eastAsia="Times New Roman" w:hAnsi="Times New Roman" w:cs="Times New Roman"/>
          <w:b/>
          <w:bCs/>
          <w:sz w:val="24"/>
          <w:szCs w:val="24"/>
          <w:lang w:eastAsia="fr-FR"/>
        </w:rPr>
        <w:t>R</w:t>
      </w:r>
      <w:r w:rsidRPr="00A9186E">
        <w:rPr>
          <w:rFonts w:ascii="Times New Roman" w:eastAsia="Times New Roman" w:hAnsi="Times New Roman" w:cs="Times New Roman"/>
          <w:b/>
          <w:bCs/>
          <w:sz w:val="24"/>
          <w:szCs w:val="24"/>
          <w:lang w:eastAsia="fr-FR"/>
        </w:rPr>
        <w:t>2 = 0,055) :</w:t>
      </w:r>
      <w:r w:rsidRPr="00A9186E">
        <w:rPr>
          <w:rFonts w:ascii="Times New Roman" w:eastAsia="Times New Roman" w:hAnsi="Times New Roman" w:cs="Times New Roman"/>
          <w:sz w:val="24"/>
          <w:szCs w:val="24"/>
          <w:lang w:eastAsia="fr-FR"/>
        </w:rPr>
        <w:t xml:space="preserve"> Le prix n'explique que </w:t>
      </w:r>
      <w:r w:rsidRPr="00A9186E">
        <w:rPr>
          <w:rFonts w:ascii="Times New Roman" w:eastAsia="Times New Roman" w:hAnsi="Times New Roman" w:cs="Times New Roman"/>
          <w:b/>
          <w:bCs/>
          <w:sz w:val="24"/>
          <w:szCs w:val="24"/>
          <w:lang w:eastAsia="fr-FR"/>
        </w:rPr>
        <w:t>5,5 %</w:t>
      </w:r>
      <w:r w:rsidRPr="00A9186E">
        <w:rPr>
          <w:rFonts w:ascii="Times New Roman" w:eastAsia="Times New Roman" w:hAnsi="Times New Roman" w:cs="Times New Roman"/>
          <w:sz w:val="24"/>
          <w:szCs w:val="24"/>
          <w:lang w:eastAsia="fr-FR"/>
        </w:rPr>
        <w:t xml:space="preserve"> de la variance de l'intention d'achat.</w:t>
      </w:r>
    </w:p>
    <w:p w:rsidR="005236B6" w:rsidRPr="009D0249" w:rsidRDefault="005236B6" w:rsidP="00140168">
      <w:pPr>
        <w:spacing w:after="0" w:line="360" w:lineRule="auto"/>
        <w:jc w:val="lowKashida"/>
        <w:rPr>
          <w:rFonts w:asciiTheme="majorBidi" w:hAnsiTheme="majorBidi" w:cstheme="majorBidi"/>
          <w:b/>
          <w:bCs/>
          <w:sz w:val="24"/>
          <w:szCs w:val="24"/>
        </w:rPr>
      </w:pPr>
      <w:r w:rsidRPr="009D0249">
        <w:rPr>
          <w:rFonts w:asciiTheme="majorBidi" w:hAnsiTheme="majorBidi" w:cstheme="majorBidi"/>
          <w:b/>
          <w:bCs/>
          <w:sz w:val="24"/>
          <w:szCs w:val="24"/>
        </w:rPr>
        <w:t>Analyse de la Validité Statistique (ANOVA)</w:t>
      </w:r>
    </w:p>
    <w:p w:rsidR="005236B6" w:rsidRDefault="005236B6" w:rsidP="00140168">
      <w:pPr>
        <w:pStyle w:val="NormalWeb"/>
        <w:spacing w:after="0" w:line="360" w:lineRule="auto"/>
        <w:jc w:val="both"/>
      </w:pPr>
      <w:r>
        <w:t>Le modèle reste néanmoins scientifiquement valide :</w:t>
      </w:r>
    </w:p>
    <w:p w:rsidR="005236B6" w:rsidRDefault="005236B6" w:rsidP="00D078CC">
      <w:pPr>
        <w:pStyle w:val="NormalWeb"/>
        <w:numPr>
          <w:ilvl w:val="0"/>
          <w:numId w:val="24"/>
        </w:numPr>
        <w:spacing w:before="100" w:beforeAutospacing="1" w:after="100" w:afterAutospacing="1" w:line="360" w:lineRule="auto"/>
        <w:jc w:val="both"/>
      </w:pPr>
      <w:r>
        <w:rPr>
          <w:b/>
          <w:bCs/>
        </w:rPr>
        <w:t>La Statistique F (11,895) :</w:t>
      </w:r>
      <w:r>
        <w:t xml:space="preserve"> Malgré un </w:t>
      </w:r>
      <w:r>
        <w:rPr>
          <w:rStyle w:val="math-inline"/>
        </w:rPr>
        <w:t>R2</w:t>
      </w:r>
      <w:r>
        <w:t xml:space="preserve"> faible, la valeur F est suffisante pour affi</w:t>
      </w:r>
      <w:r>
        <w:t>r</w:t>
      </w:r>
      <w:r>
        <w:t>mer que le modèle est plus performant que le pur hasard.</w:t>
      </w:r>
    </w:p>
    <w:p w:rsidR="005236B6" w:rsidRDefault="005236B6" w:rsidP="00140168">
      <w:pPr>
        <w:pStyle w:val="NormalWeb"/>
        <w:numPr>
          <w:ilvl w:val="0"/>
          <w:numId w:val="24"/>
        </w:numPr>
        <w:spacing w:before="100" w:beforeAutospacing="1" w:after="100" w:afterAutospacing="1" w:line="360" w:lineRule="auto"/>
        <w:jc w:val="both"/>
      </w:pPr>
      <w:r>
        <w:rPr>
          <w:b/>
          <w:bCs/>
        </w:rPr>
        <w:t>La Signification (Sig = 0,001) :</w:t>
      </w:r>
      <w:r>
        <w:t xml:space="preserve"> La valeur </w:t>
      </w:r>
      <w:r>
        <w:rPr>
          <w:rStyle w:val="math-inline"/>
        </w:rPr>
        <w:t>p</w:t>
      </w:r>
      <w:r>
        <w:t xml:space="preserve"> (</w:t>
      </w:r>
      <w:r>
        <w:rPr>
          <w:rStyle w:val="math-inline"/>
        </w:rPr>
        <w:t>0,001</w:t>
      </w:r>
      <w:r>
        <w:t xml:space="preserve">) est très inférieure au seuil de </w:t>
      </w:r>
      <w:r>
        <w:rPr>
          <w:rStyle w:val="math-inline"/>
        </w:rPr>
        <w:t>0,05</w:t>
      </w:r>
      <w:r>
        <w:t xml:space="preserve">. Cela signifie que l'impact du prix est </w:t>
      </w:r>
      <w:r>
        <w:rPr>
          <w:b/>
          <w:bCs/>
        </w:rPr>
        <w:t>statistiquement significatif</w:t>
      </w:r>
      <w:r>
        <w:t>. On peut a</w:t>
      </w:r>
      <w:r>
        <w:t>f</w:t>
      </w:r>
      <w:r>
        <w:t>firmer avec une certitude de 99,9 % que le prix influence l'intention d'achat, même si cette influence est d'une intensité modérée..</w:t>
      </w:r>
    </w:p>
    <w:p w:rsidR="005236B6" w:rsidRPr="00A9186E" w:rsidRDefault="005236B6" w:rsidP="00F7493D">
      <w:pPr>
        <w:spacing w:line="360" w:lineRule="auto"/>
        <w:jc w:val="both"/>
        <w:rPr>
          <w:rFonts w:asciiTheme="majorBidi" w:hAnsiTheme="majorBidi" w:cstheme="majorBidi"/>
          <w:sz w:val="24"/>
          <w:szCs w:val="24"/>
        </w:rPr>
      </w:pPr>
      <w:r w:rsidRPr="00A9186E">
        <w:rPr>
          <w:rFonts w:asciiTheme="majorBidi" w:hAnsiTheme="majorBidi" w:cstheme="majorBidi"/>
          <w:sz w:val="24"/>
          <w:szCs w:val="24"/>
        </w:rPr>
        <w:t xml:space="preserve">Au regard des résultats (F=11,895 ; p &lt; 0,05), </w:t>
      </w:r>
      <w:r w:rsidRPr="00A9186E">
        <w:rPr>
          <w:rFonts w:asciiTheme="majorBidi" w:hAnsiTheme="majorBidi" w:cstheme="majorBidi"/>
          <w:b/>
          <w:bCs/>
          <w:sz w:val="24"/>
          <w:szCs w:val="24"/>
        </w:rPr>
        <w:t>l'hypothèse H1(b) est confirmée. Le prix a un impact réel mais secondaire</w:t>
      </w:r>
    </w:p>
    <w:p w:rsidR="005236B6" w:rsidRPr="00054F18" w:rsidRDefault="005236B6" w:rsidP="00F7493D">
      <w:pPr>
        <w:spacing w:line="360" w:lineRule="auto"/>
        <w:ind w:left="720"/>
        <w:contextualSpacing/>
        <w:rPr>
          <w:rFonts w:asciiTheme="majorBidi" w:hAnsiTheme="majorBidi" w:cstheme="majorBidi"/>
          <w:b/>
          <w:bCs/>
          <w:color w:val="000000" w:themeColor="text1"/>
          <w:sz w:val="24"/>
          <w:szCs w:val="24"/>
        </w:rPr>
      </w:pPr>
      <w:r w:rsidRPr="00860658">
        <w:rPr>
          <w:rFonts w:ascii="Times New Roman" w:hAnsi="Times New Roman" w:cs="Times New Roman"/>
          <w:b/>
          <w:bCs/>
          <w:color w:val="000000"/>
          <w:sz w:val="24"/>
          <w:szCs w:val="24"/>
        </w:rPr>
        <w:lastRenderedPageBreak/>
        <w:t xml:space="preserve">Tableau N° </w:t>
      </w:r>
      <w:r>
        <w:rPr>
          <w:rFonts w:ascii="Times New Roman" w:hAnsi="Times New Roman" w:cs="Times New Roman"/>
          <w:b/>
          <w:bCs/>
          <w:color w:val="000000"/>
          <w:sz w:val="24"/>
          <w:szCs w:val="24"/>
        </w:rPr>
        <w:t>37</w:t>
      </w:r>
      <w:r w:rsidRPr="00860658">
        <w:rPr>
          <w:rFonts w:ascii="Times New Roman" w:hAnsi="Times New Roman" w:cs="Times New Roman"/>
          <w:b/>
          <w:bCs/>
          <w:color w:val="000000"/>
          <w:sz w:val="24"/>
          <w:szCs w:val="24"/>
        </w:rPr>
        <w:t xml:space="preserve"> :</w:t>
      </w:r>
      <w:r w:rsidRPr="00054F18">
        <w:rPr>
          <w:rFonts w:asciiTheme="majorBidi" w:hAnsiTheme="majorBidi" w:cstheme="majorBidi"/>
          <w:b/>
          <w:bCs/>
          <w:color w:val="000000" w:themeColor="text1"/>
          <w:sz w:val="24"/>
          <w:szCs w:val="24"/>
        </w:rPr>
        <w:t xml:space="preserve"> Coefficients de régression linéaire :</w:t>
      </w:r>
    </w:p>
    <w:tbl>
      <w:tblPr>
        <w:tblStyle w:val="Grilledutableau"/>
        <w:tblW w:w="0" w:type="auto"/>
        <w:jc w:val="center"/>
        <w:tblLook w:val="04A0"/>
      </w:tblPr>
      <w:tblGrid>
        <w:gridCol w:w="1081"/>
        <w:gridCol w:w="2003"/>
        <w:gridCol w:w="1184"/>
        <w:gridCol w:w="1248"/>
        <w:gridCol w:w="1184"/>
        <w:gridCol w:w="1184"/>
      </w:tblGrid>
      <w:tr w:rsidR="005236B6" w:rsidRPr="00054F18" w:rsidTr="00EC7780">
        <w:trPr>
          <w:jc w:val="center"/>
        </w:trPr>
        <w:tc>
          <w:tcPr>
            <w:tcW w:w="3084" w:type="dxa"/>
            <w:gridSpan w:val="2"/>
            <w:vAlign w:val="center"/>
          </w:tcPr>
          <w:p w:rsidR="005236B6" w:rsidRPr="00054F18" w:rsidRDefault="005236B6" w:rsidP="00F7493D">
            <w:pPr>
              <w:spacing w:after="160" w:line="360" w:lineRule="auto"/>
              <w:jc w:val="center"/>
              <w:rPr>
                <w:rFonts w:asciiTheme="majorBidi" w:hAnsiTheme="majorBidi" w:cstheme="majorBidi"/>
                <w:sz w:val="24"/>
                <w:szCs w:val="24"/>
              </w:rPr>
            </w:pPr>
          </w:p>
        </w:tc>
        <w:tc>
          <w:tcPr>
            <w:tcW w:w="2432" w:type="dxa"/>
            <w:gridSpan w:val="2"/>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Coefficients non standardisés</w:t>
            </w:r>
          </w:p>
        </w:tc>
        <w:tc>
          <w:tcPr>
            <w:tcW w:w="1184" w:type="dxa"/>
            <w:vMerge w:val="restart"/>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T</w:t>
            </w:r>
          </w:p>
        </w:tc>
        <w:tc>
          <w:tcPr>
            <w:tcW w:w="1184" w:type="dxa"/>
            <w:vMerge w:val="restart"/>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Sig</w:t>
            </w:r>
          </w:p>
        </w:tc>
      </w:tr>
      <w:tr w:rsidR="005236B6" w:rsidRPr="00054F18" w:rsidTr="00EC7780">
        <w:trPr>
          <w:jc w:val="center"/>
        </w:trPr>
        <w:tc>
          <w:tcPr>
            <w:tcW w:w="3084" w:type="dxa"/>
            <w:gridSpan w:val="2"/>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Modèle</w:t>
            </w:r>
          </w:p>
        </w:tc>
        <w:tc>
          <w:tcPr>
            <w:tcW w:w="1184" w:type="dxa"/>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B</w:t>
            </w:r>
          </w:p>
        </w:tc>
        <w:tc>
          <w:tcPr>
            <w:tcW w:w="1248" w:type="dxa"/>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Ecart standard</w:t>
            </w:r>
          </w:p>
        </w:tc>
        <w:tc>
          <w:tcPr>
            <w:tcW w:w="1184" w:type="dxa"/>
            <w:vMerge/>
            <w:vAlign w:val="center"/>
          </w:tcPr>
          <w:p w:rsidR="005236B6" w:rsidRPr="00054F18" w:rsidRDefault="005236B6" w:rsidP="00F7493D">
            <w:pPr>
              <w:spacing w:after="160" w:line="360" w:lineRule="auto"/>
              <w:jc w:val="center"/>
              <w:rPr>
                <w:rFonts w:asciiTheme="majorBidi" w:hAnsiTheme="majorBidi" w:cstheme="majorBidi"/>
                <w:sz w:val="24"/>
                <w:szCs w:val="24"/>
              </w:rPr>
            </w:pPr>
          </w:p>
        </w:tc>
        <w:tc>
          <w:tcPr>
            <w:tcW w:w="1184" w:type="dxa"/>
            <w:vMerge/>
            <w:vAlign w:val="center"/>
          </w:tcPr>
          <w:p w:rsidR="005236B6" w:rsidRPr="00054F18" w:rsidRDefault="005236B6" w:rsidP="00F7493D">
            <w:pPr>
              <w:spacing w:after="160" w:line="360" w:lineRule="auto"/>
              <w:jc w:val="center"/>
              <w:rPr>
                <w:rFonts w:asciiTheme="majorBidi" w:hAnsiTheme="majorBidi" w:cstheme="majorBidi"/>
                <w:sz w:val="24"/>
                <w:szCs w:val="24"/>
              </w:rPr>
            </w:pPr>
          </w:p>
        </w:tc>
      </w:tr>
      <w:tr w:rsidR="005236B6" w:rsidRPr="00054F18" w:rsidTr="00EC7780">
        <w:trPr>
          <w:jc w:val="center"/>
        </w:trPr>
        <w:tc>
          <w:tcPr>
            <w:tcW w:w="1081" w:type="dxa"/>
            <w:vMerge w:val="restart"/>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1</w:t>
            </w:r>
          </w:p>
        </w:tc>
        <w:tc>
          <w:tcPr>
            <w:tcW w:w="2003" w:type="dxa"/>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Constante</w:t>
            </w:r>
          </w:p>
        </w:tc>
        <w:tc>
          <w:tcPr>
            <w:tcW w:w="1184"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2,909</w:t>
            </w:r>
          </w:p>
        </w:tc>
        <w:tc>
          <w:tcPr>
            <w:tcW w:w="1248"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0,256</w:t>
            </w:r>
          </w:p>
        </w:tc>
        <w:tc>
          <w:tcPr>
            <w:tcW w:w="1184"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11,357</w:t>
            </w:r>
          </w:p>
        </w:tc>
        <w:tc>
          <w:tcPr>
            <w:tcW w:w="1184"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,000</w:t>
            </w:r>
          </w:p>
        </w:tc>
      </w:tr>
      <w:tr w:rsidR="005236B6" w:rsidRPr="00054F18" w:rsidTr="00EC7780">
        <w:trPr>
          <w:jc w:val="center"/>
        </w:trPr>
        <w:tc>
          <w:tcPr>
            <w:tcW w:w="1081" w:type="dxa"/>
            <w:vMerge/>
            <w:vAlign w:val="center"/>
          </w:tcPr>
          <w:p w:rsidR="005236B6" w:rsidRPr="00054F18" w:rsidRDefault="005236B6" w:rsidP="00F7493D">
            <w:pPr>
              <w:spacing w:after="160" w:line="360" w:lineRule="auto"/>
              <w:jc w:val="center"/>
              <w:rPr>
                <w:rFonts w:asciiTheme="majorBidi" w:hAnsiTheme="majorBidi" w:cstheme="majorBidi"/>
                <w:sz w:val="24"/>
                <w:szCs w:val="24"/>
              </w:rPr>
            </w:pPr>
          </w:p>
        </w:tc>
        <w:tc>
          <w:tcPr>
            <w:tcW w:w="2003" w:type="dxa"/>
            <w:vAlign w:val="center"/>
          </w:tcPr>
          <w:p w:rsidR="005236B6" w:rsidRPr="00054F18" w:rsidRDefault="005236B6" w:rsidP="00F7493D">
            <w:pPr>
              <w:spacing w:after="160" w:line="360" w:lineRule="auto"/>
              <w:jc w:val="center"/>
              <w:rPr>
                <w:rFonts w:asciiTheme="majorBidi" w:hAnsiTheme="majorBidi" w:cstheme="majorBidi"/>
                <w:sz w:val="24"/>
                <w:szCs w:val="24"/>
              </w:rPr>
            </w:pPr>
            <w:r>
              <w:rPr>
                <w:rFonts w:asciiTheme="majorBidi" w:hAnsiTheme="majorBidi" w:cstheme="majorBidi"/>
                <w:sz w:val="24"/>
                <w:szCs w:val="24"/>
              </w:rPr>
              <w:t>Prix</w:t>
            </w:r>
          </w:p>
        </w:tc>
        <w:tc>
          <w:tcPr>
            <w:tcW w:w="1184"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0,259</w:t>
            </w:r>
          </w:p>
        </w:tc>
        <w:tc>
          <w:tcPr>
            <w:tcW w:w="1248"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0,075</w:t>
            </w:r>
          </w:p>
        </w:tc>
        <w:tc>
          <w:tcPr>
            <w:tcW w:w="1184"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3,449</w:t>
            </w:r>
          </w:p>
        </w:tc>
        <w:tc>
          <w:tcPr>
            <w:tcW w:w="1184" w:type="dxa"/>
            <w:shd w:val="clear" w:color="auto" w:fill="FFFFFF"/>
            <w:vAlign w:val="center"/>
          </w:tcPr>
          <w:p w:rsidR="005236B6" w:rsidRPr="00054F18" w:rsidRDefault="005236B6" w:rsidP="00F7493D">
            <w:pPr>
              <w:spacing w:after="160" w:line="360" w:lineRule="auto"/>
              <w:jc w:val="center"/>
              <w:rPr>
                <w:rFonts w:asciiTheme="majorBidi" w:hAnsiTheme="majorBidi" w:cstheme="majorBidi"/>
                <w:sz w:val="24"/>
                <w:szCs w:val="24"/>
              </w:rPr>
            </w:pPr>
            <w:r w:rsidRPr="00054F18">
              <w:rPr>
                <w:rFonts w:asciiTheme="majorBidi" w:hAnsiTheme="majorBidi" w:cstheme="majorBidi"/>
                <w:sz w:val="24"/>
                <w:szCs w:val="24"/>
              </w:rPr>
              <w:t>,001</w:t>
            </w:r>
          </w:p>
        </w:tc>
      </w:tr>
    </w:tbl>
    <w:p w:rsidR="005236B6" w:rsidRPr="00523C8D"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D0249" w:rsidRDefault="005236B6" w:rsidP="00F7493D">
      <w:pPr>
        <w:spacing w:after="0" w:line="360" w:lineRule="auto"/>
        <w:jc w:val="lowKashida"/>
        <w:rPr>
          <w:rFonts w:asciiTheme="majorBidi" w:hAnsiTheme="majorBidi" w:cstheme="majorBidi"/>
          <w:b/>
          <w:bCs/>
          <w:sz w:val="24"/>
          <w:szCs w:val="24"/>
          <w:lang w:eastAsia="fr-FR"/>
        </w:rPr>
      </w:pPr>
      <w:r w:rsidRPr="009D0249">
        <w:rPr>
          <w:rFonts w:asciiTheme="majorBidi" w:hAnsiTheme="majorBidi" w:cstheme="majorBidi"/>
          <w:b/>
          <w:bCs/>
          <w:sz w:val="24"/>
          <w:szCs w:val="24"/>
          <w:lang w:eastAsia="fr-FR"/>
        </w:rPr>
        <w:t>Analyse des Coefficients de Régression</w:t>
      </w:r>
    </w:p>
    <w:p w:rsidR="005236B6" w:rsidRPr="00A9186E" w:rsidRDefault="005236B6" w:rsidP="00F7493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A9186E">
        <w:rPr>
          <w:rFonts w:ascii="Times New Roman" w:eastAsia="Times New Roman" w:hAnsi="Times New Roman" w:cs="Times New Roman"/>
          <w:sz w:val="24"/>
          <w:szCs w:val="24"/>
          <w:lang w:eastAsia="fr-FR"/>
        </w:rPr>
        <w:t>Le tableau des coefficients nous permet de modéliser l'impact marginal du prix sur l'intention d'achat :</w:t>
      </w:r>
    </w:p>
    <w:p w:rsidR="005236B6" w:rsidRPr="00A9186E" w:rsidRDefault="005236B6" w:rsidP="00D078CC">
      <w:pPr>
        <w:numPr>
          <w:ilvl w:val="0"/>
          <w:numId w:val="25"/>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A9186E">
        <w:rPr>
          <w:rFonts w:ascii="Times New Roman" w:eastAsia="Times New Roman" w:hAnsi="Times New Roman" w:cs="Times New Roman"/>
          <w:b/>
          <w:bCs/>
          <w:sz w:val="24"/>
          <w:szCs w:val="24"/>
          <w:lang w:eastAsia="fr-FR"/>
        </w:rPr>
        <w:t>L’Équation de régression :</w:t>
      </w:r>
      <w:r w:rsidRPr="00A9186E">
        <w:rPr>
          <w:rFonts w:ascii="Times New Roman" w:eastAsia="Times New Roman" w:hAnsi="Times New Roman" w:cs="Times New Roman"/>
          <w:sz w:val="24"/>
          <w:szCs w:val="24"/>
          <w:lang w:eastAsia="fr-FR"/>
        </w:rPr>
        <w:t xml:space="preserve"> Selon vos résultats, le modèle se traduit ainsi :</w:t>
      </w:r>
    </w:p>
    <w:p w:rsidR="005236B6" w:rsidRDefault="005236B6" w:rsidP="00F7493D">
      <w:pPr>
        <w:spacing w:beforeAutospacing="1" w:after="0" w:afterAutospacing="1" w:line="360" w:lineRule="auto"/>
        <w:ind w:left="720"/>
        <w:jc w:val="center"/>
        <w:rPr>
          <w:rFonts w:ascii="Times New Roman" w:eastAsia="Times New Roman" w:hAnsi="Times New Roman" w:cs="Times New Roman"/>
          <w:b/>
          <w:bCs/>
          <w:sz w:val="24"/>
          <w:szCs w:val="24"/>
          <w:lang w:eastAsia="fr-FR"/>
        </w:rPr>
      </w:pPr>
      <w:r w:rsidRPr="00A9186E">
        <w:rPr>
          <w:rFonts w:ascii="Times New Roman" w:eastAsia="Times New Roman" w:hAnsi="Times New Roman" w:cs="Times New Roman"/>
          <w:b/>
          <w:bCs/>
          <w:sz w:val="24"/>
          <w:szCs w:val="24"/>
          <w:lang w:eastAsia="fr-FR"/>
        </w:rPr>
        <w:t xml:space="preserve">Y (Intention d'achat) = 0,259 </w:t>
      </w:r>
      <w:r>
        <w:rPr>
          <w:rFonts w:ascii="Times New Roman" w:eastAsia="Times New Roman" w:hAnsi="Times New Roman" w:cs="Times New Roman"/>
          <w:b/>
          <w:bCs/>
          <w:sz w:val="24"/>
          <w:szCs w:val="24"/>
          <w:lang w:eastAsia="fr-FR"/>
        </w:rPr>
        <w:t>*(</w:t>
      </w:r>
      <w:r w:rsidRPr="00A9186E">
        <w:rPr>
          <w:rFonts w:ascii="Times New Roman" w:eastAsia="Times New Roman" w:hAnsi="Times New Roman" w:cs="Times New Roman"/>
          <w:b/>
          <w:bCs/>
          <w:sz w:val="24"/>
          <w:szCs w:val="24"/>
          <w:lang w:eastAsia="fr-FR"/>
        </w:rPr>
        <w:t>Prix) + 2,909</w:t>
      </w:r>
    </w:p>
    <w:p w:rsidR="005236B6" w:rsidRDefault="005236B6" w:rsidP="00F7493D">
      <w:pPr>
        <w:spacing w:beforeAutospacing="1" w:after="0" w:afterAutospacing="1" w:line="360" w:lineRule="auto"/>
        <w:ind w:left="720"/>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Y=2.909+0.259X2</w:t>
      </w:r>
    </w:p>
    <w:p w:rsidR="005236B6" w:rsidRPr="00A9186E" w:rsidRDefault="005236B6" w:rsidP="00F7493D">
      <w:pPr>
        <w:spacing w:beforeAutospacing="1" w:after="0" w:afterAutospacing="1" w:line="360" w:lineRule="auto"/>
        <w:ind w:left="720"/>
        <w:jc w:val="both"/>
        <w:rPr>
          <w:rFonts w:ascii="Times New Roman" w:eastAsia="Times New Roman" w:hAnsi="Times New Roman" w:cs="Times New Roman"/>
          <w:b/>
          <w:bCs/>
          <w:sz w:val="24"/>
          <w:szCs w:val="24"/>
          <w:lang w:eastAsia="fr-FR"/>
        </w:rPr>
      </w:pPr>
      <w:r w:rsidRPr="000E5613">
        <w:rPr>
          <w:rFonts w:ascii="Times New Roman" w:eastAsia="Times New Roman" w:hAnsi="Times New Roman" w:cs="Times New Roman"/>
          <w:b/>
          <w:bCs/>
          <w:sz w:val="24"/>
          <w:szCs w:val="24"/>
          <w:lang w:eastAsia="fr-FR"/>
        </w:rPr>
        <w:t xml:space="preserve">Où Y représente la </w:t>
      </w:r>
      <w:r>
        <w:rPr>
          <w:rFonts w:ascii="Times New Roman" w:eastAsia="Times New Roman" w:hAnsi="Times New Roman" w:cs="Times New Roman"/>
          <w:b/>
          <w:bCs/>
          <w:sz w:val="24"/>
          <w:szCs w:val="24"/>
          <w:lang w:eastAsia="fr-FR"/>
        </w:rPr>
        <w:t>variable</w:t>
      </w:r>
      <w:r w:rsidRPr="000E5613">
        <w:rPr>
          <w:rFonts w:ascii="Times New Roman" w:eastAsia="Times New Roman" w:hAnsi="Times New Roman" w:cs="Times New Roman"/>
          <w:b/>
          <w:bCs/>
          <w:sz w:val="24"/>
          <w:szCs w:val="24"/>
          <w:lang w:eastAsia="fr-FR"/>
        </w:rPr>
        <w:t xml:space="preserve"> dépendante (</w:t>
      </w:r>
      <w:r>
        <w:rPr>
          <w:rFonts w:ascii="Times New Roman" w:eastAsia="Times New Roman" w:hAnsi="Times New Roman" w:cs="Times New Roman"/>
          <w:b/>
          <w:bCs/>
          <w:sz w:val="24"/>
          <w:szCs w:val="24"/>
          <w:lang w:eastAsia="fr-FR"/>
        </w:rPr>
        <w:t>l’intention d’achat) et X</w:t>
      </w:r>
      <w:r w:rsidRPr="000E5613">
        <w:rPr>
          <w:rFonts w:ascii="Times New Roman" w:eastAsia="Times New Roman" w:hAnsi="Times New Roman" w:cs="Times New Roman"/>
          <w:b/>
          <w:bCs/>
          <w:sz w:val="24"/>
          <w:szCs w:val="24"/>
          <w:lang w:eastAsia="fr-FR"/>
        </w:rPr>
        <w:t xml:space="preserve"> est la </w:t>
      </w:r>
      <w:r>
        <w:rPr>
          <w:rFonts w:ascii="Times New Roman" w:eastAsia="Times New Roman" w:hAnsi="Times New Roman" w:cs="Times New Roman"/>
          <w:b/>
          <w:bCs/>
          <w:sz w:val="24"/>
          <w:szCs w:val="24"/>
          <w:lang w:eastAsia="fr-FR"/>
        </w:rPr>
        <w:t>variable</w:t>
      </w:r>
      <w:r w:rsidRPr="000E5613">
        <w:rPr>
          <w:rFonts w:ascii="Times New Roman" w:eastAsia="Times New Roman" w:hAnsi="Times New Roman" w:cs="Times New Roman"/>
          <w:b/>
          <w:bCs/>
          <w:sz w:val="24"/>
          <w:szCs w:val="24"/>
          <w:lang w:eastAsia="fr-FR"/>
        </w:rPr>
        <w:t xml:space="preserve"> indépendante</w:t>
      </w:r>
      <w:r>
        <w:rPr>
          <w:rFonts w:ascii="Times New Roman" w:eastAsia="Times New Roman" w:hAnsi="Times New Roman" w:cs="Times New Roman"/>
          <w:b/>
          <w:bCs/>
          <w:sz w:val="24"/>
          <w:szCs w:val="24"/>
          <w:lang w:eastAsia="fr-FR"/>
        </w:rPr>
        <w:t xml:space="preserve"> (prix).</w:t>
      </w:r>
    </w:p>
    <w:p w:rsidR="005236B6" w:rsidRPr="00A9186E" w:rsidRDefault="005236B6" w:rsidP="00D078CC">
      <w:pPr>
        <w:numPr>
          <w:ilvl w:val="0"/>
          <w:numId w:val="25"/>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A9186E">
        <w:rPr>
          <w:rFonts w:ascii="Times New Roman" w:eastAsia="Times New Roman" w:hAnsi="Times New Roman" w:cs="Times New Roman"/>
          <w:b/>
          <w:bCs/>
          <w:sz w:val="24"/>
          <w:szCs w:val="24"/>
          <w:lang w:eastAsia="fr-FR"/>
        </w:rPr>
        <w:t>Coefficient B (0,259) :</w:t>
      </w:r>
      <w:r w:rsidRPr="00A9186E">
        <w:rPr>
          <w:rFonts w:ascii="Times New Roman" w:eastAsia="Times New Roman" w:hAnsi="Times New Roman" w:cs="Times New Roman"/>
          <w:sz w:val="24"/>
          <w:szCs w:val="24"/>
          <w:lang w:eastAsia="fr-FR"/>
        </w:rPr>
        <w:t xml:space="preserve"> Ce coefficient est positif mais relativement faible. Il indique que lorsqu'on augmente la perception positive du prix d'une unité, l'intention d'achat ne progresse que de </w:t>
      </w:r>
      <w:r w:rsidRPr="00A9186E">
        <w:rPr>
          <w:rFonts w:ascii="Times New Roman" w:eastAsia="Times New Roman" w:hAnsi="Times New Roman" w:cs="Times New Roman"/>
          <w:b/>
          <w:bCs/>
          <w:sz w:val="24"/>
          <w:szCs w:val="24"/>
          <w:lang w:eastAsia="fr-FR"/>
        </w:rPr>
        <w:t>0,259 point</w:t>
      </w:r>
      <w:r w:rsidRPr="00A9186E">
        <w:rPr>
          <w:rFonts w:ascii="Times New Roman" w:eastAsia="Times New Roman" w:hAnsi="Times New Roman" w:cs="Times New Roman"/>
          <w:sz w:val="24"/>
          <w:szCs w:val="24"/>
          <w:lang w:eastAsia="fr-FR"/>
        </w:rPr>
        <w:t>. Cela confirme que le prix n'est pas le moteur de croissance principal de l'intention d'achat.</w:t>
      </w:r>
    </w:p>
    <w:p w:rsidR="005236B6" w:rsidRPr="00A9186E" w:rsidRDefault="005236B6" w:rsidP="00D078CC">
      <w:pPr>
        <w:numPr>
          <w:ilvl w:val="0"/>
          <w:numId w:val="25"/>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A9186E">
        <w:rPr>
          <w:rFonts w:ascii="Times New Roman" w:eastAsia="Times New Roman" w:hAnsi="Times New Roman" w:cs="Times New Roman"/>
          <w:b/>
          <w:bCs/>
          <w:sz w:val="24"/>
          <w:szCs w:val="24"/>
          <w:lang w:eastAsia="fr-FR"/>
        </w:rPr>
        <w:t>La Constante (2,909) :</w:t>
      </w:r>
      <w:r w:rsidRPr="00A9186E">
        <w:rPr>
          <w:rFonts w:ascii="Times New Roman" w:eastAsia="Times New Roman" w:hAnsi="Times New Roman" w:cs="Times New Roman"/>
          <w:sz w:val="24"/>
          <w:szCs w:val="24"/>
          <w:lang w:eastAsia="fr-FR"/>
        </w:rPr>
        <w:t xml:space="preserve"> Sa forte significativité (p = 0,000) suggère qu'il existe une base d'intention d'achat solide qui existe indépendamment de la variable prix.</w:t>
      </w:r>
    </w:p>
    <w:p w:rsidR="005236B6" w:rsidRPr="00054F18" w:rsidRDefault="005236B6" w:rsidP="00F7493D">
      <w:pPr>
        <w:spacing w:line="360" w:lineRule="auto"/>
      </w:pPr>
    </w:p>
    <w:p w:rsidR="005236B6" w:rsidRDefault="005236B6" w:rsidP="00F7493D">
      <w:pPr>
        <w:spacing w:line="360" w:lineRule="auto"/>
      </w:pPr>
      <w:r w:rsidRPr="00054F18">
        <w:rPr>
          <w:noProof/>
          <w:lang w:eastAsia="fr-FR"/>
        </w:rPr>
        <w:lastRenderedPageBreak/>
        <w:drawing>
          <wp:inline distT="0" distB="0" distL="0" distR="0">
            <wp:extent cx="5974715" cy="3517900"/>
            <wp:effectExtent l="0" t="0" r="6985"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4715" cy="3517900"/>
                    </a:xfrm>
                    <a:prstGeom prst="rect">
                      <a:avLst/>
                    </a:prstGeom>
                    <a:noFill/>
                    <a:ln>
                      <a:noFill/>
                    </a:ln>
                  </pic:spPr>
                </pic:pic>
              </a:graphicData>
            </a:graphic>
          </wp:inline>
        </w:drawing>
      </w:r>
    </w:p>
    <w:p w:rsidR="005236B6" w:rsidRPr="009D0249" w:rsidRDefault="005236B6" w:rsidP="00F7493D">
      <w:pPr>
        <w:spacing w:after="0" w:line="360" w:lineRule="auto"/>
        <w:jc w:val="lowKashida"/>
        <w:rPr>
          <w:rFonts w:asciiTheme="majorBidi" w:hAnsiTheme="majorBidi" w:cstheme="majorBidi"/>
          <w:b/>
          <w:bCs/>
          <w:lang w:eastAsia="fr-FR"/>
        </w:rPr>
      </w:pPr>
      <w:r w:rsidRPr="009D0249">
        <w:rPr>
          <w:rFonts w:asciiTheme="majorBidi" w:hAnsiTheme="majorBidi" w:cstheme="majorBidi"/>
          <w:b/>
          <w:bCs/>
          <w:color w:val="000000" w:themeColor="text1"/>
          <w:sz w:val="24"/>
          <w:szCs w:val="24"/>
          <w:lang w:eastAsia="fr-FR"/>
        </w:rPr>
        <w:t>Analyse du Graphique de Dispersion</w:t>
      </w:r>
    </w:p>
    <w:p w:rsidR="005236B6" w:rsidRPr="003F0412" w:rsidRDefault="005236B6" w:rsidP="00F7493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3F0412">
        <w:rPr>
          <w:rFonts w:ascii="Times New Roman" w:eastAsia="Times New Roman" w:hAnsi="Times New Roman" w:cs="Times New Roman"/>
          <w:sz w:val="24"/>
          <w:szCs w:val="24"/>
          <w:lang w:eastAsia="fr-FR"/>
        </w:rPr>
        <w:t>Le nuage de points et sa droite de régression illustrent parfaitement la dynamique de cette hypothèse :</w:t>
      </w:r>
    </w:p>
    <w:p w:rsidR="005236B6" w:rsidRPr="003F0412" w:rsidRDefault="005236B6" w:rsidP="00D078CC">
      <w:pPr>
        <w:numPr>
          <w:ilvl w:val="0"/>
          <w:numId w:val="26"/>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3F0412">
        <w:rPr>
          <w:rFonts w:ascii="Times New Roman" w:eastAsia="Times New Roman" w:hAnsi="Times New Roman" w:cs="Times New Roman"/>
          <w:b/>
          <w:bCs/>
          <w:sz w:val="24"/>
          <w:szCs w:val="24"/>
          <w:lang w:eastAsia="fr-FR"/>
        </w:rPr>
        <w:t>La Droite de Régression :</w:t>
      </w:r>
      <w:r w:rsidRPr="003F0412">
        <w:rPr>
          <w:rFonts w:ascii="Times New Roman" w:eastAsia="Times New Roman" w:hAnsi="Times New Roman" w:cs="Times New Roman"/>
          <w:sz w:val="24"/>
          <w:szCs w:val="24"/>
          <w:lang w:eastAsia="fr-FR"/>
        </w:rPr>
        <w:t xml:space="preserve"> On observe une pente ascendante, mais celle-ci est </w:t>
      </w:r>
      <w:r w:rsidRPr="003F0412">
        <w:rPr>
          <w:rFonts w:ascii="Times New Roman" w:eastAsia="Times New Roman" w:hAnsi="Times New Roman" w:cs="Times New Roman"/>
          <w:b/>
          <w:bCs/>
          <w:sz w:val="24"/>
          <w:szCs w:val="24"/>
          <w:lang w:eastAsia="fr-FR"/>
        </w:rPr>
        <w:t>bea</w:t>
      </w:r>
      <w:r w:rsidRPr="003F0412">
        <w:rPr>
          <w:rFonts w:ascii="Times New Roman" w:eastAsia="Times New Roman" w:hAnsi="Times New Roman" w:cs="Times New Roman"/>
          <w:b/>
          <w:bCs/>
          <w:sz w:val="24"/>
          <w:szCs w:val="24"/>
          <w:lang w:eastAsia="fr-FR"/>
        </w:rPr>
        <w:t>u</w:t>
      </w:r>
      <w:r w:rsidRPr="003F0412">
        <w:rPr>
          <w:rFonts w:ascii="Times New Roman" w:eastAsia="Times New Roman" w:hAnsi="Times New Roman" w:cs="Times New Roman"/>
          <w:b/>
          <w:bCs/>
          <w:sz w:val="24"/>
          <w:szCs w:val="24"/>
          <w:lang w:eastAsia="fr-FR"/>
        </w:rPr>
        <w:t>coup moins inclinée</w:t>
      </w:r>
      <w:r w:rsidRPr="003F0412">
        <w:rPr>
          <w:rFonts w:ascii="Times New Roman" w:eastAsia="Times New Roman" w:hAnsi="Times New Roman" w:cs="Times New Roman"/>
          <w:sz w:val="24"/>
          <w:szCs w:val="24"/>
          <w:lang w:eastAsia="fr-FR"/>
        </w:rPr>
        <w:t xml:space="preserve"> que dans </w:t>
      </w:r>
      <w:r>
        <w:rPr>
          <w:rFonts w:ascii="Times New Roman" w:eastAsia="Times New Roman" w:hAnsi="Times New Roman" w:cs="Times New Roman"/>
          <w:sz w:val="24"/>
          <w:szCs w:val="24"/>
          <w:lang w:eastAsia="fr-FR"/>
        </w:rPr>
        <w:t>les</w:t>
      </w:r>
      <w:r w:rsidRPr="003F0412">
        <w:rPr>
          <w:rFonts w:ascii="Times New Roman" w:eastAsia="Times New Roman" w:hAnsi="Times New Roman" w:cs="Times New Roman"/>
          <w:sz w:val="24"/>
          <w:szCs w:val="24"/>
          <w:lang w:eastAsia="fr-FR"/>
        </w:rPr>
        <w:t xml:space="preserve"> tests précédents (notamment celui sur le marketing). Cela traduit visuellement la faiblesse du coefficient B.</w:t>
      </w:r>
    </w:p>
    <w:p w:rsidR="005236B6" w:rsidRPr="003F0412" w:rsidRDefault="005236B6" w:rsidP="00D078CC">
      <w:pPr>
        <w:numPr>
          <w:ilvl w:val="0"/>
          <w:numId w:val="26"/>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3F0412">
        <w:rPr>
          <w:rFonts w:ascii="Times New Roman" w:eastAsia="Times New Roman" w:hAnsi="Times New Roman" w:cs="Times New Roman"/>
          <w:b/>
          <w:bCs/>
          <w:sz w:val="24"/>
          <w:szCs w:val="24"/>
          <w:lang w:eastAsia="fr-FR"/>
        </w:rPr>
        <w:t>Dispersion des données :</w:t>
      </w:r>
      <w:r w:rsidRPr="003F0412">
        <w:rPr>
          <w:rFonts w:ascii="Times New Roman" w:eastAsia="Times New Roman" w:hAnsi="Times New Roman" w:cs="Times New Roman"/>
          <w:sz w:val="24"/>
          <w:szCs w:val="24"/>
          <w:lang w:eastAsia="fr-FR"/>
        </w:rPr>
        <w:t xml:space="preserve"> Les points sont très étalés verticalement. le </w:t>
      </w:r>
      <w:r w:rsidRPr="003F0412">
        <w:rPr>
          <w:rFonts w:ascii="Times New Roman" w:eastAsia="Times New Roman" w:hAnsi="Times New Roman" w:cs="Times New Roman"/>
          <w:b/>
          <w:bCs/>
          <w:sz w:val="24"/>
          <w:szCs w:val="24"/>
          <w:lang w:eastAsia="fr-FR"/>
        </w:rPr>
        <w:t>R2 est si bas (0,055)</w:t>
      </w:r>
      <w:r w:rsidRPr="003F0412">
        <w:rPr>
          <w:rFonts w:ascii="Times New Roman" w:eastAsia="Times New Roman" w:hAnsi="Times New Roman" w:cs="Times New Roman"/>
          <w:sz w:val="24"/>
          <w:szCs w:val="24"/>
          <w:lang w:eastAsia="fr-FR"/>
        </w:rPr>
        <w:t>. Le prix n'est pas un prédicteur "précis" du comportement ; il y a trop de v</w:t>
      </w:r>
      <w:r w:rsidRPr="003F0412">
        <w:rPr>
          <w:rFonts w:ascii="Times New Roman" w:eastAsia="Times New Roman" w:hAnsi="Times New Roman" w:cs="Times New Roman"/>
          <w:sz w:val="24"/>
          <w:szCs w:val="24"/>
          <w:lang w:eastAsia="fr-FR"/>
        </w:rPr>
        <w:t>a</w:t>
      </w:r>
      <w:r w:rsidRPr="003F0412">
        <w:rPr>
          <w:rFonts w:ascii="Times New Roman" w:eastAsia="Times New Roman" w:hAnsi="Times New Roman" w:cs="Times New Roman"/>
          <w:sz w:val="24"/>
          <w:szCs w:val="24"/>
          <w:lang w:eastAsia="fr-FR"/>
        </w:rPr>
        <w:t>riabilité individuelle.</w:t>
      </w:r>
    </w:p>
    <w:p w:rsidR="005236B6" w:rsidRPr="00516205" w:rsidRDefault="006E799B" w:rsidP="00F7493D">
      <w:pPr>
        <w:pStyle w:val="Titre4"/>
        <w:spacing w:line="360" w:lineRule="auto"/>
        <w:rPr>
          <w:rFonts w:ascii="Times New Roman" w:hAnsi="Times New Roman"/>
          <w:b/>
          <w:bCs/>
          <w:i w:val="0"/>
          <w:iCs w:val="0"/>
          <w:color w:val="auto"/>
          <w:sz w:val="24"/>
          <w:szCs w:val="24"/>
        </w:rPr>
      </w:pPr>
      <w:bookmarkStart w:id="382" w:name="_Toc230558752"/>
      <w:bookmarkStart w:id="383" w:name="_Toc230900386"/>
      <w:r w:rsidRPr="00516205">
        <w:rPr>
          <w:rFonts w:ascii="Times New Roman" w:hAnsi="Times New Roman"/>
          <w:b/>
          <w:bCs/>
          <w:i w:val="0"/>
          <w:iCs w:val="0"/>
          <w:color w:val="auto"/>
          <w:sz w:val="24"/>
          <w:szCs w:val="24"/>
        </w:rPr>
        <w:t>4.4.</w:t>
      </w:r>
      <w:r w:rsidR="005236B6" w:rsidRPr="00516205">
        <w:rPr>
          <w:rFonts w:ascii="Times New Roman" w:hAnsi="Times New Roman"/>
          <w:b/>
          <w:bCs/>
          <w:i w:val="0"/>
          <w:iCs w:val="0"/>
          <w:color w:val="auto"/>
          <w:sz w:val="24"/>
          <w:szCs w:val="24"/>
        </w:rPr>
        <w:t>La troisième sous hypothèse (H1(c)) :</w:t>
      </w:r>
      <w:bookmarkEnd w:id="382"/>
      <w:bookmarkEnd w:id="383"/>
    </w:p>
    <w:p w:rsidR="005236B6" w:rsidRDefault="005236B6" w:rsidP="00F7493D">
      <w:pPr>
        <w:spacing w:line="360" w:lineRule="auto"/>
        <w:jc w:val="both"/>
        <w:rPr>
          <w:rFonts w:ascii="Times New Roman" w:eastAsia="Times New Roman" w:hAnsi="Times New Roman" w:cs="Times New Roman"/>
          <w:sz w:val="24"/>
          <w:szCs w:val="24"/>
          <w:rtl/>
          <w:lang w:eastAsia="fr-FR"/>
        </w:rPr>
      </w:pPr>
      <w:r w:rsidRPr="00091F3F">
        <w:rPr>
          <w:rFonts w:ascii="Times New Roman" w:eastAsia="Times New Roman" w:hAnsi="Times New Roman" w:cs="Times New Roman"/>
          <w:b/>
          <w:bCs/>
          <w:sz w:val="24"/>
          <w:szCs w:val="24"/>
          <w:lang w:eastAsia="fr-FR"/>
        </w:rPr>
        <w:t xml:space="preserve">H1(c) : </w:t>
      </w:r>
      <w:r>
        <w:rPr>
          <w:rFonts w:ascii="Times New Roman" w:eastAsia="Times New Roman" w:hAnsi="Times New Roman" w:cs="Times New Roman"/>
          <w:sz w:val="24"/>
          <w:szCs w:val="24"/>
          <w:lang w:eastAsia="fr-FR"/>
        </w:rPr>
        <w:t xml:space="preserve">La perception de lasécurité sanitaire exerce un effet positif et significatif sur </w:t>
      </w:r>
      <w:r w:rsidRPr="004237F7">
        <w:rPr>
          <w:rFonts w:ascii="Times New Roman" w:eastAsia="Times New Roman" w:hAnsi="Times New Roman" w:cs="Times New Roman"/>
          <w:sz w:val="24"/>
          <w:szCs w:val="24"/>
          <w:lang w:eastAsia="fr-FR"/>
        </w:rPr>
        <w:t>l’intention d’achat des</w:t>
      </w:r>
      <w:r>
        <w:rPr>
          <w:rFonts w:ascii="Times New Roman" w:eastAsia="Times New Roman" w:hAnsi="Times New Roman" w:cs="Times New Roman"/>
          <w:sz w:val="24"/>
          <w:szCs w:val="24"/>
          <w:lang w:eastAsia="fr-FR"/>
        </w:rPr>
        <w:t xml:space="preserve"> produits biologiques</w:t>
      </w:r>
      <w:r w:rsidRPr="00091F3F">
        <w:rPr>
          <w:rFonts w:ascii="Times New Roman" w:eastAsia="Times New Roman" w:hAnsi="Times New Roman" w:cs="Times New Roman"/>
          <w:sz w:val="24"/>
          <w:szCs w:val="24"/>
          <w:lang w:eastAsia="fr-FR"/>
        </w:rPr>
        <w:t>.</w:t>
      </w:r>
    </w:p>
    <w:p w:rsidR="00140168" w:rsidRDefault="00140168" w:rsidP="00F7493D">
      <w:pPr>
        <w:spacing w:line="360" w:lineRule="auto"/>
        <w:jc w:val="both"/>
        <w:rPr>
          <w:rFonts w:ascii="Times New Roman" w:eastAsia="Times New Roman" w:hAnsi="Times New Roman" w:cs="Times New Roman"/>
          <w:sz w:val="24"/>
          <w:szCs w:val="24"/>
          <w:rtl/>
          <w:lang w:eastAsia="fr-FR"/>
        </w:rPr>
      </w:pPr>
    </w:p>
    <w:p w:rsidR="00140168" w:rsidRDefault="00140168" w:rsidP="00F7493D">
      <w:pPr>
        <w:spacing w:line="360" w:lineRule="auto"/>
        <w:jc w:val="both"/>
        <w:rPr>
          <w:rFonts w:ascii="Times New Roman" w:eastAsia="Times New Roman" w:hAnsi="Times New Roman" w:cs="Times New Roman"/>
          <w:sz w:val="24"/>
          <w:szCs w:val="24"/>
          <w:rtl/>
          <w:lang w:eastAsia="fr-FR"/>
        </w:rPr>
      </w:pPr>
    </w:p>
    <w:p w:rsidR="00140168" w:rsidRDefault="00140168" w:rsidP="00F7493D">
      <w:pPr>
        <w:spacing w:line="360" w:lineRule="auto"/>
        <w:jc w:val="both"/>
        <w:rPr>
          <w:rFonts w:ascii="Times New Roman" w:eastAsia="Times New Roman" w:hAnsi="Times New Roman" w:cs="Times New Roman"/>
          <w:sz w:val="24"/>
          <w:szCs w:val="24"/>
          <w:rtl/>
          <w:lang w:eastAsia="fr-FR"/>
        </w:rPr>
      </w:pPr>
    </w:p>
    <w:p w:rsidR="00140168" w:rsidRDefault="00140168" w:rsidP="00F7493D">
      <w:pPr>
        <w:spacing w:line="360" w:lineRule="auto"/>
        <w:jc w:val="both"/>
        <w:rPr>
          <w:rFonts w:ascii="Times New Roman" w:eastAsia="Times New Roman" w:hAnsi="Times New Roman" w:cs="Times New Roman"/>
          <w:sz w:val="24"/>
          <w:szCs w:val="24"/>
          <w:lang w:eastAsia="fr-FR"/>
        </w:rPr>
      </w:pPr>
    </w:p>
    <w:p w:rsidR="009D0249" w:rsidRPr="00140168" w:rsidRDefault="009D0249" w:rsidP="00140168">
      <w:pPr>
        <w:pStyle w:val="Lgende"/>
        <w:spacing w:line="360" w:lineRule="auto"/>
        <w:rPr>
          <w:rFonts w:ascii="Times New Roman" w:eastAsia="Times New Roman" w:hAnsi="Times New Roman" w:cs="Times New Roman"/>
          <w:i w:val="0"/>
          <w:iCs w:val="0"/>
          <w:color w:val="auto"/>
          <w:kern w:val="3"/>
          <w:sz w:val="24"/>
          <w:szCs w:val="24"/>
          <w:rtl/>
          <w:lang w:eastAsia="fr-FR" w:bidi="ar-DZ"/>
        </w:rPr>
      </w:pPr>
      <w:bookmarkStart w:id="384" w:name="_Toc230400776"/>
      <w:r w:rsidRPr="009D0249">
        <w:rPr>
          <w:rFonts w:ascii="Times New Roman" w:eastAsia="Times New Roman" w:hAnsi="Times New Roman" w:cs="Times New Roman"/>
          <w:b/>
          <w:bCs/>
          <w:i w:val="0"/>
          <w:iCs w:val="0"/>
          <w:color w:val="auto"/>
          <w:kern w:val="3"/>
          <w:sz w:val="24"/>
          <w:szCs w:val="24"/>
          <w:lang w:eastAsia="fr-FR"/>
        </w:rPr>
        <w:lastRenderedPageBreak/>
        <w:t xml:space="preserve">Tableau </w:t>
      </w:r>
      <w:r w:rsidR="007B5998" w:rsidRPr="009D0249">
        <w:rPr>
          <w:rFonts w:ascii="Times New Roman" w:eastAsia="Times New Roman" w:hAnsi="Times New Roman" w:cs="Times New Roman"/>
          <w:b/>
          <w:bCs/>
          <w:i w:val="0"/>
          <w:iCs w:val="0"/>
          <w:color w:val="auto"/>
          <w:kern w:val="3"/>
          <w:sz w:val="24"/>
          <w:szCs w:val="24"/>
          <w:lang w:eastAsia="fr-FR"/>
        </w:rPr>
        <w:fldChar w:fldCharType="begin"/>
      </w:r>
      <w:r w:rsidRPr="009D0249">
        <w:rPr>
          <w:rFonts w:ascii="Times New Roman" w:eastAsia="Times New Roman" w:hAnsi="Times New Roman" w:cs="Times New Roman"/>
          <w:b/>
          <w:bCs/>
          <w:i w:val="0"/>
          <w:iCs w:val="0"/>
          <w:color w:val="auto"/>
          <w:kern w:val="3"/>
          <w:sz w:val="24"/>
          <w:szCs w:val="24"/>
          <w:lang w:eastAsia="fr-FR"/>
        </w:rPr>
        <w:instrText xml:space="preserve"> SEQ Tableau \* ARABIC </w:instrText>
      </w:r>
      <w:r w:rsidR="007B5998" w:rsidRPr="009D0249">
        <w:rPr>
          <w:rFonts w:ascii="Times New Roman" w:eastAsia="Times New Roman" w:hAnsi="Times New Roman" w:cs="Times New Roman"/>
          <w:b/>
          <w:bCs/>
          <w:i w:val="0"/>
          <w:iCs w:val="0"/>
          <w:color w:val="auto"/>
          <w:kern w:val="3"/>
          <w:sz w:val="24"/>
          <w:szCs w:val="24"/>
          <w:lang w:eastAsia="fr-FR"/>
        </w:rPr>
        <w:fldChar w:fldCharType="separate"/>
      </w:r>
      <w:r w:rsidR="00515B25">
        <w:rPr>
          <w:rFonts w:ascii="Times New Roman" w:eastAsia="Times New Roman" w:hAnsi="Times New Roman" w:cs="Times New Roman"/>
          <w:b/>
          <w:bCs/>
          <w:i w:val="0"/>
          <w:iCs w:val="0"/>
          <w:noProof/>
          <w:color w:val="auto"/>
          <w:kern w:val="3"/>
          <w:sz w:val="24"/>
          <w:szCs w:val="24"/>
          <w:lang w:eastAsia="fr-FR"/>
        </w:rPr>
        <w:t>38</w:t>
      </w:r>
      <w:r w:rsidR="007B5998" w:rsidRPr="009D0249">
        <w:rPr>
          <w:rFonts w:ascii="Times New Roman" w:eastAsia="Times New Roman" w:hAnsi="Times New Roman" w:cs="Times New Roman"/>
          <w:b/>
          <w:bCs/>
          <w:i w:val="0"/>
          <w:iCs w:val="0"/>
          <w:color w:val="auto"/>
          <w:kern w:val="3"/>
          <w:sz w:val="24"/>
          <w:szCs w:val="24"/>
          <w:lang w:eastAsia="fr-FR"/>
        </w:rPr>
        <w:fldChar w:fldCharType="end"/>
      </w:r>
      <w:r w:rsidRPr="009D0249">
        <w:rPr>
          <w:rFonts w:ascii="Times New Roman" w:eastAsia="Times New Roman" w:hAnsi="Times New Roman" w:cs="Times New Roman"/>
          <w:b/>
          <w:bCs/>
          <w:i w:val="0"/>
          <w:iCs w:val="0"/>
          <w:color w:val="auto"/>
          <w:kern w:val="3"/>
          <w:sz w:val="24"/>
          <w:szCs w:val="24"/>
          <w:lang w:eastAsia="fr-FR"/>
        </w:rPr>
        <w:t xml:space="preserve"> :</w:t>
      </w:r>
      <w:r w:rsidRPr="009D0249">
        <w:rPr>
          <w:rFonts w:ascii="Times New Roman" w:eastAsia="Times New Roman" w:hAnsi="Times New Roman" w:cs="Times New Roman"/>
          <w:i w:val="0"/>
          <w:iCs w:val="0"/>
          <w:color w:val="auto"/>
          <w:kern w:val="3"/>
          <w:sz w:val="24"/>
          <w:szCs w:val="24"/>
          <w:lang w:eastAsia="fr-FR"/>
        </w:rPr>
        <w:t xml:space="preserve"> Coefficient de corrélation et l’ANOVA</w:t>
      </w:r>
      <w:bookmarkEnd w:id="384"/>
    </w:p>
    <w:tbl>
      <w:tblPr>
        <w:tblStyle w:val="CV15"/>
        <w:tblW w:w="0" w:type="auto"/>
        <w:jc w:val="center"/>
        <w:tblLook w:val="04A0"/>
      </w:tblPr>
      <w:tblGrid>
        <w:gridCol w:w="2003"/>
        <w:gridCol w:w="990"/>
        <w:gridCol w:w="1024"/>
        <w:gridCol w:w="1010"/>
        <w:gridCol w:w="996"/>
        <w:gridCol w:w="945"/>
        <w:gridCol w:w="945"/>
      </w:tblGrid>
      <w:tr w:rsidR="005236B6" w:rsidRPr="00DB5642" w:rsidTr="00EC7780">
        <w:trPr>
          <w:jc w:val="center"/>
        </w:trPr>
        <w:tc>
          <w:tcPr>
            <w:tcW w:w="2003" w:type="dxa"/>
            <w:vAlign w:val="center"/>
          </w:tcPr>
          <w:p w:rsidR="005236B6" w:rsidRPr="00DB5642" w:rsidRDefault="005236B6" w:rsidP="00140168">
            <w:pPr>
              <w:spacing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H1 (a)</w:t>
            </w:r>
          </w:p>
        </w:tc>
        <w:tc>
          <w:tcPr>
            <w:tcW w:w="990" w:type="dxa"/>
            <w:vAlign w:val="center"/>
          </w:tcPr>
          <w:p w:rsidR="005236B6" w:rsidRPr="00DB5642" w:rsidRDefault="005236B6" w:rsidP="00140168">
            <w:pPr>
              <w:spacing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R</w:t>
            </w:r>
          </w:p>
        </w:tc>
        <w:tc>
          <w:tcPr>
            <w:tcW w:w="1024" w:type="dxa"/>
            <w:vAlign w:val="center"/>
          </w:tcPr>
          <w:p w:rsidR="005236B6" w:rsidRPr="00DB5642" w:rsidRDefault="005236B6" w:rsidP="00140168">
            <w:pPr>
              <w:spacing w:line="360" w:lineRule="auto"/>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R-deux</w:t>
            </w:r>
          </w:p>
        </w:tc>
        <w:tc>
          <w:tcPr>
            <w:tcW w:w="1010" w:type="dxa"/>
            <w:vAlign w:val="center"/>
          </w:tcPr>
          <w:p w:rsidR="005236B6" w:rsidRPr="00DB5642" w:rsidRDefault="005236B6" w:rsidP="00140168">
            <w:pPr>
              <w:spacing w:line="360" w:lineRule="auto"/>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R-deux ajusté</w:t>
            </w:r>
          </w:p>
        </w:tc>
        <w:tc>
          <w:tcPr>
            <w:tcW w:w="996" w:type="dxa"/>
            <w:vAlign w:val="center"/>
          </w:tcPr>
          <w:p w:rsidR="005236B6" w:rsidRPr="00DB5642" w:rsidRDefault="005236B6" w:rsidP="00140168">
            <w:pPr>
              <w:spacing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F</w:t>
            </w:r>
          </w:p>
        </w:tc>
        <w:tc>
          <w:tcPr>
            <w:tcW w:w="945" w:type="dxa"/>
            <w:vAlign w:val="center"/>
          </w:tcPr>
          <w:p w:rsidR="005236B6" w:rsidRPr="00DB5642" w:rsidRDefault="005236B6" w:rsidP="00140168">
            <w:pPr>
              <w:spacing w:line="360" w:lineRule="auto"/>
              <w:jc w:val="center"/>
              <w:rPr>
                <w:rFonts w:asciiTheme="majorBidi" w:eastAsia="Calibri" w:hAnsiTheme="majorBidi" w:cstheme="majorBidi"/>
                <w:sz w:val="24"/>
                <w:szCs w:val="24"/>
              </w:rPr>
            </w:pPr>
            <w:r w:rsidRPr="00DB5642">
              <w:rPr>
                <w:rFonts w:asciiTheme="majorBidi" w:eastAsia="Calibri" w:hAnsiTheme="majorBidi" w:cstheme="majorBidi"/>
                <w:sz w:val="24"/>
                <w:szCs w:val="24"/>
              </w:rPr>
              <w:t>sig</w:t>
            </w:r>
          </w:p>
        </w:tc>
        <w:tc>
          <w:tcPr>
            <w:tcW w:w="945" w:type="dxa"/>
            <w:vAlign w:val="center"/>
          </w:tcPr>
          <w:p w:rsidR="005236B6" w:rsidRPr="00DB5642" w:rsidRDefault="005236B6" w:rsidP="00140168">
            <w:pPr>
              <w:spacing w:line="360" w:lineRule="auto"/>
              <w:jc w:val="center"/>
              <w:rPr>
                <w:rFonts w:asciiTheme="majorBidi" w:eastAsia="Calibri" w:hAnsiTheme="majorBidi" w:cstheme="majorBidi"/>
                <w:sz w:val="24"/>
                <w:szCs w:val="24"/>
              </w:rPr>
            </w:pPr>
            <w:r w:rsidRPr="00DB5642">
              <w:rPr>
                <w:rFonts w:asciiTheme="majorBidi" w:eastAsia="Calibri" w:hAnsiTheme="majorBidi" w:cstheme="majorBidi"/>
                <w:color w:val="000000"/>
                <w:sz w:val="24"/>
                <w:szCs w:val="24"/>
              </w:rPr>
              <w:t>Degré de liberté</w:t>
            </w:r>
          </w:p>
        </w:tc>
      </w:tr>
      <w:tr w:rsidR="005236B6" w:rsidRPr="00DB5642" w:rsidTr="00EC7780">
        <w:trPr>
          <w:jc w:val="center"/>
        </w:trPr>
        <w:tc>
          <w:tcPr>
            <w:tcW w:w="2003" w:type="dxa"/>
            <w:vAlign w:val="center"/>
          </w:tcPr>
          <w:p w:rsidR="005236B6" w:rsidRPr="00DB5642" w:rsidRDefault="005236B6" w:rsidP="00140168">
            <w:pPr>
              <w:spacing w:line="360" w:lineRule="auto"/>
              <w:jc w:val="center"/>
              <w:rPr>
                <w:rFonts w:asciiTheme="majorBidi" w:eastAsia="Calibri" w:hAnsiTheme="majorBidi" w:cstheme="majorBidi"/>
                <w:sz w:val="24"/>
                <w:szCs w:val="24"/>
                <w:lang w:bidi="ar-DZ"/>
              </w:rPr>
            </w:pPr>
            <w:r>
              <w:rPr>
                <w:rFonts w:asciiTheme="majorBidi" w:eastAsia="Calibri" w:hAnsiTheme="majorBidi" w:cstheme="majorBidi"/>
                <w:sz w:val="24"/>
                <w:szCs w:val="24"/>
              </w:rPr>
              <w:t>Intention d’achat</w:t>
            </w:r>
            <w:r w:rsidRPr="00DB5642">
              <w:rPr>
                <w:rFonts w:asciiTheme="majorBidi" w:eastAsia="Calibri" w:hAnsiTheme="majorBidi" w:cstheme="majorBidi"/>
                <w:sz w:val="24"/>
                <w:szCs w:val="24"/>
                <w:rtl/>
                <w:lang w:bidi="ar-DZ"/>
              </w:rPr>
              <w:t xml:space="preserve"> ~</w:t>
            </w:r>
            <w:r>
              <w:rPr>
                <w:rFonts w:asciiTheme="majorBidi" w:eastAsia="Calibri" w:hAnsiTheme="majorBidi" w:cstheme="majorBidi"/>
                <w:sz w:val="24"/>
                <w:szCs w:val="24"/>
              </w:rPr>
              <w:t>sécurité sanitaire</w:t>
            </w:r>
          </w:p>
        </w:tc>
        <w:tc>
          <w:tcPr>
            <w:tcW w:w="990"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AF02BD">
              <w:rPr>
                <w:rFonts w:ascii="Times New Roman" w:eastAsia="Times New Roman" w:hAnsi="Times New Roman" w:cs="Times New Roman"/>
                <w:sz w:val="24"/>
                <w:szCs w:val="24"/>
                <w:lang w:eastAsia="fr-FR"/>
              </w:rPr>
              <w:t>,601</w:t>
            </w:r>
            <w:r w:rsidRPr="00AF02BD">
              <w:rPr>
                <w:rFonts w:ascii="Times New Roman" w:eastAsia="Times New Roman" w:hAnsi="Times New Roman" w:cs="Times New Roman"/>
                <w:sz w:val="24"/>
                <w:szCs w:val="24"/>
                <w:vertAlign w:val="superscript"/>
                <w:lang w:eastAsia="fr-FR"/>
              </w:rPr>
              <w:t>a</w:t>
            </w:r>
          </w:p>
        </w:tc>
        <w:tc>
          <w:tcPr>
            <w:tcW w:w="1024"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AF02BD">
              <w:rPr>
                <w:rFonts w:ascii="Times New Roman" w:eastAsia="Times New Roman" w:hAnsi="Times New Roman" w:cs="Times New Roman"/>
                <w:sz w:val="24"/>
                <w:szCs w:val="24"/>
                <w:lang w:eastAsia="fr-FR"/>
              </w:rPr>
              <w:t>,361</w:t>
            </w:r>
          </w:p>
        </w:tc>
        <w:tc>
          <w:tcPr>
            <w:tcW w:w="1010"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AF02BD">
              <w:rPr>
                <w:rFonts w:ascii="Times New Roman" w:eastAsia="Times New Roman" w:hAnsi="Times New Roman" w:cs="Times New Roman"/>
                <w:sz w:val="24"/>
                <w:szCs w:val="24"/>
                <w:lang w:eastAsia="fr-FR"/>
              </w:rPr>
              <w:t>,358</w:t>
            </w:r>
          </w:p>
        </w:tc>
        <w:tc>
          <w:tcPr>
            <w:tcW w:w="996" w:type="dxa"/>
            <w:vAlign w:val="center"/>
          </w:tcPr>
          <w:p w:rsidR="005236B6" w:rsidRPr="00DB5642" w:rsidRDefault="005236B6" w:rsidP="00140168">
            <w:pPr>
              <w:spacing w:line="360" w:lineRule="auto"/>
              <w:contextualSpacing/>
              <w:jc w:val="center"/>
              <w:rPr>
                <w:rFonts w:asciiTheme="majorBidi" w:eastAsia="Calibri" w:hAnsiTheme="majorBidi" w:cstheme="majorBidi"/>
                <w:color w:val="000000"/>
                <w:sz w:val="24"/>
                <w:szCs w:val="24"/>
              </w:rPr>
            </w:pPr>
            <w:r w:rsidRPr="00AF02BD">
              <w:rPr>
                <w:rFonts w:asciiTheme="majorBidi" w:hAnsiTheme="majorBidi" w:cstheme="majorBidi"/>
                <w:color w:val="010205"/>
                <w:sz w:val="24"/>
                <w:szCs w:val="24"/>
              </w:rPr>
              <w:t>114,800</w:t>
            </w:r>
          </w:p>
        </w:tc>
        <w:tc>
          <w:tcPr>
            <w:tcW w:w="945" w:type="dxa"/>
            <w:vAlign w:val="center"/>
          </w:tcPr>
          <w:p w:rsidR="005236B6" w:rsidRPr="00DB5642" w:rsidRDefault="005236B6" w:rsidP="00140168">
            <w:pPr>
              <w:spacing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0.000</w:t>
            </w:r>
          </w:p>
        </w:tc>
        <w:tc>
          <w:tcPr>
            <w:tcW w:w="945" w:type="dxa"/>
            <w:vAlign w:val="center"/>
          </w:tcPr>
          <w:p w:rsidR="005236B6" w:rsidRPr="00DB5642" w:rsidRDefault="005236B6" w:rsidP="00140168">
            <w:pPr>
              <w:spacing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1</w:t>
            </w:r>
          </w:p>
          <w:p w:rsidR="005236B6" w:rsidRPr="00DB5642" w:rsidRDefault="005236B6" w:rsidP="00140168">
            <w:pPr>
              <w:spacing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203</w:t>
            </w:r>
          </w:p>
          <w:p w:rsidR="005236B6" w:rsidRPr="00DB5642" w:rsidRDefault="005236B6" w:rsidP="00140168">
            <w:pPr>
              <w:spacing w:line="360" w:lineRule="auto"/>
              <w:contextualSpacing/>
              <w:jc w:val="center"/>
              <w:rPr>
                <w:rFonts w:asciiTheme="majorBidi" w:eastAsia="Calibri" w:hAnsiTheme="majorBidi" w:cstheme="majorBidi"/>
                <w:color w:val="000000"/>
                <w:sz w:val="24"/>
                <w:szCs w:val="24"/>
              </w:rPr>
            </w:pPr>
            <w:r w:rsidRPr="00DB5642">
              <w:rPr>
                <w:rFonts w:asciiTheme="majorBidi" w:eastAsia="Calibri" w:hAnsiTheme="majorBidi" w:cstheme="majorBidi"/>
                <w:color w:val="000000"/>
                <w:sz w:val="24"/>
                <w:szCs w:val="24"/>
              </w:rPr>
              <w:t>204</w:t>
            </w:r>
          </w:p>
        </w:tc>
      </w:tr>
    </w:tbl>
    <w:p w:rsidR="005236B6" w:rsidRPr="00882245" w:rsidRDefault="005236B6" w:rsidP="00140168">
      <w:pPr>
        <w:spacing w:after="0"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D0249" w:rsidRDefault="005236B6" w:rsidP="00140168">
      <w:pPr>
        <w:spacing w:after="0" w:line="360" w:lineRule="auto"/>
        <w:jc w:val="lowKashida"/>
        <w:rPr>
          <w:rFonts w:asciiTheme="majorBidi" w:hAnsiTheme="majorBidi" w:cstheme="majorBidi"/>
          <w:b/>
          <w:bCs/>
          <w:sz w:val="24"/>
          <w:szCs w:val="24"/>
          <w:lang w:eastAsia="fr-FR"/>
        </w:rPr>
      </w:pPr>
      <w:r w:rsidRPr="009D0249">
        <w:rPr>
          <w:rFonts w:asciiTheme="majorBidi" w:hAnsiTheme="majorBidi" w:cstheme="majorBidi"/>
          <w:b/>
          <w:bCs/>
          <w:sz w:val="24"/>
          <w:szCs w:val="24"/>
          <w:lang w:eastAsia="fr-FR"/>
        </w:rPr>
        <w:t>Analyse de la Corrélation (Intensité de la relation)</w:t>
      </w:r>
    </w:p>
    <w:p w:rsidR="005236B6" w:rsidRPr="003F0412" w:rsidRDefault="005236B6" w:rsidP="00140168">
      <w:pPr>
        <w:numPr>
          <w:ilvl w:val="0"/>
          <w:numId w:val="27"/>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3F0412">
        <w:rPr>
          <w:rFonts w:ascii="Times New Roman" w:eastAsia="Times New Roman" w:hAnsi="Times New Roman" w:cs="Times New Roman"/>
          <w:b/>
          <w:bCs/>
          <w:sz w:val="24"/>
          <w:szCs w:val="24"/>
          <w:lang w:eastAsia="fr-FR"/>
        </w:rPr>
        <w:t>Le Coefficient de Corrélation (R = 0,601) :</w:t>
      </w:r>
      <w:r w:rsidRPr="003F0412">
        <w:rPr>
          <w:rFonts w:ascii="Times New Roman" w:eastAsia="Times New Roman" w:hAnsi="Times New Roman" w:cs="Times New Roman"/>
          <w:sz w:val="24"/>
          <w:szCs w:val="24"/>
          <w:lang w:eastAsia="fr-FR"/>
        </w:rPr>
        <w:t xml:space="preserve"> Cette valeur indique une </w:t>
      </w:r>
      <w:r w:rsidRPr="003F0412">
        <w:rPr>
          <w:rFonts w:ascii="Times New Roman" w:eastAsia="Times New Roman" w:hAnsi="Times New Roman" w:cs="Times New Roman"/>
          <w:b/>
          <w:bCs/>
          <w:sz w:val="24"/>
          <w:szCs w:val="24"/>
          <w:lang w:eastAsia="fr-FR"/>
        </w:rPr>
        <w:t>corrélation p</w:t>
      </w:r>
      <w:r w:rsidRPr="003F0412">
        <w:rPr>
          <w:rFonts w:ascii="Times New Roman" w:eastAsia="Times New Roman" w:hAnsi="Times New Roman" w:cs="Times New Roman"/>
          <w:b/>
          <w:bCs/>
          <w:sz w:val="24"/>
          <w:szCs w:val="24"/>
          <w:lang w:eastAsia="fr-FR"/>
        </w:rPr>
        <w:t>o</w:t>
      </w:r>
      <w:r w:rsidRPr="003F0412">
        <w:rPr>
          <w:rFonts w:ascii="Times New Roman" w:eastAsia="Times New Roman" w:hAnsi="Times New Roman" w:cs="Times New Roman"/>
          <w:b/>
          <w:bCs/>
          <w:sz w:val="24"/>
          <w:szCs w:val="24"/>
          <w:lang w:eastAsia="fr-FR"/>
        </w:rPr>
        <w:t>sitive forte</w:t>
      </w:r>
      <w:r w:rsidRPr="003F0412">
        <w:rPr>
          <w:rFonts w:ascii="Times New Roman" w:eastAsia="Times New Roman" w:hAnsi="Times New Roman" w:cs="Times New Roman"/>
          <w:sz w:val="24"/>
          <w:szCs w:val="24"/>
          <w:lang w:eastAsia="fr-FR"/>
        </w:rPr>
        <w:t>. Il existe un lien très étroit entre les deux variables : plus le consommateur est convaincu de la sécurité sanitaire d'un produit bio, plus son intention de l'acheter est élevée.</w:t>
      </w:r>
    </w:p>
    <w:p w:rsidR="005236B6" w:rsidRPr="003F0412" w:rsidRDefault="005236B6" w:rsidP="00140168">
      <w:pPr>
        <w:numPr>
          <w:ilvl w:val="0"/>
          <w:numId w:val="27"/>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3F0412">
        <w:rPr>
          <w:rFonts w:ascii="Times New Roman" w:eastAsia="Times New Roman" w:hAnsi="Times New Roman" w:cs="Times New Roman"/>
          <w:b/>
          <w:bCs/>
          <w:sz w:val="24"/>
          <w:szCs w:val="24"/>
          <w:lang w:eastAsia="fr-FR"/>
        </w:rPr>
        <w:t>Le Coefficient de Détermination (R2 = 0,361) :</w:t>
      </w:r>
      <w:r w:rsidRPr="003F0412">
        <w:rPr>
          <w:rFonts w:ascii="Times New Roman" w:eastAsia="Times New Roman" w:hAnsi="Times New Roman" w:cs="Times New Roman"/>
          <w:sz w:val="24"/>
          <w:szCs w:val="24"/>
          <w:lang w:eastAsia="fr-FR"/>
        </w:rPr>
        <w:t xml:space="preserve"> Ce résultat est excellent. Il signifie que la perception de la sécurité sanitaire explique à elle seule </w:t>
      </w:r>
      <w:r w:rsidRPr="003F0412">
        <w:rPr>
          <w:rFonts w:ascii="Times New Roman" w:eastAsia="Times New Roman" w:hAnsi="Times New Roman" w:cs="Times New Roman"/>
          <w:b/>
          <w:bCs/>
          <w:sz w:val="24"/>
          <w:szCs w:val="24"/>
          <w:lang w:eastAsia="fr-FR"/>
        </w:rPr>
        <w:t>36,1 %</w:t>
      </w:r>
      <w:r w:rsidRPr="003F0412">
        <w:rPr>
          <w:rFonts w:ascii="Times New Roman" w:eastAsia="Times New Roman" w:hAnsi="Times New Roman" w:cs="Times New Roman"/>
          <w:sz w:val="24"/>
          <w:szCs w:val="24"/>
          <w:lang w:eastAsia="fr-FR"/>
        </w:rPr>
        <w:t xml:space="preserve"> de la variance de l'intention d'achat.</w:t>
      </w:r>
    </w:p>
    <w:p w:rsidR="005236B6" w:rsidRPr="009D0249" w:rsidRDefault="005236B6" w:rsidP="00140168">
      <w:pPr>
        <w:spacing w:after="0" w:line="360" w:lineRule="auto"/>
        <w:jc w:val="lowKashida"/>
        <w:rPr>
          <w:rFonts w:asciiTheme="majorBidi" w:hAnsiTheme="majorBidi" w:cstheme="majorBidi"/>
          <w:b/>
          <w:bCs/>
          <w:sz w:val="24"/>
          <w:szCs w:val="24"/>
        </w:rPr>
      </w:pPr>
      <w:r w:rsidRPr="009D0249">
        <w:rPr>
          <w:rFonts w:asciiTheme="majorBidi" w:hAnsiTheme="majorBidi" w:cstheme="majorBidi"/>
          <w:b/>
          <w:bCs/>
          <w:sz w:val="24"/>
          <w:szCs w:val="24"/>
        </w:rPr>
        <w:t>Analyse de la Validité Statistique (ANOVA)</w:t>
      </w:r>
    </w:p>
    <w:p w:rsidR="005236B6" w:rsidRPr="0002603C" w:rsidRDefault="005236B6" w:rsidP="00140168">
      <w:pPr>
        <w:pStyle w:val="NormalWeb"/>
        <w:spacing w:after="0" w:line="360" w:lineRule="auto"/>
        <w:jc w:val="both"/>
      </w:pPr>
      <w:r w:rsidRPr="0002603C">
        <w:t>Le tableau ANOVA confirme la très haute fiabilité de votre modèle :</w:t>
      </w:r>
    </w:p>
    <w:p w:rsidR="005236B6" w:rsidRPr="0002603C" w:rsidRDefault="005236B6" w:rsidP="00140168">
      <w:pPr>
        <w:pStyle w:val="NormalWeb"/>
        <w:numPr>
          <w:ilvl w:val="0"/>
          <w:numId w:val="28"/>
        </w:numPr>
        <w:spacing w:after="0" w:line="360" w:lineRule="auto"/>
        <w:jc w:val="both"/>
      </w:pPr>
      <w:r w:rsidRPr="0002603C">
        <w:rPr>
          <w:b/>
          <w:bCs/>
        </w:rPr>
        <w:t>La Statistique F (114,800) :</w:t>
      </w:r>
      <w:r w:rsidRPr="0002603C">
        <w:t xml:space="preserve"> Une valeur F dépassant 100 est le signe d'un modèle de régression extrêmement robuste. La relation identifiée est massive par rapport aux e</w:t>
      </w:r>
      <w:r w:rsidRPr="0002603C">
        <w:t>r</w:t>
      </w:r>
      <w:r w:rsidRPr="0002603C">
        <w:t>reurs résiduelles.</w:t>
      </w:r>
    </w:p>
    <w:p w:rsidR="005236B6" w:rsidRPr="0002603C" w:rsidRDefault="005236B6" w:rsidP="00140168">
      <w:pPr>
        <w:pStyle w:val="NormalWeb"/>
        <w:numPr>
          <w:ilvl w:val="0"/>
          <w:numId w:val="28"/>
        </w:numPr>
        <w:spacing w:after="0" w:line="360" w:lineRule="auto"/>
        <w:jc w:val="both"/>
      </w:pPr>
      <w:r w:rsidRPr="0002603C">
        <w:rPr>
          <w:b/>
          <w:bCs/>
        </w:rPr>
        <w:t>La Signification (Sig. = 0,000) :</w:t>
      </w:r>
      <w:r w:rsidRPr="0002603C">
        <w:t xml:space="preserve"> La probabilité que ce résultat soit dû au hasard est quasi nulle (</w:t>
      </w:r>
      <w:r w:rsidRPr="0002603C">
        <w:rPr>
          <w:rStyle w:val="math-inline"/>
        </w:rPr>
        <w:t>p &lt; 0,05</w:t>
      </w:r>
      <w:r w:rsidRPr="0002603C">
        <w:t xml:space="preserve">). Le modèle est donc </w:t>
      </w:r>
      <w:r w:rsidRPr="0002603C">
        <w:rPr>
          <w:b/>
          <w:bCs/>
        </w:rPr>
        <w:t>hautement significatif</w:t>
      </w:r>
      <w:r w:rsidRPr="0002603C">
        <w:t>.</w:t>
      </w:r>
    </w:p>
    <w:p w:rsidR="005236B6" w:rsidRDefault="005236B6" w:rsidP="00140168">
      <w:pPr>
        <w:pStyle w:val="NormalWeb"/>
        <w:spacing w:after="0" w:line="360" w:lineRule="auto"/>
        <w:jc w:val="both"/>
        <w:rPr>
          <w:b/>
          <w:bCs/>
        </w:rPr>
      </w:pPr>
      <w:r w:rsidRPr="0002603C">
        <w:t xml:space="preserve">Au regard de la puissance des indicateurs (R=0,601 ; F=114,800 ; p &lt; 0,01), </w:t>
      </w:r>
      <w:r w:rsidRPr="0002603C">
        <w:rPr>
          <w:b/>
          <w:bCs/>
        </w:rPr>
        <w:t>l'hypothèse H1(c) est confirmée.</w:t>
      </w:r>
    </w:p>
    <w:p w:rsidR="005236B6" w:rsidRPr="009D0249" w:rsidRDefault="009D0249" w:rsidP="00140168">
      <w:pPr>
        <w:pStyle w:val="Lgende"/>
        <w:spacing w:after="0" w:line="360" w:lineRule="auto"/>
        <w:rPr>
          <w:rFonts w:ascii="Times New Roman" w:hAnsi="Times New Roman" w:cs="Times New Roman"/>
          <w:i w:val="0"/>
          <w:iCs w:val="0"/>
          <w:color w:val="auto"/>
          <w:kern w:val="2"/>
          <w:sz w:val="24"/>
          <w:szCs w:val="24"/>
        </w:rPr>
      </w:pPr>
      <w:bookmarkStart w:id="385" w:name="_Toc230400777"/>
      <w:r w:rsidRPr="009D0249">
        <w:rPr>
          <w:rFonts w:ascii="Times New Roman" w:hAnsi="Times New Roman" w:cs="Times New Roman"/>
          <w:b/>
          <w:bCs/>
          <w:i w:val="0"/>
          <w:iCs w:val="0"/>
          <w:color w:val="auto"/>
          <w:kern w:val="2"/>
          <w:sz w:val="24"/>
          <w:szCs w:val="24"/>
        </w:rPr>
        <w:t xml:space="preserve">Tableau </w:t>
      </w:r>
      <w:r w:rsidR="007B5998" w:rsidRPr="009D0249">
        <w:rPr>
          <w:rFonts w:ascii="Times New Roman" w:hAnsi="Times New Roman" w:cs="Times New Roman"/>
          <w:b/>
          <w:bCs/>
          <w:i w:val="0"/>
          <w:iCs w:val="0"/>
          <w:color w:val="auto"/>
          <w:kern w:val="2"/>
          <w:sz w:val="24"/>
          <w:szCs w:val="24"/>
        </w:rPr>
        <w:fldChar w:fldCharType="begin"/>
      </w:r>
      <w:r w:rsidRPr="009D0249">
        <w:rPr>
          <w:rFonts w:ascii="Times New Roman" w:hAnsi="Times New Roman" w:cs="Times New Roman"/>
          <w:b/>
          <w:bCs/>
          <w:i w:val="0"/>
          <w:iCs w:val="0"/>
          <w:color w:val="auto"/>
          <w:kern w:val="2"/>
          <w:sz w:val="24"/>
          <w:szCs w:val="24"/>
        </w:rPr>
        <w:instrText xml:space="preserve"> SEQ Tableau \* ARABIC </w:instrText>
      </w:r>
      <w:r w:rsidR="007B5998" w:rsidRPr="009D0249">
        <w:rPr>
          <w:rFonts w:ascii="Times New Roman" w:hAnsi="Times New Roman" w:cs="Times New Roman"/>
          <w:b/>
          <w:bCs/>
          <w:i w:val="0"/>
          <w:iCs w:val="0"/>
          <w:color w:val="auto"/>
          <w:kern w:val="2"/>
          <w:sz w:val="24"/>
          <w:szCs w:val="24"/>
        </w:rPr>
        <w:fldChar w:fldCharType="separate"/>
      </w:r>
      <w:r w:rsidR="00515B25">
        <w:rPr>
          <w:rFonts w:ascii="Times New Roman" w:hAnsi="Times New Roman" w:cs="Times New Roman"/>
          <w:b/>
          <w:bCs/>
          <w:i w:val="0"/>
          <w:iCs w:val="0"/>
          <w:noProof/>
          <w:color w:val="auto"/>
          <w:kern w:val="2"/>
          <w:sz w:val="24"/>
          <w:szCs w:val="24"/>
        </w:rPr>
        <w:t>39</w:t>
      </w:r>
      <w:r w:rsidR="007B5998" w:rsidRPr="009D0249">
        <w:rPr>
          <w:rFonts w:ascii="Times New Roman" w:hAnsi="Times New Roman" w:cs="Times New Roman"/>
          <w:b/>
          <w:bCs/>
          <w:i w:val="0"/>
          <w:iCs w:val="0"/>
          <w:color w:val="auto"/>
          <w:kern w:val="2"/>
          <w:sz w:val="24"/>
          <w:szCs w:val="24"/>
        </w:rPr>
        <w:fldChar w:fldCharType="end"/>
      </w:r>
      <w:r w:rsidRPr="009D0249">
        <w:rPr>
          <w:rFonts w:ascii="Times New Roman" w:hAnsi="Times New Roman" w:cs="Times New Roman"/>
          <w:b/>
          <w:bCs/>
          <w:i w:val="0"/>
          <w:iCs w:val="0"/>
          <w:color w:val="auto"/>
          <w:kern w:val="2"/>
          <w:sz w:val="24"/>
          <w:szCs w:val="24"/>
        </w:rPr>
        <w:t xml:space="preserve"> :</w:t>
      </w:r>
      <w:r w:rsidRPr="009D0249">
        <w:rPr>
          <w:rFonts w:ascii="Times New Roman" w:hAnsi="Times New Roman" w:cs="Times New Roman"/>
          <w:i w:val="0"/>
          <w:iCs w:val="0"/>
          <w:color w:val="auto"/>
          <w:kern w:val="2"/>
          <w:sz w:val="24"/>
          <w:szCs w:val="24"/>
        </w:rPr>
        <w:t xml:space="preserve"> Coefficients de régression linéaire</w:t>
      </w:r>
      <w:bookmarkEnd w:id="385"/>
    </w:p>
    <w:tbl>
      <w:tblPr>
        <w:tblStyle w:val="Grilledutableau"/>
        <w:tblW w:w="0" w:type="auto"/>
        <w:jc w:val="center"/>
        <w:tblLook w:val="04A0"/>
      </w:tblPr>
      <w:tblGrid>
        <w:gridCol w:w="1081"/>
        <w:gridCol w:w="2003"/>
        <w:gridCol w:w="1184"/>
        <w:gridCol w:w="1248"/>
        <w:gridCol w:w="1184"/>
        <w:gridCol w:w="1184"/>
      </w:tblGrid>
      <w:tr w:rsidR="005236B6" w:rsidRPr="00AF02BD" w:rsidTr="00EC7780">
        <w:trPr>
          <w:jc w:val="center"/>
        </w:trPr>
        <w:tc>
          <w:tcPr>
            <w:tcW w:w="3084" w:type="dxa"/>
            <w:gridSpan w:val="2"/>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c>
          <w:tcPr>
            <w:tcW w:w="2432" w:type="dxa"/>
            <w:gridSpan w:val="2"/>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Coefficients non standardisés</w:t>
            </w:r>
          </w:p>
        </w:tc>
        <w:tc>
          <w:tcPr>
            <w:tcW w:w="1184" w:type="dxa"/>
            <w:vMerge w:val="restart"/>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T</w:t>
            </w:r>
          </w:p>
        </w:tc>
        <w:tc>
          <w:tcPr>
            <w:tcW w:w="1184" w:type="dxa"/>
            <w:vMerge w:val="restart"/>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Sig</w:t>
            </w:r>
          </w:p>
        </w:tc>
      </w:tr>
      <w:tr w:rsidR="005236B6" w:rsidRPr="00AF02BD" w:rsidTr="00EC7780">
        <w:trPr>
          <w:jc w:val="center"/>
        </w:trPr>
        <w:tc>
          <w:tcPr>
            <w:tcW w:w="3084" w:type="dxa"/>
            <w:gridSpan w:val="2"/>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Modèle</w:t>
            </w:r>
          </w:p>
        </w:tc>
        <w:tc>
          <w:tcPr>
            <w:tcW w:w="1184"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B</w:t>
            </w:r>
          </w:p>
        </w:tc>
        <w:tc>
          <w:tcPr>
            <w:tcW w:w="1248"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Ecart standard</w:t>
            </w:r>
          </w:p>
        </w:tc>
        <w:tc>
          <w:tcPr>
            <w:tcW w:w="1184" w:type="dxa"/>
            <w:vMerge/>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c>
          <w:tcPr>
            <w:tcW w:w="1184" w:type="dxa"/>
            <w:vMerge/>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r>
      <w:tr w:rsidR="005236B6" w:rsidRPr="00AF02BD" w:rsidTr="00EC7780">
        <w:trPr>
          <w:jc w:val="center"/>
        </w:trPr>
        <w:tc>
          <w:tcPr>
            <w:tcW w:w="1081" w:type="dxa"/>
            <w:vMerge w:val="restart"/>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1</w:t>
            </w:r>
          </w:p>
        </w:tc>
        <w:tc>
          <w:tcPr>
            <w:tcW w:w="2003"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Constante</w:t>
            </w:r>
          </w:p>
        </w:tc>
        <w:tc>
          <w:tcPr>
            <w:tcW w:w="1184"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1,595</w:t>
            </w:r>
          </w:p>
        </w:tc>
        <w:tc>
          <w:tcPr>
            <w:tcW w:w="1248"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AF02BD">
              <w:rPr>
                <w:rFonts w:ascii="Times New Roman" w:eastAsia="Times New Roman" w:hAnsi="Times New Roman" w:cs="Times New Roman"/>
                <w:sz w:val="24"/>
                <w:szCs w:val="24"/>
                <w:lang w:eastAsia="fr-FR"/>
              </w:rPr>
              <w:t>,207</w:t>
            </w:r>
          </w:p>
        </w:tc>
        <w:tc>
          <w:tcPr>
            <w:tcW w:w="1184"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7,712</w:t>
            </w:r>
          </w:p>
        </w:tc>
        <w:tc>
          <w:tcPr>
            <w:tcW w:w="1184"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,000</w:t>
            </w:r>
          </w:p>
        </w:tc>
      </w:tr>
      <w:tr w:rsidR="005236B6" w:rsidRPr="00AF02BD" w:rsidTr="00EC7780">
        <w:trPr>
          <w:jc w:val="center"/>
        </w:trPr>
        <w:tc>
          <w:tcPr>
            <w:tcW w:w="1081" w:type="dxa"/>
            <w:vMerge/>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c>
          <w:tcPr>
            <w:tcW w:w="2003"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Sécurité sanitaire</w:t>
            </w:r>
          </w:p>
        </w:tc>
        <w:tc>
          <w:tcPr>
            <w:tcW w:w="1184"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AF02BD">
              <w:rPr>
                <w:rFonts w:ascii="Times New Roman" w:eastAsia="Times New Roman" w:hAnsi="Times New Roman" w:cs="Times New Roman"/>
                <w:sz w:val="24"/>
                <w:szCs w:val="24"/>
                <w:lang w:eastAsia="fr-FR"/>
              </w:rPr>
              <w:t>,559</w:t>
            </w:r>
          </w:p>
        </w:tc>
        <w:tc>
          <w:tcPr>
            <w:tcW w:w="1248"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AF02BD">
              <w:rPr>
                <w:rFonts w:ascii="Times New Roman" w:eastAsia="Times New Roman" w:hAnsi="Times New Roman" w:cs="Times New Roman"/>
                <w:sz w:val="24"/>
                <w:szCs w:val="24"/>
                <w:lang w:eastAsia="fr-FR"/>
              </w:rPr>
              <w:t>,052</w:t>
            </w:r>
          </w:p>
        </w:tc>
        <w:tc>
          <w:tcPr>
            <w:tcW w:w="1184"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10,714</w:t>
            </w:r>
          </w:p>
        </w:tc>
        <w:tc>
          <w:tcPr>
            <w:tcW w:w="1184" w:type="dxa"/>
            <w:shd w:val="clear" w:color="auto" w:fill="FFFFFF"/>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,000</w:t>
            </w:r>
          </w:p>
        </w:tc>
      </w:tr>
    </w:tbl>
    <w:p w:rsidR="005236B6" w:rsidRPr="00882245"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D0249" w:rsidRDefault="005236B6" w:rsidP="00F7493D">
      <w:pPr>
        <w:spacing w:after="0" w:line="360" w:lineRule="auto"/>
        <w:jc w:val="lowKashida"/>
        <w:rPr>
          <w:rFonts w:asciiTheme="majorBidi" w:hAnsiTheme="majorBidi" w:cstheme="majorBidi"/>
          <w:b/>
          <w:bCs/>
          <w:color w:val="000000" w:themeColor="text1"/>
          <w:sz w:val="24"/>
          <w:szCs w:val="24"/>
          <w:lang w:eastAsia="fr-FR"/>
        </w:rPr>
      </w:pPr>
      <w:r w:rsidRPr="009D0249">
        <w:rPr>
          <w:rFonts w:asciiTheme="majorBidi" w:hAnsiTheme="majorBidi" w:cstheme="majorBidi"/>
          <w:b/>
          <w:bCs/>
          <w:color w:val="000000" w:themeColor="text1"/>
          <w:sz w:val="24"/>
          <w:szCs w:val="24"/>
          <w:lang w:eastAsia="fr-FR"/>
        </w:rPr>
        <w:lastRenderedPageBreak/>
        <w:t>Analyse des Coefficients de Régression</w:t>
      </w:r>
    </w:p>
    <w:p w:rsidR="005236B6" w:rsidRPr="0002603C" w:rsidRDefault="005236B6" w:rsidP="00F7493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02603C">
        <w:rPr>
          <w:rFonts w:ascii="Times New Roman" w:eastAsia="Times New Roman" w:hAnsi="Times New Roman" w:cs="Times New Roman"/>
          <w:sz w:val="24"/>
          <w:szCs w:val="24"/>
          <w:lang w:eastAsia="fr-FR"/>
        </w:rPr>
        <w:t>Le tableau des coefficients permet de quantifier l'influence directe de la perception sécuritaire sur l'acte d'achat potentiel :</w:t>
      </w:r>
    </w:p>
    <w:p w:rsidR="005236B6" w:rsidRPr="0002603C" w:rsidRDefault="005236B6" w:rsidP="00D078CC">
      <w:pPr>
        <w:numPr>
          <w:ilvl w:val="0"/>
          <w:numId w:val="29"/>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02603C">
        <w:rPr>
          <w:rFonts w:ascii="Times New Roman" w:eastAsia="Times New Roman" w:hAnsi="Times New Roman" w:cs="Times New Roman"/>
          <w:b/>
          <w:bCs/>
          <w:sz w:val="24"/>
          <w:szCs w:val="24"/>
          <w:lang w:eastAsia="fr-FR"/>
        </w:rPr>
        <w:t>L’Équation de régression :</w:t>
      </w:r>
      <w:r w:rsidRPr="0002603C">
        <w:rPr>
          <w:rFonts w:ascii="Times New Roman" w:eastAsia="Times New Roman" w:hAnsi="Times New Roman" w:cs="Times New Roman"/>
          <w:sz w:val="24"/>
          <w:szCs w:val="24"/>
          <w:lang w:eastAsia="fr-FR"/>
        </w:rPr>
        <w:t xml:space="preserve"> Selon les données statistiques, le modèle s'établit ainsi :</w:t>
      </w:r>
    </w:p>
    <w:p w:rsidR="005236B6" w:rsidRPr="0002603C" w:rsidRDefault="005236B6" w:rsidP="00F7493D">
      <w:pPr>
        <w:spacing w:beforeAutospacing="1" w:after="0" w:afterAutospacing="1" w:line="360" w:lineRule="auto"/>
        <w:ind w:left="720"/>
        <w:jc w:val="center"/>
        <w:rPr>
          <w:rFonts w:ascii="Times New Roman" w:eastAsia="Times New Roman" w:hAnsi="Times New Roman" w:cs="Times New Roman"/>
          <w:b/>
          <w:bCs/>
          <w:sz w:val="24"/>
          <w:szCs w:val="24"/>
          <w:lang w:eastAsia="fr-FR"/>
        </w:rPr>
      </w:pPr>
      <w:r w:rsidRPr="0002603C">
        <w:rPr>
          <w:rFonts w:ascii="Times New Roman" w:eastAsia="Times New Roman" w:hAnsi="Times New Roman" w:cs="Times New Roman"/>
          <w:b/>
          <w:bCs/>
          <w:sz w:val="24"/>
          <w:szCs w:val="24"/>
          <w:lang w:eastAsia="fr-FR"/>
        </w:rPr>
        <w:t>Y (Intention d'achat) = 0,559 *(Sécurité Sanitaire) + 1,595</w:t>
      </w:r>
    </w:p>
    <w:p w:rsidR="005236B6" w:rsidRPr="0002603C" w:rsidRDefault="005236B6" w:rsidP="00F7493D">
      <w:pPr>
        <w:spacing w:beforeAutospacing="1" w:after="0" w:afterAutospacing="1" w:line="360" w:lineRule="auto"/>
        <w:ind w:left="720"/>
        <w:jc w:val="center"/>
        <w:rPr>
          <w:rFonts w:ascii="Times New Roman" w:eastAsia="Times New Roman" w:hAnsi="Times New Roman" w:cs="Times New Roman"/>
          <w:b/>
          <w:bCs/>
          <w:sz w:val="24"/>
          <w:szCs w:val="24"/>
          <w:lang w:eastAsia="fr-FR"/>
        </w:rPr>
      </w:pPr>
      <w:r w:rsidRPr="0002603C">
        <w:rPr>
          <w:rFonts w:ascii="Times New Roman" w:eastAsia="Times New Roman" w:hAnsi="Times New Roman" w:cs="Times New Roman"/>
          <w:b/>
          <w:bCs/>
          <w:sz w:val="24"/>
          <w:szCs w:val="24"/>
          <w:lang w:eastAsia="fr-FR"/>
        </w:rPr>
        <w:t>Y=1.595+0.559*X3</w:t>
      </w:r>
    </w:p>
    <w:p w:rsidR="005236B6" w:rsidRPr="0002603C" w:rsidRDefault="005236B6" w:rsidP="00F7493D">
      <w:pPr>
        <w:spacing w:beforeAutospacing="1" w:after="0" w:afterAutospacing="1" w:line="360" w:lineRule="auto"/>
        <w:ind w:left="720"/>
        <w:jc w:val="both"/>
        <w:rPr>
          <w:rFonts w:ascii="Times New Roman" w:eastAsia="Times New Roman" w:hAnsi="Times New Roman" w:cs="Times New Roman"/>
          <w:b/>
          <w:bCs/>
          <w:sz w:val="24"/>
          <w:szCs w:val="24"/>
          <w:lang w:eastAsia="fr-FR"/>
        </w:rPr>
      </w:pPr>
      <w:r w:rsidRPr="0002603C">
        <w:rPr>
          <w:rFonts w:ascii="Times New Roman" w:eastAsia="Times New Roman" w:hAnsi="Times New Roman" w:cs="Times New Roman"/>
          <w:b/>
          <w:bCs/>
          <w:sz w:val="24"/>
          <w:szCs w:val="24"/>
          <w:lang w:eastAsia="fr-FR"/>
        </w:rPr>
        <w:t>Où Y représente la variable dépendante (l’intention d’achat) et X est la variable indépendante (</w:t>
      </w:r>
      <w:r>
        <w:rPr>
          <w:rFonts w:ascii="Times New Roman" w:eastAsia="Times New Roman" w:hAnsi="Times New Roman" w:cs="Times New Roman"/>
          <w:b/>
          <w:bCs/>
          <w:sz w:val="24"/>
          <w:szCs w:val="24"/>
          <w:lang w:eastAsia="fr-FR"/>
        </w:rPr>
        <w:t>sécurité sanitaire</w:t>
      </w:r>
      <w:r w:rsidRPr="0002603C">
        <w:rPr>
          <w:rFonts w:ascii="Times New Roman" w:eastAsia="Times New Roman" w:hAnsi="Times New Roman" w:cs="Times New Roman"/>
          <w:b/>
          <w:bCs/>
          <w:sz w:val="24"/>
          <w:szCs w:val="24"/>
          <w:lang w:eastAsia="fr-FR"/>
        </w:rPr>
        <w:t>).</w:t>
      </w:r>
    </w:p>
    <w:p w:rsidR="005236B6" w:rsidRPr="0002603C" w:rsidRDefault="005236B6" w:rsidP="00D078CC">
      <w:pPr>
        <w:numPr>
          <w:ilvl w:val="0"/>
          <w:numId w:val="29"/>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02603C">
        <w:rPr>
          <w:rFonts w:ascii="Times New Roman" w:eastAsia="Times New Roman" w:hAnsi="Times New Roman" w:cs="Times New Roman"/>
          <w:b/>
          <w:bCs/>
          <w:sz w:val="24"/>
          <w:szCs w:val="24"/>
          <w:lang w:eastAsia="fr-FR"/>
        </w:rPr>
        <w:t>Coefficient B (0,559) :</w:t>
      </w:r>
      <w:r w:rsidRPr="0002603C">
        <w:rPr>
          <w:rFonts w:ascii="Times New Roman" w:eastAsia="Times New Roman" w:hAnsi="Times New Roman" w:cs="Times New Roman"/>
          <w:sz w:val="24"/>
          <w:szCs w:val="24"/>
          <w:lang w:eastAsia="fr-FR"/>
        </w:rPr>
        <w:t xml:space="preserve"> Ce coefficient positif et élevé indique que pour chaque gain d'un point dans la perception de la </w:t>
      </w:r>
      <w:r w:rsidRPr="0002603C">
        <w:rPr>
          <w:rFonts w:ascii="Times New Roman" w:eastAsia="Times New Roman" w:hAnsi="Times New Roman" w:cs="Times New Roman"/>
          <w:b/>
          <w:bCs/>
          <w:sz w:val="24"/>
          <w:szCs w:val="24"/>
          <w:lang w:eastAsia="fr-FR"/>
        </w:rPr>
        <w:t>sécurité sanitaire</w:t>
      </w:r>
      <w:r w:rsidRPr="0002603C">
        <w:rPr>
          <w:rFonts w:ascii="Times New Roman" w:eastAsia="Times New Roman" w:hAnsi="Times New Roman" w:cs="Times New Roman"/>
          <w:sz w:val="24"/>
          <w:szCs w:val="24"/>
          <w:lang w:eastAsia="fr-FR"/>
        </w:rPr>
        <w:t>, l'</w:t>
      </w:r>
      <w:r w:rsidRPr="0002603C">
        <w:rPr>
          <w:rFonts w:ascii="Times New Roman" w:eastAsia="Times New Roman" w:hAnsi="Times New Roman" w:cs="Times New Roman"/>
          <w:b/>
          <w:bCs/>
          <w:sz w:val="24"/>
          <w:szCs w:val="24"/>
          <w:lang w:eastAsia="fr-FR"/>
        </w:rPr>
        <w:t>intention d'achat</w:t>
      </w:r>
      <w:r w:rsidRPr="0002603C">
        <w:rPr>
          <w:rFonts w:ascii="Times New Roman" w:eastAsia="Times New Roman" w:hAnsi="Times New Roman" w:cs="Times New Roman"/>
          <w:sz w:val="24"/>
          <w:szCs w:val="24"/>
          <w:lang w:eastAsia="fr-FR"/>
        </w:rPr>
        <w:t xml:space="preserve"> progresse de plus d'un demi-point (</w:t>
      </w:r>
      <w:r w:rsidRPr="0002603C">
        <w:rPr>
          <w:rFonts w:ascii="Times New Roman" w:eastAsia="Times New Roman" w:hAnsi="Times New Roman" w:cs="Times New Roman"/>
          <w:b/>
          <w:bCs/>
          <w:sz w:val="24"/>
          <w:szCs w:val="24"/>
          <w:lang w:eastAsia="fr-FR"/>
        </w:rPr>
        <w:t>0,559</w:t>
      </w:r>
      <w:r w:rsidRPr="0002603C">
        <w:rPr>
          <w:rFonts w:ascii="Times New Roman" w:eastAsia="Times New Roman" w:hAnsi="Times New Roman" w:cs="Times New Roman"/>
          <w:sz w:val="24"/>
          <w:szCs w:val="24"/>
          <w:lang w:eastAsia="fr-FR"/>
        </w:rPr>
        <w:t>). Cela démontre une sensibilité très forte des consommateurs à l'argument sécuritaire.</w:t>
      </w:r>
    </w:p>
    <w:p w:rsidR="005236B6" w:rsidRPr="00140168" w:rsidRDefault="005236B6" w:rsidP="00140168">
      <w:pPr>
        <w:numPr>
          <w:ilvl w:val="0"/>
          <w:numId w:val="29"/>
        </w:numPr>
        <w:suppressAutoHyphens w:val="0"/>
        <w:autoSpaceDN/>
        <w:spacing w:before="100" w:beforeAutospacing="1" w:after="100" w:afterAutospacing="1" w:line="360" w:lineRule="auto"/>
        <w:jc w:val="both"/>
        <w:textAlignment w:val="auto"/>
        <w:rPr>
          <w:rFonts w:ascii="Times New Roman" w:eastAsia="Times New Roman" w:hAnsi="Times New Roman" w:cs="Times New Roman"/>
          <w:sz w:val="24"/>
          <w:szCs w:val="24"/>
          <w:lang w:eastAsia="fr-FR"/>
        </w:rPr>
      </w:pPr>
      <w:r w:rsidRPr="0002603C">
        <w:rPr>
          <w:rFonts w:ascii="Times New Roman" w:eastAsia="Times New Roman" w:hAnsi="Times New Roman" w:cs="Times New Roman"/>
          <w:b/>
          <w:bCs/>
          <w:sz w:val="24"/>
          <w:szCs w:val="24"/>
          <w:lang w:eastAsia="fr-FR"/>
        </w:rPr>
        <w:t>La Constante (1,595) :</w:t>
      </w:r>
      <w:r w:rsidRPr="0002603C">
        <w:rPr>
          <w:rFonts w:ascii="Times New Roman" w:eastAsia="Times New Roman" w:hAnsi="Times New Roman" w:cs="Times New Roman"/>
          <w:sz w:val="24"/>
          <w:szCs w:val="24"/>
          <w:lang w:eastAsia="fr-FR"/>
        </w:rPr>
        <w:t xml:space="preserve"> Également très significative (p = 0,000), elle indique le niveau d'intention d'achat de base, même si la variable sécurité sanitaire était au niveau le plus bas.</w:t>
      </w:r>
    </w:p>
    <w:p w:rsidR="005236B6" w:rsidRPr="00AF02BD" w:rsidRDefault="005236B6" w:rsidP="00F7493D">
      <w:pPr>
        <w:spacing w:line="360" w:lineRule="auto"/>
        <w:rPr>
          <w:rFonts w:ascii="Times New Roman" w:eastAsia="Times New Roman" w:hAnsi="Times New Roman" w:cs="Times New Roman"/>
          <w:sz w:val="24"/>
          <w:szCs w:val="24"/>
          <w:lang w:eastAsia="fr-FR"/>
        </w:rPr>
      </w:pPr>
      <w:r w:rsidRPr="00AF02BD">
        <w:rPr>
          <w:rFonts w:ascii="Times New Roman" w:eastAsia="Times New Roman" w:hAnsi="Times New Roman" w:cs="Times New Roman"/>
          <w:noProof/>
          <w:sz w:val="24"/>
          <w:szCs w:val="24"/>
          <w:lang w:eastAsia="fr-FR"/>
        </w:rPr>
        <w:drawing>
          <wp:inline distT="0" distB="0" distL="0" distR="0">
            <wp:extent cx="5969404" cy="2906973"/>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4715" cy="2909559"/>
                    </a:xfrm>
                    <a:prstGeom prst="rect">
                      <a:avLst/>
                    </a:prstGeom>
                    <a:noFill/>
                    <a:ln>
                      <a:noFill/>
                    </a:ln>
                  </pic:spPr>
                </pic:pic>
              </a:graphicData>
            </a:graphic>
          </wp:inline>
        </w:drawing>
      </w:r>
    </w:p>
    <w:p w:rsidR="005236B6" w:rsidRPr="0002603C" w:rsidRDefault="005236B6" w:rsidP="00140168">
      <w:pPr>
        <w:spacing w:after="0" w:line="360" w:lineRule="auto"/>
        <w:jc w:val="both"/>
        <w:rPr>
          <w:rFonts w:ascii="Times New Roman" w:eastAsia="Times New Roman" w:hAnsi="Times New Roman" w:cs="Times New Roman"/>
          <w:sz w:val="24"/>
          <w:szCs w:val="24"/>
          <w:lang w:eastAsia="fr-FR"/>
        </w:rPr>
      </w:pPr>
      <w:r w:rsidRPr="0002603C">
        <w:rPr>
          <w:rFonts w:ascii="Times New Roman" w:eastAsia="Times New Roman" w:hAnsi="Times New Roman" w:cs="Times New Roman"/>
          <w:sz w:val="24"/>
          <w:szCs w:val="24"/>
          <w:lang w:eastAsia="fr-FR"/>
        </w:rPr>
        <w:t>Le nuage de points confirme visuellement la solidité du modèle :</w:t>
      </w:r>
    </w:p>
    <w:p w:rsidR="005236B6" w:rsidRPr="0002603C" w:rsidRDefault="005236B6" w:rsidP="00140168">
      <w:pPr>
        <w:numPr>
          <w:ilvl w:val="0"/>
          <w:numId w:val="30"/>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02603C">
        <w:rPr>
          <w:rFonts w:ascii="Times New Roman" w:eastAsia="Times New Roman" w:hAnsi="Times New Roman" w:cs="Times New Roman"/>
          <w:b/>
          <w:bCs/>
          <w:sz w:val="24"/>
          <w:szCs w:val="24"/>
          <w:lang w:eastAsia="fr-FR"/>
        </w:rPr>
        <w:lastRenderedPageBreak/>
        <w:t>La Droite de Régression :</w:t>
      </w:r>
      <w:r w:rsidRPr="0002603C">
        <w:rPr>
          <w:rFonts w:ascii="Times New Roman" w:eastAsia="Times New Roman" w:hAnsi="Times New Roman" w:cs="Times New Roman"/>
          <w:sz w:val="24"/>
          <w:szCs w:val="24"/>
          <w:lang w:eastAsia="fr-FR"/>
        </w:rPr>
        <w:t xml:space="preserve"> La pente ascendante est très marquée, illustrant une relation linéaire claire : plus le produit est perçu comme sûr (axe X), plus l'intention d'achat au</w:t>
      </w:r>
      <w:r w:rsidRPr="0002603C">
        <w:rPr>
          <w:rFonts w:ascii="Times New Roman" w:eastAsia="Times New Roman" w:hAnsi="Times New Roman" w:cs="Times New Roman"/>
          <w:sz w:val="24"/>
          <w:szCs w:val="24"/>
          <w:lang w:eastAsia="fr-FR"/>
        </w:rPr>
        <w:t>g</w:t>
      </w:r>
      <w:r w:rsidRPr="0002603C">
        <w:rPr>
          <w:rFonts w:ascii="Times New Roman" w:eastAsia="Times New Roman" w:hAnsi="Times New Roman" w:cs="Times New Roman"/>
          <w:sz w:val="24"/>
          <w:szCs w:val="24"/>
          <w:lang w:eastAsia="fr-FR"/>
        </w:rPr>
        <w:t>mente (axe Y).</w:t>
      </w:r>
    </w:p>
    <w:p w:rsidR="005236B6" w:rsidRPr="0002603C" w:rsidRDefault="005236B6" w:rsidP="00140168">
      <w:pPr>
        <w:numPr>
          <w:ilvl w:val="0"/>
          <w:numId w:val="30"/>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02603C">
        <w:rPr>
          <w:rFonts w:ascii="Times New Roman" w:eastAsia="Times New Roman" w:hAnsi="Times New Roman" w:cs="Times New Roman"/>
          <w:b/>
          <w:bCs/>
          <w:sz w:val="24"/>
          <w:szCs w:val="24"/>
          <w:lang w:eastAsia="fr-FR"/>
        </w:rPr>
        <w:t>Distribution des données :</w:t>
      </w:r>
      <w:r w:rsidRPr="0002603C">
        <w:rPr>
          <w:rFonts w:ascii="Times New Roman" w:eastAsia="Times New Roman" w:hAnsi="Times New Roman" w:cs="Times New Roman"/>
          <w:sz w:val="24"/>
          <w:szCs w:val="24"/>
          <w:lang w:eastAsia="fr-FR"/>
        </w:rPr>
        <w:t xml:space="preserve"> On observe une concentration dense de points suivant la droite, particulièrement pour les scores élevés de sécurité (entre 4 et 5). Cela explique le coefficient de détermination élevé (</w:t>
      </w:r>
      <w:r w:rsidRPr="0002603C">
        <w:rPr>
          <w:rFonts w:ascii="Times New Roman" w:eastAsia="Times New Roman" w:hAnsi="Times New Roman" w:cs="Times New Roman"/>
          <w:b/>
          <w:bCs/>
          <w:sz w:val="24"/>
          <w:szCs w:val="24"/>
          <w:lang w:eastAsia="fr-FR"/>
        </w:rPr>
        <w:t>R2 = 0,361</w:t>
      </w:r>
      <w:r w:rsidRPr="0002603C">
        <w:rPr>
          <w:rFonts w:ascii="Times New Roman" w:eastAsia="Times New Roman" w:hAnsi="Times New Roman" w:cs="Times New Roman"/>
          <w:sz w:val="24"/>
          <w:szCs w:val="24"/>
          <w:lang w:eastAsia="fr-FR"/>
        </w:rPr>
        <w:t>), signifiant que la sécurité sanitaire est un prédicteur fiable du comportement futur du consommateur.</w:t>
      </w:r>
    </w:p>
    <w:p w:rsidR="005236B6" w:rsidRPr="00516205" w:rsidRDefault="006E799B" w:rsidP="00140168">
      <w:pPr>
        <w:pStyle w:val="Titre4"/>
        <w:spacing w:before="0" w:after="0" w:line="360" w:lineRule="auto"/>
        <w:rPr>
          <w:rFonts w:ascii="Times New Roman" w:hAnsi="Times New Roman"/>
          <w:b/>
          <w:bCs/>
          <w:i w:val="0"/>
          <w:iCs w:val="0"/>
          <w:color w:val="auto"/>
          <w:sz w:val="24"/>
          <w:szCs w:val="24"/>
          <w:lang w:eastAsia="fr-FR"/>
        </w:rPr>
      </w:pPr>
      <w:bookmarkStart w:id="386" w:name="_Toc230558753"/>
      <w:bookmarkStart w:id="387" w:name="_Toc230900387"/>
      <w:r w:rsidRPr="00516205">
        <w:rPr>
          <w:rFonts w:ascii="Times New Roman" w:hAnsi="Times New Roman"/>
          <w:b/>
          <w:bCs/>
          <w:i w:val="0"/>
          <w:iCs w:val="0"/>
          <w:color w:val="auto"/>
          <w:sz w:val="24"/>
          <w:szCs w:val="24"/>
          <w:lang w:eastAsia="fr-FR"/>
        </w:rPr>
        <w:t>4.5. </w:t>
      </w:r>
      <w:r w:rsidR="005236B6" w:rsidRPr="00516205">
        <w:rPr>
          <w:rFonts w:ascii="Times New Roman" w:hAnsi="Times New Roman"/>
          <w:b/>
          <w:bCs/>
          <w:i w:val="0"/>
          <w:iCs w:val="0"/>
          <w:color w:val="auto"/>
          <w:sz w:val="24"/>
          <w:szCs w:val="24"/>
          <w:lang w:eastAsia="fr-FR"/>
        </w:rPr>
        <w:t xml:space="preserve">La </w:t>
      </w:r>
      <w:r w:rsidR="00516205">
        <w:rPr>
          <w:rFonts w:ascii="Times New Roman" w:hAnsi="Times New Roman"/>
          <w:b/>
          <w:bCs/>
          <w:i w:val="0"/>
          <w:iCs w:val="0"/>
          <w:color w:val="auto"/>
          <w:sz w:val="24"/>
          <w:szCs w:val="24"/>
          <w:lang w:eastAsia="fr-FR"/>
        </w:rPr>
        <w:t>quatriéme</w:t>
      </w:r>
      <w:r w:rsidR="005236B6" w:rsidRPr="00516205">
        <w:rPr>
          <w:rFonts w:ascii="Times New Roman" w:hAnsi="Times New Roman"/>
          <w:b/>
          <w:bCs/>
          <w:i w:val="0"/>
          <w:iCs w:val="0"/>
          <w:color w:val="auto"/>
          <w:sz w:val="24"/>
          <w:szCs w:val="24"/>
          <w:lang w:eastAsia="fr-FR"/>
        </w:rPr>
        <w:t xml:space="preserve"> sous hypothèse (H1(d)) :</w:t>
      </w:r>
      <w:bookmarkEnd w:id="386"/>
      <w:bookmarkEnd w:id="387"/>
    </w:p>
    <w:p w:rsidR="005236B6" w:rsidRDefault="005236B6" w:rsidP="00140168">
      <w:pPr>
        <w:spacing w:after="0"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H1(d</w:t>
      </w:r>
      <w:r w:rsidRPr="00AF02BD">
        <w:rPr>
          <w:rFonts w:ascii="Times New Roman" w:eastAsia="Times New Roman" w:hAnsi="Times New Roman" w:cs="Times New Roman"/>
          <w:b/>
          <w:bCs/>
          <w:sz w:val="24"/>
          <w:szCs w:val="24"/>
          <w:lang w:eastAsia="fr-FR"/>
        </w:rPr>
        <w:t xml:space="preserve">) : </w:t>
      </w:r>
      <w:r w:rsidRPr="00AF02BD">
        <w:rPr>
          <w:rFonts w:ascii="Times New Roman" w:eastAsia="Times New Roman" w:hAnsi="Times New Roman" w:cs="Times New Roman"/>
          <w:sz w:val="24"/>
          <w:szCs w:val="24"/>
          <w:lang w:eastAsia="fr-FR"/>
        </w:rPr>
        <w:t>Le niveau de conscience sanitaire du consommateur influence son comportement</w:t>
      </w:r>
      <w:r>
        <w:rPr>
          <w:rFonts w:ascii="Times New Roman" w:eastAsia="Times New Roman" w:hAnsi="Times New Roman" w:cs="Times New Roman"/>
          <w:sz w:val="24"/>
          <w:szCs w:val="24"/>
          <w:lang w:eastAsia="fr-FR"/>
        </w:rPr>
        <w:t xml:space="preserve"> d’achat</w:t>
      </w:r>
      <w:r w:rsidRPr="00AF02BD">
        <w:rPr>
          <w:rFonts w:ascii="Times New Roman" w:eastAsia="Times New Roman" w:hAnsi="Times New Roman" w:cs="Times New Roman"/>
          <w:sz w:val="24"/>
          <w:szCs w:val="24"/>
          <w:lang w:eastAsia="fr-FR"/>
        </w:rPr>
        <w:t>.</w:t>
      </w:r>
    </w:p>
    <w:p w:rsidR="005236B6" w:rsidRPr="009D0249" w:rsidRDefault="009D0249" w:rsidP="00140168">
      <w:pPr>
        <w:pStyle w:val="Lgende"/>
        <w:spacing w:after="0" w:line="360" w:lineRule="auto"/>
        <w:rPr>
          <w:rFonts w:ascii="Times New Roman" w:eastAsia="Times New Roman" w:hAnsi="Times New Roman" w:cs="Times New Roman"/>
          <w:i w:val="0"/>
          <w:iCs w:val="0"/>
          <w:color w:val="auto"/>
          <w:kern w:val="3"/>
          <w:sz w:val="24"/>
          <w:szCs w:val="24"/>
          <w:lang w:eastAsia="fr-FR"/>
        </w:rPr>
      </w:pPr>
      <w:bookmarkStart w:id="388" w:name="_Toc230400778"/>
      <w:r w:rsidRPr="009D0249">
        <w:rPr>
          <w:rFonts w:ascii="Times New Roman" w:eastAsia="Times New Roman" w:hAnsi="Times New Roman" w:cs="Times New Roman"/>
          <w:b/>
          <w:bCs/>
          <w:i w:val="0"/>
          <w:iCs w:val="0"/>
          <w:color w:val="auto"/>
          <w:kern w:val="3"/>
          <w:sz w:val="24"/>
          <w:szCs w:val="24"/>
          <w:lang w:eastAsia="fr-FR"/>
        </w:rPr>
        <w:t xml:space="preserve">Tableau </w:t>
      </w:r>
      <w:r w:rsidR="007B5998" w:rsidRPr="009D0249">
        <w:rPr>
          <w:rFonts w:ascii="Times New Roman" w:eastAsia="Times New Roman" w:hAnsi="Times New Roman" w:cs="Times New Roman"/>
          <w:b/>
          <w:bCs/>
          <w:i w:val="0"/>
          <w:iCs w:val="0"/>
          <w:color w:val="auto"/>
          <w:kern w:val="3"/>
          <w:sz w:val="24"/>
          <w:szCs w:val="24"/>
          <w:lang w:eastAsia="fr-FR"/>
        </w:rPr>
        <w:fldChar w:fldCharType="begin"/>
      </w:r>
      <w:r w:rsidRPr="009D0249">
        <w:rPr>
          <w:rFonts w:ascii="Times New Roman" w:eastAsia="Times New Roman" w:hAnsi="Times New Roman" w:cs="Times New Roman"/>
          <w:b/>
          <w:bCs/>
          <w:i w:val="0"/>
          <w:iCs w:val="0"/>
          <w:color w:val="auto"/>
          <w:kern w:val="3"/>
          <w:sz w:val="24"/>
          <w:szCs w:val="24"/>
          <w:lang w:eastAsia="fr-FR"/>
        </w:rPr>
        <w:instrText xml:space="preserve"> SEQ Tableau \* ARABIC </w:instrText>
      </w:r>
      <w:r w:rsidR="007B5998" w:rsidRPr="009D0249">
        <w:rPr>
          <w:rFonts w:ascii="Times New Roman" w:eastAsia="Times New Roman" w:hAnsi="Times New Roman" w:cs="Times New Roman"/>
          <w:b/>
          <w:bCs/>
          <w:i w:val="0"/>
          <w:iCs w:val="0"/>
          <w:color w:val="auto"/>
          <w:kern w:val="3"/>
          <w:sz w:val="24"/>
          <w:szCs w:val="24"/>
          <w:lang w:eastAsia="fr-FR"/>
        </w:rPr>
        <w:fldChar w:fldCharType="separate"/>
      </w:r>
      <w:r w:rsidR="00515B25">
        <w:rPr>
          <w:rFonts w:ascii="Times New Roman" w:eastAsia="Times New Roman" w:hAnsi="Times New Roman" w:cs="Times New Roman"/>
          <w:b/>
          <w:bCs/>
          <w:i w:val="0"/>
          <w:iCs w:val="0"/>
          <w:noProof/>
          <w:color w:val="auto"/>
          <w:kern w:val="3"/>
          <w:sz w:val="24"/>
          <w:szCs w:val="24"/>
          <w:lang w:eastAsia="fr-FR"/>
        </w:rPr>
        <w:t>40</w:t>
      </w:r>
      <w:r w:rsidR="007B5998" w:rsidRPr="009D0249">
        <w:rPr>
          <w:rFonts w:ascii="Times New Roman" w:eastAsia="Times New Roman" w:hAnsi="Times New Roman" w:cs="Times New Roman"/>
          <w:b/>
          <w:bCs/>
          <w:i w:val="0"/>
          <w:iCs w:val="0"/>
          <w:color w:val="auto"/>
          <w:kern w:val="3"/>
          <w:sz w:val="24"/>
          <w:szCs w:val="24"/>
          <w:lang w:eastAsia="fr-FR"/>
        </w:rPr>
        <w:fldChar w:fldCharType="end"/>
      </w:r>
      <w:r w:rsidRPr="009D0249">
        <w:rPr>
          <w:rFonts w:ascii="Times New Roman" w:eastAsia="Times New Roman" w:hAnsi="Times New Roman" w:cs="Times New Roman"/>
          <w:b/>
          <w:bCs/>
          <w:i w:val="0"/>
          <w:iCs w:val="0"/>
          <w:color w:val="auto"/>
          <w:kern w:val="3"/>
          <w:sz w:val="24"/>
          <w:szCs w:val="24"/>
          <w:lang w:eastAsia="fr-FR"/>
        </w:rPr>
        <w:t xml:space="preserve"> :</w:t>
      </w:r>
      <w:r w:rsidRPr="009D0249">
        <w:rPr>
          <w:rFonts w:ascii="Times New Roman" w:eastAsia="Times New Roman" w:hAnsi="Times New Roman" w:cs="Times New Roman"/>
          <w:i w:val="0"/>
          <w:iCs w:val="0"/>
          <w:color w:val="auto"/>
          <w:kern w:val="3"/>
          <w:sz w:val="24"/>
          <w:szCs w:val="24"/>
          <w:lang w:eastAsia="fr-FR"/>
        </w:rPr>
        <w:t xml:space="preserve"> Coefficient de corrélation et l’ANOVA</w:t>
      </w:r>
      <w:bookmarkEnd w:id="388"/>
    </w:p>
    <w:tbl>
      <w:tblPr>
        <w:tblStyle w:val="CV15"/>
        <w:tblW w:w="0" w:type="auto"/>
        <w:jc w:val="center"/>
        <w:tblLook w:val="04A0"/>
      </w:tblPr>
      <w:tblGrid>
        <w:gridCol w:w="2003"/>
        <w:gridCol w:w="990"/>
        <w:gridCol w:w="1024"/>
        <w:gridCol w:w="1010"/>
        <w:gridCol w:w="996"/>
        <w:gridCol w:w="945"/>
        <w:gridCol w:w="945"/>
      </w:tblGrid>
      <w:tr w:rsidR="005236B6" w:rsidRPr="00F922DA" w:rsidTr="00EC7780">
        <w:trPr>
          <w:jc w:val="center"/>
        </w:trPr>
        <w:tc>
          <w:tcPr>
            <w:tcW w:w="2003" w:type="dxa"/>
            <w:vAlign w:val="center"/>
          </w:tcPr>
          <w:p w:rsidR="005236B6" w:rsidRPr="00F922DA" w:rsidRDefault="005236B6" w:rsidP="00140168">
            <w:pPr>
              <w:spacing w:line="360" w:lineRule="auto"/>
              <w:jc w:val="center"/>
              <w:rPr>
                <w:rFonts w:asciiTheme="majorBidi" w:eastAsia="Calibri" w:hAnsiTheme="majorBidi" w:cstheme="majorBidi"/>
                <w:sz w:val="24"/>
                <w:szCs w:val="24"/>
              </w:rPr>
            </w:pPr>
            <w:r w:rsidRPr="00F922DA">
              <w:rPr>
                <w:rFonts w:asciiTheme="majorBidi" w:eastAsia="Calibri" w:hAnsiTheme="majorBidi" w:cstheme="majorBidi"/>
                <w:sz w:val="24"/>
                <w:szCs w:val="24"/>
              </w:rPr>
              <w:t>H1 (a)</w:t>
            </w:r>
          </w:p>
        </w:tc>
        <w:tc>
          <w:tcPr>
            <w:tcW w:w="990" w:type="dxa"/>
            <w:vAlign w:val="center"/>
          </w:tcPr>
          <w:p w:rsidR="005236B6" w:rsidRPr="00F922DA" w:rsidRDefault="005236B6" w:rsidP="00140168">
            <w:pPr>
              <w:spacing w:line="360" w:lineRule="auto"/>
              <w:jc w:val="center"/>
              <w:rPr>
                <w:rFonts w:asciiTheme="majorBidi" w:eastAsia="Calibri" w:hAnsiTheme="majorBidi" w:cstheme="majorBidi"/>
                <w:sz w:val="24"/>
                <w:szCs w:val="24"/>
              </w:rPr>
            </w:pPr>
            <w:r w:rsidRPr="00F922DA">
              <w:rPr>
                <w:rFonts w:asciiTheme="majorBidi" w:eastAsia="Calibri" w:hAnsiTheme="majorBidi" w:cstheme="majorBidi"/>
                <w:sz w:val="24"/>
                <w:szCs w:val="24"/>
              </w:rPr>
              <w:t>R</w:t>
            </w:r>
          </w:p>
        </w:tc>
        <w:tc>
          <w:tcPr>
            <w:tcW w:w="1024" w:type="dxa"/>
            <w:vAlign w:val="center"/>
          </w:tcPr>
          <w:p w:rsidR="005236B6" w:rsidRPr="00F922DA" w:rsidRDefault="005236B6" w:rsidP="00140168">
            <w:pPr>
              <w:spacing w:line="360" w:lineRule="auto"/>
              <w:jc w:val="center"/>
              <w:rPr>
                <w:rFonts w:asciiTheme="majorBidi" w:eastAsia="Calibri" w:hAnsiTheme="majorBidi" w:cstheme="majorBidi"/>
                <w:color w:val="000000"/>
                <w:sz w:val="24"/>
                <w:szCs w:val="24"/>
              </w:rPr>
            </w:pPr>
            <w:r w:rsidRPr="00F922DA">
              <w:rPr>
                <w:rFonts w:asciiTheme="majorBidi" w:eastAsia="Calibri" w:hAnsiTheme="majorBidi" w:cstheme="majorBidi"/>
                <w:color w:val="000000"/>
                <w:sz w:val="24"/>
                <w:szCs w:val="24"/>
              </w:rPr>
              <w:t>R-deux</w:t>
            </w:r>
          </w:p>
        </w:tc>
        <w:tc>
          <w:tcPr>
            <w:tcW w:w="1010" w:type="dxa"/>
            <w:vAlign w:val="center"/>
          </w:tcPr>
          <w:p w:rsidR="005236B6" w:rsidRPr="00F922DA" w:rsidRDefault="005236B6" w:rsidP="00140168">
            <w:pPr>
              <w:spacing w:line="360" w:lineRule="auto"/>
              <w:jc w:val="center"/>
              <w:rPr>
                <w:rFonts w:asciiTheme="majorBidi" w:eastAsia="Calibri" w:hAnsiTheme="majorBidi" w:cstheme="majorBidi"/>
                <w:color w:val="000000"/>
                <w:sz w:val="24"/>
                <w:szCs w:val="24"/>
              </w:rPr>
            </w:pPr>
            <w:r w:rsidRPr="00F922DA">
              <w:rPr>
                <w:rFonts w:asciiTheme="majorBidi" w:eastAsia="Calibri" w:hAnsiTheme="majorBidi" w:cstheme="majorBidi"/>
                <w:color w:val="000000"/>
                <w:sz w:val="24"/>
                <w:szCs w:val="24"/>
              </w:rPr>
              <w:t>R-deux ajusté</w:t>
            </w:r>
          </w:p>
        </w:tc>
        <w:tc>
          <w:tcPr>
            <w:tcW w:w="996" w:type="dxa"/>
            <w:vAlign w:val="center"/>
          </w:tcPr>
          <w:p w:rsidR="005236B6" w:rsidRPr="00F922DA" w:rsidRDefault="005236B6" w:rsidP="00140168">
            <w:pPr>
              <w:spacing w:line="360" w:lineRule="auto"/>
              <w:jc w:val="center"/>
              <w:rPr>
                <w:rFonts w:asciiTheme="majorBidi" w:eastAsia="Calibri" w:hAnsiTheme="majorBidi" w:cstheme="majorBidi"/>
                <w:sz w:val="24"/>
                <w:szCs w:val="24"/>
              </w:rPr>
            </w:pPr>
            <w:r w:rsidRPr="00F922DA">
              <w:rPr>
                <w:rFonts w:asciiTheme="majorBidi" w:eastAsia="Calibri" w:hAnsiTheme="majorBidi" w:cstheme="majorBidi"/>
                <w:sz w:val="24"/>
                <w:szCs w:val="24"/>
              </w:rPr>
              <w:t>F</w:t>
            </w:r>
          </w:p>
        </w:tc>
        <w:tc>
          <w:tcPr>
            <w:tcW w:w="945" w:type="dxa"/>
            <w:vAlign w:val="center"/>
          </w:tcPr>
          <w:p w:rsidR="005236B6" w:rsidRPr="00F922DA" w:rsidRDefault="005236B6" w:rsidP="00140168">
            <w:pPr>
              <w:spacing w:line="360" w:lineRule="auto"/>
              <w:jc w:val="center"/>
              <w:rPr>
                <w:rFonts w:asciiTheme="majorBidi" w:eastAsia="Calibri" w:hAnsiTheme="majorBidi" w:cstheme="majorBidi"/>
                <w:sz w:val="24"/>
                <w:szCs w:val="24"/>
              </w:rPr>
            </w:pPr>
            <w:r w:rsidRPr="00F922DA">
              <w:rPr>
                <w:rFonts w:asciiTheme="majorBidi" w:eastAsia="Calibri" w:hAnsiTheme="majorBidi" w:cstheme="majorBidi"/>
                <w:sz w:val="24"/>
                <w:szCs w:val="24"/>
              </w:rPr>
              <w:t>sig</w:t>
            </w:r>
          </w:p>
        </w:tc>
        <w:tc>
          <w:tcPr>
            <w:tcW w:w="945" w:type="dxa"/>
            <w:vAlign w:val="center"/>
          </w:tcPr>
          <w:p w:rsidR="005236B6" w:rsidRPr="00F922DA" w:rsidRDefault="005236B6" w:rsidP="00140168">
            <w:pPr>
              <w:spacing w:line="360" w:lineRule="auto"/>
              <w:jc w:val="center"/>
              <w:rPr>
                <w:rFonts w:asciiTheme="majorBidi" w:eastAsia="Calibri" w:hAnsiTheme="majorBidi" w:cstheme="majorBidi"/>
                <w:sz w:val="24"/>
                <w:szCs w:val="24"/>
              </w:rPr>
            </w:pPr>
            <w:r w:rsidRPr="00F922DA">
              <w:rPr>
                <w:rFonts w:asciiTheme="majorBidi" w:eastAsia="Calibri" w:hAnsiTheme="majorBidi" w:cstheme="majorBidi"/>
                <w:color w:val="000000"/>
                <w:sz w:val="24"/>
                <w:szCs w:val="24"/>
              </w:rPr>
              <w:t>Degré de liberté</w:t>
            </w:r>
          </w:p>
        </w:tc>
      </w:tr>
      <w:tr w:rsidR="005236B6" w:rsidRPr="00F922DA" w:rsidTr="00EC7780">
        <w:trPr>
          <w:jc w:val="center"/>
        </w:trPr>
        <w:tc>
          <w:tcPr>
            <w:tcW w:w="2003" w:type="dxa"/>
            <w:vAlign w:val="center"/>
          </w:tcPr>
          <w:p w:rsidR="005236B6" w:rsidRPr="00F922DA" w:rsidRDefault="005236B6" w:rsidP="00140168">
            <w:pPr>
              <w:spacing w:line="360" w:lineRule="auto"/>
              <w:jc w:val="center"/>
              <w:rPr>
                <w:rFonts w:asciiTheme="majorBidi" w:eastAsia="Calibri" w:hAnsiTheme="majorBidi" w:cstheme="majorBidi"/>
                <w:sz w:val="24"/>
                <w:szCs w:val="24"/>
                <w:lang w:bidi="ar-DZ"/>
              </w:rPr>
            </w:pPr>
            <w:r w:rsidRPr="00F922DA">
              <w:rPr>
                <w:rFonts w:asciiTheme="majorBidi" w:eastAsia="Calibri" w:hAnsiTheme="majorBidi" w:cstheme="majorBidi"/>
                <w:sz w:val="24"/>
                <w:szCs w:val="24"/>
              </w:rPr>
              <w:t>Intention d’achat</w:t>
            </w:r>
            <w:r w:rsidRPr="00F922DA">
              <w:rPr>
                <w:rFonts w:asciiTheme="majorBidi" w:eastAsia="Calibri" w:hAnsiTheme="majorBidi" w:cstheme="majorBidi"/>
                <w:sz w:val="24"/>
                <w:szCs w:val="24"/>
                <w:rtl/>
                <w:lang w:bidi="ar-DZ"/>
              </w:rPr>
              <w:t xml:space="preserve"> ~</w:t>
            </w:r>
            <w:r w:rsidRPr="00F922DA">
              <w:rPr>
                <w:rFonts w:asciiTheme="majorBidi" w:eastAsia="Calibri" w:hAnsiTheme="majorBidi" w:cstheme="majorBidi"/>
                <w:sz w:val="24"/>
                <w:szCs w:val="24"/>
              </w:rPr>
              <w:t>niveau de conscience sanitaire</w:t>
            </w:r>
          </w:p>
        </w:tc>
        <w:tc>
          <w:tcPr>
            <w:tcW w:w="990"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sidRPr="00F922DA">
              <w:rPr>
                <w:rFonts w:ascii="Times New Roman" w:eastAsia="Times New Roman" w:hAnsi="Times New Roman" w:cs="Times New Roman"/>
                <w:sz w:val="24"/>
                <w:szCs w:val="24"/>
                <w:lang w:eastAsia="fr-FR"/>
              </w:rPr>
              <w:t>0,513</w:t>
            </w:r>
            <w:r w:rsidRPr="00F922DA">
              <w:rPr>
                <w:rFonts w:ascii="Times New Roman" w:eastAsia="Times New Roman" w:hAnsi="Times New Roman" w:cs="Times New Roman"/>
                <w:sz w:val="24"/>
                <w:szCs w:val="24"/>
                <w:vertAlign w:val="superscript"/>
                <w:lang w:eastAsia="fr-FR"/>
              </w:rPr>
              <w:t>a</w:t>
            </w:r>
          </w:p>
        </w:tc>
        <w:tc>
          <w:tcPr>
            <w:tcW w:w="1024"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sidRPr="00F922DA">
              <w:rPr>
                <w:rFonts w:ascii="Times New Roman" w:eastAsia="Times New Roman" w:hAnsi="Times New Roman" w:cs="Times New Roman"/>
                <w:sz w:val="24"/>
                <w:szCs w:val="24"/>
                <w:lang w:eastAsia="fr-FR"/>
              </w:rPr>
              <w:t>0,263</w:t>
            </w:r>
          </w:p>
        </w:tc>
        <w:tc>
          <w:tcPr>
            <w:tcW w:w="1010"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sidRPr="00F922DA">
              <w:rPr>
                <w:rFonts w:ascii="Times New Roman" w:eastAsia="Times New Roman" w:hAnsi="Times New Roman" w:cs="Times New Roman"/>
                <w:sz w:val="24"/>
                <w:szCs w:val="24"/>
                <w:lang w:eastAsia="fr-FR"/>
              </w:rPr>
              <w:t>0,259</w:t>
            </w:r>
          </w:p>
        </w:tc>
        <w:tc>
          <w:tcPr>
            <w:tcW w:w="996" w:type="dxa"/>
            <w:vAlign w:val="center"/>
          </w:tcPr>
          <w:p w:rsidR="005236B6" w:rsidRPr="00F922DA" w:rsidRDefault="005236B6" w:rsidP="00140168">
            <w:pPr>
              <w:spacing w:line="360" w:lineRule="auto"/>
              <w:contextualSpacing/>
              <w:jc w:val="center"/>
              <w:rPr>
                <w:rFonts w:asciiTheme="majorBidi" w:eastAsia="Calibri" w:hAnsiTheme="majorBidi" w:cstheme="majorBidi"/>
                <w:color w:val="000000"/>
                <w:sz w:val="24"/>
                <w:szCs w:val="24"/>
              </w:rPr>
            </w:pPr>
            <w:r w:rsidRPr="00F922DA">
              <w:rPr>
                <w:rFonts w:asciiTheme="majorBidi" w:hAnsiTheme="majorBidi" w:cstheme="majorBidi"/>
                <w:color w:val="010205"/>
                <w:sz w:val="24"/>
                <w:szCs w:val="24"/>
              </w:rPr>
              <w:t>72.347</w:t>
            </w:r>
          </w:p>
        </w:tc>
        <w:tc>
          <w:tcPr>
            <w:tcW w:w="945" w:type="dxa"/>
            <w:vAlign w:val="center"/>
          </w:tcPr>
          <w:p w:rsidR="005236B6" w:rsidRPr="00F922DA" w:rsidRDefault="005236B6" w:rsidP="00140168">
            <w:pPr>
              <w:spacing w:line="360" w:lineRule="auto"/>
              <w:contextualSpacing/>
              <w:jc w:val="center"/>
              <w:rPr>
                <w:rFonts w:asciiTheme="majorBidi" w:eastAsia="Calibri" w:hAnsiTheme="majorBidi" w:cstheme="majorBidi"/>
                <w:color w:val="000000"/>
                <w:sz w:val="24"/>
                <w:szCs w:val="24"/>
              </w:rPr>
            </w:pPr>
            <w:r w:rsidRPr="00F922DA">
              <w:rPr>
                <w:rFonts w:asciiTheme="majorBidi" w:eastAsia="Calibri" w:hAnsiTheme="majorBidi" w:cstheme="majorBidi"/>
                <w:color w:val="000000"/>
                <w:sz w:val="24"/>
                <w:szCs w:val="24"/>
              </w:rPr>
              <w:t>0.000</w:t>
            </w:r>
          </w:p>
        </w:tc>
        <w:tc>
          <w:tcPr>
            <w:tcW w:w="945" w:type="dxa"/>
            <w:vAlign w:val="center"/>
          </w:tcPr>
          <w:p w:rsidR="005236B6" w:rsidRPr="00F922DA" w:rsidRDefault="005236B6" w:rsidP="00140168">
            <w:pPr>
              <w:spacing w:line="360" w:lineRule="auto"/>
              <w:contextualSpacing/>
              <w:jc w:val="center"/>
              <w:rPr>
                <w:rFonts w:asciiTheme="majorBidi" w:eastAsia="Calibri" w:hAnsiTheme="majorBidi" w:cstheme="majorBidi"/>
                <w:color w:val="000000"/>
                <w:sz w:val="24"/>
                <w:szCs w:val="24"/>
              </w:rPr>
            </w:pPr>
            <w:r w:rsidRPr="00F922DA">
              <w:rPr>
                <w:rFonts w:asciiTheme="majorBidi" w:eastAsia="Calibri" w:hAnsiTheme="majorBidi" w:cstheme="majorBidi"/>
                <w:color w:val="000000"/>
                <w:sz w:val="24"/>
                <w:szCs w:val="24"/>
              </w:rPr>
              <w:t>1</w:t>
            </w:r>
          </w:p>
          <w:p w:rsidR="005236B6" w:rsidRPr="00F922DA" w:rsidRDefault="005236B6" w:rsidP="00140168">
            <w:pPr>
              <w:spacing w:line="360" w:lineRule="auto"/>
              <w:contextualSpacing/>
              <w:jc w:val="center"/>
              <w:rPr>
                <w:rFonts w:asciiTheme="majorBidi" w:eastAsia="Calibri" w:hAnsiTheme="majorBidi" w:cstheme="majorBidi"/>
                <w:color w:val="000000"/>
                <w:sz w:val="24"/>
                <w:szCs w:val="24"/>
              </w:rPr>
            </w:pPr>
            <w:r w:rsidRPr="00F922DA">
              <w:rPr>
                <w:rFonts w:asciiTheme="majorBidi" w:eastAsia="Calibri" w:hAnsiTheme="majorBidi" w:cstheme="majorBidi"/>
                <w:color w:val="000000"/>
                <w:sz w:val="24"/>
                <w:szCs w:val="24"/>
              </w:rPr>
              <w:t>203</w:t>
            </w:r>
          </w:p>
          <w:p w:rsidR="005236B6" w:rsidRPr="00F922DA" w:rsidRDefault="005236B6" w:rsidP="00140168">
            <w:pPr>
              <w:spacing w:line="360" w:lineRule="auto"/>
              <w:contextualSpacing/>
              <w:jc w:val="center"/>
              <w:rPr>
                <w:rFonts w:asciiTheme="majorBidi" w:eastAsia="Calibri" w:hAnsiTheme="majorBidi" w:cstheme="majorBidi"/>
                <w:color w:val="000000"/>
                <w:sz w:val="24"/>
                <w:szCs w:val="24"/>
              </w:rPr>
            </w:pPr>
            <w:r w:rsidRPr="00F922DA">
              <w:rPr>
                <w:rFonts w:asciiTheme="majorBidi" w:eastAsia="Calibri" w:hAnsiTheme="majorBidi" w:cstheme="majorBidi"/>
                <w:color w:val="000000"/>
                <w:sz w:val="24"/>
                <w:szCs w:val="24"/>
              </w:rPr>
              <w:t>204</w:t>
            </w:r>
          </w:p>
        </w:tc>
      </w:tr>
    </w:tbl>
    <w:p w:rsidR="005236B6" w:rsidRPr="00882245" w:rsidRDefault="005236B6" w:rsidP="00F7493D">
      <w:pPr>
        <w:spacing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9D0249" w:rsidRDefault="005236B6" w:rsidP="00F7493D">
      <w:pPr>
        <w:spacing w:after="0" w:line="360" w:lineRule="auto"/>
        <w:jc w:val="lowKashida"/>
        <w:rPr>
          <w:rFonts w:asciiTheme="majorBidi" w:hAnsiTheme="majorBidi" w:cstheme="majorBidi"/>
          <w:b/>
          <w:bCs/>
          <w:sz w:val="24"/>
          <w:szCs w:val="24"/>
          <w:lang w:eastAsia="fr-FR"/>
        </w:rPr>
      </w:pPr>
      <w:r w:rsidRPr="009D0249">
        <w:rPr>
          <w:rFonts w:asciiTheme="majorBidi" w:hAnsiTheme="majorBidi" w:cstheme="majorBidi"/>
          <w:b/>
          <w:bCs/>
          <w:sz w:val="24"/>
          <w:szCs w:val="24"/>
          <w:lang w:eastAsia="fr-FR"/>
        </w:rPr>
        <w:t>Analyse de la Corrélation (Intensité du lien)</w:t>
      </w:r>
    </w:p>
    <w:p w:rsidR="005236B6" w:rsidRPr="0002603C" w:rsidRDefault="005236B6" w:rsidP="00140168">
      <w:pPr>
        <w:numPr>
          <w:ilvl w:val="0"/>
          <w:numId w:val="31"/>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02603C">
        <w:rPr>
          <w:rFonts w:ascii="Times New Roman" w:eastAsia="Times New Roman" w:hAnsi="Times New Roman" w:cs="Times New Roman"/>
          <w:b/>
          <w:bCs/>
          <w:sz w:val="24"/>
          <w:szCs w:val="24"/>
          <w:lang w:eastAsia="fr-FR"/>
        </w:rPr>
        <w:t>Le Coefficient de Corrélation (R = 0,513) :</w:t>
      </w:r>
      <w:r w:rsidRPr="0002603C">
        <w:rPr>
          <w:rFonts w:ascii="Times New Roman" w:eastAsia="Times New Roman" w:hAnsi="Times New Roman" w:cs="Times New Roman"/>
          <w:sz w:val="24"/>
          <w:szCs w:val="24"/>
          <w:lang w:eastAsia="fr-FR"/>
        </w:rPr>
        <w:t xml:space="preserve"> Cette valeur indique une </w:t>
      </w:r>
      <w:r w:rsidRPr="0002603C">
        <w:rPr>
          <w:rFonts w:ascii="Times New Roman" w:eastAsia="Times New Roman" w:hAnsi="Times New Roman" w:cs="Times New Roman"/>
          <w:b/>
          <w:bCs/>
          <w:sz w:val="24"/>
          <w:szCs w:val="24"/>
          <w:lang w:eastAsia="fr-FR"/>
        </w:rPr>
        <w:t>corrélation pos</w:t>
      </w:r>
      <w:r w:rsidRPr="0002603C">
        <w:rPr>
          <w:rFonts w:ascii="Times New Roman" w:eastAsia="Times New Roman" w:hAnsi="Times New Roman" w:cs="Times New Roman"/>
          <w:b/>
          <w:bCs/>
          <w:sz w:val="24"/>
          <w:szCs w:val="24"/>
          <w:lang w:eastAsia="fr-FR"/>
        </w:rPr>
        <w:t>i</w:t>
      </w:r>
      <w:r w:rsidRPr="0002603C">
        <w:rPr>
          <w:rFonts w:ascii="Times New Roman" w:eastAsia="Times New Roman" w:hAnsi="Times New Roman" w:cs="Times New Roman"/>
          <w:b/>
          <w:bCs/>
          <w:sz w:val="24"/>
          <w:szCs w:val="24"/>
          <w:lang w:eastAsia="fr-FR"/>
        </w:rPr>
        <w:t>tive d'intensité forte</w:t>
      </w:r>
      <w:r w:rsidRPr="0002603C">
        <w:rPr>
          <w:rFonts w:ascii="Times New Roman" w:eastAsia="Times New Roman" w:hAnsi="Times New Roman" w:cs="Times New Roman"/>
          <w:sz w:val="24"/>
          <w:szCs w:val="24"/>
          <w:lang w:eastAsia="fr-FR"/>
        </w:rPr>
        <w:t>. Cela signifie que plus la con</w:t>
      </w:r>
      <w:r w:rsidRPr="008A7B0C">
        <w:rPr>
          <w:rFonts w:ascii="Times New Roman" w:eastAsia="Times New Roman" w:hAnsi="Times New Roman" w:cs="Times New Roman"/>
          <w:sz w:val="24"/>
          <w:szCs w:val="24"/>
          <w:lang w:eastAsia="fr-FR"/>
        </w:rPr>
        <w:t xml:space="preserve">science sanitaire d'un individu </w:t>
      </w:r>
      <w:r w:rsidRPr="0002603C">
        <w:rPr>
          <w:rFonts w:ascii="Times New Roman" w:eastAsia="Times New Roman" w:hAnsi="Times New Roman" w:cs="Times New Roman"/>
          <w:sz w:val="24"/>
          <w:szCs w:val="24"/>
          <w:lang w:eastAsia="fr-FR"/>
        </w:rPr>
        <w:t>est d</w:t>
      </w:r>
      <w:r w:rsidRPr="0002603C">
        <w:rPr>
          <w:rFonts w:ascii="Times New Roman" w:eastAsia="Times New Roman" w:hAnsi="Times New Roman" w:cs="Times New Roman"/>
          <w:sz w:val="24"/>
          <w:szCs w:val="24"/>
          <w:lang w:eastAsia="fr-FR"/>
        </w:rPr>
        <w:t>é</w:t>
      </w:r>
      <w:r w:rsidRPr="0002603C">
        <w:rPr>
          <w:rFonts w:ascii="Times New Roman" w:eastAsia="Times New Roman" w:hAnsi="Times New Roman" w:cs="Times New Roman"/>
          <w:sz w:val="24"/>
          <w:szCs w:val="24"/>
          <w:lang w:eastAsia="fr-FR"/>
        </w:rPr>
        <w:t>veloppée, plus son intention d'acheter des produits (vraisemblablement biologiques) est marquée.</w:t>
      </w:r>
    </w:p>
    <w:p w:rsidR="005236B6" w:rsidRPr="0002603C" w:rsidRDefault="005236B6" w:rsidP="00140168">
      <w:pPr>
        <w:numPr>
          <w:ilvl w:val="0"/>
          <w:numId w:val="31"/>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02603C">
        <w:rPr>
          <w:rFonts w:ascii="Times New Roman" w:eastAsia="Times New Roman" w:hAnsi="Times New Roman" w:cs="Times New Roman"/>
          <w:b/>
          <w:bCs/>
          <w:sz w:val="24"/>
          <w:szCs w:val="24"/>
          <w:lang w:eastAsia="fr-FR"/>
        </w:rPr>
        <w:t>Le Coefficient de Détermination (R2 = 0,263) :</w:t>
      </w:r>
      <w:r w:rsidRPr="0002603C">
        <w:rPr>
          <w:rFonts w:ascii="Times New Roman" w:eastAsia="Times New Roman" w:hAnsi="Times New Roman" w:cs="Times New Roman"/>
          <w:sz w:val="24"/>
          <w:szCs w:val="24"/>
          <w:lang w:eastAsia="fr-FR"/>
        </w:rPr>
        <w:t xml:space="preserve"> La conscience sanitaire explique à elle seule </w:t>
      </w:r>
      <w:r w:rsidRPr="0002603C">
        <w:rPr>
          <w:rFonts w:ascii="Times New Roman" w:eastAsia="Times New Roman" w:hAnsi="Times New Roman" w:cs="Times New Roman"/>
          <w:b/>
          <w:bCs/>
          <w:sz w:val="24"/>
          <w:szCs w:val="24"/>
          <w:lang w:eastAsia="fr-FR"/>
        </w:rPr>
        <w:t>26,3 %</w:t>
      </w:r>
      <w:r w:rsidRPr="0002603C">
        <w:rPr>
          <w:rFonts w:ascii="Times New Roman" w:eastAsia="Times New Roman" w:hAnsi="Times New Roman" w:cs="Times New Roman"/>
          <w:sz w:val="24"/>
          <w:szCs w:val="24"/>
          <w:lang w:eastAsia="fr-FR"/>
        </w:rPr>
        <w:t xml:space="preserve"> de la variance de l'intention d'achat.</w:t>
      </w:r>
    </w:p>
    <w:p w:rsidR="005236B6" w:rsidRPr="009D0249" w:rsidRDefault="005236B6" w:rsidP="00140168">
      <w:pPr>
        <w:spacing w:after="0" w:line="360" w:lineRule="auto"/>
        <w:jc w:val="lowKashida"/>
        <w:rPr>
          <w:rFonts w:asciiTheme="majorBidi" w:hAnsiTheme="majorBidi" w:cstheme="majorBidi"/>
          <w:b/>
          <w:bCs/>
          <w:color w:val="000000" w:themeColor="text1"/>
          <w:sz w:val="24"/>
          <w:szCs w:val="24"/>
        </w:rPr>
      </w:pPr>
      <w:r w:rsidRPr="009D0249">
        <w:rPr>
          <w:rFonts w:asciiTheme="majorBidi" w:hAnsiTheme="majorBidi" w:cstheme="majorBidi"/>
          <w:b/>
          <w:bCs/>
          <w:color w:val="000000" w:themeColor="text1"/>
          <w:sz w:val="24"/>
          <w:szCs w:val="24"/>
        </w:rPr>
        <w:t>Analyse de la Validité Statistique (ANOVA)</w:t>
      </w:r>
    </w:p>
    <w:p w:rsidR="005236B6" w:rsidRPr="008A7B0C" w:rsidRDefault="005236B6" w:rsidP="00140168">
      <w:pPr>
        <w:pStyle w:val="NormalWeb"/>
        <w:spacing w:after="0" w:line="360" w:lineRule="auto"/>
        <w:jc w:val="both"/>
      </w:pPr>
      <w:r w:rsidRPr="008A7B0C">
        <w:t>Le modèle est statistiquement très solide pour valider cette relation :</w:t>
      </w:r>
    </w:p>
    <w:p w:rsidR="005236B6" w:rsidRPr="008A7B0C" w:rsidRDefault="005236B6" w:rsidP="00140168">
      <w:pPr>
        <w:pStyle w:val="NormalWeb"/>
        <w:numPr>
          <w:ilvl w:val="0"/>
          <w:numId w:val="32"/>
        </w:numPr>
        <w:spacing w:after="0" w:line="360" w:lineRule="auto"/>
        <w:jc w:val="both"/>
      </w:pPr>
      <w:r w:rsidRPr="008A7B0C">
        <w:rPr>
          <w:b/>
          <w:bCs/>
        </w:rPr>
        <w:t xml:space="preserve">La Statistique </w:t>
      </w:r>
      <w:r w:rsidRPr="008A7B0C">
        <w:rPr>
          <w:rStyle w:val="math-inline"/>
        </w:rPr>
        <w:t>F</w:t>
      </w:r>
      <w:r w:rsidRPr="008A7B0C">
        <w:rPr>
          <w:b/>
          <w:bCs/>
        </w:rPr>
        <w:t xml:space="preserve"> (</w:t>
      </w:r>
      <w:r w:rsidRPr="008A7B0C">
        <w:rPr>
          <w:rStyle w:val="math-inline"/>
        </w:rPr>
        <w:t>72,347</w:t>
      </w:r>
      <w:r w:rsidRPr="008A7B0C">
        <w:rPr>
          <w:b/>
          <w:bCs/>
        </w:rPr>
        <w:t>) :</w:t>
      </w:r>
      <w:r w:rsidRPr="008A7B0C">
        <w:t xml:space="preserve"> Cette valeur élevée confirme que le modèle de régression est hautement prédictif et que la variable "conscience sanitaire" apporte une information cr</w:t>
      </w:r>
      <w:r w:rsidRPr="008A7B0C">
        <w:t>u</w:t>
      </w:r>
      <w:r w:rsidRPr="008A7B0C">
        <w:t>ciale pour comprendre l'intention d'achat.</w:t>
      </w:r>
    </w:p>
    <w:p w:rsidR="005236B6" w:rsidRPr="008A7B0C" w:rsidRDefault="005236B6" w:rsidP="00140168">
      <w:pPr>
        <w:pStyle w:val="NormalWeb"/>
        <w:numPr>
          <w:ilvl w:val="0"/>
          <w:numId w:val="32"/>
        </w:numPr>
        <w:spacing w:after="0" w:line="360" w:lineRule="auto"/>
        <w:jc w:val="both"/>
      </w:pPr>
      <w:r w:rsidRPr="008A7B0C">
        <w:rPr>
          <w:b/>
          <w:bCs/>
        </w:rPr>
        <w:t>La Signification (</w:t>
      </w:r>
      <w:r w:rsidRPr="008A7B0C">
        <w:rPr>
          <w:rStyle w:val="math-inline"/>
        </w:rPr>
        <w:t>Sig. = 0,000</w:t>
      </w:r>
      <w:r w:rsidRPr="008A7B0C">
        <w:rPr>
          <w:b/>
          <w:bCs/>
        </w:rPr>
        <w:t>) :</w:t>
      </w:r>
      <w:r w:rsidRPr="008A7B0C">
        <w:t xml:space="preserve"> Le seuil de signification étant inférieur à </w:t>
      </w:r>
      <w:r w:rsidRPr="008A7B0C">
        <w:rPr>
          <w:rStyle w:val="math-inline"/>
        </w:rPr>
        <w:t>0,05</w:t>
      </w:r>
      <w:r w:rsidRPr="008A7B0C">
        <w:t xml:space="preserve">, le résultat est </w:t>
      </w:r>
      <w:r w:rsidRPr="008A7B0C">
        <w:rPr>
          <w:b/>
          <w:bCs/>
        </w:rPr>
        <w:t>hautement significatif</w:t>
      </w:r>
      <w:r w:rsidRPr="008A7B0C">
        <w:t>.</w:t>
      </w:r>
    </w:p>
    <w:p w:rsidR="005236B6" w:rsidRPr="00140168" w:rsidRDefault="005236B6" w:rsidP="00140168">
      <w:pPr>
        <w:spacing w:after="0" w:line="360" w:lineRule="auto"/>
        <w:jc w:val="both"/>
        <w:rPr>
          <w:rFonts w:ascii="Times New Roman" w:eastAsia="Times New Roman" w:hAnsi="Times New Roman" w:cs="Times New Roman"/>
          <w:sz w:val="24"/>
          <w:szCs w:val="24"/>
          <w:rtl/>
          <w:lang w:eastAsia="fr-FR" w:bidi="ar-DZ"/>
        </w:rPr>
      </w:pPr>
      <w:r w:rsidRPr="0002603C">
        <w:rPr>
          <w:rFonts w:ascii="Times New Roman" w:eastAsia="Times New Roman" w:hAnsi="Times New Roman" w:cs="Times New Roman"/>
          <w:sz w:val="24"/>
          <w:szCs w:val="24"/>
          <w:lang w:eastAsia="fr-FR"/>
        </w:rPr>
        <w:lastRenderedPageBreak/>
        <w:t xml:space="preserve">Au regard des indicateurs statistiques </w:t>
      </w:r>
      <w:r w:rsidRPr="008A7B0C">
        <w:rPr>
          <w:rFonts w:ascii="Times New Roman" w:eastAsia="Times New Roman" w:hAnsi="Times New Roman" w:cs="Times New Roman"/>
          <w:sz w:val="24"/>
          <w:szCs w:val="24"/>
          <w:lang w:eastAsia="fr-FR"/>
        </w:rPr>
        <w:t>(</w:t>
      </w:r>
      <w:r w:rsidRPr="0002603C">
        <w:rPr>
          <w:rFonts w:ascii="Times New Roman" w:eastAsia="Times New Roman" w:hAnsi="Times New Roman" w:cs="Times New Roman"/>
          <w:sz w:val="24"/>
          <w:szCs w:val="24"/>
          <w:lang w:eastAsia="fr-FR"/>
        </w:rPr>
        <w:t xml:space="preserve">R=0,513 ; F=72,347 ; </w:t>
      </w:r>
      <w:r w:rsidRPr="008A7B0C">
        <w:rPr>
          <w:rFonts w:ascii="Times New Roman" w:eastAsia="Times New Roman" w:hAnsi="Times New Roman" w:cs="Times New Roman"/>
          <w:sz w:val="24"/>
          <w:szCs w:val="24"/>
          <w:lang w:eastAsia="fr-FR"/>
        </w:rPr>
        <w:t>p &lt; 0,05</w:t>
      </w:r>
      <w:r w:rsidRPr="0002603C">
        <w:rPr>
          <w:rFonts w:ascii="Times New Roman" w:eastAsia="Times New Roman" w:hAnsi="Times New Roman" w:cs="Times New Roman"/>
          <w:sz w:val="24"/>
          <w:szCs w:val="24"/>
          <w:lang w:eastAsia="fr-FR"/>
        </w:rPr>
        <w:t xml:space="preserve">), </w:t>
      </w:r>
      <w:r w:rsidRPr="0002603C">
        <w:rPr>
          <w:rFonts w:ascii="Times New Roman" w:eastAsia="Times New Roman" w:hAnsi="Times New Roman" w:cs="Times New Roman"/>
          <w:b/>
          <w:bCs/>
          <w:sz w:val="24"/>
          <w:szCs w:val="24"/>
          <w:lang w:eastAsia="fr-FR"/>
        </w:rPr>
        <w:t>l'hypothèse H1(d) est confirmée de manière indiscutable</w:t>
      </w:r>
      <w:r w:rsidRPr="0002603C">
        <w:rPr>
          <w:rFonts w:ascii="Times New Roman" w:eastAsia="Times New Roman" w:hAnsi="Times New Roman" w:cs="Times New Roman"/>
          <w:sz w:val="24"/>
          <w:szCs w:val="24"/>
          <w:lang w:eastAsia="fr-FR"/>
        </w:rPr>
        <w:t>.</w:t>
      </w:r>
    </w:p>
    <w:p w:rsidR="005236B6" w:rsidRPr="00B8064A" w:rsidRDefault="00B8064A" w:rsidP="00140168">
      <w:pPr>
        <w:pStyle w:val="Lgende"/>
        <w:spacing w:after="0" w:line="360" w:lineRule="auto"/>
        <w:rPr>
          <w:rFonts w:ascii="Times New Roman" w:eastAsia="Times New Roman" w:hAnsi="Times New Roman" w:cs="Times New Roman"/>
          <w:i w:val="0"/>
          <w:iCs w:val="0"/>
          <w:color w:val="auto"/>
          <w:kern w:val="3"/>
          <w:sz w:val="24"/>
          <w:szCs w:val="24"/>
          <w:lang w:eastAsia="fr-FR"/>
        </w:rPr>
      </w:pPr>
      <w:bookmarkStart w:id="389" w:name="_Toc230400779"/>
      <w:r w:rsidRPr="00B8064A">
        <w:rPr>
          <w:rFonts w:ascii="Times New Roman" w:eastAsia="Times New Roman" w:hAnsi="Times New Roman" w:cs="Times New Roman"/>
          <w:b/>
          <w:bCs/>
          <w:i w:val="0"/>
          <w:iCs w:val="0"/>
          <w:color w:val="auto"/>
          <w:kern w:val="3"/>
          <w:sz w:val="24"/>
          <w:szCs w:val="24"/>
          <w:lang w:eastAsia="fr-FR"/>
        </w:rPr>
        <w:t xml:space="preserve">Tableau </w:t>
      </w:r>
      <w:r w:rsidR="007B5998" w:rsidRPr="00B8064A">
        <w:rPr>
          <w:rFonts w:ascii="Times New Roman" w:eastAsia="Times New Roman" w:hAnsi="Times New Roman" w:cs="Times New Roman"/>
          <w:b/>
          <w:bCs/>
          <w:i w:val="0"/>
          <w:iCs w:val="0"/>
          <w:color w:val="auto"/>
          <w:kern w:val="3"/>
          <w:sz w:val="24"/>
          <w:szCs w:val="24"/>
          <w:lang w:eastAsia="fr-FR"/>
        </w:rPr>
        <w:fldChar w:fldCharType="begin"/>
      </w:r>
      <w:r w:rsidRPr="00B8064A">
        <w:rPr>
          <w:rFonts w:ascii="Times New Roman" w:eastAsia="Times New Roman" w:hAnsi="Times New Roman" w:cs="Times New Roman"/>
          <w:b/>
          <w:bCs/>
          <w:i w:val="0"/>
          <w:iCs w:val="0"/>
          <w:color w:val="auto"/>
          <w:kern w:val="3"/>
          <w:sz w:val="24"/>
          <w:szCs w:val="24"/>
          <w:lang w:eastAsia="fr-FR"/>
        </w:rPr>
        <w:instrText xml:space="preserve"> SEQ Tableau \* ARABIC </w:instrText>
      </w:r>
      <w:r w:rsidR="007B5998" w:rsidRPr="00B8064A">
        <w:rPr>
          <w:rFonts w:ascii="Times New Roman" w:eastAsia="Times New Roman" w:hAnsi="Times New Roman" w:cs="Times New Roman"/>
          <w:b/>
          <w:bCs/>
          <w:i w:val="0"/>
          <w:iCs w:val="0"/>
          <w:color w:val="auto"/>
          <w:kern w:val="3"/>
          <w:sz w:val="24"/>
          <w:szCs w:val="24"/>
          <w:lang w:eastAsia="fr-FR"/>
        </w:rPr>
        <w:fldChar w:fldCharType="separate"/>
      </w:r>
      <w:r w:rsidR="00515B25">
        <w:rPr>
          <w:rFonts w:ascii="Times New Roman" w:eastAsia="Times New Roman" w:hAnsi="Times New Roman" w:cs="Times New Roman"/>
          <w:b/>
          <w:bCs/>
          <w:i w:val="0"/>
          <w:iCs w:val="0"/>
          <w:noProof/>
          <w:color w:val="auto"/>
          <w:kern w:val="3"/>
          <w:sz w:val="24"/>
          <w:szCs w:val="24"/>
          <w:lang w:eastAsia="fr-FR"/>
        </w:rPr>
        <w:t>41</w:t>
      </w:r>
      <w:r w:rsidR="007B5998" w:rsidRPr="00B8064A">
        <w:rPr>
          <w:rFonts w:ascii="Times New Roman" w:eastAsia="Times New Roman" w:hAnsi="Times New Roman" w:cs="Times New Roman"/>
          <w:b/>
          <w:bCs/>
          <w:i w:val="0"/>
          <w:iCs w:val="0"/>
          <w:color w:val="auto"/>
          <w:kern w:val="3"/>
          <w:sz w:val="24"/>
          <w:szCs w:val="24"/>
          <w:lang w:eastAsia="fr-FR"/>
        </w:rPr>
        <w:fldChar w:fldCharType="end"/>
      </w:r>
      <w:r w:rsidRPr="00B8064A">
        <w:rPr>
          <w:rFonts w:ascii="Times New Roman" w:eastAsia="Times New Roman" w:hAnsi="Times New Roman" w:cs="Times New Roman"/>
          <w:b/>
          <w:bCs/>
          <w:i w:val="0"/>
          <w:iCs w:val="0"/>
          <w:color w:val="auto"/>
          <w:kern w:val="3"/>
          <w:sz w:val="24"/>
          <w:szCs w:val="24"/>
          <w:lang w:eastAsia="fr-FR"/>
        </w:rPr>
        <w:t xml:space="preserve"> : </w:t>
      </w:r>
      <w:r w:rsidRPr="00B8064A">
        <w:rPr>
          <w:rFonts w:ascii="Times New Roman" w:eastAsia="Times New Roman" w:hAnsi="Times New Roman" w:cs="Times New Roman"/>
          <w:i w:val="0"/>
          <w:iCs w:val="0"/>
          <w:color w:val="auto"/>
          <w:kern w:val="3"/>
          <w:sz w:val="24"/>
          <w:szCs w:val="24"/>
          <w:lang w:eastAsia="fr-FR"/>
        </w:rPr>
        <w:t>Coefficients de régression linéaire</w:t>
      </w:r>
      <w:bookmarkEnd w:id="389"/>
    </w:p>
    <w:tbl>
      <w:tblPr>
        <w:tblStyle w:val="Grilledutableau"/>
        <w:tblW w:w="0" w:type="auto"/>
        <w:jc w:val="center"/>
        <w:tblLook w:val="04A0"/>
      </w:tblPr>
      <w:tblGrid>
        <w:gridCol w:w="1081"/>
        <w:gridCol w:w="2003"/>
        <w:gridCol w:w="1184"/>
        <w:gridCol w:w="1248"/>
        <w:gridCol w:w="1184"/>
        <w:gridCol w:w="1184"/>
      </w:tblGrid>
      <w:tr w:rsidR="005236B6" w:rsidRPr="00AF02BD" w:rsidTr="00EC7780">
        <w:trPr>
          <w:jc w:val="center"/>
        </w:trPr>
        <w:tc>
          <w:tcPr>
            <w:tcW w:w="3084" w:type="dxa"/>
            <w:gridSpan w:val="2"/>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c>
          <w:tcPr>
            <w:tcW w:w="2432" w:type="dxa"/>
            <w:gridSpan w:val="2"/>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Coefficients non standardisés</w:t>
            </w:r>
          </w:p>
        </w:tc>
        <w:tc>
          <w:tcPr>
            <w:tcW w:w="1184" w:type="dxa"/>
            <w:vMerge w:val="restart"/>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T</w:t>
            </w:r>
          </w:p>
        </w:tc>
        <w:tc>
          <w:tcPr>
            <w:tcW w:w="1184" w:type="dxa"/>
            <w:vMerge w:val="restart"/>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Sig</w:t>
            </w:r>
          </w:p>
        </w:tc>
      </w:tr>
      <w:tr w:rsidR="005236B6" w:rsidRPr="00AF02BD" w:rsidTr="00EC7780">
        <w:trPr>
          <w:jc w:val="center"/>
        </w:trPr>
        <w:tc>
          <w:tcPr>
            <w:tcW w:w="3084" w:type="dxa"/>
            <w:gridSpan w:val="2"/>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Modèle</w:t>
            </w:r>
          </w:p>
        </w:tc>
        <w:tc>
          <w:tcPr>
            <w:tcW w:w="1184"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B</w:t>
            </w:r>
          </w:p>
        </w:tc>
        <w:tc>
          <w:tcPr>
            <w:tcW w:w="1248"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Ecart standard</w:t>
            </w:r>
          </w:p>
        </w:tc>
        <w:tc>
          <w:tcPr>
            <w:tcW w:w="1184" w:type="dxa"/>
            <w:vMerge/>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c>
          <w:tcPr>
            <w:tcW w:w="1184" w:type="dxa"/>
            <w:vMerge/>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r>
      <w:tr w:rsidR="005236B6" w:rsidRPr="00AF02BD" w:rsidTr="00EC7780">
        <w:trPr>
          <w:jc w:val="center"/>
        </w:trPr>
        <w:tc>
          <w:tcPr>
            <w:tcW w:w="1081" w:type="dxa"/>
            <w:vMerge w:val="restart"/>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1</w:t>
            </w:r>
          </w:p>
        </w:tc>
        <w:tc>
          <w:tcPr>
            <w:tcW w:w="2003"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sidRPr="00AF02BD">
              <w:rPr>
                <w:rFonts w:ascii="Times New Roman" w:eastAsia="Times New Roman" w:hAnsi="Times New Roman" w:cs="Times New Roman"/>
                <w:sz w:val="24"/>
                <w:szCs w:val="24"/>
                <w:lang w:eastAsia="fr-FR"/>
              </w:rPr>
              <w:t>Constante</w:t>
            </w:r>
          </w:p>
        </w:tc>
        <w:tc>
          <w:tcPr>
            <w:tcW w:w="1184"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sidRPr="00F922DA">
              <w:rPr>
                <w:rFonts w:ascii="Times New Roman" w:eastAsia="Times New Roman" w:hAnsi="Times New Roman" w:cs="Times New Roman"/>
                <w:sz w:val="24"/>
                <w:szCs w:val="24"/>
                <w:lang w:eastAsia="fr-FR"/>
              </w:rPr>
              <w:t>1,563</w:t>
            </w:r>
          </w:p>
        </w:tc>
        <w:tc>
          <w:tcPr>
            <w:tcW w:w="1248"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F922DA">
              <w:rPr>
                <w:rFonts w:ascii="Times New Roman" w:eastAsia="Times New Roman" w:hAnsi="Times New Roman" w:cs="Times New Roman"/>
                <w:sz w:val="24"/>
                <w:szCs w:val="24"/>
                <w:lang w:eastAsia="fr-FR"/>
              </w:rPr>
              <w:t>,263</w:t>
            </w:r>
          </w:p>
        </w:tc>
        <w:tc>
          <w:tcPr>
            <w:tcW w:w="1184"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sidRPr="00F922DA">
              <w:rPr>
                <w:rFonts w:ascii="Times New Roman" w:eastAsia="Times New Roman" w:hAnsi="Times New Roman" w:cs="Times New Roman"/>
                <w:sz w:val="24"/>
                <w:szCs w:val="24"/>
                <w:lang w:eastAsia="fr-FR"/>
              </w:rPr>
              <w:t>5,933</w:t>
            </w:r>
          </w:p>
        </w:tc>
        <w:tc>
          <w:tcPr>
            <w:tcW w:w="1184"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F922DA">
              <w:rPr>
                <w:rFonts w:ascii="Times New Roman" w:eastAsia="Times New Roman" w:hAnsi="Times New Roman" w:cs="Times New Roman"/>
                <w:sz w:val="24"/>
                <w:szCs w:val="24"/>
                <w:lang w:eastAsia="fr-FR"/>
              </w:rPr>
              <w:t>,000</w:t>
            </w:r>
          </w:p>
        </w:tc>
      </w:tr>
      <w:tr w:rsidR="005236B6" w:rsidRPr="00AF02BD" w:rsidTr="00EC7780">
        <w:trPr>
          <w:jc w:val="center"/>
        </w:trPr>
        <w:tc>
          <w:tcPr>
            <w:tcW w:w="1081" w:type="dxa"/>
            <w:vMerge/>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p>
        </w:tc>
        <w:tc>
          <w:tcPr>
            <w:tcW w:w="2003" w:type="dxa"/>
            <w:vAlign w:val="center"/>
          </w:tcPr>
          <w:p w:rsidR="005236B6" w:rsidRPr="00AF02BD"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Sécurité sanitaire</w:t>
            </w:r>
          </w:p>
        </w:tc>
        <w:tc>
          <w:tcPr>
            <w:tcW w:w="1184"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F922DA">
              <w:rPr>
                <w:rFonts w:ascii="Times New Roman" w:eastAsia="Times New Roman" w:hAnsi="Times New Roman" w:cs="Times New Roman"/>
                <w:sz w:val="24"/>
                <w:szCs w:val="24"/>
                <w:lang w:eastAsia="fr-FR"/>
              </w:rPr>
              <w:t>,539</w:t>
            </w:r>
          </w:p>
        </w:tc>
        <w:tc>
          <w:tcPr>
            <w:tcW w:w="1248"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F922DA">
              <w:rPr>
                <w:rFonts w:ascii="Times New Roman" w:eastAsia="Times New Roman" w:hAnsi="Times New Roman" w:cs="Times New Roman"/>
                <w:sz w:val="24"/>
                <w:szCs w:val="24"/>
                <w:lang w:eastAsia="fr-FR"/>
              </w:rPr>
              <w:t>,063</w:t>
            </w:r>
          </w:p>
        </w:tc>
        <w:tc>
          <w:tcPr>
            <w:tcW w:w="1184"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sidRPr="00F922DA">
              <w:rPr>
                <w:rFonts w:ascii="Times New Roman" w:eastAsia="Times New Roman" w:hAnsi="Times New Roman" w:cs="Times New Roman"/>
                <w:sz w:val="24"/>
                <w:szCs w:val="24"/>
                <w:lang w:eastAsia="fr-FR"/>
              </w:rPr>
              <w:t>8,506</w:t>
            </w:r>
          </w:p>
        </w:tc>
        <w:tc>
          <w:tcPr>
            <w:tcW w:w="1184" w:type="dxa"/>
            <w:shd w:val="clear" w:color="auto" w:fill="FFFFFF"/>
            <w:vAlign w:val="center"/>
          </w:tcPr>
          <w:p w:rsidR="005236B6" w:rsidRPr="00F922DA" w:rsidRDefault="005236B6" w:rsidP="00140168">
            <w:pPr>
              <w:spacing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w:t>
            </w:r>
            <w:r w:rsidRPr="00F922DA">
              <w:rPr>
                <w:rFonts w:ascii="Times New Roman" w:eastAsia="Times New Roman" w:hAnsi="Times New Roman" w:cs="Times New Roman"/>
                <w:sz w:val="24"/>
                <w:szCs w:val="24"/>
                <w:lang w:eastAsia="fr-FR"/>
              </w:rPr>
              <w:t>,000</w:t>
            </w:r>
          </w:p>
        </w:tc>
      </w:tr>
    </w:tbl>
    <w:p w:rsidR="005236B6" w:rsidRPr="00882245" w:rsidRDefault="005236B6" w:rsidP="00140168">
      <w:pPr>
        <w:spacing w:after="0" w:line="360" w:lineRule="auto"/>
        <w:jc w:val="center"/>
        <w:rPr>
          <w:rFonts w:asciiTheme="majorBidi" w:hAnsiTheme="majorBidi" w:cstheme="majorBidi"/>
          <w:sz w:val="20"/>
          <w:szCs w:val="20"/>
        </w:rPr>
      </w:pPr>
      <w:r w:rsidRPr="00DE60BF">
        <w:rPr>
          <w:rFonts w:asciiTheme="majorBidi" w:hAnsiTheme="majorBidi" w:cstheme="majorBidi"/>
          <w:b/>
          <w:bCs/>
          <w:sz w:val="20"/>
          <w:szCs w:val="20"/>
        </w:rPr>
        <w:t>Source :</w:t>
      </w:r>
      <w:r w:rsidRPr="00DE60BF">
        <w:rPr>
          <w:rFonts w:asciiTheme="majorBidi" w:hAnsiTheme="majorBidi" w:cstheme="majorBidi"/>
          <w:sz w:val="20"/>
          <w:szCs w:val="20"/>
        </w:rPr>
        <w:t xml:space="preserve"> les résultats de SPSS</w:t>
      </w:r>
    </w:p>
    <w:p w:rsidR="005236B6" w:rsidRPr="00B8064A" w:rsidRDefault="005236B6" w:rsidP="00140168">
      <w:pPr>
        <w:spacing w:after="0" w:line="360" w:lineRule="auto"/>
        <w:jc w:val="lowKashida"/>
        <w:rPr>
          <w:rFonts w:asciiTheme="majorBidi" w:hAnsiTheme="majorBidi" w:cstheme="majorBidi"/>
          <w:b/>
          <w:bCs/>
          <w:sz w:val="24"/>
          <w:szCs w:val="24"/>
          <w:lang w:eastAsia="fr-FR"/>
        </w:rPr>
      </w:pPr>
      <w:r w:rsidRPr="00B8064A">
        <w:rPr>
          <w:rFonts w:asciiTheme="majorBidi" w:hAnsiTheme="majorBidi" w:cstheme="majorBidi"/>
          <w:b/>
          <w:bCs/>
          <w:sz w:val="24"/>
          <w:szCs w:val="24"/>
          <w:lang w:eastAsia="fr-FR"/>
        </w:rPr>
        <w:t>Analyse des Coefficients de Régression</w:t>
      </w:r>
    </w:p>
    <w:p w:rsidR="005236B6" w:rsidRPr="008A7B0C" w:rsidRDefault="005236B6" w:rsidP="00140168">
      <w:pPr>
        <w:spacing w:after="0" w:line="360" w:lineRule="auto"/>
        <w:jc w:val="both"/>
        <w:rPr>
          <w:rFonts w:ascii="Times New Roman" w:eastAsia="Times New Roman" w:hAnsi="Times New Roman" w:cs="Times New Roman"/>
          <w:sz w:val="24"/>
          <w:szCs w:val="24"/>
          <w:lang w:eastAsia="fr-FR"/>
        </w:rPr>
      </w:pPr>
      <w:r w:rsidRPr="008A7B0C">
        <w:rPr>
          <w:rFonts w:ascii="Times New Roman" w:eastAsia="Times New Roman" w:hAnsi="Times New Roman" w:cs="Times New Roman"/>
          <w:sz w:val="24"/>
          <w:szCs w:val="24"/>
          <w:lang w:eastAsia="fr-FR"/>
        </w:rPr>
        <w:t>Le tableau des coefficients permet de modéliser mathématiquement l'influence de la conscience sanitaire sur la décision d'achat :</w:t>
      </w:r>
    </w:p>
    <w:p w:rsidR="005236B6" w:rsidRPr="008A7B0C" w:rsidRDefault="005236B6" w:rsidP="00140168">
      <w:pPr>
        <w:numPr>
          <w:ilvl w:val="0"/>
          <w:numId w:val="33"/>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8A7B0C">
        <w:rPr>
          <w:rFonts w:ascii="Times New Roman" w:eastAsia="Times New Roman" w:hAnsi="Times New Roman" w:cs="Times New Roman"/>
          <w:sz w:val="24"/>
          <w:szCs w:val="24"/>
          <w:lang w:eastAsia="fr-FR"/>
        </w:rPr>
        <w:t>L’Équation de régression : Selon vos données, le modèle se définit comme suit :</w:t>
      </w:r>
    </w:p>
    <w:p w:rsidR="005236B6" w:rsidRPr="008A7B0C" w:rsidRDefault="005236B6" w:rsidP="00140168">
      <w:pPr>
        <w:spacing w:after="0" w:line="360" w:lineRule="auto"/>
        <w:ind w:left="720"/>
        <w:jc w:val="center"/>
        <w:rPr>
          <w:rFonts w:ascii="Times New Roman" w:eastAsia="Times New Roman" w:hAnsi="Times New Roman" w:cs="Times New Roman"/>
          <w:b/>
          <w:bCs/>
          <w:sz w:val="24"/>
          <w:szCs w:val="24"/>
          <w:lang w:eastAsia="fr-FR"/>
        </w:rPr>
      </w:pPr>
      <w:r w:rsidRPr="008A7B0C">
        <w:rPr>
          <w:rFonts w:ascii="Times New Roman" w:eastAsia="Times New Roman" w:hAnsi="Times New Roman" w:cs="Times New Roman"/>
          <w:b/>
          <w:bCs/>
          <w:sz w:val="24"/>
          <w:szCs w:val="24"/>
          <w:lang w:eastAsia="fr-FR"/>
        </w:rPr>
        <w:t>Y (Intention d'achat) = 0,539 *(Conscience Sanitaire}) + 1,563</w:t>
      </w:r>
    </w:p>
    <w:p w:rsidR="005236B6" w:rsidRDefault="005236B6" w:rsidP="00140168">
      <w:pPr>
        <w:spacing w:after="0" w:line="360" w:lineRule="auto"/>
        <w:ind w:left="720"/>
        <w:jc w:val="center"/>
        <w:rPr>
          <w:rFonts w:ascii="Times New Roman" w:eastAsia="Times New Roman" w:hAnsi="Times New Roman" w:cs="Times New Roman"/>
          <w:b/>
          <w:bCs/>
          <w:sz w:val="24"/>
          <w:szCs w:val="24"/>
          <w:lang w:eastAsia="fr-FR"/>
        </w:rPr>
      </w:pPr>
      <w:r w:rsidRPr="008A7B0C">
        <w:rPr>
          <w:rFonts w:ascii="Times New Roman" w:eastAsia="Times New Roman" w:hAnsi="Times New Roman" w:cs="Times New Roman"/>
          <w:b/>
          <w:bCs/>
          <w:sz w:val="24"/>
          <w:szCs w:val="24"/>
          <w:lang w:eastAsia="fr-FR"/>
        </w:rPr>
        <w:t>Y=1.563+0.539*X4</w:t>
      </w:r>
    </w:p>
    <w:p w:rsidR="005236B6" w:rsidRPr="008A7B0C" w:rsidRDefault="005236B6" w:rsidP="00140168">
      <w:pPr>
        <w:spacing w:after="0" w:line="360" w:lineRule="auto"/>
        <w:ind w:left="720"/>
        <w:rPr>
          <w:rFonts w:ascii="Times New Roman" w:eastAsia="Times New Roman" w:hAnsi="Times New Roman" w:cs="Times New Roman"/>
          <w:b/>
          <w:bCs/>
          <w:sz w:val="24"/>
          <w:szCs w:val="24"/>
          <w:lang w:eastAsia="fr-FR"/>
        </w:rPr>
      </w:pPr>
      <w:r w:rsidRPr="008A7B0C">
        <w:rPr>
          <w:rFonts w:ascii="Times New Roman" w:eastAsia="Times New Roman" w:hAnsi="Times New Roman" w:cs="Times New Roman"/>
          <w:b/>
          <w:bCs/>
          <w:sz w:val="24"/>
          <w:szCs w:val="24"/>
          <w:lang w:eastAsia="fr-FR"/>
        </w:rPr>
        <w:t>Où Y représente la variable dépendante (l’intention d’achat) et X est la variable indépendante (</w:t>
      </w:r>
      <w:r>
        <w:rPr>
          <w:rFonts w:ascii="Times New Roman" w:eastAsia="Times New Roman" w:hAnsi="Times New Roman" w:cs="Times New Roman"/>
          <w:b/>
          <w:bCs/>
          <w:sz w:val="24"/>
          <w:szCs w:val="24"/>
          <w:lang w:eastAsia="fr-FR"/>
        </w:rPr>
        <w:t>conscience sanitaire</w:t>
      </w:r>
      <w:r w:rsidRPr="008A7B0C">
        <w:rPr>
          <w:rFonts w:ascii="Times New Roman" w:eastAsia="Times New Roman" w:hAnsi="Times New Roman" w:cs="Times New Roman"/>
          <w:b/>
          <w:bCs/>
          <w:sz w:val="24"/>
          <w:szCs w:val="24"/>
          <w:lang w:eastAsia="fr-FR"/>
        </w:rPr>
        <w:t>).</w:t>
      </w:r>
    </w:p>
    <w:p w:rsidR="005236B6" w:rsidRPr="008A7B0C" w:rsidRDefault="005236B6" w:rsidP="00140168">
      <w:pPr>
        <w:numPr>
          <w:ilvl w:val="0"/>
          <w:numId w:val="33"/>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8A7B0C">
        <w:rPr>
          <w:rFonts w:ascii="Times New Roman" w:eastAsia="Times New Roman" w:hAnsi="Times New Roman" w:cs="Times New Roman"/>
          <w:b/>
          <w:bCs/>
          <w:sz w:val="24"/>
          <w:szCs w:val="24"/>
          <w:lang w:eastAsia="fr-FR"/>
        </w:rPr>
        <w:t xml:space="preserve">Coefficient B (0,539) : </w:t>
      </w:r>
      <w:r w:rsidRPr="008A7B0C">
        <w:rPr>
          <w:rFonts w:ascii="Times New Roman" w:eastAsia="Times New Roman" w:hAnsi="Times New Roman" w:cs="Times New Roman"/>
          <w:sz w:val="24"/>
          <w:szCs w:val="24"/>
          <w:lang w:eastAsia="fr-FR"/>
        </w:rPr>
        <w:t>Ce coefficient est positif et significatif. Il indique qu'une augme</w:t>
      </w:r>
      <w:r w:rsidRPr="008A7B0C">
        <w:rPr>
          <w:rFonts w:ascii="Times New Roman" w:eastAsia="Times New Roman" w:hAnsi="Times New Roman" w:cs="Times New Roman"/>
          <w:sz w:val="24"/>
          <w:szCs w:val="24"/>
          <w:lang w:eastAsia="fr-FR"/>
        </w:rPr>
        <w:t>n</w:t>
      </w:r>
      <w:r w:rsidRPr="008A7B0C">
        <w:rPr>
          <w:rFonts w:ascii="Times New Roman" w:eastAsia="Times New Roman" w:hAnsi="Times New Roman" w:cs="Times New Roman"/>
          <w:sz w:val="24"/>
          <w:szCs w:val="24"/>
          <w:lang w:eastAsia="fr-FR"/>
        </w:rPr>
        <w:t>tation d'une unité de la conscience sanitaire du consommateur entraîne une hausse de 0,539 point de son intention d'achat. Cela démontre que la sensibilité personnelle aux e</w:t>
      </w:r>
      <w:r w:rsidRPr="008A7B0C">
        <w:rPr>
          <w:rFonts w:ascii="Times New Roman" w:eastAsia="Times New Roman" w:hAnsi="Times New Roman" w:cs="Times New Roman"/>
          <w:sz w:val="24"/>
          <w:szCs w:val="24"/>
          <w:lang w:eastAsia="fr-FR"/>
        </w:rPr>
        <w:t>n</w:t>
      </w:r>
      <w:r w:rsidRPr="008A7B0C">
        <w:rPr>
          <w:rFonts w:ascii="Times New Roman" w:eastAsia="Times New Roman" w:hAnsi="Times New Roman" w:cs="Times New Roman"/>
          <w:sz w:val="24"/>
          <w:szCs w:val="24"/>
          <w:lang w:eastAsia="fr-FR"/>
        </w:rPr>
        <w:t>jeux de santé est un moteur d'achat puissant.</w:t>
      </w:r>
    </w:p>
    <w:p w:rsidR="005236B6" w:rsidRPr="00140168" w:rsidRDefault="005236B6" w:rsidP="00140168">
      <w:pPr>
        <w:numPr>
          <w:ilvl w:val="0"/>
          <w:numId w:val="33"/>
        </w:numPr>
        <w:suppressAutoHyphens w:val="0"/>
        <w:autoSpaceDN/>
        <w:spacing w:after="0" w:line="360" w:lineRule="auto"/>
        <w:jc w:val="both"/>
        <w:textAlignment w:val="auto"/>
        <w:rPr>
          <w:rFonts w:ascii="Times New Roman" w:eastAsia="Times New Roman" w:hAnsi="Times New Roman" w:cs="Times New Roman"/>
          <w:sz w:val="24"/>
          <w:szCs w:val="24"/>
          <w:lang w:eastAsia="fr-FR"/>
        </w:rPr>
      </w:pPr>
      <w:r w:rsidRPr="008A7B0C">
        <w:rPr>
          <w:rFonts w:ascii="Times New Roman" w:eastAsia="Times New Roman" w:hAnsi="Times New Roman" w:cs="Times New Roman"/>
          <w:b/>
          <w:bCs/>
          <w:sz w:val="24"/>
          <w:szCs w:val="24"/>
          <w:lang w:eastAsia="fr-FR"/>
        </w:rPr>
        <w:t>La Constante (1,563) :</w:t>
      </w:r>
      <w:r w:rsidRPr="008A7B0C">
        <w:rPr>
          <w:rFonts w:ascii="Times New Roman" w:eastAsia="Times New Roman" w:hAnsi="Times New Roman" w:cs="Times New Roman"/>
          <w:sz w:val="24"/>
          <w:szCs w:val="24"/>
          <w:lang w:eastAsia="fr-FR"/>
        </w:rPr>
        <w:t xml:space="preserve"> Elle représente le niveau d'intention d'achat résiduel pour un ind</w:t>
      </w:r>
      <w:r w:rsidRPr="008A7B0C">
        <w:rPr>
          <w:rFonts w:ascii="Times New Roman" w:eastAsia="Times New Roman" w:hAnsi="Times New Roman" w:cs="Times New Roman"/>
          <w:sz w:val="24"/>
          <w:szCs w:val="24"/>
          <w:lang w:eastAsia="fr-FR"/>
        </w:rPr>
        <w:t>i</w:t>
      </w:r>
      <w:r w:rsidRPr="008A7B0C">
        <w:rPr>
          <w:rFonts w:ascii="Times New Roman" w:eastAsia="Times New Roman" w:hAnsi="Times New Roman" w:cs="Times New Roman"/>
          <w:sz w:val="24"/>
          <w:szCs w:val="24"/>
          <w:lang w:eastAsia="fr-FR"/>
        </w:rPr>
        <w:t>vidu ayant une conscience sanitaire nulle.</w:t>
      </w:r>
    </w:p>
    <w:p w:rsidR="005236B6" w:rsidRDefault="005236B6" w:rsidP="00F7493D">
      <w:pPr>
        <w:autoSpaceDE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974715" cy="3517900"/>
            <wp:effectExtent l="0" t="0" r="6985"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4715" cy="3517900"/>
                    </a:xfrm>
                    <a:prstGeom prst="rect">
                      <a:avLst/>
                    </a:prstGeom>
                    <a:noFill/>
                    <a:ln>
                      <a:noFill/>
                    </a:ln>
                  </pic:spPr>
                </pic:pic>
              </a:graphicData>
            </a:graphic>
          </wp:inline>
        </w:drawing>
      </w:r>
    </w:p>
    <w:p w:rsidR="005236B6" w:rsidRPr="008A7B0C" w:rsidRDefault="005236B6" w:rsidP="00F7493D">
      <w:pPr>
        <w:autoSpaceDE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 graphe</w:t>
      </w:r>
      <w:r w:rsidRPr="008A7B0C">
        <w:rPr>
          <w:rFonts w:ascii="Times New Roman" w:hAnsi="Times New Roman" w:cs="Times New Roman"/>
          <w:sz w:val="24"/>
          <w:szCs w:val="24"/>
        </w:rPr>
        <w:t xml:space="preserve"> du nuage de points et de la droite de régression confirme les résultats numériques :</w:t>
      </w:r>
    </w:p>
    <w:p w:rsidR="005236B6" w:rsidRPr="008A7B0C" w:rsidRDefault="005236B6" w:rsidP="00D078CC">
      <w:pPr>
        <w:numPr>
          <w:ilvl w:val="0"/>
          <w:numId w:val="34"/>
        </w:numPr>
        <w:suppressAutoHyphens w:val="0"/>
        <w:autoSpaceDE w:val="0"/>
        <w:adjustRightInd w:val="0"/>
        <w:spacing w:after="0" w:line="360" w:lineRule="auto"/>
        <w:jc w:val="both"/>
        <w:textAlignment w:val="auto"/>
        <w:rPr>
          <w:rFonts w:ascii="Times New Roman" w:hAnsi="Times New Roman" w:cs="Times New Roman"/>
          <w:sz w:val="24"/>
          <w:szCs w:val="24"/>
        </w:rPr>
      </w:pPr>
      <w:r w:rsidRPr="008A7B0C">
        <w:rPr>
          <w:rFonts w:ascii="Times New Roman" w:hAnsi="Times New Roman" w:cs="Times New Roman"/>
          <w:b/>
          <w:bCs/>
          <w:sz w:val="24"/>
          <w:szCs w:val="24"/>
        </w:rPr>
        <w:t>Pente de la droite :</w:t>
      </w:r>
      <w:r w:rsidRPr="008A7B0C">
        <w:rPr>
          <w:rFonts w:ascii="Times New Roman" w:hAnsi="Times New Roman" w:cs="Times New Roman"/>
          <w:sz w:val="24"/>
          <w:szCs w:val="24"/>
        </w:rPr>
        <w:t xml:space="preserve"> La droite de régression présente une inclinaison ascendante claire, illustrant la relation directe : plus le consommateur est "conscient" (axe X), plus il pr</w:t>
      </w:r>
      <w:r w:rsidRPr="008A7B0C">
        <w:rPr>
          <w:rFonts w:ascii="Times New Roman" w:hAnsi="Times New Roman" w:cs="Times New Roman"/>
          <w:sz w:val="24"/>
          <w:szCs w:val="24"/>
        </w:rPr>
        <w:t>o</w:t>
      </w:r>
      <w:r w:rsidRPr="008A7B0C">
        <w:rPr>
          <w:rFonts w:ascii="Times New Roman" w:hAnsi="Times New Roman" w:cs="Times New Roman"/>
          <w:sz w:val="24"/>
          <w:szCs w:val="24"/>
        </w:rPr>
        <w:t>jette d'acheter (axe Y).</w:t>
      </w:r>
    </w:p>
    <w:p w:rsidR="005236B6" w:rsidRPr="008A7B0C" w:rsidRDefault="005236B6" w:rsidP="00D078CC">
      <w:pPr>
        <w:numPr>
          <w:ilvl w:val="0"/>
          <w:numId w:val="34"/>
        </w:numPr>
        <w:suppressAutoHyphens w:val="0"/>
        <w:autoSpaceDE w:val="0"/>
        <w:adjustRightInd w:val="0"/>
        <w:spacing w:after="0" w:line="360" w:lineRule="auto"/>
        <w:jc w:val="both"/>
        <w:textAlignment w:val="auto"/>
        <w:rPr>
          <w:rFonts w:ascii="Times New Roman" w:hAnsi="Times New Roman" w:cs="Times New Roman"/>
          <w:sz w:val="24"/>
          <w:szCs w:val="24"/>
        </w:rPr>
      </w:pPr>
      <w:r w:rsidRPr="008A7B0C">
        <w:rPr>
          <w:rFonts w:ascii="Times New Roman" w:hAnsi="Times New Roman" w:cs="Times New Roman"/>
          <w:b/>
          <w:bCs/>
          <w:sz w:val="24"/>
          <w:szCs w:val="24"/>
        </w:rPr>
        <w:t>Corrélation visuelle :</w:t>
      </w:r>
      <w:r w:rsidRPr="008A7B0C">
        <w:rPr>
          <w:rFonts w:ascii="Times New Roman" w:hAnsi="Times New Roman" w:cs="Times New Roman"/>
          <w:sz w:val="24"/>
          <w:szCs w:val="24"/>
        </w:rPr>
        <w:t xml:space="preserve"> On remarque une concentration importante de points dans la partie supérieure droite du graphique, ce qui signifie que les individus ayant les scores de conscience sanitaire les plus élevés (entre 4 et 5) sont aussi ceux qui ont les inte</w:t>
      </w:r>
      <w:r w:rsidRPr="008A7B0C">
        <w:rPr>
          <w:rFonts w:ascii="Times New Roman" w:hAnsi="Times New Roman" w:cs="Times New Roman"/>
          <w:sz w:val="24"/>
          <w:szCs w:val="24"/>
        </w:rPr>
        <w:t>n</w:t>
      </w:r>
      <w:r w:rsidRPr="008A7B0C">
        <w:rPr>
          <w:rFonts w:ascii="Times New Roman" w:hAnsi="Times New Roman" w:cs="Times New Roman"/>
          <w:sz w:val="24"/>
          <w:szCs w:val="24"/>
        </w:rPr>
        <w:t>tions d'achat les plus fermes.</w:t>
      </w:r>
    </w:p>
    <w:p w:rsidR="005236B6" w:rsidRDefault="005236B6" w:rsidP="00F7493D">
      <w:pPr>
        <w:autoSpaceDE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résumer, </w:t>
      </w:r>
      <w:r w:rsidRPr="008A7B0C">
        <w:rPr>
          <w:rFonts w:ascii="Times New Roman" w:hAnsi="Times New Roman" w:cs="Times New Roman"/>
          <w:sz w:val="24"/>
          <w:szCs w:val="24"/>
        </w:rPr>
        <w:t xml:space="preserve">Le niveau de conscience sanitaire est un </w:t>
      </w:r>
      <w:r w:rsidRPr="008A7B0C">
        <w:rPr>
          <w:rFonts w:ascii="Times New Roman" w:hAnsi="Times New Roman" w:cs="Times New Roman"/>
          <w:b/>
          <w:bCs/>
          <w:sz w:val="24"/>
          <w:szCs w:val="24"/>
        </w:rPr>
        <w:t>prédicteur majeur</w:t>
      </w:r>
      <w:r w:rsidRPr="008A7B0C">
        <w:rPr>
          <w:rFonts w:ascii="Times New Roman" w:hAnsi="Times New Roman" w:cs="Times New Roman"/>
          <w:sz w:val="24"/>
          <w:szCs w:val="24"/>
        </w:rPr>
        <w:t xml:space="preserve"> de l'in</w:t>
      </w:r>
      <w:r>
        <w:rPr>
          <w:rFonts w:ascii="Times New Roman" w:hAnsi="Times New Roman" w:cs="Times New Roman"/>
          <w:sz w:val="24"/>
          <w:szCs w:val="24"/>
        </w:rPr>
        <w:t>tention d'achat</w:t>
      </w:r>
      <w:r w:rsidRPr="008A7B0C">
        <w:rPr>
          <w:rFonts w:ascii="Times New Roman" w:hAnsi="Times New Roman" w:cs="Times New Roman"/>
          <w:sz w:val="24"/>
          <w:szCs w:val="24"/>
        </w:rPr>
        <w:t>, cela signifie que la stratégie la plus efficace consiste à cibler ou à éduquer les consommateurs sur les enjeux de santé, car c'est cette "conscience" qui transforme le simple besoin alimentaire en une intention d'achat concrète et répétée.</w:t>
      </w:r>
    </w:p>
    <w:p w:rsidR="005236B6" w:rsidRPr="00516205" w:rsidRDefault="006E799B" w:rsidP="00F7493D">
      <w:pPr>
        <w:pStyle w:val="Titre3"/>
        <w:spacing w:line="360" w:lineRule="auto"/>
        <w:rPr>
          <w:rFonts w:ascii="Times New Roman" w:hAnsi="Times New Roman"/>
          <w:b/>
          <w:bCs/>
          <w:color w:val="auto"/>
          <w:sz w:val="24"/>
          <w:szCs w:val="24"/>
        </w:rPr>
      </w:pPr>
      <w:bookmarkStart w:id="390" w:name="_Toc230558754"/>
      <w:bookmarkStart w:id="391" w:name="_Toc230900388"/>
      <w:r w:rsidRPr="00516205">
        <w:rPr>
          <w:rFonts w:ascii="Times New Roman" w:hAnsi="Times New Roman"/>
          <w:b/>
          <w:bCs/>
          <w:color w:val="auto"/>
          <w:sz w:val="24"/>
          <w:szCs w:val="24"/>
        </w:rPr>
        <w:t>5.</w:t>
      </w:r>
      <w:r w:rsidR="005236B6" w:rsidRPr="00516205">
        <w:rPr>
          <w:rFonts w:ascii="Times New Roman" w:hAnsi="Times New Roman"/>
          <w:b/>
          <w:bCs/>
          <w:color w:val="auto"/>
          <w:sz w:val="24"/>
          <w:szCs w:val="24"/>
        </w:rPr>
        <w:t>Discuter les résultats d’étude :</w:t>
      </w:r>
      <w:bookmarkEnd w:id="390"/>
      <w:bookmarkEnd w:id="391"/>
    </w:p>
    <w:p w:rsidR="005236B6" w:rsidRDefault="005236B6" w:rsidP="00F7493D">
      <w:pPr>
        <w:autoSpaceDE w:val="0"/>
        <w:adjustRightInd w:val="0"/>
        <w:spacing w:after="0" w:line="360" w:lineRule="auto"/>
        <w:rPr>
          <w:rFonts w:ascii="Times New Roman" w:hAnsi="Times New Roman" w:cs="Times New Roman"/>
          <w:b/>
          <w:bCs/>
          <w:sz w:val="24"/>
          <w:szCs w:val="24"/>
        </w:rPr>
      </w:pPr>
      <w:r w:rsidRPr="00B05645">
        <w:rPr>
          <w:rFonts w:ascii="Times New Roman" w:hAnsi="Times New Roman" w:cs="Times New Roman"/>
          <w:b/>
          <w:bCs/>
          <w:sz w:val="24"/>
          <w:szCs w:val="24"/>
        </w:rPr>
        <w:t>Les résultats de la première partie :</w:t>
      </w:r>
    </w:p>
    <w:p w:rsidR="005236B6" w:rsidRDefault="005236B6" w:rsidP="00140168">
      <w:pPr>
        <w:autoSpaceDE w:val="0"/>
        <w:adjustRightInd w:val="0"/>
        <w:spacing w:after="0" w:line="360" w:lineRule="auto"/>
        <w:jc w:val="both"/>
        <w:rPr>
          <w:rFonts w:ascii="Times New Roman" w:hAnsi="Times New Roman" w:cs="Times New Roman"/>
          <w:sz w:val="24"/>
          <w:szCs w:val="24"/>
        </w:rPr>
      </w:pPr>
      <w:r w:rsidRPr="00B05645">
        <w:rPr>
          <w:rFonts w:ascii="Times New Roman" w:hAnsi="Times New Roman" w:cs="Times New Roman"/>
          <w:sz w:val="24"/>
          <w:szCs w:val="24"/>
        </w:rPr>
        <w:t>L’échantillon de l’étude est composé de 205 répondants présentant des profils démographiques et socioprofessionnels variés. Les résultats montrent une prédominance féminine avec 59 % des participants, contre 41 % d’hommes. La majorité des répondants sont âgés de moins de 25 ans (47,8 %), suivis de la tranche d’âge 25-35 ans (25,9 %), ce qui reflète une population relativement jeune et active.</w:t>
      </w:r>
    </w:p>
    <w:p w:rsidR="005236B6" w:rsidRPr="00B05645" w:rsidRDefault="005236B6" w:rsidP="00140168">
      <w:pPr>
        <w:autoSpaceDE w:val="0"/>
        <w:adjustRightInd w:val="0"/>
        <w:spacing w:after="0" w:line="360" w:lineRule="auto"/>
        <w:jc w:val="both"/>
        <w:rPr>
          <w:rFonts w:ascii="Times New Roman" w:hAnsi="Times New Roman" w:cs="Times New Roman"/>
          <w:sz w:val="24"/>
          <w:szCs w:val="24"/>
        </w:rPr>
      </w:pPr>
      <w:r w:rsidRPr="00B05645">
        <w:rPr>
          <w:rFonts w:ascii="Times New Roman" w:hAnsi="Times New Roman" w:cs="Times New Roman"/>
          <w:sz w:val="24"/>
          <w:szCs w:val="24"/>
        </w:rPr>
        <w:lastRenderedPageBreak/>
        <w:t>Concernant le niveau d’instruction, les titulaires d’un Master représentent 45,4 % de l’échantillon, suivis des diplômés de Licence avec 29,8 %, ce qui témoigne d’un niveau d’éducation élevé des participants. Sur le plan professionnel, les étudiants constituent 44,9 % des répondants, tandis que les employés représentent 35,1 %.</w:t>
      </w:r>
    </w:p>
    <w:p w:rsidR="005236B6" w:rsidRDefault="005236B6" w:rsidP="00140168">
      <w:pPr>
        <w:autoSpaceDE w:val="0"/>
        <w:adjustRightInd w:val="0"/>
        <w:spacing w:after="0" w:line="360" w:lineRule="auto"/>
        <w:jc w:val="both"/>
        <w:rPr>
          <w:rFonts w:ascii="Times New Roman" w:hAnsi="Times New Roman" w:cs="Times New Roman"/>
          <w:sz w:val="24"/>
          <w:szCs w:val="24"/>
        </w:rPr>
      </w:pPr>
      <w:r w:rsidRPr="00B05645">
        <w:rPr>
          <w:rFonts w:ascii="Times New Roman" w:hAnsi="Times New Roman" w:cs="Times New Roman"/>
          <w:sz w:val="24"/>
          <w:szCs w:val="24"/>
        </w:rPr>
        <w:t>Ces caractéristiques renforcent la crédibilité des résultats obtenus, dans la mesure où les participants disposent d’un niveau d’instruction suffisant et d’une sensibilisation importante aux questions liées à la sécurité sanitaire et aux produits biologiques.</w:t>
      </w:r>
    </w:p>
    <w:p w:rsidR="005236B6" w:rsidRDefault="005236B6" w:rsidP="00140168">
      <w:pPr>
        <w:autoSpaceDE w:val="0"/>
        <w:adjustRightInd w:val="0"/>
        <w:spacing w:after="0" w:line="360" w:lineRule="auto"/>
        <w:jc w:val="both"/>
        <w:rPr>
          <w:rFonts w:ascii="Times New Roman" w:hAnsi="Times New Roman" w:cs="Times New Roman"/>
          <w:sz w:val="24"/>
          <w:szCs w:val="24"/>
        </w:rPr>
      </w:pPr>
      <w:r w:rsidRPr="00B05645">
        <w:rPr>
          <w:rFonts w:ascii="Times New Roman" w:hAnsi="Times New Roman" w:cs="Times New Roman"/>
          <w:sz w:val="24"/>
          <w:szCs w:val="24"/>
        </w:rPr>
        <w:t>Par ailleurs, l’analyse de fiabilité du questionnaire révèle un coefficient Alpha de Cronbach global de 0,848 pour 28 items, ce qui démontre une excellente cohérence interne et confirme la fiabilité de l’outil de mesure utilisé dans cette recherche.</w:t>
      </w:r>
    </w:p>
    <w:p w:rsidR="005236B6" w:rsidRDefault="005236B6" w:rsidP="00140168">
      <w:pPr>
        <w:autoSpaceDE w:val="0"/>
        <w:adjustRightInd w:val="0"/>
        <w:spacing w:after="0" w:line="360" w:lineRule="auto"/>
        <w:jc w:val="both"/>
        <w:rPr>
          <w:rFonts w:ascii="Times New Roman" w:hAnsi="Times New Roman" w:cs="Times New Roman"/>
          <w:sz w:val="24"/>
          <w:szCs w:val="24"/>
        </w:rPr>
      </w:pPr>
      <w:r w:rsidRPr="00B05645">
        <w:rPr>
          <w:rFonts w:ascii="Times New Roman" w:hAnsi="Times New Roman" w:cs="Times New Roman"/>
          <w:b/>
          <w:bCs/>
          <w:sz w:val="24"/>
          <w:szCs w:val="24"/>
        </w:rPr>
        <w:t>Les résultats de la deuxième partie :</w:t>
      </w:r>
      <w:r w:rsidRPr="00B05645">
        <w:rPr>
          <w:rFonts w:ascii="Times New Roman" w:hAnsi="Times New Roman" w:cs="Times New Roman"/>
          <w:sz w:val="24"/>
          <w:szCs w:val="24"/>
        </w:rPr>
        <w:t xml:space="preserve"> analyse de la variable indépendante « le marketing des produits biologiques »</w:t>
      </w:r>
    </w:p>
    <w:p w:rsidR="005236B6" w:rsidRPr="00B05645" w:rsidRDefault="005236B6" w:rsidP="00140168">
      <w:pPr>
        <w:autoSpaceDE w:val="0"/>
        <w:adjustRightInd w:val="0"/>
        <w:spacing w:after="0" w:line="360" w:lineRule="auto"/>
        <w:jc w:val="both"/>
        <w:rPr>
          <w:rFonts w:ascii="Times New Roman" w:hAnsi="Times New Roman" w:cs="Times New Roman"/>
          <w:b/>
          <w:bCs/>
          <w:sz w:val="24"/>
          <w:szCs w:val="24"/>
        </w:rPr>
      </w:pPr>
      <w:r w:rsidRPr="00B05645">
        <w:rPr>
          <w:rFonts w:ascii="Times New Roman" w:hAnsi="Times New Roman" w:cs="Times New Roman"/>
          <w:b/>
          <w:bCs/>
          <w:sz w:val="24"/>
          <w:szCs w:val="24"/>
        </w:rPr>
        <w:t>- Le label biologique / produit :</w:t>
      </w:r>
    </w:p>
    <w:p w:rsidR="005236B6" w:rsidRDefault="005236B6" w:rsidP="00140168">
      <w:pPr>
        <w:spacing w:line="360" w:lineRule="auto"/>
        <w:jc w:val="both"/>
        <w:rPr>
          <w:rFonts w:ascii="Times New Roman" w:eastAsia="Times New Roman" w:hAnsi="Times New Roman" w:cs="Times New Roman"/>
          <w:sz w:val="24"/>
          <w:szCs w:val="24"/>
          <w:lang w:eastAsia="fr-FR"/>
        </w:rPr>
      </w:pPr>
      <w:r w:rsidRPr="00B05645">
        <w:rPr>
          <w:rFonts w:ascii="Times New Roman" w:eastAsia="Times New Roman" w:hAnsi="Times New Roman" w:cs="Times New Roman"/>
          <w:sz w:val="24"/>
          <w:szCs w:val="24"/>
          <w:lang w:eastAsia="fr-FR"/>
        </w:rPr>
        <w:t>Les résultats statistiques montrent que l’axe « label biologique/produit » obtient la moyenne la plus élevée parmi les dimensions du marketing des produits biologiques, avec une moyenne globale de 4,01. Les répondants expriment ainsi un niveau d’accord élevé concernant l’importance du label biologique dans la valorisation des produits biologiques.</w:t>
      </w:r>
    </w:p>
    <w:p w:rsidR="005236B6" w:rsidRDefault="005236B6" w:rsidP="00140168">
      <w:pPr>
        <w:spacing w:line="360" w:lineRule="auto"/>
        <w:jc w:val="both"/>
        <w:rPr>
          <w:rFonts w:ascii="Times New Roman" w:eastAsia="Times New Roman" w:hAnsi="Times New Roman" w:cs="Times New Roman"/>
          <w:sz w:val="24"/>
          <w:szCs w:val="24"/>
          <w:lang w:eastAsia="fr-FR"/>
        </w:rPr>
      </w:pPr>
      <w:r w:rsidRPr="00B05645">
        <w:rPr>
          <w:rFonts w:ascii="Times New Roman" w:eastAsia="Times New Roman" w:hAnsi="Times New Roman" w:cs="Times New Roman"/>
          <w:sz w:val="24"/>
          <w:szCs w:val="24"/>
          <w:lang w:eastAsia="fr-FR"/>
        </w:rPr>
        <w:t>Les valeurs du test t ainsi que la significativité bilatérale (Sig = 0,000) indiquent que les résultats sont statistiquement significatifs. Ces données montrent que le label biologique constitue un facteur essentiel de confiance et de crédibilité pour les consommateurs.</w:t>
      </w:r>
    </w:p>
    <w:p w:rsidR="005236B6" w:rsidRDefault="005236B6" w:rsidP="00140168">
      <w:pPr>
        <w:spacing w:line="360" w:lineRule="auto"/>
        <w:jc w:val="both"/>
        <w:rPr>
          <w:rFonts w:ascii="Times New Roman" w:eastAsia="Times New Roman" w:hAnsi="Times New Roman" w:cs="Times New Roman"/>
          <w:b/>
          <w:bCs/>
          <w:sz w:val="24"/>
          <w:szCs w:val="24"/>
          <w:lang w:eastAsia="fr-FR"/>
        </w:rPr>
      </w:pPr>
      <w:r w:rsidRPr="00B05645">
        <w:rPr>
          <w:rFonts w:ascii="Times New Roman" w:eastAsia="Times New Roman" w:hAnsi="Times New Roman" w:cs="Times New Roman"/>
          <w:b/>
          <w:bCs/>
          <w:sz w:val="24"/>
          <w:szCs w:val="24"/>
          <w:lang w:eastAsia="fr-FR"/>
        </w:rPr>
        <w:t>- Le prix :</w:t>
      </w:r>
    </w:p>
    <w:p w:rsidR="005236B6" w:rsidRDefault="005236B6" w:rsidP="00140168">
      <w:pPr>
        <w:spacing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L’analyse de l’axe « prix » révèle une moyenne globale de 3,37, traduisant une perception globalement positive mais relativement modérée des consommateurs concernant la politique des prix des produits biologiques.</w:t>
      </w:r>
    </w:p>
    <w:p w:rsidR="005236B6" w:rsidRPr="00EE28C3"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Les résultats indiquent que le prix influence les décisions d’achat, mais qu’il ne représente pas le principal facteur explicatif du comportement du consommateur. Malgré l’importance accordée à la qualité sanitaire des produits biologiques, certains répondants considèrent encore le prix comme un frein à l’achat.</w:t>
      </w:r>
    </w:p>
    <w:p w:rsidR="005236B6"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b/>
          <w:bCs/>
          <w:sz w:val="24"/>
          <w:szCs w:val="24"/>
          <w:lang w:eastAsia="fr-FR"/>
        </w:rPr>
        <w:t>- La promotion :</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 xml:space="preserve">Les résultats relatifs à l’axe « promotion » montrent une forte adhésion des répondants, avec une moyenne globale de 3,85. Les participants considèrent que les stratégies promotionnelles </w:t>
      </w:r>
      <w:r w:rsidRPr="00EE28C3">
        <w:rPr>
          <w:rFonts w:ascii="Times New Roman" w:eastAsia="Times New Roman" w:hAnsi="Times New Roman" w:cs="Times New Roman"/>
          <w:sz w:val="24"/>
          <w:szCs w:val="24"/>
          <w:lang w:eastAsia="fr-FR"/>
        </w:rPr>
        <w:lastRenderedPageBreak/>
        <w:t>jouent un rôle important dans la sensibilisation des consommateurs aux avantages des produits biologiques.</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Les analyses statistiques confirment également que la communication marketing contribue à renforcer la perception positive des produits biologiques ainsi que leur image sanitaire.</w:t>
      </w:r>
    </w:p>
    <w:p w:rsidR="005236B6"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b/>
          <w:bCs/>
          <w:sz w:val="24"/>
          <w:szCs w:val="24"/>
          <w:lang w:eastAsia="fr-FR"/>
        </w:rPr>
        <w:t>- La distribution</w:t>
      </w:r>
      <w:r>
        <w:rPr>
          <w:rFonts w:ascii="Times New Roman" w:eastAsia="Times New Roman" w:hAnsi="Times New Roman" w:cs="Times New Roman"/>
          <w:b/>
          <w:bCs/>
          <w:sz w:val="24"/>
          <w:szCs w:val="24"/>
          <w:lang w:eastAsia="fr-FR"/>
        </w:rPr>
        <w:t> :</w:t>
      </w:r>
    </w:p>
    <w:p w:rsidR="005236B6"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sz w:val="24"/>
          <w:szCs w:val="24"/>
          <w:lang w:eastAsia="fr-FR"/>
        </w:rPr>
        <w:t>L’axe « distribution » obtient la moyenne la plus faible (3,26), traduisant une perception relativement neutre des répondants concernant l’accessibilité et la disponibilité des produits biologiques</w:t>
      </w:r>
      <w:r w:rsidRPr="00EE28C3">
        <w:rPr>
          <w:rFonts w:ascii="Times New Roman" w:eastAsia="Times New Roman" w:hAnsi="Times New Roman" w:cs="Times New Roman"/>
          <w:b/>
          <w:bCs/>
          <w:sz w:val="24"/>
          <w:szCs w:val="24"/>
          <w:lang w:eastAsia="fr-FR"/>
        </w:rPr>
        <w:t>.</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Bien que les résultats restent statistiquement significatifs, ils révèlent certaines insuffisances dans les circuits de distribution et la disponibilité des produits biologiques sur le marché.</w:t>
      </w:r>
    </w:p>
    <w:p w:rsidR="005236B6"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b/>
          <w:bCs/>
          <w:sz w:val="24"/>
          <w:szCs w:val="24"/>
          <w:lang w:eastAsia="fr-FR"/>
        </w:rPr>
        <w:t>- Résultat global de la variable indépendante</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L’analyse globale du marketing des produits biologiques montre une moyenne générale de 3,62 avec une significativité statistique élevée (Sig = 0,000). Ces résultats indiquent que les consommateurs perçoivent favorablement les différentes dimensions du marketing des produits biologiques, notamment le label biologique et les stratégies promotionnelles.</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b/>
          <w:bCs/>
          <w:sz w:val="24"/>
          <w:szCs w:val="24"/>
          <w:lang w:eastAsia="fr-FR"/>
        </w:rPr>
        <w:t>Les résultats de la troisième partie :</w:t>
      </w:r>
      <w:r w:rsidRPr="00EE28C3">
        <w:rPr>
          <w:rFonts w:ascii="Times New Roman" w:eastAsia="Times New Roman" w:hAnsi="Times New Roman" w:cs="Times New Roman"/>
          <w:sz w:val="24"/>
          <w:szCs w:val="24"/>
          <w:lang w:eastAsia="fr-FR"/>
        </w:rPr>
        <w:t xml:space="preserve"> analyse de la variable dépendante « la sécurité sanitaire des aliments »</w:t>
      </w:r>
    </w:p>
    <w:p w:rsidR="005236B6"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b/>
          <w:bCs/>
          <w:sz w:val="24"/>
          <w:szCs w:val="24"/>
          <w:lang w:eastAsia="fr-FR"/>
        </w:rPr>
        <w:t>- La sécurité sanitaire</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Les résultats montrent une forte adhésion des répondants concernant la sécurité sanitaire des produits biologiques, avec une moyenne globale de 3,91. Les participants considèrent les produits biologiques comme plus sûrs et plus bénéfiques pour la santé.</w:t>
      </w:r>
    </w:p>
    <w:p w:rsidR="005236B6"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b/>
          <w:bCs/>
          <w:sz w:val="24"/>
          <w:szCs w:val="24"/>
          <w:lang w:eastAsia="fr-FR"/>
        </w:rPr>
        <w:t>- La conscience sanitaire</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L’axe « conscience sanitaire » enregistre la moyenne la plus élevée parmi les dimensions de la variable dépendante (4,12). Cela démontre que les consommateurs possèdent un niveau élevé de sensibilisation aux questions de santé, de nutrition et de qualité alimentaire.</w:t>
      </w:r>
    </w:p>
    <w:p w:rsidR="005236B6" w:rsidRPr="00EE28C3"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b/>
          <w:bCs/>
          <w:sz w:val="24"/>
          <w:szCs w:val="24"/>
          <w:lang w:eastAsia="fr-FR"/>
        </w:rPr>
        <w:t>- L’intention d’achat</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Les résultats indiquent une intention d’achat positive envers les produits biologiques, avec une moyenne générale de 3,78. Les consommateurs manifestent une volonté importante d’acheter ces produits lorsqu’ils perçoivent un niveau élevé de sécurité sanitaire et de qualité.</w:t>
      </w:r>
    </w:p>
    <w:p w:rsidR="005236B6" w:rsidRDefault="005236B6" w:rsidP="00140168">
      <w:pPr>
        <w:spacing w:after="0" w:line="360" w:lineRule="auto"/>
        <w:jc w:val="both"/>
        <w:rPr>
          <w:rFonts w:ascii="Times New Roman" w:eastAsia="Times New Roman" w:hAnsi="Times New Roman" w:cs="Times New Roman"/>
          <w:b/>
          <w:bCs/>
          <w:sz w:val="24"/>
          <w:szCs w:val="24"/>
          <w:lang w:eastAsia="fr-FR"/>
        </w:rPr>
      </w:pPr>
      <w:r w:rsidRPr="00EE28C3">
        <w:rPr>
          <w:rFonts w:ascii="Times New Roman" w:eastAsia="Times New Roman" w:hAnsi="Times New Roman" w:cs="Times New Roman"/>
          <w:b/>
          <w:bCs/>
          <w:sz w:val="24"/>
          <w:szCs w:val="24"/>
          <w:lang w:eastAsia="fr-FR"/>
        </w:rPr>
        <w:t>- Résultat global de la variable dépendante</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EE28C3">
        <w:rPr>
          <w:rFonts w:ascii="Times New Roman" w:eastAsia="Times New Roman" w:hAnsi="Times New Roman" w:cs="Times New Roman"/>
          <w:sz w:val="24"/>
          <w:szCs w:val="24"/>
          <w:lang w:eastAsia="fr-FR"/>
        </w:rPr>
        <w:t>L’analyse consolidée de la variable dépendante révèle une moyenne globale de 3,94 avec une forte significativité statistique (Sig = 0,000). Ces résultats confirment que les consommateurs accordent une importance majeure à la sécurité sanitaire des aliments biologiques et que cette perception influence directement leurs comportements d’achat.</w:t>
      </w:r>
    </w:p>
    <w:p w:rsidR="005236B6" w:rsidRDefault="00D83B38" w:rsidP="00140168">
      <w:pPr>
        <w:spacing w:after="0"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hint="cs"/>
          <w:b/>
          <w:bCs/>
          <w:sz w:val="24"/>
          <w:szCs w:val="24"/>
          <w:rtl/>
          <w:lang w:eastAsia="fr-FR" w:bidi="ar-DZ"/>
        </w:rPr>
        <w:lastRenderedPageBreak/>
        <w:t>.6</w:t>
      </w:r>
      <w:r w:rsidR="005236B6" w:rsidRPr="00EE28C3">
        <w:rPr>
          <w:rFonts w:ascii="Times New Roman" w:eastAsia="Times New Roman" w:hAnsi="Times New Roman" w:cs="Times New Roman"/>
          <w:b/>
          <w:bCs/>
          <w:sz w:val="24"/>
          <w:szCs w:val="24"/>
          <w:lang w:eastAsia="fr-FR"/>
        </w:rPr>
        <w:t>Discussion et validation des hypothèses</w:t>
      </w:r>
    </w:p>
    <w:p w:rsidR="005236B6" w:rsidRPr="00D83B38" w:rsidRDefault="00D83B38" w:rsidP="00140168">
      <w:pPr>
        <w:pStyle w:val="Paragraphedeliste"/>
        <w:suppressAutoHyphens w:val="0"/>
        <w:autoSpaceDN/>
        <w:spacing w:after="0" w:line="360" w:lineRule="auto"/>
        <w:ind w:left="360"/>
        <w:contextualSpacing/>
        <w:jc w:val="both"/>
        <w:textAlignment w:val="auto"/>
        <w:rPr>
          <w:rFonts w:ascii="Times New Roman" w:eastAsia="Times New Roman" w:hAnsi="Times New Roman" w:cs="Times New Roman"/>
          <w:b/>
          <w:bCs/>
          <w:sz w:val="24"/>
          <w:szCs w:val="24"/>
          <w:lang w:eastAsia="fr-FR"/>
        </w:rPr>
      </w:pPr>
      <w:r>
        <w:rPr>
          <w:rFonts w:ascii="Times New Roman" w:eastAsia="Times New Roman" w:hAnsi="Times New Roman" w:cs="Times New Roman" w:hint="cs"/>
          <w:b/>
          <w:bCs/>
          <w:sz w:val="24"/>
          <w:szCs w:val="24"/>
          <w:rtl/>
          <w:lang w:eastAsia="fr-FR" w:bidi="ar-DZ"/>
        </w:rPr>
        <w:t>.6.1</w:t>
      </w:r>
      <w:r w:rsidR="005236B6" w:rsidRPr="00D83B38">
        <w:rPr>
          <w:rFonts w:ascii="Times New Roman" w:eastAsia="Times New Roman" w:hAnsi="Times New Roman" w:cs="Times New Roman"/>
          <w:b/>
          <w:bCs/>
          <w:sz w:val="24"/>
          <w:szCs w:val="24"/>
          <w:lang w:eastAsia="fr-FR"/>
        </w:rPr>
        <w:t>L’hypothèse principale</w:t>
      </w:r>
    </w:p>
    <w:p w:rsidR="005236B6" w:rsidRDefault="005236B6" w:rsidP="00140168">
      <w:pPr>
        <w:spacing w:after="0" w:line="360" w:lineRule="auto"/>
        <w:jc w:val="both"/>
        <w:rPr>
          <w:rFonts w:asciiTheme="majorBidi" w:hAnsiTheme="majorBidi" w:cstheme="majorBidi"/>
          <w:sz w:val="24"/>
          <w:szCs w:val="24"/>
          <w:lang w:eastAsia="fr-FR"/>
        </w:rPr>
      </w:pPr>
      <w:r w:rsidRPr="00EE28C3">
        <w:rPr>
          <w:rFonts w:asciiTheme="majorBidi" w:hAnsiTheme="majorBidi" w:cstheme="majorBidi"/>
          <w:b/>
          <w:bCs/>
          <w:sz w:val="24"/>
          <w:szCs w:val="24"/>
          <w:lang w:eastAsia="fr-FR"/>
        </w:rPr>
        <w:t>H0 :</w:t>
      </w:r>
      <w:r w:rsidRPr="00EE28C3">
        <w:rPr>
          <w:rFonts w:asciiTheme="majorBidi" w:hAnsiTheme="majorBidi" w:cstheme="majorBidi"/>
          <w:sz w:val="24"/>
          <w:szCs w:val="24"/>
          <w:lang w:eastAsia="fr-FR"/>
        </w:rPr>
        <w:t xml:space="preserve"> Le marketing des produits biologiques n’influence pas la perception de la sécurité sanitaire des aliments</w:t>
      </w:r>
    </w:p>
    <w:p w:rsidR="005236B6" w:rsidRDefault="005236B6" w:rsidP="00140168">
      <w:pPr>
        <w:spacing w:after="0" w:line="360" w:lineRule="auto"/>
        <w:jc w:val="both"/>
        <w:rPr>
          <w:rFonts w:asciiTheme="majorBidi" w:hAnsiTheme="majorBidi" w:cstheme="majorBidi"/>
          <w:sz w:val="24"/>
          <w:szCs w:val="24"/>
          <w:lang w:eastAsia="fr-FR"/>
        </w:rPr>
      </w:pPr>
      <w:r w:rsidRPr="00EE28C3">
        <w:rPr>
          <w:rFonts w:asciiTheme="majorBidi" w:hAnsiTheme="majorBidi" w:cstheme="majorBidi"/>
          <w:b/>
          <w:bCs/>
          <w:sz w:val="24"/>
          <w:szCs w:val="24"/>
          <w:lang w:eastAsia="fr-FR"/>
        </w:rPr>
        <w:t>H1 :</w:t>
      </w:r>
      <w:r w:rsidRPr="00EE28C3">
        <w:rPr>
          <w:rFonts w:asciiTheme="majorBidi" w:hAnsiTheme="majorBidi" w:cstheme="majorBidi"/>
          <w:sz w:val="24"/>
          <w:szCs w:val="24"/>
          <w:lang w:eastAsia="fr-FR"/>
        </w:rPr>
        <w:t xml:space="preserve"> Le marketing des produits biologiques influence positivement la perception de la sécurité sanitaire des aliments.</w:t>
      </w:r>
    </w:p>
    <w:p w:rsidR="005236B6" w:rsidRDefault="005236B6" w:rsidP="00140168">
      <w:pPr>
        <w:spacing w:after="0" w:line="360" w:lineRule="auto"/>
        <w:jc w:val="both"/>
        <w:rPr>
          <w:rFonts w:asciiTheme="majorBidi" w:hAnsiTheme="majorBidi" w:cstheme="majorBidi"/>
          <w:sz w:val="24"/>
          <w:szCs w:val="24"/>
          <w:lang w:eastAsia="fr-FR"/>
        </w:rPr>
      </w:pPr>
      <w:r w:rsidRPr="00EE28C3">
        <w:rPr>
          <w:rFonts w:asciiTheme="majorBidi" w:hAnsiTheme="majorBidi" w:cstheme="majorBidi"/>
          <w:sz w:val="24"/>
          <w:szCs w:val="24"/>
          <w:lang w:eastAsia="fr-FR"/>
        </w:rPr>
        <w:t>Le marketing des produits biologiques influence positivement la perception de la sécurité sanitaire des aliments.</w:t>
      </w:r>
    </w:p>
    <w:p w:rsidR="005236B6" w:rsidRDefault="005236B6" w:rsidP="00140168">
      <w:pPr>
        <w:spacing w:after="0" w:line="360" w:lineRule="auto"/>
        <w:jc w:val="both"/>
        <w:rPr>
          <w:rFonts w:asciiTheme="majorBidi" w:hAnsiTheme="majorBidi" w:cstheme="majorBidi"/>
          <w:sz w:val="24"/>
          <w:szCs w:val="24"/>
          <w:lang w:eastAsia="fr-FR"/>
        </w:rPr>
      </w:pPr>
      <w:r w:rsidRPr="00EE28C3">
        <w:rPr>
          <w:rFonts w:asciiTheme="majorBidi" w:hAnsiTheme="majorBidi" w:cstheme="majorBidi"/>
          <w:sz w:val="24"/>
          <w:szCs w:val="24"/>
          <w:lang w:eastAsia="fr-FR"/>
        </w:rPr>
        <w:t>Les résultats statistiques révèlent une corrélation positive forte entre le marketing des produits biologiques et la sécurité sanitaire des aliments (R = 0,620). Le coefficient de détermination (R² = 0,384) montre que le marketing explique à lui seul 38,4 % de la variation de la perception sanitaire.</w:t>
      </w:r>
    </w:p>
    <w:p w:rsidR="005236B6" w:rsidRPr="00EE28C3" w:rsidRDefault="005236B6" w:rsidP="00140168">
      <w:pPr>
        <w:spacing w:after="0" w:line="360" w:lineRule="auto"/>
        <w:jc w:val="both"/>
        <w:rPr>
          <w:rFonts w:asciiTheme="majorBidi" w:hAnsiTheme="majorBidi" w:cstheme="majorBidi"/>
          <w:sz w:val="24"/>
          <w:szCs w:val="24"/>
          <w:lang w:eastAsia="fr-FR"/>
        </w:rPr>
      </w:pPr>
      <w:r w:rsidRPr="00EE28C3">
        <w:rPr>
          <w:rFonts w:asciiTheme="majorBidi" w:hAnsiTheme="majorBidi" w:cstheme="majorBidi"/>
          <w:sz w:val="24"/>
          <w:szCs w:val="24"/>
          <w:lang w:eastAsia="fr-FR"/>
        </w:rPr>
        <w:t>Les analyses ANOVA et la régression linéaire confirment la significativité statistique de cette relation avec une valeur de p = 0,000 (&lt; 0,05). Ainsi, l’hypothèse alternative H1 est acceptée et l’hypothèse nulle H0 est rejetée.</w:t>
      </w:r>
    </w:p>
    <w:p w:rsidR="005236B6" w:rsidRPr="00114845" w:rsidRDefault="005236B6" w:rsidP="00140168">
      <w:pPr>
        <w:pStyle w:val="Paragraphedeliste"/>
        <w:suppressAutoHyphens w:val="0"/>
        <w:autoSpaceDN/>
        <w:spacing w:after="0" w:line="360" w:lineRule="auto"/>
        <w:ind w:left="1080"/>
        <w:contextualSpacing/>
        <w:jc w:val="both"/>
        <w:textAlignment w:val="auto"/>
        <w:rPr>
          <w:rFonts w:ascii="Times New Roman" w:eastAsia="Times New Roman" w:hAnsi="Times New Roman" w:cs="Times New Roman"/>
          <w:sz w:val="24"/>
          <w:szCs w:val="24"/>
          <w:lang w:eastAsia="fr-FR"/>
        </w:rPr>
      </w:pPr>
      <w:r w:rsidRPr="00114845">
        <w:rPr>
          <w:rFonts w:ascii="Times New Roman" w:eastAsia="Times New Roman" w:hAnsi="Times New Roman" w:cs="Times New Roman"/>
          <w:b/>
          <w:bCs/>
          <w:sz w:val="24"/>
          <w:szCs w:val="24"/>
          <w:lang w:eastAsia="fr-FR"/>
        </w:rPr>
        <w:t>Pemière sous-hypothèse :</w:t>
      </w:r>
      <w:r w:rsidRPr="00114845">
        <w:rPr>
          <w:rFonts w:ascii="Times New Roman" w:eastAsia="Times New Roman" w:hAnsi="Times New Roman" w:cs="Times New Roman"/>
          <w:sz w:val="24"/>
          <w:szCs w:val="24"/>
          <w:lang w:eastAsia="fr-FR"/>
        </w:rPr>
        <w:t xml:space="preserve"> effet du label biologique</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b/>
          <w:bCs/>
          <w:sz w:val="24"/>
          <w:szCs w:val="24"/>
          <w:lang w:eastAsia="fr-FR"/>
        </w:rPr>
        <w:t>H1(a) :</w:t>
      </w:r>
      <w:r w:rsidRPr="00114845">
        <w:rPr>
          <w:rFonts w:asciiTheme="majorBidi" w:hAnsiTheme="majorBidi" w:cstheme="majorBidi"/>
          <w:sz w:val="24"/>
          <w:szCs w:val="24"/>
          <w:lang w:eastAsia="fr-FR"/>
        </w:rPr>
        <w:t xml:space="preserve"> La présence d’un label biologique certifié renforce la confiance du consommateur.</w:t>
      </w:r>
    </w:p>
    <w:p w:rsidR="005236B6" w:rsidRPr="00114845"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Les résultats montrent une corrélation positive significative entre le label biologique et la conscience sanitaire (R = 0,531 ; p = 0,000). Le coefficient de régression (B = 0,602) confirme que le label biologique exerce une influence directe et positive sur la confiance et la conscience sanitaire du consommateur.</w:t>
      </w:r>
    </w:p>
    <w:p w:rsidR="005236B6" w:rsidRDefault="005236B6" w:rsidP="00140168">
      <w:pPr>
        <w:spacing w:after="0" w:line="360" w:lineRule="auto"/>
        <w:jc w:val="both"/>
        <w:rPr>
          <w:rFonts w:ascii="Times New Roman" w:eastAsia="Times New Roman" w:hAnsi="Times New Roman" w:cs="Times New Roman"/>
          <w:sz w:val="24"/>
          <w:szCs w:val="24"/>
          <w:lang w:eastAsia="fr-FR"/>
        </w:rPr>
      </w:pPr>
      <w:r w:rsidRPr="00114845">
        <w:rPr>
          <w:rFonts w:ascii="Times New Roman" w:eastAsia="Times New Roman" w:hAnsi="Times New Roman" w:cs="Times New Roman"/>
          <w:sz w:val="24"/>
          <w:szCs w:val="24"/>
          <w:lang w:eastAsia="fr-FR"/>
        </w:rPr>
        <w:t>Par conséquent, l’hypothèse H1(a) est validée.</w:t>
      </w:r>
    </w:p>
    <w:p w:rsidR="005236B6" w:rsidRPr="00114845" w:rsidRDefault="005236B6" w:rsidP="00140168">
      <w:pPr>
        <w:pStyle w:val="Paragraphedeliste"/>
        <w:numPr>
          <w:ilvl w:val="1"/>
          <w:numId w:val="15"/>
        </w:numPr>
        <w:suppressAutoHyphens w:val="0"/>
        <w:autoSpaceDN/>
        <w:spacing w:after="0" w:line="360" w:lineRule="auto"/>
        <w:contextualSpacing/>
        <w:jc w:val="both"/>
        <w:textAlignment w:val="auto"/>
        <w:rPr>
          <w:rFonts w:ascii="Times New Roman" w:eastAsia="Times New Roman" w:hAnsi="Times New Roman" w:cs="Times New Roman"/>
          <w:sz w:val="24"/>
          <w:szCs w:val="24"/>
          <w:lang w:eastAsia="fr-FR"/>
        </w:rPr>
      </w:pPr>
      <w:r w:rsidRPr="00114845">
        <w:rPr>
          <w:rFonts w:ascii="Times New Roman" w:eastAsia="Times New Roman" w:hAnsi="Times New Roman" w:cs="Times New Roman"/>
          <w:b/>
          <w:bCs/>
          <w:sz w:val="24"/>
          <w:szCs w:val="24"/>
          <w:lang w:eastAsia="fr-FR"/>
        </w:rPr>
        <w:t>Deuxième sous-hypothèse :</w:t>
      </w:r>
      <w:r w:rsidRPr="00114845">
        <w:rPr>
          <w:rFonts w:ascii="Times New Roman" w:eastAsia="Times New Roman" w:hAnsi="Times New Roman" w:cs="Times New Roman"/>
          <w:sz w:val="24"/>
          <w:szCs w:val="24"/>
          <w:lang w:eastAsia="fr-FR"/>
        </w:rPr>
        <w:t xml:space="preserve"> rôle du prix</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b/>
          <w:bCs/>
          <w:sz w:val="24"/>
          <w:szCs w:val="24"/>
          <w:lang w:eastAsia="fr-FR"/>
        </w:rPr>
        <w:t>H1(b) :</w:t>
      </w:r>
      <w:r w:rsidRPr="00114845">
        <w:rPr>
          <w:rFonts w:asciiTheme="majorBidi" w:hAnsiTheme="majorBidi" w:cstheme="majorBidi"/>
          <w:sz w:val="24"/>
          <w:szCs w:val="24"/>
          <w:lang w:eastAsia="fr-FR"/>
        </w:rPr>
        <w:t xml:space="preserve"> Le prix constitue un facteur modérateur dans la décision d’achat des produits biologiques.</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Les résultats montrent une relation statistiquement significative entre le prix et l’intention d’achat (R = 0,235 ; p = 0,001). Toutefois, l’intensité de cette relation reste relativement faible, puisque le prix n’explique que 5,5 % de la variance de l’intention d’achat.</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Ainsi, le prix influence le comportement d’achat, mais il demeure un facteur secondaire comparativement aux dimensions sanitaires et qualitatives.</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L’hypothèse H1(b) est donc acceptée.</w:t>
      </w:r>
    </w:p>
    <w:p w:rsidR="005236B6" w:rsidRPr="00114845" w:rsidRDefault="005236B6" w:rsidP="00140168">
      <w:pPr>
        <w:pStyle w:val="Paragraphedeliste"/>
        <w:numPr>
          <w:ilvl w:val="1"/>
          <w:numId w:val="15"/>
        </w:numPr>
        <w:suppressAutoHyphens w:val="0"/>
        <w:autoSpaceDN/>
        <w:spacing w:after="0" w:line="360" w:lineRule="auto"/>
        <w:contextualSpacing/>
        <w:jc w:val="both"/>
        <w:textAlignment w:val="auto"/>
        <w:rPr>
          <w:rFonts w:asciiTheme="majorBidi" w:hAnsiTheme="majorBidi" w:cstheme="majorBidi"/>
          <w:sz w:val="24"/>
          <w:szCs w:val="24"/>
          <w:lang w:eastAsia="fr-FR"/>
        </w:rPr>
      </w:pPr>
      <w:r w:rsidRPr="00114845">
        <w:rPr>
          <w:rFonts w:asciiTheme="majorBidi" w:hAnsiTheme="majorBidi" w:cstheme="majorBidi"/>
          <w:b/>
          <w:bCs/>
          <w:sz w:val="24"/>
          <w:szCs w:val="24"/>
          <w:lang w:eastAsia="fr-FR"/>
        </w:rPr>
        <w:t>Troisième sous-hypothèse :</w:t>
      </w:r>
      <w:r w:rsidRPr="00114845">
        <w:rPr>
          <w:rFonts w:asciiTheme="majorBidi" w:hAnsiTheme="majorBidi" w:cstheme="majorBidi"/>
          <w:sz w:val="24"/>
          <w:szCs w:val="24"/>
          <w:lang w:eastAsia="fr-FR"/>
        </w:rPr>
        <w:t xml:space="preserve"> effet de la sécurité sanitaire</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b/>
          <w:bCs/>
          <w:sz w:val="24"/>
          <w:szCs w:val="24"/>
          <w:lang w:eastAsia="fr-FR"/>
        </w:rPr>
        <w:t>H1(c) :</w:t>
      </w:r>
      <w:r w:rsidRPr="00114845">
        <w:rPr>
          <w:rFonts w:asciiTheme="majorBidi" w:hAnsiTheme="majorBidi" w:cstheme="majorBidi"/>
          <w:sz w:val="24"/>
          <w:szCs w:val="24"/>
          <w:lang w:eastAsia="fr-FR"/>
        </w:rPr>
        <w:t>La perception de la sécurité sanitaire exerce un effet positif et significatif sur l’intention d’achat des produits biologiques.</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lastRenderedPageBreak/>
        <w:t>Les analyses statistiques révèlent une forte corrélation positive entre la sécurité sanitaire et l’intention d’achat (R = 0,601 ; p = 0,000). Le coefficient de détermination (R² = 0,361) indique que la sécurité sanitaire explique 36,1 % des variations de l’intention d’achat.</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Les résultats de la régression montrent également un coefficient positif élevé (B = 0,559), confirmant l’impact important de la sécurité sanitaire sur le comportement du consommateur.</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Ainsi, l’hypothèse H1(c) est validée.</w:t>
      </w:r>
    </w:p>
    <w:p w:rsidR="005236B6" w:rsidRPr="00114845" w:rsidRDefault="005236B6" w:rsidP="00140168">
      <w:pPr>
        <w:pStyle w:val="Paragraphedeliste"/>
        <w:numPr>
          <w:ilvl w:val="1"/>
          <w:numId w:val="15"/>
        </w:numPr>
        <w:suppressAutoHyphens w:val="0"/>
        <w:autoSpaceDN/>
        <w:spacing w:after="0" w:line="360" w:lineRule="auto"/>
        <w:contextualSpacing/>
        <w:jc w:val="both"/>
        <w:textAlignment w:val="auto"/>
        <w:rPr>
          <w:rFonts w:asciiTheme="majorBidi" w:hAnsiTheme="majorBidi" w:cstheme="majorBidi"/>
          <w:sz w:val="24"/>
          <w:szCs w:val="24"/>
          <w:lang w:eastAsia="fr-FR"/>
        </w:rPr>
      </w:pPr>
      <w:r w:rsidRPr="00114845">
        <w:rPr>
          <w:rFonts w:asciiTheme="majorBidi" w:hAnsiTheme="majorBidi" w:cstheme="majorBidi"/>
          <w:b/>
          <w:bCs/>
          <w:sz w:val="24"/>
          <w:szCs w:val="24"/>
          <w:lang w:eastAsia="fr-FR"/>
        </w:rPr>
        <w:t>Quatrième sous-hypothèse :</w:t>
      </w:r>
      <w:r w:rsidRPr="00114845">
        <w:rPr>
          <w:rFonts w:asciiTheme="majorBidi" w:hAnsiTheme="majorBidi" w:cstheme="majorBidi"/>
          <w:sz w:val="24"/>
          <w:szCs w:val="24"/>
          <w:lang w:eastAsia="fr-FR"/>
        </w:rPr>
        <w:t xml:space="preserve"> effet de la conscience sanitaire</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b/>
          <w:bCs/>
          <w:sz w:val="24"/>
          <w:szCs w:val="24"/>
          <w:lang w:eastAsia="fr-FR"/>
        </w:rPr>
        <w:t>H1(d) :</w:t>
      </w:r>
      <w:r w:rsidRPr="00114845">
        <w:rPr>
          <w:rFonts w:asciiTheme="majorBidi" w:hAnsiTheme="majorBidi" w:cstheme="majorBidi"/>
          <w:sz w:val="24"/>
          <w:szCs w:val="24"/>
          <w:lang w:eastAsia="fr-FR"/>
        </w:rPr>
        <w:t xml:space="preserve"> Le niveau de conscience sanitaire du consommateur influence son comportement d’achat.</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Les résultats révèlent une corrélation positive significative entre la conscience sanitaire et l’intention d’achat (R = 0,513 ; p = 0,000). Les analyses montrent que la conscience sanitaire explique 26,3 % de la variation de l’intention d’achat.</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Le coefficient de régression positif (B = 0,539) confirme qu’une augmentation du niveau de conscience sanitaire entraîne une augmentation de l’intention d’achat des produits biologiques.</w:t>
      </w:r>
    </w:p>
    <w:p w:rsidR="005236B6" w:rsidRDefault="005236B6" w:rsidP="00140168">
      <w:pPr>
        <w:spacing w:after="0" w:line="360" w:lineRule="auto"/>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Par conséquent, l’hypothèse H1(d) est acceptée.</w:t>
      </w:r>
    </w:p>
    <w:p w:rsidR="005236B6" w:rsidRPr="005D0B7E" w:rsidRDefault="005236B6" w:rsidP="00140168">
      <w:pPr>
        <w:pStyle w:val="Titre2"/>
        <w:spacing w:before="0" w:after="0"/>
        <w:jc w:val="both"/>
        <w:rPr>
          <w:rFonts w:asciiTheme="majorBidi" w:hAnsiTheme="majorBidi" w:cstheme="majorBidi"/>
          <w:b/>
          <w:bCs/>
          <w:color w:val="000000" w:themeColor="text1"/>
          <w:sz w:val="24"/>
          <w:szCs w:val="24"/>
          <w:lang w:eastAsia="fr-FR"/>
        </w:rPr>
      </w:pPr>
      <w:bookmarkStart w:id="392" w:name="_Toc230558755"/>
      <w:bookmarkStart w:id="393" w:name="_Toc230900389"/>
      <w:bookmarkStart w:id="394" w:name="_Toc230900927"/>
      <w:r w:rsidRPr="005D0B7E">
        <w:rPr>
          <w:rFonts w:asciiTheme="majorBidi" w:hAnsiTheme="majorBidi" w:cstheme="majorBidi"/>
          <w:b/>
          <w:bCs/>
          <w:color w:val="000000" w:themeColor="text1"/>
          <w:sz w:val="24"/>
          <w:szCs w:val="24"/>
          <w:lang w:eastAsia="fr-FR"/>
        </w:rPr>
        <w:t>Conclusio</w:t>
      </w:r>
      <w:bookmarkEnd w:id="392"/>
      <w:r w:rsidR="002A0D82" w:rsidRPr="005D0B7E">
        <w:rPr>
          <w:rFonts w:asciiTheme="majorBidi" w:hAnsiTheme="majorBidi" w:cstheme="majorBidi"/>
          <w:b/>
          <w:bCs/>
          <w:color w:val="000000" w:themeColor="text1"/>
          <w:sz w:val="24"/>
          <w:szCs w:val="24"/>
          <w:lang w:eastAsia="fr-FR"/>
        </w:rPr>
        <w:t>n :</w:t>
      </w:r>
      <w:bookmarkEnd w:id="393"/>
      <w:bookmarkEnd w:id="394"/>
    </w:p>
    <w:p w:rsidR="005236B6" w:rsidRPr="00114845" w:rsidRDefault="005236B6" w:rsidP="00140168">
      <w:pPr>
        <w:spacing w:after="0" w:line="360" w:lineRule="auto"/>
        <w:ind w:firstLine="567"/>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L’étude met en évidence l’existence d’un impact significatif du marketing des produits biologiques sur la sécurité sanitaire des aliments ainsi que sur l’intention d’achat des consommateurs algériens.</w:t>
      </w:r>
    </w:p>
    <w:p w:rsidR="005236B6" w:rsidRPr="00114845" w:rsidRDefault="005236B6" w:rsidP="00140168">
      <w:pPr>
        <w:spacing w:after="0" w:line="360" w:lineRule="auto"/>
        <w:ind w:firstLine="567"/>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 xml:space="preserve"> Les résultats démontrent que le label biologique, la communication promotionnelle et la perception de la sécurité sanitaire constituent les principaux facteurs influençant positivement le comportement des consommateurs.À l’inverse, le prix demeure un facteur limitant mais secondaire dans la décision d’achat. </w:t>
      </w:r>
    </w:p>
    <w:p w:rsidR="002A0D82" w:rsidRDefault="005236B6" w:rsidP="00140168">
      <w:pPr>
        <w:spacing w:after="0" w:line="360" w:lineRule="auto"/>
        <w:ind w:firstLine="567"/>
        <w:jc w:val="both"/>
        <w:rPr>
          <w:rFonts w:asciiTheme="majorBidi" w:hAnsiTheme="majorBidi" w:cstheme="majorBidi"/>
          <w:sz w:val="24"/>
          <w:szCs w:val="24"/>
          <w:lang w:eastAsia="fr-FR"/>
        </w:rPr>
      </w:pPr>
      <w:r w:rsidRPr="00114845">
        <w:rPr>
          <w:rFonts w:asciiTheme="majorBidi" w:hAnsiTheme="majorBidi" w:cstheme="majorBidi"/>
          <w:sz w:val="24"/>
          <w:szCs w:val="24"/>
          <w:lang w:eastAsia="fr-FR"/>
        </w:rPr>
        <w:t>L’étude confirme également que les consommateurs présentant un niveau élevé de conscience sanitaire manifestent une plus forte intention d’achat des produits biologiques. Ainsi, la sécurité sanitaire apparaît comme un levier stratégique majeur permettant de renforcer la confiance des consommateurs et de développer le marché des produits biologiques en Algérie.</w:t>
      </w:r>
    </w:p>
    <w:p w:rsidR="00E52A17" w:rsidRDefault="00E52A17" w:rsidP="00F7493D">
      <w:pPr>
        <w:spacing w:line="360" w:lineRule="auto"/>
        <w:ind w:firstLine="567"/>
        <w:rPr>
          <w:rFonts w:asciiTheme="majorBidi" w:hAnsiTheme="majorBidi" w:cstheme="majorBidi"/>
          <w:sz w:val="24"/>
          <w:szCs w:val="24"/>
          <w:lang w:eastAsia="fr-FR"/>
        </w:rPr>
        <w:sectPr w:rsidR="00E52A17" w:rsidSect="00EA0836">
          <w:headerReference w:type="default" r:id="rId67"/>
          <w:footnotePr>
            <w:numRestart w:val="eachPage"/>
          </w:footnotePr>
          <w:pgSz w:w="11906" w:h="16838"/>
          <w:pgMar w:top="1417" w:right="1417" w:bottom="1417" w:left="1417" w:header="737" w:footer="720" w:gutter="0"/>
          <w:pgBorders w:display="firstPage" w:offsetFrom="page">
            <w:top w:val="tornPaperBlack" w:sz="31" w:space="24" w:color="000000" w:themeColor="text1"/>
            <w:left w:val="tornPaperBlack" w:sz="31" w:space="24" w:color="000000" w:themeColor="text1"/>
            <w:bottom w:val="tornPaperBlack" w:sz="31" w:space="24" w:color="000000" w:themeColor="text1"/>
            <w:right w:val="tornPaperBlack" w:sz="31" w:space="24" w:color="000000" w:themeColor="text1"/>
          </w:pgBorders>
          <w:cols w:space="720"/>
          <w:titlePg/>
          <w:docGrid w:linePitch="299"/>
        </w:sectPr>
      </w:pPr>
    </w:p>
    <w:p w:rsidR="00E52A17" w:rsidRDefault="00E52A17" w:rsidP="00E52A17">
      <w:bookmarkStart w:id="395" w:name="_Toc230861621"/>
      <w:bookmarkStart w:id="396" w:name="_Toc230900390"/>
    </w:p>
    <w:p w:rsidR="00E52A17" w:rsidRDefault="00E52A17" w:rsidP="00E52A17"/>
    <w:p w:rsidR="00E52A17" w:rsidRDefault="00E52A17" w:rsidP="00E52A17"/>
    <w:p w:rsidR="00E52A17" w:rsidRDefault="007B5998" w:rsidP="00E52A17">
      <w:r>
        <w:rPr>
          <w:noProof/>
          <w:lang w:eastAsia="fr-FR"/>
        </w:rPr>
        <w:pict>
          <v:shape id="Parchemin : horizontal 50" o:spid="_x0000_s1054" type="#_x0000_t98" style="position:absolute;margin-left:-.35pt;margin-top:11.45pt;width:456pt;height:255.75pt;z-index:251791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" filled="f" strokecolor="#09101d [484]" strokeweight="1.5pt">
            <v:stroke joinstyle="miter"/>
            <v:textbox>
              <w:txbxContent>
                <w:p w:rsidR="00B54D3C" w:rsidRPr="00033626" w:rsidRDefault="00B54D3C" w:rsidP="00033626">
                  <w:pPr>
                    <w:jc w:val="center"/>
                    <w:rPr>
                      <w:rFonts w:asciiTheme="majorBidi" w:hAnsiTheme="majorBidi" w:cstheme="majorBidi"/>
                      <w:b/>
                      <w:bCs/>
                      <w:color w:val="000000" w:themeColor="text1"/>
                      <w:sz w:val="48"/>
                      <w:szCs w:val="48"/>
                    </w:rPr>
                  </w:pPr>
                  <w:r w:rsidRPr="00033626">
                    <w:rPr>
                      <w:rFonts w:asciiTheme="majorBidi" w:hAnsiTheme="majorBidi" w:cstheme="majorBidi"/>
                      <w:b/>
                      <w:bCs/>
                      <w:color w:val="000000" w:themeColor="text1"/>
                      <w:sz w:val="48"/>
                      <w:szCs w:val="48"/>
                    </w:rPr>
                    <w:t xml:space="preserve">Conclusion générale </w:t>
                  </w:r>
                </w:p>
              </w:txbxContent>
            </v:textbox>
          </v:shape>
        </w:pict>
      </w:r>
    </w:p>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E52A17" w:rsidRDefault="00E52A17" w:rsidP="00E52A17"/>
    <w:p w:rsidR="00FC3E0A" w:rsidRDefault="00FC3E0A" w:rsidP="00660383">
      <w:pPr>
        <w:pStyle w:val="Titre2"/>
        <w:spacing w:line="360" w:lineRule="auto"/>
        <w:jc w:val="lowKashida"/>
        <w:rPr>
          <w:rFonts w:asciiTheme="majorBidi" w:eastAsiaTheme="minorHAnsi" w:hAnsiTheme="majorBidi" w:cstheme="majorBidi"/>
          <w:b/>
          <w:bCs/>
          <w:color w:val="auto"/>
          <w:sz w:val="24"/>
          <w:szCs w:val="24"/>
        </w:rPr>
      </w:pPr>
      <w:bookmarkStart w:id="397" w:name="_Toc230861625"/>
      <w:bookmarkStart w:id="398" w:name="_Toc230900394"/>
      <w:bookmarkStart w:id="399" w:name="_Toc230900932"/>
      <w:bookmarkEnd w:id="395"/>
      <w:bookmarkEnd w:id="396"/>
    </w:p>
    <w:p w:rsidR="00FC3E0A" w:rsidRDefault="00FC3E0A" w:rsidP="00660383">
      <w:pPr>
        <w:pStyle w:val="Titre2"/>
        <w:spacing w:line="360" w:lineRule="auto"/>
        <w:jc w:val="lowKashida"/>
        <w:rPr>
          <w:rFonts w:asciiTheme="majorBidi" w:eastAsiaTheme="minorHAnsi" w:hAnsiTheme="majorBidi" w:cstheme="majorBidi"/>
          <w:b/>
          <w:bCs/>
          <w:color w:val="auto"/>
          <w:sz w:val="24"/>
          <w:szCs w:val="24"/>
        </w:rPr>
      </w:pPr>
    </w:p>
    <w:p w:rsidR="00FC3E0A" w:rsidRDefault="00FC3E0A" w:rsidP="00FC3E0A"/>
    <w:p w:rsidR="00FC3E0A" w:rsidRDefault="00FC3E0A" w:rsidP="00FC3E0A"/>
    <w:p w:rsidR="00FC3E0A" w:rsidRDefault="00FC3E0A" w:rsidP="00FC3E0A"/>
    <w:p w:rsidR="00FC3E0A" w:rsidRDefault="00FC3E0A" w:rsidP="00FC3E0A"/>
    <w:p w:rsidR="00FC3E0A" w:rsidRDefault="00FC3E0A" w:rsidP="00FC3E0A"/>
    <w:p w:rsidR="00FC3E0A" w:rsidRDefault="00FC3E0A" w:rsidP="00FC3E0A"/>
    <w:p w:rsidR="00FC3E0A" w:rsidRPr="00FC3E0A" w:rsidRDefault="00FC3E0A" w:rsidP="00FC3E0A"/>
    <w:p w:rsidR="00EE2342" w:rsidRPr="00EE2342" w:rsidRDefault="00EE2342" w:rsidP="00660383">
      <w:pPr>
        <w:pStyle w:val="Titre2"/>
        <w:spacing w:line="360" w:lineRule="auto"/>
        <w:jc w:val="lowKashida"/>
        <w:rPr>
          <w:rFonts w:asciiTheme="majorBidi" w:eastAsiaTheme="minorHAnsi" w:hAnsiTheme="majorBidi" w:cstheme="majorBidi"/>
          <w:b/>
          <w:bCs/>
          <w:color w:val="auto"/>
          <w:sz w:val="24"/>
          <w:szCs w:val="24"/>
        </w:rPr>
      </w:pPr>
      <w:r w:rsidRPr="00EE2342">
        <w:rPr>
          <w:rFonts w:asciiTheme="majorBidi" w:eastAsiaTheme="minorHAnsi" w:hAnsiTheme="majorBidi" w:cstheme="majorBidi"/>
          <w:b/>
          <w:bCs/>
          <w:color w:val="auto"/>
          <w:sz w:val="24"/>
          <w:szCs w:val="24"/>
        </w:rPr>
        <w:lastRenderedPageBreak/>
        <w:t>Conclusion générale</w:t>
      </w:r>
      <w:bookmarkEnd w:id="397"/>
      <w:bookmarkEnd w:id="398"/>
      <w:bookmarkEnd w:id="399"/>
    </w:p>
    <w:p w:rsidR="00EE2342" w:rsidRPr="00EE2342" w:rsidRDefault="00EE2342" w:rsidP="00660383">
      <w:pPr>
        <w:pStyle w:val="NormalWeb"/>
        <w:spacing w:line="360" w:lineRule="auto"/>
        <w:ind w:firstLine="567"/>
        <w:jc w:val="lowKashida"/>
        <w:rPr>
          <w:rFonts w:asciiTheme="majorBidi" w:hAnsiTheme="majorBidi" w:cstheme="majorBidi"/>
        </w:rPr>
      </w:pPr>
      <w:r w:rsidRPr="00EE2342">
        <w:rPr>
          <w:rFonts w:asciiTheme="majorBidi" w:hAnsiTheme="majorBidi" w:cstheme="majorBidi"/>
        </w:rPr>
        <w:t xml:space="preserve">Au terme de cette étude, il apparaît que le marketing des produits biologiques en Algérie constitue un levier important dans le renforcement de la </w:t>
      </w:r>
      <w:r w:rsidRPr="00EE2342">
        <w:rPr>
          <w:rFonts w:asciiTheme="majorBidi" w:hAnsiTheme="majorBidi" w:cstheme="majorBidi"/>
          <w:b/>
          <w:bCs/>
        </w:rPr>
        <w:t>sécurité sanitaire des aliments</w:t>
      </w:r>
      <w:r w:rsidRPr="00EE2342">
        <w:rPr>
          <w:rFonts w:asciiTheme="majorBidi" w:hAnsiTheme="majorBidi" w:cstheme="majorBidi"/>
        </w:rPr>
        <w:t>, à travers des mécanismes liés notamment au label biologique, aux certifications, à la traçabilité ainsi qu’aux stratégies de communication et de promotion.</w:t>
      </w:r>
    </w:p>
    <w:p w:rsidR="00EE2342" w:rsidRPr="00EE2342" w:rsidRDefault="00EE2342" w:rsidP="00660383">
      <w:pPr>
        <w:pStyle w:val="NormalWeb"/>
        <w:spacing w:line="360" w:lineRule="auto"/>
        <w:ind w:firstLine="567"/>
        <w:jc w:val="lowKashida"/>
        <w:rPr>
          <w:rFonts w:asciiTheme="majorBidi" w:hAnsiTheme="majorBidi" w:cstheme="majorBidi"/>
        </w:rPr>
      </w:pPr>
      <w:r w:rsidRPr="00EE2342">
        <w:rPr>
          <w:rFonts w:asciiTheme="majorBidi" w:hAnsiTheme="majorBidi" w:cstheme="majorBidi"/>
        </w:rPr>
        <w:t>Les résultats de l’analyse statistique réalisée à l’aide du logiciel SPSS, sur un échanti</w:t>
      </w:r>
      <w:r w:rsidRPr="00EE2342">
        <w:rPr>
          <w:rFonts w:asciiTheme="majorBidi" w:hAnsiTheme="majorBidi" w:cstheme="majorBidi"/>
        </w:rPr>
        <w:t>l</w:t>
      </w:r>
      <w:r w:rsidRPr="00EE2342">
        <w:rPr>
          <w:rFonts w:asciiTheme="majorBidi" w:hAnsiTheme="majorBidi" w:cstheme="majorBidi"/>
        </w:rPr>
        <w:t xml:space="preserve">lon de 205 consommateurs algériens, complétés par l’étude de cas de l’entreprise Dahbia (huile d’olive biologique), ont mis en évidence un </w:t>
      </w:r>
      <w:r w:rsidRPr="00EE2342">
        <w:rPr>
          <w:rFonts w:asciiTheme="majorBidi" w:hAnsiTheme="majorBidi" w:cstheme="majorBidi"/>
          <w:b/>
          <w:bCs/>
        </w:rPr>
        <w:t>impact positif et statistiquement signif</w:t>
      </w:r>
      <w:r w:rsidRPr="00EE2342">
        <w:rPr>
          <w:rFonts w:asciiTheme="majorBidi" w:hAnsiTheme="majorBidi" w:cstheme="majorBidi"/>
          <w:b/>
          <w:bCs/>
        </w:rPr>
        <w:t>i</w:t>
      </w:r>
      <w:r w:rsidRPr="00EE2342">
        <w:rPr>
          <w:rFonts w:asciiTheme="majorBidi" w:hAnsiTheme="majorBidi" w:cstheme="majorBidi"/>
          <w:b/>
          <w:bCs/>
        </w:rPr>
        <w:t>catif du marketing des produits biologiques sur la sécurité sanitaire des aliments</w:t>
      </w:r>
      <w:r w:rsidRPr="00EE2342">
        <w:rPr>
          <w:rFonts w:asciiTheme="majorBidi" w:hAnsiTheme="majorBidi" w:cstheme="majorBidi"/>
        </w:rPr>
        <w:t>. Cet impact est confirmé par les indicateurs suivants : R = 0,620 ; R² = 0,384 ; Sig. = 0,000.</w:t>
      </w:r>
    </w:p>
    <w:p w:rsidR="00EE2342" w:rsidRPr="00EE2342" w:rsidRDefault="00EE2342" w:rsidP="00660383">
      <w:pPr>
        <w:pStyle w:val="NormalWeb"/>
        <w:spacing w:line="360" w:lineRule="auto"/>
        <w:ind w:firstLine="567"/>
        <w:jc w:val="lowKashida"/>
        <w:rPr>
          <w:rFonts w:asciiTheme="majorBidi" w:hAnsiTheme="majorBidi" w:cstheme="majorBidi"/>
        </w:rPr>
      </w:pPr>
      <w:r w:rsidRPr="00EE2342">
        <w:rPr>
          <w:rFonts w:asciiTheme="majorBidi" w:hAnsiTheme="majorBidi" w:cstheme="majorBidi"/>
        </w:rPr>
        <w:t>Ainsi, le marketing contribue à renforcer la confiance des consommateurs dans les pr</w:t>
      </w:r>
      <w:r w:rsidRPr="00EE2342">
        <w:rPr>
          <w:rFonts w:asciiTheme="majorBidi" w:hAnsiTheme="majorBidi" w:cstheme="majorBidi"/>
        </w:rPr>
        <w:t>o</w:t>
      </w:r>
      <w:r w:rsidRPr="00EE2342">
        <w:rPr>
          <w:rFonts w:asciiTheme="majorBidi" w:hAnsiTheme="majorBidi" w:cstheme="majorBidi"/>
        </w:rPr>
        <w:t>duits alimentaires et à améliorer leur perception de la conformité sanitaire des produits biol</w:t>
      </w:r>
      <w:r w:rsidRPr="00EE2342">
        <w:rPr>
          <w:rFonts w:asciiTheme="majorBidi" w:hAnsiTheme="majorBidi" w:cstheme="majorBidi"/>
        </w:rPr>
        <w:t>o</w:t>
      </w:r>
      <w:r w:rsidRPr="00EE2342">
        <w:rPr>
          <w:rFonts w:asciiTheme="majorBidi" w:hAnsiTheme="majorBidi" w:cstheme="majorBidi"/>
        </w:rPr>
        <w:t>giques, ce qui influence directement leurs comportements d’achat.</w:t>
      </w:r>
    </w:p>
    <w:p w:rsidR="00EE2342" w:rsidRPr="00EE2342" w:rsidRDefault="00EE2342" w:rsidP="00660383">
      <w:pPr>
        <w:pStyle w:val="NormalWeb"/>
        <w:spacing w:line="360" w:lineRule="auto"/>
        <w:ind w:firstLine="567"/>
        <w:jc w:val="lowKashida"/>
        <w:rPr>
          <w:rFonts w:asciiTheme="majorBidi" w:hAnsiTheme="majorBidi" w:cstheme="majorBidi"/>
        </w:rPr>
      </w:pPr>
      <w:r w:rsidRPr="00EE2342">
        <w:rPr>
          <w:rFonts w:asciiTheme="majorBidi" w:hAnsiTheme="majorBidi" w:cstheme="majorBidi"/>
        </w:rPr>
        <w:t>Les résultats montrent également que le rôle du marketing biologique dépasse la dime</w:t>
      </w:r>
      <w:r w:rsidRPr="00EE2342">
        <w:rPr>
          <w:rFonts w:asciiTheme="majorBidi" w:hAnsiTheme="majorBidi" w:cstheme="majorBidi"/>
        </w:rPr>
        <w:t>n</w:t>
      </w:r>
      <w:r w:rsidRPr="00EE2342">
        <w:rPr>
          <w:rFonts w:asciiTheme="majorBidi" w:hAnsiTheme="majorBidi" w:cstheme="majorBidi"/>
        </w:rPr>
        <w:t>sion commerciale pour s’inscrire dans une logique de sécurité sanitaire, notamment à travers la transparence des informations, la traçabilité des produits et le respect des certifications et standards internationaux (Ecocert, USDA Organic). Le marketing devient ainsi un véritable mécanisme de réduction de l’asymétrie d’information entre producteurs et consommateurs.</w:t>
      </w:r>
    </w:p>
    <w:p w:rsidR="00EE2342" w:rsidRPr="00EE2342" w:rsidRDefault="00EE2342" w:rsidP="00660383">
      <w:pPr>
        <w:pStyle w:val="NormalWeb"/>
        <w:spacing w:line="360" w:lineRule="auto"/>
        <w:ind w:firstLine="567"/>
        <w:jc w:val="lowKashida"/>
        <w:rPr>
          <w:rFonts w:asciiTheme="majorBidi" w:hAnsiTheme="majorBidi" w:cstheme="majorBidi"/>
        </w:rPr>
      </w:pPr>
      <w:r w:rsidRPr="00EE2342">
        <w:rPr>
          <w:rFonts w:asciiTheme="majorBidi" w:hAnsiTheme="majorBidi" w:cstheme="majorBidi"/>
        </w:rPr>
        <w:t>Cependant, cette étude présente certaines limites. L’échantillon reste limité à 205 répo</w:t>
      </w:r>
      <w:r w:rsidRPr="00EE2342">
        <w:rPr>
          <w:rFonts w:asciiTheme="majorBidi" w:hAnsiTheme="majorBidi" w:cstheme="majorBidi"/>
        </w:rPr>
        <w:t>n</w:t>
      </w:r>
      <w:r w:rsidRPr="00EE2342">
        <w:rPr>
          <w:rFonts w:asciiTheme="majorBidi" w:hAnsiTheme="majorBidi" w:cstheme="majorBidi"/>
        </w:rPr>
        <w:t>dants et de type non probabiliste, ce qui restreint la généralisation des résultats. L’analyse r</w:t>
      </w:r>
      <w:r w:rsidRPr="00EE2342">
        <w:rPr>
          <w:rFonts w:asciiTheme="majorBidi" w:hAnsiTheme="majorBidi" w:cstheme="majorBidi"/>
        </w:rPr>
        <w:t>e</w:t>
      </w:r>
      <w:r w:rsidRPr="00EE2342">
        <w:rPr>
          <w:rFonts w:asciiTheme="majorBidi" w:hAnsiTheme="majorBidi" w:cstheme="majorBidi"/>
        </w:rPr>
        <w:t>pose sur des perceptions et des intentions déclarées et non sur des mesures objectives de séc</w:t>
      </w:r>
      <w:r w:rsidRPr="00EE2342">
        <w:rPr>
          <w:rFonts w:asciiTheme="majorBidi" w:hAnsiTheme="majorBidi" w:cstheme="majorBidi"/>
        </w:rPr>
        <w:t>u</w:t>
      </w:r>
      <w:r w:rsidRPr="00EE2342">
        <w:rPr>
          <w:rFonts w:asciiTheme="majorBidi" w:hAnsiTheme="majorBidi" w:cstheme="majorBidi"/>
        </w:rPr>
        <w:t>rité sanitaire. Enfin, l’étude de cas est limitée à une seule entreprise, ce qui réduit la portée comparative de la recherche.</w:t>
      </w:r>
    </w:p>
    <w:p w:rsidR="00EE2342" w:rsidRPr="00EE2342" w:rsidRDefault="00EE2342" w:rsidP="00660383">
      <w:pPr>
        <w:pStyle w:val="NormalWeb"/>
        <w:spacing w:line="360" w:lineRule="auto"/>
        <w:ind w:firstLine="567"/>
        <w:jc w:val="lowKashida"/>
        <w:rPr>
          <w:rFonts w:asciiTheme="majorBidi" w:hAnsiTheme="majorBidi" w:cstheme="majorBidi"/>
        </w:rPr>
      </w:pPr>
      <w:r w:rsidRPr="00EE2342">
        <w:rPr>
          <w:rFonts w:asciiTheme="majorBidi" w:hAnsiTheme="majorBidi" w:cstheme="majorBidi"/>
        </w:rPr>
        <w:t>Malgré ces limites, cette recherche ouvre plusieurs perspectives. Il serait pertinent d’élargir l’échantillon à d’autres régions et catégories sociales, de réaliser des études comp</w:t>
      </w:r>
      <w:r w:rsidRPr="00EE2342">
        <w:rPr>
          <w:rFonts w:asciiTheme="majorBidi" w:hAnsiTheme="majorBidi" w:cstheme="majorBidi"/>
        </w:rPr>
        <w:t>a</w:t>
      </w:r>
      <w:r w:rsidRPr="00EE2342">
        <w:rPr>
          <w:rFonts w:asciiTheme="majorBidi" w:hAnsiTheme="majorBidi" w:cstheme="majorBidi"/>
        </w:rPr>
        <w:t>ratives entre plusieurs entreprises biologiques, d’intégrer une comparaison avec les pays vo</w:t>
      </w:r>
      <w:r w:rsidRPr="00EE2342">
        <w:rPr>
          <w:rFonts w:asciiTheme="majorBidi" w:hAnsiTheme="majorBidi" w:cstheme="majorBidi"/>
        </w:rPr>
        <w:t>i</w:t>
      </w:r>
      <w:r w:rsidRPr="00EE2342">
        <w:rPr>
          <w:rFonts w:asciiTheme="majorBidi" w:hAnsiTheme="majorBidi" w:cstheme="majorBidi"/>
        </w:rPr>
        <w:t>sins tels que la Tunisie et le Maroc, et d’examiner plus en profondeur le rôle des technologies numériques dans la distribution et la promotion des produits biologiques.</w:t>
      </w:r>
    </w:p>
    <w:p w:rsidR="00EE2342" w:rsidRPr="00EE2342" w:rsidRDefault="00EE2342" w:rsidP="00660383">
      <w:pPr>
        <w:pStyle w:val="NormalWeb"/>
        <w:spacing w:line="360" w:lineRule="auto"/>
        <w:ind w:firstLine="567"/>
        <w:jc w:val="lowKashida"/>
        <w:rPr>
          <w:rFonts w:asciiTheme="majorBidi" w:hAnsiTheme="majorBidi" w:cstheme="majorBidi"/>
        </w:rPr>
      </w:pPr>
      <w:r w:rsidRPr="00EE2342">
        <w:rPr>
          <w:rFonts w:asciiTheme="majorBidi" w:hAnsiTheme="majorBidi" w:cstheme="majorBidi"/>
        </w:rPr>
        <w:t xml:space="preserve">En définitive, cette étude confirme que le marketing des produits biologiques, lorsqu’il s’appuie sur des dispositifs fiables de certification, d’étiquetage et de traçabilité, dépasse sa </w:t>
      </w:r>
      <w:r w:rsidRPr="00EE2342">
        <w:rPr>
          <w:rFonts w:asciiTheme="majorBidi" w:hAnsiTheme="majorBidi" w:cstheme="majorBidi"/>
        </w:rPr>
        <w:lastRenderedPageBreak/>
        <w:t>fonction commerciale pour devenir un véritable levier de sécurité sanitaire et de confiance pour le consommateur algérien.</w:t>
      </w:r>
    </w:p>
    <w:p w:rsidR="00EC7780" w:rsidRPr="00EC7780" w:rsidRDefault="00EC7780" w:rsidP="00EC7780">
      <w:pPr>
        <w:pStyle w:val="NormalWeb"/>
        <w:rPr>
          <w:rFonts w:asciiTheme="majorBidi" w:hAnsiTheme="majorBidi" w:cstheme="majorBidi"/>
          <w:b/>
          <w:bCs/>
        </w:rPr>
      </w:pPr>
      <w:bookmarkStart w:id="400" w:name="_Toc230900928"/>
      <w:r w:rsidRPr="00EC7780">
        <w:rPr>
          <w:rFonts w:asciiTheme="majorBidi" w:hAnsiTheme="majorBidi" w:cstheme="majorBidi"/>
          <w:b/>
          <w:bCs/>
        </w:rPr>
        <w:t>Résultats généraux de l’étude</w:t>
      </w:r>
      <w:bookmarkEnd w:id="400"/>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À partir de l’analyse statistique réalisée avec le logiciel SPSS sur un échantillon de 205 co</w:t>
      </w:r>
      <w:r w:rsidRPr="00EC7780">
        <w:rPr>
          <w:rFonts w:asciiTheme="majorBidi" w:hAnsiTheme="majorBidi" w:cstheme="majorBidi"/>
        </w:rPr>
        <w:t>n</w:t>
      </w:r>
      <w:r w:rsidRPr="00EC7780">
        <w:rPr>
          <w:rFonts w:asciiTheme="majorBidi" w:hAnsiTheme="majorBidi" w:cstheme="majorBidi"/>
        </w:rPr>
        <w:t>sommateurs algériens, complétée par l’étude de cas de l’entreprise Dahbia spécialisée dans l’huile d’olive biologique, plusieurs résultats généraux ont été obtenus.</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b/>
          <w:bCs/>
        </w:rPr>
        <w:t>Résultat 1 :</w:t>
      </w:r>
      <w:r w:rsidRPr="00EC7780">
        <w:rPr>
          <w:rFonts w:asciiTheme="majorBidi" w:hAnsiTheme="majorBidi" w:cstheme="majorBidi"/>
        </w:rPr>
        <w:t xml:space="preserve"> Un impact positif et fort du marketing sur la sécurité sanitaire alimentaire</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Les résultats montrent l’existence d’une relation positive, forte et statistiquement significative entre le marketing des produits biologiques et le renforcement de la sécurité sanitaire alime</w:t>
      </w:r>
      <w:r w:rsidRPr="00EC7780">
        <w:rPr>
          <w:rFonts w:asciiTheme="majorBidi" w:hAnsiTheme="majorBidi" w:cstheme="majorBidi"/>
        </w:rPr>
        <w:t>n</w:t>
      </w:r>
      <w:r w:rsidRPr="00EC7780">
        <w:rPr>
          <w:rFonts w:asciiTheme="majorBidi" w:hAnsiTheme="majorBidi" w:cstheme="majorBidi"/>
        </w:rPr>
        <w:t>taire.</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Les indicateurs statistiques (R = 0,620 ; R² = 0,384 ; Sig. = 0,000) indiquent que le marketing explique environ 38,4 % des variations liées à la sécurité sanitaire perçue.</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Cela montre que le marketing ne se limite pas à une fonction commerciale, mais joue égal</w:t>
      </w:r>
      <w:r w:rsidRPr="00EC7780">
        <w:rPr>
          <w:rFonts w:asciiTheme="majorBidi" w:hAnsiTheme="majorBidi" w:cstheme="majorBidi"/>
        </w:rPr>
        <w:t>e</w:t>
      </w:r>
      <w:r w:rsidRPr="00EC7780">
        <w:rPr>
          <w:rFonts w:asciiTheme="majorBidi" w:hAnsiTheme="majorBidi" w:cstheme="majorBidi"/>
        </w:rPr>
        <w:t>ment un rôle essentiel dans la construction de la confiance liée à la sécurité sanitaire des al</w:t>
      </w:r>
      <w:r w:rsidRPr="00EC7780">
        <w:rPr>
          <w:rFonts w:asciiTheme="majorBidi" w:hAnsiTheme="majorBidi" w:cstheme="majorBidi"/>
        </w:rPr>
        <w:t>i</w:t>
      </w:r>
      <w:r w:rsidRPr="00EC7780">
        <w:rPr>
          <w:rFonts w:asciiTheme="majorBidi" w:hAnsiTheme="majorBidi" w:cstheme="majorBidi"/>
        </w:rPr>
        <w:t>ments.</w:t>
      </w:r>
    </w:p>
    <w:p w:rsidR="00EC7780" w:rsidRPr="00EC7780" w:rsidRDefault="00EC7780" w:rsidP="00EC7780">
      <w:pPr>
        <w:pStyle w:val="NormalWeb"/>
        <w:rPr>
          <w:rFonts w:asciiTheme="majorBidi" w:hAnsiTheme="majorBidi" w:cstheme="majorBidi"/>
          <w:b/>
          <w:bCs/>
        </w:rPr>
      </w:pPr>
      <w:r w:rsidRPr="00EC7780">
        <w:rPr>
          <w:rFonts w:asciiTheme="majorBidi" w:hAnsiTheme="majorBidi" w:cstheme="majorBidi"/>
          <w:b/>
          <w:bCs/>
        </w:rPr>
        <w:t>Résultat 2 : La marque biologique comme facteur le plus influent</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La marque biologique apparaît comme l’élément le plus déterminant du mix marketing.</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Avec une moyenne de 4,01/5 et des résultats significatifs (R = 0,531 ; R² = 0,282 ; Sig. = 0,000), elle explique à elle seule 28,2 % de la confiance liée à la sécurité sanitaire.</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Cela confirme que les consommateurs accordent une grande importance aux certifications officielles (Ecocert, USDA Organic) considérées comme un gage de qualité et de sécurité.</w:t>
      </w:r>
    </w:p>
    <w:p w:rsidR="00EC7780" w:rsidRPr="00EC7780" w:rsidRDefault="00EC7780" w:rsidP="00EC7780">
      <w:pPr>
        <w:pStyle w:val="NormalWeb"/>
        <w:rPr>
          <w:rFonts w:asciiTheme="majorBidi" w:hAnsiTheme="majorBidi" w:cstheme="majorBidi"/>
          <w:b/>
          <w:bCs/>
        </w:rPr>
      </w:pPr>
      <w:r w:rsidRPr="00EC7780">
        <w:rPr>
          <w:rFonts w:asciiTheme="majorBidi" w:hAnsiTheme="majorBidi" w:cstheme="majorBidi"/>
          <w:b/>
          <w:bCs/>
        </w:rPr>
        <w:t>Résultat 3 : Un impact faible du prix</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Les résultats montrent que le prix n’est pas un facteur décisif comparé aux autres variables étudiées.</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Avec une moyenne de 3,37/5 et un faible pouvoir explicatif (R² = 0,055 ; Sig. = 0,001), le prix ne représente que 5,5 % de l’intention d’achat.</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Cela signifie que les consommateurs privilégient davantage la qualité et la sécurité sanitaire que les considérations économiques.</w:t>
      </w:r>
    </w:p>
    <w:p w:rsidR="00EC7780" w:rsidRPr="00EC7780" w:rsidRDefault="00EC7780" w:rsidP="00EC7780">
      <w:pPr>
        <w:pStyle w:val="NormalWeb"/>
        <w:rPr>
          <w:rFonts w:asciiTheme="majorBidi" w:hAnsiTheme="majorBidi" w:cstheme="majorBidi"/>
          <w:b/>
          <w:bCs/>
        </w:rPr>
      </w:pPr>
      <w:r w:rsidRPr="00EC7780">
        <w:rPr>
          <w:rFonts w:asciiTheme="majorBidi" w:hAnsiTheme="majorBidi" w:cstheme="majorBidi"/>
          <w:b/>
          <w:bCs/>
        </w:rPr>
        <w:t>Résultat 4 : Une faiblesse importante du système de distribution</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Le canal de distribution obtient la note la plus faible parmi les composantes du mix marketing (3,26/5).</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Cela reflète une disponibilité limitée des produits biologiques sur le marché local.</w:t>
      </w:r>
    </w:p>
    <w:p w:rsidR="00EC7780" w:rsidRDefault="00EC7780" w:rsidP="00EC7780">
      <w:pPr>
        <w:pStyle w:val="NormalWeb"/>
        <w:rPr>
          <w:rFonts w:asciiTheme="majorBidi" w:hAnsiTheme="majorBidi" w:cstheme="majorBidi"/>
        </w:rPr>
      </w:pPr>
      <w:r w:rsidRPr="00EC7780">
        <w:rPr>
          <w:rFonts w:asciiTheme="majorBidi" w:hAnsiTheme="majorBidi" w:cstheme="majorBidi"/>
        </w:rPr>
        <w:t>Cette faiblesse constitue l’un des principaux obstacles au développement du secteur biol</w:t>
      </w:r>
      <w:r w:rsidRPr="00EC7780">
        <w:rPr>
          <w:rFonts w:asciiTheme="majorBidi" w:hAnsiTheme="majorBidi" w:cstheme="majorBidi"/>
        </w:rPr>
        <w:t>o</w:t>
      </w:r>
      <w:r w:rsidRPr="00EC7780">
        <w:rPr>
          <w:rFonts w:asciiTheme="majorBidi" w:hAnsiTheme="majorBidi" w:cstheme="majorBidi"/>
        </w:rPr>
        <w:t>gique en Algérie.</w:t>
      </w:r>
    </w:p>
    <w:p w:rsidR="00FC3E0A" w:rsidRPr="00EC7780" w:rsidRDefault="00FC3E0A" w:rsidP="00EC7780">
      <w:pPr>
        <w:pStyle w:val="NormalWeb"/>
        <w:rPr>
          <w:rFonts w:asciiTheme="majorBidi" w:hAnsiTheme="majorBidi" w:cstheme="majorBidi"/>
        </w:rPr>
      </w:pPr>
    </w:p>
    <w:p w:rsidR="00EC7780" w:rsidRPr="00EC7780" w:rsidRDefault="00EC7780" w:rsidP="00EC7780">
      <w:pPr>
        <w:pStyle w:val="NormalWeb"/>
        <w:rPr>
          <w:rFonts w:asciiTheme="majorBidi" w:hAnsiTheme="majorBidi" w:cstheme="majorBidi"/>
          <w:b/>
          <w:bCs/>
        </w:rPr>
      </w:pPr>
      <w:r w:rsidRPr="00EC7780">
        <w:rPr>
          <w:rFonts w:asciiTheme="majorBidi" w:hAnsiTheme="majorBidi" w:cstheme="majorBidi"/>
          <w:b/>
          <w:bCs/>
        </w:rPr>
        <w:lastRenderedPageBreak/>
        <w:t>Résultat 5 : Un niveau élevé de conscience sanitaire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L’étude révèle un niveau élevé de conscience sanitaire chez les consommateurs interrogés.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Avec une moyenne de 4,12/5 et des résultats significatifs (R = 0,513 ; R² = 0,263 ; Sig. = 0,000), cette variable explique 26,3 % de l’intention d’achat.</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Cela traduit une prise de conscience accrue des risques liés aux produits alimentaires conve</w:t>
      </w:r>
      <w:r w:rsidRPr="00EC7780">
        <w:rPr>
          <w:rFonts w:asciiTheme="majorBidi" w:hAnsiTheme="majorBidi" w:cstheme="majorBidi"/>
        </w:rPr>
        <w:t>n</w:t>
      </w:r>
      <w:r w:rsidRPr="00EC7780">
        <w:rPr>
          <w:rFonts w:asciiTheme="majorBidi" w:hAnsiTheme="majorBidi" w:cstheme="majorBidi"/>
        </w:rPr>
        <w:t>tionnels.</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Résultat 6 : Une relation forte entre sécurité sanitaire et intention d’achat</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Les résultats montrent une relation positive et forte entre la perception de la sécurité sanitaire et l’intention d’achat.</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Les indicateurs statistiques (R = 0,601 ; R² = 0,361 ; Sig. = 0,000) indiquent que 36,1 % de l’intention d’achat est expliquée par cette perception.</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Ainsi, plus le consommateur perçoit le produit biologique comme sûr, plus sa volonté de l’acheter augmente.</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Résultat 7 : Le succès de l’entreprise Dahbia comme modèle pratique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L’entreprise Dahbia représente un exemple réussi d’application du marketing biologique.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Elle se distingue par :</w:t>
      </w:r>
    </w:p>
    <w:p w:rsidR="00EC7780" w:rsidRPr="00EC7780" w:rsidRDefault="00EC7780" w:rsidP="00140168">
      <w:pPr>
        <w:pStyle w:val="NormalWeb"/>
        <w:numPr>
          <w:ilvl w:val="0"/>
          <w:numId w:val="40"/>
        </w:numPr>
        <w:tabs>
          <w:tab w:val="clear" w:pos="0"/>
          <w:tab w:val="clear" w:pos="540"/>
        </w:tabs>
        <w:jc w:val="both"/>
        <w:rPr>
          <w:rFonts w:asciiTheme="majorBidi" w:hAnsiTheme="majorBidi" w:cstheme="majorBidi"/>
        </w:rPr>
      </w:pPr>
      <w:r w:rsidRPr="00EC7780">
        <w:rPr>
          <w:rFonts w:asciiTheme="majorBidi" w:hAnsiTheme="majorBidi" w:cstheme="majorBidi"/>
        </w:rPr>
        <w:t>le respect des normes biologiques (Ecocert),</w:t>
      </w:r>
    </w:p>
    <w:p w:rsidR="00EC7780" w:rsidRPr="00EC7780" w:rsidRDefault="00EC7780" w:rsidP="00140168">
      <w:pPr>
        <w:pStyle w:val="NormalWeb"/>
        <w:numPr>
          <w:ilvl w:val="0"/>
          <w:numId w:val="40"/>
        </w:numPr>
        <w:tabs>
          <w:tab w:val="clear" w:pos="0"/>
          <w:tab w:val="clear" w:pos="540"/>
        </w:tabs>
        <w:jc w:val="both"/>
        <w:rPr>
          <w:rFonts w:asciiTheme="majorBidi" w:hAnsiTheme="majorBidi" w:cstheme="majorBidi"/>
        </w:rPr>
      </w:pPr>
      <w:r w:rsidRPr="00EC7780">
        <w:rPr>
          <w:rFonts w:asciiTheme="majorBidi" w:hAnsiTheme="majorBidi" w:cstheme="majorBidi"/>
        </w:rPr>
        <w:t>l’obtention de plusieurs distinctions internationales,</w:t>
      </w:r>
    </w:p>
    <w:p w:rsidR="00EC7780" w:rsidRPr="00EC7780" w:rsidRDefault="00EC7780" w:rsidP="00140168">
      <w:pPr>
        <w:pStyle w:val="NormalWeb"/>
        <w:numPr>
          <w:ilvl w:val="0"/>
          <w:numId w:val="40"/>
        </w:numPr>
        <w:tabs>
          <w:tab w:val="clear" w:pos="0"/>
          <w:tab w:val="clear" w:pos="540"/>
        </w:tabs>
        <w:jc w:val="both"/>
        <w:rPr>
          <w:rFonts w:asciiTheme="majorBidi" w:hAnsiTheme="majorBidi" w:cstheme="majorBidi"/>
        </w:rPr>
      </w:pPr>
      <w:r w:rsidRPr="00EC7780">
        <w:rPr>
          <w:rFonts w:asciiTheme="majorBidi" w:hAnsiTheme="majorBidi" w:cstheme="majorBidi"/>
        </w:rPr>
        <w:t>une communication transparente basée sur la traçabilité,</w:t>
      </w:r>
    </w:p>
    <w:p w:rsidR="00EC7780" w:rsidRPr="00EC7780" w:rsidRDefault="00EC7780" w:rsidP="00140168">
      <w:pPr>
        <w:pStyle w:val="NormalWeb"/>
        <w:numPr>
          <w:ilvl w:val="0"/>
          <w:numId w:val="40"/>
        </w:numPr>
        <w:tabs>
          <w:tab w:val="clear" w:pos="0"/>
          <w:tab w:val="clear" w:pos="540"/>
        </w:tabs>
        <w:jc w:val="both"/>
        <w:rPr>
          <w:rFonts w:asciiTheme="majorBidi" w:hAnsiTheme="majorBidi" w:cstheme="majorBidi"/>
        </w:rPr>
      </w:pPr>
      <w:r w:rsidRPr="00EC7780">
        <w:rPr>
          <w:rFonts w:asciiTheme="majorBidi" w:hAnsiTheme="majorBidi" w:cstheme="majorBidi"/>
        </w:rPr>
        <w:t>une forte orientation vers l’exportation.</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Cependant, malgré ce succès, une faiblesse persiste au niveau de la distribution locale, ce qui confirme les résultats de l’étude quantitative.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Les résultats de l’étude confirment que le marketing des produits biologiques joue un rôle central dans le renforcement de la sécurité sanitaire alimentaire. La marque biologique et la communication marketing apparaissent comme les principaux leviers d’influence, tandis que la distribution constitue la principale faiblesse du secteur.</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Par ailleurs, le prix ne représente pas un obstacle majeur dans le contexte étudié, en raison du niveau élevé de conscience sanitaire des consommateurs, ce qui explique leur disposition à privilégier la qualité et la sécurité malgré un coût plus élevé.</w:t>
      </w:r>
    </w:p>
    <w:p w:rsidR="00EC7780" w:rsidRPr="00EC7780" w:rsidRDefault="00EC7780" w:rsidP="00140168">
      <w:pPr>
        <w:pStyle w:val="NormalWeb"/>
        <w:jc w:val="both"/>
        <w:rPr>
          <w:rFonts w:asciiTheme="majorBidi" w:hAnsiTheme="majorBidi" w:cstheme="majorBidi"/>
          <w:b/>
          <w:bCs/>
        </w:rPr>
      </w:pPr>
      <w:bookmarkStart w:id="401" w:name="_Toc230861622"/>
      <w:bookmarkStart w:id="402" w:name="_Toc230900391"/>
      <w:bookmarkStart w:id="403" w:name="_Toc230900929"/>
      <w:r w:rsidRPr="00EC7780">
        <w:rPr>
          <w:rFonts w:asciiTheme="majorBidi" w:hAnsiTheme="majorBidi" w:cstheme="majorBidi"/>
          <w:b/>
          <w:bCs/>
        </w:rPr>
        <w:t>Recommandations et suggestions</w:t>
      </w:r>
      <w:bookmarkEnd w:id="401"/>
      <w:bookmarkEnd w:id="402"/>
      <w:bookmarkEnd w:id="403"/>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A. Recommandations destinées aux entreprises productrices (ex. entreprise Dahbia)</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Les résultats de l’étude montrent d’abord la nécessité d’améliorer les circuits de distribution sur le marché local, car la distribution constitue le point le plus faible du mix marketing (moyenne de 3,26/5). Cette insuffisance limite la disponibilité des produits biologiques et réduit leur accessibilité pour les consommateurs.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lastRenderedPageBreak/>
        <w:t>Il est également recommandé de renforcer la mise en avant des certifications et des labels bi</w:t>
      </w:r>
      <w:r w:rsidRPr="00EC7780">
        <w:rPr>
          <w:rFonts w:asciiTheme="majorBidi" w:hAnsiTheme="majorBidi" w:cstheme="majorBidi"/>
        </w:rPr>
        <w:t>o</w:t>
      </w:r>
      <w:r w:rsidRPr="00EC7780">
        <w:rPr>
          <w:rFonts w:asciiTheme="majorBidi" w:hAnsiTheme="majorBidi" w:cstheme="majorBidi"/>
        </w:rPr>
        <w:t>logiques, étant donné qu’ils représentent le facteur le plus influent dans la construction de la confiance des consommateurs (moyenne de 4,01/5). La marque biologique joue ainsi un rôle central dans la perception de la sécurité sanitaire.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Par ailleurs, bien que l’effet du prix soit relativement faible sur la décision d’achat (R² = 0,055), il est pertinent d’adopter une politique de prix plus flexible afin de s’adapter à la d</w:t>
      </w:r>
      <w:r w:rsidRPr="00EC7780">
        <w:rPr>
          <w:rFonts w:asciiTheme="majorBidi" w:hAnsiTheme="majorBidi" w:cstheme="majorBidi"/>
        </w:rPr>
        <w:t>i</w:t>
      </w:r>
      <w:r w:rsidRPr="00EC7780">
        <w:rPr>
          <w:rFonts w:asciiTheme="majorBidi" w:hAnsiTheme="majorBidi" w:cstheme="majorBidi"/>
        </w:rPr>
        <w:t>versité des profils des consommateurs et d’élargir la clientèle potentielle.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L’étude souligne également l’importance d’investir dans la sensibilisation sanitaire, puisque le niveau de sensibilisation est élevé (4,12/5) et exerce une influence significative sur l’intention d’achat (R = 0,513). Cela rend les actions de communication éducative particulièrement eff</w:t>
      </w:r>
      <w:r w:rsidRPr="00EC7780">
        <w:rPr>
          <w:rFonts w:asciiTheme="majorBidi" w:hAnsiTheme="majorBidi" w:cstheme="majorBidi"/>
        </w:rPr>
        <w:t>i</w:t>
      </w:r>
      <w:r w:rsidRPr="00EC7780">
        <w:rPr>
          <w:rFonts w:asciiTheme="majorBidi" w:hAnsiTheme="majorBidi" w:cstheme="majorBidi"/>
        </w:rPr>
        <w:t>caces.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Il est aussi nécessaire de renforcer la transparence du processus de production, car la sécurité sanitaire perçue influence fortement l’intention d’achat (R = 0,601). La mise en avant des pratiques agricoles, des analyses et des certifications contribue à renforcer la confiance.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Enfin, le développement de la vente en ligne, l’équilibre entre exportation et marché local, ainsi que la collaboration avec des experts en santé et des influenceurs constituent des leviers complémentaires pour améliorer la visibilité et la crédibilité des produits biologiques.</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B. Recommandations destinées aux pouvoirs publics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Les résultats de l’étude mettent en évidence la nécessité de simplifier l’accès aux certific</w:t>
      </w:r>
      <w:r w:rsidRPr="00EC7780">
        <w:rPr>
          <w:rFonts w:asciiTheme="majorBidi" w:hAnsiTheme="majorBidi" w:cstheme="majorBidi"/>
        </w:rPr>
        <w:t>a</w:t>
      </w:r>
      <w:r w:rsidRPr="00EC7780">
        <w:rPr>
          <w:rFonts w:asciiTheme="majorBidi" w:hAnsiTheme="majorBidi" w:cstheme="majorBidi"/>
        </w:rPr>
        <w:t>tions biologiques, car celles-ci constituent le principal facteur de confiance des consomm</w:t>
      </w:r>
      <w:r w:rsidRPr="00EC7780">
        <w:rPr>
          <w:rFonts w:asciiTheme="majorBidi" w:hAnsiTheme="majorBidi" w:cstheme="majorBidi"/>
        </w:rPr>
        <w:t>a</w:t>
      </w:r>
      <w:r w:rsidRPr="00EC7780">
        <w:rPr>
          <w:rFonts w:asciiTheme="majorBidi" w:hAnsiTheme="majorBidi" w:cstheme="majorBidi"/>
        </w:rPr>
        <w:t>teurs. Faciliter ces démarches permettrait d’encourager davantage de producteurs à entrer dans le marché biologique.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Il est également important de soutenir financièrement et techniquement les producteurs locaux afin de réduire les coûts de production et de rendre les produits biologiques plus compétitifs sur le marché.</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 renforcement du contrôle contre les fraudes et le greenwashing est une priorité, car la co</w:t>
      </w:r>
      <w:r w:rsidRPr="00EC7780">
        <w:rPr>
          <w:rFonts w:asciiTheme="majorBidi" w:hAnsiTheme="majorBidi" w:cstheme="majorBidi"/>
        </w:rPr>
        <w:t>n</w:t>
      </w:r>
      <w:r w:rsidRPr="00EC7780">
        <w:rPr>
          <w:rFonts w:asciiTheme="majorBidi" w:hAnsiTheme="majorBidi" w:cstheme="majorBidi"/>
        </w:rPr>
        <w:t>fiance élevée des consommateurs dans les labels doit être protégée par une réglementation stricte.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La création d’espaces de vente dédiés aux produits biologiques permettrait de répondre dire</w:t>
      </w:r>
      <w:r w:rsidRPr="00EC7780">
        <w:rPr>
          <w:rFonts w:asciiTheme="majorBidi" w:hAnsiTheme="majorBidi" w:cstheme="majorBidi"/>
        </w:rPr>
        <w:t>c</w:t>
      </w:r>
      <w:r w:rsidRPr="00EC7780">
        <w:rPr>
          <w:rFonts w:asciiTheme="majorBidi" w:hAnsiTheme="majorBidi" w:cstheme="majorBidi"/>
        </w:rPr>
        <w:t>tement au problème de distribution insuffisante identifié dans l’étude.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De plus, des campagnes nationales de sensibilisation sont nécessaires, car la sensibilisation influence fortement la demande et le comportement d’achat.</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L’intégration de l’éducation à la santé dans les programmes scolaires est également reco</w:t>
      </w:r>
      <w:r w:rsidRPr="00EC7780">
        <w:rPr>
          <w:rFonts w:asciiTheme="majorBidi" w:hAnsiTheme="majorBidi" w:cstheme="majorBidi"/>
        </w:rPr>
        <w:t>m</w:t>
      </w:r>
      <w:r w:rsidRPr="00EC7780">
        <w:rPr>
          <w:rFonts w:asciiTheme="majorBidi" w:hAnsiTheme="majorBidi" w:cstheme="majorBidi"/>
        </w:rPr>
        <w:t>mandée, afin de renforcer durablement le niveau de sensibilisation des futures générations.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Il est aussi pertinent de réduire les taxes sur les produits biologiques locaux afin de soutenir la production nationale et de réduire l’écart de prix avec les produits conventionnels.</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t>La création d’un observatoire national des produits biologiques permettrait d’améliorer la collecte de données et d’aider à la prise de décision stratégique.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lastRenderedPageBreak/>
        <w:t>Enfin, la facilitation des procédures d’exportation et le soutien à la recherche scientifique en agriculture biologique constituent des leviers essentiels pour développer durablement ce se</w:t>
      </w:r>
      <w:r w:rsidRPr="00EC7780">
        <w:rPr>
          <w:rFonts w:asciiTheme="majorBidi" w:hAnsiTheme="majorBidi" w:cstheme="majorBidi"/>
        </w:rPr>
        <w:t>c</w:t>
      </w:r>
      <w:r w:rsidRPr="00EC7780">
        <w:rPr>
          <w:rFonts w:asciiTheme="majorBidi" w:hAnsiTheme="majorBidi" w:cstheme="majorBidi"/>
        </w:rPr>
        <w:t>teur.</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C. Recommandations destinées aux consommateurs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Les consommateurs doivent d’abord vérifier la présence de certifications officielles avant l’achat, car celles-ci constituent le principal garant de la sécurité et de la confiance.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Il est également important de distinguer les labels authentiques des labels frauduleux afin d’éviter les produits trompeurs présents sur le marché.</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La lecture attentive de la composition des produits est essentielle, car les éléments visuels du marketing ne suffisent pas à garantir la qualité réelle.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Les consommateurs sont aussi encouragés à signaler les produits suspects afin de protéger le marché et les autres consommateurs.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La préférence pour les produits locaux fiables est recommandée, car elle soutient l’économie nationale et favorise une meilleure traçabilité.</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La participation à la diffusion de la sensibilisation sanitaire dans l’entourage contribue à re</w:t>
      </w:r>
      <w:r w:rsidRPr="00EC7780">
        <w:rPr>
          <w:rFonts w:asciiTheme="majorBidi" w:hAnsiTheme="majorBidi" w:cstheme="majorBidi"/>
        </w:rPr>
        <w:t>n</w:t>
      </w:r>
      <w:r w:rsidRPr="00EC7780">
        <w:rPr>
          <w:rFonts w:asciiTheme="majorBidi" w:hAnsiTheme="majorBidi" w:cstheme="majorBidi"/>
        </w:rPr>
        <w:t>forcer l’impact global du comportement responsable.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Il est également important de ne pas se baser uniquement sur le prix, puisque les résultats montrent que le prix n’est pas un facteur déterminant (R² = 0,055).</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Enfin, la participation aux enquêtes et études permet d’améliorer la compréhension des b</w:t>
      </w:r>
      <w:r w:rsidRPr="00EC7780">
        <w:rPr>
          <w:rFonts w:asciiTheme="majorBidi" w:hAnsiTheme="majorBidi" w:cstheme="majorBidi"/>
        </w:rPr>
        <w:t>e</w:t>
      </w:r>
      <w:r w:rsidRPr="00EC7780">
        <w:rPr>
          <w:rFonts w:asciiTheme="majorBidi" w:hAnsiTheme="majorBidi" w:cstheme="majorBidi"/>
        </w:rPr>
        <w:t>soins des consommateurs et d’optimiser les politiques du secteur.</w:t>
      </w:r>
    </w:p>
    <w:p w:rsidR="00C50FD4" w:rsidRPr="00C50FD4" w:rsidRDefault="00EC7780" w:rsidP="00140168">
      <w:pPr>
        <w:pStyle w:val="NormalWeb"/>
        <w:spacing w:line="360" w:lineRule="auto"/>
        <w:jc w:val="both"/>
        <w:rPr>
          <w:rFonts w:asciiTheme="majorBidi" w:hAnsiTheme="majorBidi" w:cstheme="majorBidi"/>
        </w:rPr>
      </w:pPr>
      <w:r w:rsidRPr="00EC7780">
        <w:rPr>
          <w:rFonts w:asciiTheme="majorBidi" w:hAnsiTheme="majorBidi" w:cstheme="majorBidi"/>
        </w:rPr>
        <w:t>Les recommandations issues de cette étude montrent que le développement du secteur des produits biologiques en Algérie repose principalement sur le renforcement de la distribution, la consolidation de la confiance via les labels biologiques, l’amélioration de la sensibilisation sanitaire et le développement du cadre institutionnel et réglementaire.</w:t>
      </w:r>
    </w:p>
    <w:p w:rsidR="00EC7780" w:rsidRPr="00EC7780" w:rsidRDefault="00EC7780" w:rsidP="00140168">
      <w:pPr>
        <w:pStyle w:val="NormalWeb"/>
        <w:jc w:val="both"/>
        <w:rPr>
          <w:rFonts w:asciiTheme="majorBidi" w:hAnsiTheme="majorBidi" w:cstheme="majorBidi"/>
          <w:b/>
          <w:bCs/>
        </w:rPr>
      </w:pPr>
      <w:bookmarkStart w:id="404" w:name="_Toc230861624"/>
      <w:bookmarkStart w:id="405" w:name="_Toc230900393"/>
      <w:bookmarkStart w:id="406" w:name="_Toc230900931"/>
      <w:r w:rsidRPr="00EC7780">
        <w:rPr>
          <w:rFonts w:asciiTheme="majorBidi" w:hAnsiTheme="majorBidi" w:cstheme="majorBidi"/>
          <w:b/>
          <w:bCs/>
        </w:rPr>
        <w:t>Perspectives de recherche futures</w:t>
      </w:r>
      <w:bookmarkEnd w:id="404"/>
      <w:bookmarkEnd w:id="405"/>
      <w:bookmarkEnd w:id="406"/>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Sur la base des limites identifiées dans cette étude, plusieurs perspectives de recherche pe</w:t>
      </w:r>
      <w:r w:rsidRPr="00EC7780">
        <w:rPr>
          <w:rFonts w:asciiTheme="majorBidi" w:hAnsiTheme="majorBidi" w:cstheme="majorBidi"/>
        </w:rPr>
        <w:t>u</w:t>
      </w:r>
      <w:r w:rsidRPr="00EC7780">
        <w:rPr>
          <w:rFonts w:asciiTheme="majorBidi" w:hAnsiTheme="majorBidi" w:cstheme="majorBidi"/>
        </w:rPr>
        <w:t>vent être envisagées afin d’approfondir et d’élargir les résultats obtenus.</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Première perspective : élargissement géographique de l’échantillon</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Il est recommandé de reproduire l’étude dans d’autres régions non couvertes par l’enquête initiale. L’objectif est d’inclure des zones rurales et des régions du sud et de l’intérieur (comme Ouargla, Adrar, Tiaret ou M’sila), afin de comparer les comportements des conso</w:t>
      </w:r>
      <w:r w:rsidRPr="00EC7780">
        <w:rPr>
          <w:rFonts w:asciiTheme="majorBidi" w:hAnsiTheme="majorBidi" w:cstheme="majorBidi"/>
        </w:rPr>
        <w:t>m</w:t>
      </w:r>
      <w:r w:rsidRPr="00EC7780">
        <w:rPr>
          <w:rFonts w:asciiTheme="majorBidi" w:hAnsiTheme="majorBidi" w:cstheme="majorBidi"/>
        </w:rPr>
        <w:t>mateurs selon le niveau de développement et d’éducation. Cette extension permettrait d’améliorer la représentativité des résultats.</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Deuxième perspective : diversification sociodémographique</w:t>
      </w:r>
    </w:p>
    <w:p w:rsidR="00EC7780" w:rsidRDefault="00EC7780" w:rsidP="00140168">
      <w:pPr>
        <w:pStyle w:val="NormalWeb"/>
        <w:jc w:val="both"/>
        <w:rPr>
          <w:rFonts w:asciiTheme="majorBidi" w:hAnsiTheme="majorBidi" w:cstheme="majorBidi"/>
        </w:rPr>
      </w:pPr>
      <w:r w:rsidRPr="00EC7780">
        <w:rPr>
          <w:rFonts w:asciiTheme="majorBidi" w:hAnsiTheme="majorBidi" w:cstheme="majorBidi"/>
        </w:rPr>
        <w:t xml:space="preserve">Les recherches futures devraient intégrer des profils plus variés en termes de niveau d’instruction, de revenu et de catégorie sociale. La forte présence de diplômés dans </w:t>
      </w:r>
      <w:r w:rsidRPr="00EC7780">
        <w:rPr>
          <w:rFonts w:asciiTheme="majorBidi" w:hAnsiTheme="majorBidi" w:cstheme="majorBidi"/>
        </w:rPr>
        <w:lastRenderedPageBreak/>
        <w:t>l’échantillon actuel suggère la nécessité d’inclure davantage de consommateurs issus de m</w:t>
      </w:r>
      <w:r w:rsidRPr="00EC7780">
        <w:rPr>
          <w:rFonts w:asciiTheme="majorBidi" w:hAnsiTheme="majorBidi" w:cstheme="majorBidi"/>
        </w:rPr>
        <w:t>i</w:t>
      </w:r>
      <w:r w:rsidRPr="00EC7780">
        <w:rPr>
          <w:rFonts w:asciiTheme="majorBidi" w:hAnsiTheme="majorBidi" w:cstheme="majorBidi"/>
        </w:rPr>
        <w:t>lieux différents pour obtenir une vision plus fidèle de la population.</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Troisième perspective : analyse du comportement réel d’achat</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Il serait pertinent de dépasser la simple intention déclarée et d’étudier le comportement d’achat effectif. Cela peut être réalisé à travers des données de vente réelles ou des études longitudinales permettant de suivre les consommateurs sur une période donnée, afin de r</w:t>
      </w:r>
      <w:r w:rsidRPr="00EC7780">
        <w:rPr>
          <w:rFonts w:asciiTheme="majorBidi" w:hAnsiTheme="majorBidi" w:cstheme="majorBidi"/>
        </w:rPr>
        <w:t>é</w:t>
      </w:r>
      <w:r w:rsidRPr="00EC7780">
        <w:rPr>
          <w:rFonts w:asciiTheme="majorBidi" w:hAnsiTheme="majorBidi" w:cstheme="majorBidi"/>
        </w:rPr>
        <w:t>duire l’écart entre attitudes et comportements.</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Quatrième perspective : études comparatives entre entreprises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Une recherche future pourrait porter sur plusieurs entreprises du secteur biologique en Alg</w:t>
      </w:r>
      <w:r w:rsidRPr="00EC7780">
        <w:rPr>
          <w:rFonts w:asciiTheme="majorBidi" w:hAnsiTheme="majorBidi" w:cstheme="majorBidi"/>
        </w:rPr>
        <w:t>é</w:t>
      </w:r>
      <w:r w:rsidRPr="00EC7780">
        <w:rPr>
          <w:rFonts w:asciiTheme="majorBidi" w:hAnsiTheme="majorBidi" w:cstheme="majorBidi"/>
        </w:rPr>
        <w:t>rie, au lieu d’un seul cas. Une comparaison entre trois à cinq producteurs permettrait d’identifier les meilleures pratiques et d’améliorer la généralisation des résultats au niveau sectoriel.</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Cinquième perspective : intégration de nouvelles variables explicatives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Étant donné que le modèle actuel n’explique qu’une partie des variations observées, il serait utile d’introduire de nouvelles variables telles que le revenu, la culture alimentaire, la pr</w:t>
      </w:r>
      <w:r w:rsidRPr="00EC7780">
        <w:rPr>
          <w:rFonts w:asciiTheme="majorBidi" w:hAnsiTheme="majorBidi" w:cstheme="majorBidi"/>
        </w:rPr>
        <w:t>é</w:t>
      </w:r>
      <w:r w:rsidRPr="00EC7780">
        <w:rPr>
          <w:rFonts w:asciiTheme="majorBidi" w:hAnsiTheme="majorBidi" w:cstheme="majorBidi"/>
        </w:rPr>
        <w:t>sence d’enfants dans le foyer ou encore la confiance dans les institutions publiques, afin d’améliorer le pouvoir explicatif du modèle.</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Sixième perspective : approche mixte (quantitative et qualitative)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L’ajout d’entretiens semi-directifs permettrait de compléter les résultats quantitatifs par une compréhension plus approfondie des motivations et des freins des consommateurs. Cette a</w:t>
      </w:r>
      <w:r w:rsidRPr="00EC7780">
        <w:rPr>
          <w:rFonts w:asciiTheme="majorBidi" w:hAnsiTheme="majorBidi" w:cstheme="majorBidi"/>
        </w:rPr>
        <w:t>p</w:t>
      </w:r>
      <w:r w:rsidRPr="00EC7780">
        <w:rPr>
          <w:rFonts w:asciiTheme="majorBidi" w:hAnsiTheme="majorBidi" w:cstheme="majorBidi"/>
        </w:rPr>
        <w:t>proche mixte offrirait une analyse plus riche et plus nuancée.</w:t>
      </w:r>
    </w:p>
    <w:p w:rsidR="00EC7780" w:rsidRPr="00EC7780" w:rsidRDefault="00EC7780" w:rsidP="00140168">
      <w:pPr>
        <w:pStyle w:val="NormalWeb"/>
        <w:jc w:val="both"/>
        <w:rPr>
          <w:rFonts w:asciiTheme="majorBidi" w:hAnsiTheme="majorBidi" w:cstheme="majorBidi"/>
          <w:b/>
          <w:bCs/>
        </w:rPr>
      </w:pPr>
      <w:r w:rsidRPr="00EC7780">
        <w:rPr>
          <w:rFonts w:asciiTheme="majorBidi" w:hAnsiTheme="majorBidi" w:cstheme="majorBidi"/>
          <w:b/>
          <w:bCs/>
        </w:rPr>
        <w:t>Septième perspective : impact des crises sanitaires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Des recherches futures pourraient analyser l’influence des crises sanitaires, notamment la pandémie de COVID-19, sur l’évolution de la conscience sanitaire et des comportements d’achat des produits biologiques, en comparant différentes périodes.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b/>
          <w:bCs/>
        </w:rPr>
        <w:t>Huitième perspective : analyse économique du secteur biologique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Une étude approfondie de la rentabilité économique des producteurs biologiques serait pert</w:t>
      </w:r>
      <w:r w:rsidRPr="00EC7780">
        <w:rPr>
          <w:rFonts w:asciiTheme="majorBidi" w:hAnsiTheme="majorBidi" w:cstheme="majorBidi"/>
        </w:rPr>
        <w:t>i</w:t>
      </w:r>
      <w:r w:rsidRPr="00EC7780">
        <w:rPr>
          <w:rFonts w:asciiTheme="majorBidi" w:hAnsiTheme="majorBidi" w:cstheme="majorBidi"/>
        </w:rPr>
        <w:t>nente, en intégrant les coûts de production, les coûts de certification et les marges bénéf</w:t>
      </w:r>
      <w:r w:rsidRPr="00EC7780">
        <w:rPr>
          <w:rFonts w:asciiTheme="majorBidi" w:hAnsiTheme="majorBidi" w:cstheme="majorBidi"/>
        </w:rPr>
        <w:t>i</w:t>
      </w:r>
      <w:r w:rsidRPr="00EC7780">
        <w:rPr>
          <w:rFonts w:asciiTheme="majorBidi" w:hAnsiTheme="majorBidi" w:cstheme="majorBidi"/>
        </w:rPr>
        <w:t>ciaires. Cela permettrait d’évaluer la viabilité économique du secteur en Algérie.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b/>
          <w:bCs/>
        </w:rPr>
        <w:t>Neuvième perspective : comparaison avec les pays voisins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Une étude comparative avec la Tunisie et le Maroc permettrait de situer l’Algérie dans son environnement régional et d’identifier les facteurs de réussite dans les pays plus avancés en agriculture biologique.</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b/>
          <w:bCs/>
        </w:rPr>
        <w:t>Dixième perspective : rôle des technologies numériques</w:t>
      </w:r>
    </w:p>
    <w:p w:rsidR="00EC7780" w:rsidRPr="00EC7780" w:rsidRDefault="00EC7780" w:rsidP="00140168">
      <w:pPr>
        <w:pStyle w:val="NormalWeb"/>
        <w:jc w:val="both"/>
        <w:rPr>
          <w:rFonts w:asciiTheme="majorBidi" w:hAnsiTheme="majorBidi" w:cstheme="majorBidi"/>
        </w:rPr>
      </w:pPr>
      <w:r w:rsidRPr="00EC7780">
        <w:rPr>
          <w:rFonts w:asciiTheme="majorBidi" w:hAnsiTheme="majorBidi" w:cstheme="majorBidi"/>
        </w:rPr>
        <w:t>Enfin, il serait intéressant d’étudier l’impact des outils numériques (réseaux sociaux, co</w:t>
      </w:r>
      <w:r w:rsidRPr="00EC7780">
        <w:rPr>
          <w:rFonts w:asciiTheme="majorBidi" w:hAnsiTheme="majorBidi" w:cstheme="majorBidi"/>
        </w:rPr>
        <w:t>m</w:t>
      </w:r>
      <w:r w:rsidRPr="00EC7780">
        <w:rPr>
          <w:rFonts w:asciiTheme="majorBidi" w:hAnsiTheme="majorBidi" w:cstheme="majorBidi"/>
        </w:rPr>
        <w:t>merce électronique, traçabilité digitale, influenceurs) sur la promotion et la distribution des produits biologiques, notamment pour compenser les faiblesses du circuit de distribution tr</w:t>
      </w:r>
      <w:r w:rsidRPr="00EC7780">
        <w:rPr>
          <w:rFonts w:asciiTheme="majorBidi" w:hAnsiTheme="majorBidi" w:cstheme="majorBidi"/>
        </w:rPr>
        <w:t>a</w:t>
      </w:r>
      <w:r w:rsidRPr="00EC7780">
        <w:rPr>
          <w:rFonts w:asciiTheme="majorBidi" w:hAnsiTheme="majorBidi" w:cstheme="majorBidi"/>
        </w:rPr>
        <w:t>ditionnel.</w:t>
      </w:r>
    </w:p>
    <w:p w:rsidR="00EC7780" w:rsidRPr="00EC7780" w:rsidRDefault="00EC7780" w:rsidP="00EC7780">
      <w:pPr>
        <w:pStyle w:val="NormalWeb"/>
        <w:rPr>
          <w:rFonts w:asciiTheme="majorBidi" w:hAnsiTheme="majorBidi" w:cstheme="majorBidi"/>
        </w:rPr>
      </w:pPr>
      <w:r w:rsidRPr="00EC7780">
        <w:rPr>
          <w:rFonts w:asciiTheme="majorBidi" w:hAnsiTheme="majorBidi" w:cstheme="majorBidi"/>
        </w:rPr>
        <w:lastRenderedPageBreak/>
        <w:t>Ces perspectives ouvrent plusieurs pistes de recherche complémentaires permettant d’approfondir la compréhension du rôle du marketing des produits biologiques et d’améliorer la connaissance du comportement des consommateurs dans un contexte en pleine évolution.</w:t>
      </w:r>
    </w:p>
    <w:p w:rsidR="00C50FD4" w:rsidRPr="00C50FD4" w:rsidRDefault="00C50FD4" w:rsidP="00660383">
      <w:pPr>
        <w:pStyle w:val="NormalWeb"/>
        <w:spacing w:line="360" w:lineRule="auto"/>
        <w:jc w:val="lowKashida"/>
        <w:rPr>
          <w:rFonts w:asciiTheme="majorBidi" w:hAnsiTheme="majorBidi" w:cstheme="majorBidi"/>
        </w:rPr>
      </w:pPr>
    </w:p>
    <w:p w:rsidR="00A96A8F" w:rsidRPr="00A96A8F" w:rsidRDefault="00A96A8F" w:rsidP="00660383">
      <w:pPr>
        <w:pStyle w:val="NormalWeb"/>
        <w:spacing w:line="360" w:lineRule="auto"/>
        <w:jc w:val="lowKashida"/>
        <w:rPr>
          <w:rFonts w:asciiTheme="majorBidi" w:hAnsiTheme="majorBidi" w:cstheme="majorBidi"/>
        </w:rPr>
      </w:pPr>
    </w:p>
    <w:p w:rsidR="00A96A8F" w:rsidRPr="00A96A8F" w:rsidRDefault="00A96A8F" w:rsidP="00660383">
      <w:pPr>
        <w:pStyle w:val="NormalWeb"/>
        <w:spacing w:line="360" w:lineRule="auto"/>
        <w:jc w:val="lowKashida"/>
        <w:rPr>
          <w:rFonts w:asciiTheme="majorBidi" w:hAnsiTheme="majorBidi" w:cstheme="majorBidi"/>
        </w:rPr>
      </w:pPr>
    </w:p>
    <w:p w:rsidR="00A96A8F" w:rsidRPr="00A96A8F" w:rsidRDefault="00A96A8F" w:rsidP="00660383">
      <w:pPr>
        <w:pStyle w:val="NormalWeb"/>
        <w:spacing w:line="360" w:lineRule="auto"/>
        <w:jc w:val="lowKashida"/>
        <w:rPr>
          <w:rFonts w:asciiTheme="majorBidi" w:hAnsiTheme="majorBidi" w:cstheme="majorBidi"/>
        </w:rPr>
      </w:pPr>
    </w:p>
    <w:p w:rsidR="009766E9" w:rsidRPr="009766E9" w:rsidRDefault="009766E9" w:rsidP="009766E9">
      <w:pPr>
        <w:pStyle w:val="NormalWeb"/>
        <w:spacing w:line="360" w:lineRule="auto"/>
        <w:jc w:val="lowKashida"/>
        <w:rPr>
          <w:rFonts w:asciiTheme="majorBidi" w:hAnsiTheme="majorBidi" w:cstheme="majorBidi"/>
        </w:rPr>
      </w:pPr>
    </w:p>
    <w:p w:rsidR="009766E9" w:rsidRPr="009766E9" w:rsidRDefault="009766E9" w:rsidP="009766E9">
      <w:pPr>
        <w:pStyle w:val="NormalWeb"/>
        <w:spacing w:line="360" w:lineRule="auto"/>
        <w:jc w:val="lowKashida"/>
        <w:rPr>
          <w:rFonts w:asciiTheme="majorBidi" w:hAnsiTheme="majorBidi" w:cstheme="majorBidi"/>
        </w:rPr>
      </w:pPr>
    </w:p>
    <w:p w:rsidR="009766E9" w:rsidRPr="009766E9" w:rsidRDefault="009766E9" w:rsidP="009766E9">
      <w:pPr>
        <w:pStyle w:val="NormalWeb"/>
        <w:spacing w:line="360" w:lineRule="auto"/>
        <w:jc w:val="lowKashida"/>
        <w:rPr>
          <w:rFonts w:asciiTheme="majorBidi" w:hAnsiTheme="majorBidi" w:cstheme="majorBidi"/>
        </w:rPr>
      </w:pPr>
    </w:p>
    <w:p w:rsidR="009766E9" w:rsidRPr="009766E9" w:rsidRDefault="009766E9" w:rsidP="009766E9">
      <w:pPr>
        <w:pStyle w:val="NormalWeb"/>
        <w:spacing w:line="360" w:lineRule="auto"/>
        <w:jc w:val="lowKashida"/>
        <w:rPr>
          <w:rFonts w:asciiTheme="majorBidi" w:hAnsiTheme="majorBidi" w:cstheme="majorBidi"/>
        </w:rPr>
      </w:pPr>
    </w:p>
    <w:p w:rsidR="009766E9" w:rsidRPr="009766E9" w:rsidRDefault="009766E9" w:rsidP="009766E9">
      <w:pPr>
        <w:pStyle w:val="NormalWeb"/>
        <w:spacing w:line="360" w:lineRule="auto"/>
        <w:jc w:val="lowKashida"/>
        <w:rPr>
          <w:rFonts w:asciiTheme="majorBidi" w:hAnsiTheme="majorBidi" w:cstheme="majorBidi"/>
        </w:rPr>
      </w:pPr>
    </w:p>
    <w:p w:rsidR="009766E9" w:rsidRDefault="009766E9" w:rsidP="009766E9">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C74DB8" w:rsidRDefault="00C74DB8" w:rsidP="002D5A00">
      <w:pPr>
        <w:pStyle w:val="TM1"/>
        <w:rPr>
          <w:rStyle w:val="lev"/>
        </w:rPr>
      </w:pPr>
    </w:p>
    <w:p w:rsidR="00033626" w:rsidRPr="00033626" w:rsidRDefault="00033626" w:rsidP="00033626">
      <w:pPr>
        <w:sectPr w:rsidR="00033626" w:rsidRPr="00033626" w:rsidSect="00E52A17">
          <w:headerReference w:type="default" r:id="rId68"/>
          <w:headerReference w:type="first" r:id="rId69"/>
          <w:footerReference w:type="first" r:id="rId70"/>
          <w:footnotePr>
            <w:numRestart w:val="eachPage"/>
          </w:footnotePr>
          <w:pgSz w:w="11906" w:h="16838"/>
          <w:pgMar w:top="1417" w:right="1417" w:bottom="1417" w:left="1417" w:header="737"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299"/>
        </w:sectPr>
      </w:pPr>
    </w:p>
    <w:p w:rsidR="00C74DB8" w:rsidRPr="00285D66" w:rsidRDefault="00C74DB8" w:rsidP="00C74DB8">
      <w:pPr>
        <w:jc w:val="center"/>
        <w:rPr>
          <w:rFonts w:ascii="Times New Roman" w:hAnsi="Times New Roman" w:cs="Times New Roman"/>
          <w:b/>
          <w:bCs/>
          <w:sz w:val="24"/>
          <w:szCs w:val="24"/>
          <w:lang w:eastAsia="fr-FR"/>
        </w:rPr>
      </w:pPr>
      <w:r w:rsidRPr="00285D66">
        <w:rPr>
          <w:rFonts w:ascii="Times New Roman" w:hAnsi="Times New Roman" w:cs="Times New Roman"/>
          <w:b/>
          <w:bCs/>
          <w:sz w:val="24"/>
          <w:szCs w:val="24"/>
          <w:lang w:eastAsia="fr-FR"/>
        </w:rPr>
        <w:lastRenderedPageBreak/>
        <w:t>Bibliographie</w:t>
      </w:r>
    </w:p>
    <w:p w:rsidR="00B011EF" w:rsidRPr="00B011EF" w:rsidRDefault="00B011EF" w:rsidP="002D5A00">
      <w:pPr>
        <w:pStyle w:val="TM1"/>
        <w:rPr>
          <w:lang w:eastAsia="fr-FR"/>
        </w:rPr>
      </w:pPr>
      <w:r w:rsidRPr="00B011EF">
        <w:rPr>
          <w:lang w:eastAsia="fr-FR"/>
        </w:rPr>
        <w:t>Ouvrages</w:t>
      </w:r>
    </w:p>
    <w:p w:rsidR="00B011EF" w:rsidRPr="00B011EF" w:rsidRDefault="00B011EF" w:rsidP="002D5A00">
      <w:pPr>
        <w:pStyle w:val="TM1"/>
        <w:rPr>
          <w:lang w:eastAsia="fr-FR"/>
        </w:rPr>
      </w:pPr>
      <w:r w:rsidRPr="00B011EF">
        <w:rPr>
          <w:b/>
          <w:bCs/>
          <w:lang w:eastAsia="fr-FR"/>
        </w:rPr>
        <w:t>CHOPRA A.</w:t>
      </w:r>
      <w:r w:rsidRPr="00B011EF">
        <w:rPr>
          <w:lang w:eastAsia="fr-FR"/>
        </w:rPr>
        <w:t xml:space="preserve">, </w:t>
      </w:r>
      <w:r w:rsidRPr="00B011EF">
        <w:rPr>
          <w:b/>
          <w:bCs/>
          <w:lang w:eastAsia="fr-FR"/>
        </w:rPr>
        <w:t>RAO N. C.</w:t>
      </w:r>
      <w:r w:rsidRPr="00B011EF">
        <w:rPr>
          <w:lang w:eastAsia="fr-FR"/>
        </w:rPr>
        <w:t xml:space="preserve">, </w:t>
      </w:r>
      <w:r w:rsidRPr="00B011EF">
        <w:rPr>
          <w:b/>
          <w:bCs/>
          <w:lang w:eastAsia="fr-FR"/>
        </w:rPr>
        <w:t>GUPTA N.</w:t>
      </w:r>
      <w:r w:rsidRPr="00B011EF">
        <w:rPr>
          <w:lang w:eastAsia="fr-FR"/>
        </w:rPr>
        <w:t xml:space="preserve">, </w:t>
      </w:r>
      <w:r w:rsidRPr="00B011EF">
        <w:rPr>
          <w:b/>
          <w:bCs/>
          <w:lang w:eastAsia="fr-FR"/>
        </w:rPr>
        <w:t>VASHISTH S.</w:t>
      </w:r>
      <w:r w:rsidRPr="00B011EF">
        <w:rPr>
          <w:lang w:eastAsia="fr-FR"/>
        </w:rPr>
        <w:t xml:space="preserve"> (2013), « Qu'il pleuve ou qu'il vente, les aliments biologiques restent sur la bonne voie : une perspective futuriste », </w:t>
      </w:r>
      <w:r w:rsidRPr="00B011EF">
        <w:rPr>
          <w:i/>
          <w:iCs/>
          <w:lang w:eastAsia="fr-FR"/>
        </w:rPr>
        <w:t>Journal international de nutrition, pharmacologie et maladies neurologiques</w:t>
      </w:r>
      <w:r w:rsidRPr="00B011EF">
        <w:rPr>
          <w:lang w:eastAsia="fr-FR"/>
        </w:rPr>
        <w:t>, vol. 3, n° 3, p. 202.</w:t>
      </w:r>
    </w:p>
    <w:p w:rsidR="00B011EF" w:rsidRPr="00B011EF" w:rsidRDefault="00B011EF" w:rsidP="002D5A00">
      <w:pPr>
        <w:pStyle w:val="TM1"/>
        <w:rPr>
          <w:lang w:eastAsia="fr-FR"/>
        </w:rPr>
      </w:pPr>
      <w:r w:rsidRPr="00B011EF">
        <w:rPr>
          <w:b/>
          <w:bCs/>
          <w:lang w:eastAsia="fr-FR"/>
        </w:rPr>
        <w:t>KOTLER Philip</w:t>
      </w:r>
      <w:r w:rsidRPr="00B011EF">
        <w:rPr>
          <w:lang w:eastAsia="fr-FR"/>
        </w:rPr>
        <w:t xml:space="preserve"> (1991), Marketing management : analyse, planification, mise en œuvre et contrôle, 7e éd., Prentice-Hall, Englewood Cliffs, 4 p.</w:t>
      </w:r>
    </w:p>
    <w:p w:rsidR="00B011EF" w:rsidRPr="00B011EF" w:rsidRDefault="00B011EF" w:rsidP="002D5A00">
      <w:pPr>
        <w:pStyle w:val="TM1"/>
        <w:rPr>
          <w:lang w:val="en-US" w:eastAsia="fr-FR"/>
        </w:rPr>
      </w:pPr>
      <w:r w:rsidRPr="00B011EF">
        <w:rPr>
          <w:b/>
          <w:bCs/>
          <w:lang w:val="en-US" w:eastAsia="fr-FR"/>
        </w:rPr>
        <w:t>KOTLER P.</w:t>
      </w:r>
      <w:r w:rsidRPr="00B011EF">
        <w:rPr>
          <w:lang w:val="en-US" w:eastAsia="fr-FR"/>
        </w:rPr>
        <w:t xml:space="preserve">, </w:t>
      </w:r>
      <w:r w:rsidRPr="00B011EF">
        <w:rPr>
          <w:b/>
          <w:bCs/>
          <w:lang w:val="en-US" w:eastAsia="fr-FR"/>
        </w:rPr>
        <w:t>ARMSTRONG G.</w:t>
      </w:r>
      <w:r w:rsidRPr="00B011EF">
        <w:rPr>
          <w:lang w:val="en-US" w:eastAsia="fr-FR"/>
        </w:rPr>
        <w:t xml:space="preserve"> (2</w:t>
      </w:r>
      <w:bookmarkStart w:id="407" w:name="_GoBack"/>
      <w:bookmarkEnd w:id="407"/>
      <w:r w:rsidRPr="00B011EF">
        <w:rPr>
          <w:lang w:val="en-US" w:eastAsia="fr-FR"/>
        </w:rPr>
        <w:t xml:space="preserve">012), </w:t>
      </w:r>
      <w:r w:rsidRPr="00B011EF">
        <w:rPr>
          <w:i/>
          <w:iCs/>
          <w:lang w:val="en-US" w:eastAsia="fr-FR"/>
        </w:rPr>
        <w:t>Principes du marketing</w:t>
      </w:r>
      <w:r w:rsidRPr="00B011EF">
        <w:rPr>
          <w:lang w:val="en-US" w:eastAsia="fr-FR"/>
        </w:rPr>
        <w:t>, 14e éd., Pearson, s.l., 248 p.</w:t>
      </w:r>
    </w:p>
    <w:p w:rsidR="00B011EF" w:rsidRPr="00B011EF" w:rsidRDefault="00B011EF" w:rsidP="002D5A00">
      <w:pPr>
        <w:pStyle w:val="TM1"/>
        <w:rPr>
          <w:lang w:val="en-US" w:eastAsia="fr-FR"/>
        </w:rPr>
      </w:pPr>
      <w:r w:rsidRPr="00B011EF">
        <w:rPr>
          <w:b/>
          <w:bCs/>
          <w:lang w:val="en-US" w:eastAsia="fr-FR"/>
        </w:rPr>
        <w:t>LEES Michèle</w:t>
      </w:r>
      <w:r w:rsidRPr="00B011EF">
        <w:rPr>
          <w:lang w:val="en-US" w:eastAsia="fr-FR"/>
        </w:rPr>
        <w:t xml:space="preserve"> (dir.) (2003), </w:t>
      </w:r>
      <w:r w:rsidRPr="00B011EF">
        <w:rPr>
          <w:i/>
          <w:iCs/>
          <w:lang w:val="en-US" w:eastAsia="fr-FR"/>
        </w:rPr>
        <w:t>Authenticité et traçabilité des aliments</w:t>
      </w:r>
      <w:r w:rsidRPr="00B011EF">
        <w:rPr>
          <w:lang w:val="en-US" w:eastAsia="fr-FR"/>
        </w:rPr>
        <w:t>, Woodhead Publishing / CRC Press, Cambridge / Boca Raton, 612 p.</w:t>
      </w:r>
    </w:p>
    <w:p w:rsidR="00B011EF" w:rsidRPr="00B011EF" w:rsidRDefault="00B011EF" w:rsidP="002D5A00">
      <w:pPr>
        <w:pStyle w:val="TM1"/>
        <w:rPr>
          <w:lang w:eastAsia="fr-FR"/>
        </w:rPr>
      </w:pPr>
      <w:r w:rsidRPr="00B011EF">
        <w:rPr>
          <w:b/>
          <w:bCs/>
          <w:lang w:val="en-US" w:eastAsia="fr-FR"/>
        </w:rPr>
        <w:t>McENTIRE Jennifer</w:t>
      </w:r>
      <w:r w:rsidRPr="00B011EF">
        <w:rPr>
          <w:lang w:val="en-US" w:eastAsia="fr-FR"/>
        </w:rPr>
        <w:t xml:space="preserve">, </w:t>
      </w:r>
      <w:r w:rsidRPr="00B011EF">
        <w:rPr>
          <w:b/>
          <w:bCs/>
          <w:lang w:val="en-US" w:eastAsia="fr-FR"/>
        </w:rPr>
        <w:t>KENNEDY Andrew W.</w:t>
      </w:r>
      <w:r w:rsidRPr="00B011EF">
        <w:rPr>
          <w:lang w:val="en-US" w:eastAsia="fr-FR"/>
        </w:rPr>
        <w:t xml:space="preserve"> (dir.) </w:t>
      </w:r>
      <w:r w:rsidRPr="00B011EF">
        <w:rPr>
          <w:lang w:eastAsia="fr-FR"/>
        </w:rPr>
        <w:t xml:space="preserve">(2019), </w:t>
      </w:r>
      <w:r w:rsidRPr="00B011EF">
        <w:rPr>
          <w:i/>
          <w:iCs/>
          <w:lang w:eastAsia="fr-FR"/>
        </w:rPr>
        <w:t>Traçabilité alimentaire : des classeurs à la blockchain</w:t>
      </w:r>
      <w:r w:rsidRPr="00B011EF">
        <w:rPr>
          <w:lang w:eastAsia="fr-FR"/>
        </w:rPr>
        <w:t>, Springer, Cham.</w:t>
      </w:r>
    </w:p>
    <w:p w:rsidR="00B011EF" w:rsidRPr="00B011EF" w:rsidRDefault="00B011EF" w:rsidP="002D5A00">
      <w:pPr>
        <w:pStyle w:val="TM1"/>
        <w:rPr>
          <w:lang w:eastAsia="fr-FR"/>
        </w:rPr>
      </w:pPr>
      <w:r w:rsidRPr="00B011EF">
        <w:rPr>
          <w:b/>
          <w:bCs/>
          <w:lang w:val="en-US" w:eastAsia="fr-FR"/>
        </w:rPr>
        <w:t>MONTET Didier</w:t>
      </w:r>
      <w:r w:rsidRPr="00B011EF">
        <w:rPr>
          <w:lang w:val="en-US" w:eastAsia="fr-FR"/>
        </w:rPr>
        <w:t xml:space="preserve">, </w:t>
      </w:r>
      <w:r w:rsidRPr="00B011EF">
        <w:rPr>
          <w:b/>
          <w:bCs/>
          <w:lang w:val="en-US" w:eastAsia="fr-FR"/>
        </w:rPr>
        <w:t>RAY Ramesh C.</w:t>
      </w:r>
      <w:r w:rsidRPr="00B011EF">
        <w:rPr>
          <w:lang w:val="en-US" w:eastAsia="fr-FR"/>
        </w:rPr>
        <w:t xml:space="preserve"> (dir.) </w:t>
      </w:r>
      <w:r w:rsidRPr="00B011EF">
        <w:rPr>
          <w:lang w:eastAsia="fr-FR"/>
        </w:rPr>
        <w:t xml:space="preserve">(2018), </w:t>
      </w:r>
      <w:r w:rsidRPr="00B011EF">
        <w:rPr>
          <w:i/>
          <w:iCs/>
          <w:lang w:eastAsia="fr-FR"/>
        </w:rPr>
        <w:t>Traçabilité et authenticité des aliments : techniques analytiques</w:t>
      </w:r>
      <w:r w:rsidRPr="00B011EF">
        <w:rPr>
          <w:lang w:eastAsia="fr-FR"/>
        </w:rPr>
        <w:t>, collection Food Biology Series, CRC Press, Boca Raton.</w:t>
      </w:r>
    </w:p>
    <w:p w:rsidR="00B011EF" w:rsidRPr="00B011EF" w:rsidRDefault="00B011EF" w:rsidP="002D5A00">
      <w:pPr>
        <w:pStyle w:val="TM1"/>
        <w:rPr>
          <w:lang w:eastAsia="fr-FR"/>
        </w:rPr>
      </w:pPr>
      <w:r w:rsidRPr="00B011EF">
        <w:rPr>
          <w:b/>
          <w:bCs/>
          <w:lang w:eastAsia="fr-FR"/>
        </w:rPr>
        <w:t>Organisation des Nations Unies</w:t>
      </w:r>
      <w:r w:rsidRPr="00B011EF">
        <w:rPr>
          <w:lang w:eastAsia="fr-FR"/>
        </w:rPr>
        <w:t xml:space="preserve"> (1975), Rapport de la Conférence mondiale de l'alimentation, Rome, 5-16 novembre 1974, Nations Unies, New York.</w:t>
      </w:r>
    </w:p>
    <w:p w:rsidR="00B011EF" w:rsidRPr="00B011EF" w:rsidRDefault="00B011EF" w:rsidP="002D5A00">
      <w:pPr>
        <w:pStyle w:val="TM1"/>
        <w:rPr>
          <w:lang w:eastAsia="fr-FR"/>
        </w:rPr>
      </w:pPr>
      <w:r w:rsidRPr="00B011EF">
        <w:rPr>
          <w:b/>
          <w:bCs/>
          <w:lang w:eastAsia="fr-FR"/>
        </w:rPr>
        <w:t>Organisation des Nations Unies pour l'alimentation et l'agriculture (FAO)</w:t>
      </w:r>
      <w:r w:rsidRPr="00B011EF">
        <w:rPr>
          <w:lang w:eastAsia="fr-FR"/>
        </w:rPr>
        <w:t xml:space="preserve"> (1996), Déclaration de Rome sur la sécurité alimentaire mondiale et Sommet mondial de l'alimentation (1996), FAO, Rome.</w:t>
      </w:r>
    </w:p>
    <w:p w:rsidR="00B011EF" w:rsidRPr="00B011EF" w:rsidRDefault="00B011EF" w:rsidP="002D5A00">
      <w:pPr>
        <w:pStyle w:val="TM1"/>
        <w:rPr>
          <w:lang w:eastAsia="fr-FR"/>
        </w:rPr>
      </w:pPr>
      <w:r w:rsidRPr="00B011EF">
        <w:rPr>
          <w:b/>
          <w:bCs/>
          <w:lang w:eastAsia="fr-FR"/>
        </w:rPr>
        <w:t>Organisation des Nations Unies pour l'alimentation et l'agriculture (FAO)</w:t>
      </w:r>
      <w:r w:rsidRPr="00B011EF">
        <w:rPr>
          <w:lang w:eastAsia="fr-FR"/>
        </w:rPr>
        <w:t xml:space="preserve"> (2014), </w:t>
      </w:r>
      <w:r w:rsidRPr="00B011EF">
        <w:rPr>
          <w:i/>
          <w:iCs/>
          <w:lang w:eastAsia="fr-FR"/>
        </w:rPr>
        <w:t>Manuel sur l'étiquetage des denrées alimentaires pour la protection des consommateurs</w:t>
      </w:r>
      <w:r w:rsidRPr="00B011EF">
        <w:rPr>
          <w:lang w:eastAsia="fr-FR"/>
        </w:rPr>
        <w:t>, FAO, Rome.</w:t>
      </w:r>
    </w:p>
    <w:p w:rsidR="00B011EF" w:rsidRPr="00B011EF" w:rsidRDefault="00B011EF" w:rsidP="002D5A00">
      <w:pPr>
        <w:pStyle w:val="TM1"/>
        <w:rPr>
          <w:lang w:eastAsia="fr-FR"/>
        </w:rPr>
      </w:pPr>
      <w:r w:rsidRPr="00B011EF">
        <w:rPr>
          <w:lang w:eastAsia="fr-FR"/>
        </w:rPr>
        <w:t>Revues et articles scientifiques</w:t>
      </w:r>
    </w:p>
    <w:p w:rsidR="00B011EF" w:rsidRPr="00B011EF" w:rsidRDefault="00B011EF" w:rsidP="002D5A00">
      <w:pPr>
        <w:pStyle w:val="TM1"/>
        <w:rPr>
          <w:lang w:eastAsia="fr-FR"/>
        </w:rPr>
      </w:pPr>
      <w:r w:rsidRPr="00B011EF">
        <w:rPr>
          <w:b/>
          <w:bCs/>
          <w:lang w:eastAsia="fr-FR"/>
        </w:rPr>
        <w:t>AJIBADE T.B.</w:t>
      </w:r>
      <w:r w:rsidRPr="00B011EF">
        <w:rPr>
          <w:lang w:eastAsia="fr-FR"/>
        </w:rPr>
        <w:t xml:space="preserve">, </w:t>
      </w:r>
      <w:r w:rsidRPr="00B011EF">
        <w:rPr>
          <w:b/>
          <w:bCs/>
          <w:lang w:eastAsia="fr-FR"/>
        </w:rPr>
        <w:t>BELEWU K.Y.</w:t>
      </w:r>
      <w:r w:rsidRPr="00B011EF">
        <w:rPr>
          <w:lang w:eastAsia="fr-FR"/>
        </w:rPr>
        <w:t xml:space="preserve">, </w:t>
      </w:r>
      <w:r w:rsidRPr="00B011EF">
        <w:rPr>
          <w:b/>
          <w:bCs/>
          <w:lang w:eastAsia="fr-FR"/>
        </w:rPr>
        <w:t>SALAMI M.F.</w:t>
      </w:r>
      <w:r w:rsidRPr="00B011EF">
        <w:rPr>
          <w:lang w:eastAsia="fr-FR"/>
        </w:rPr>
        <w:t xml:space="preserve"> et al. (2025), « Compréhension et utilisation des étiquettes alimentaires par les consommateurs dans leurs décisions d'achat dans l'État de Kwara, au Nigeria », </w:t>
      </w:r>
      <w:r w:rsidRPr="00B011EF">
        <w:rPr>
          <w:i/>
          <w:iCs/>
          <w:lang w:eastAsia="fr-FR"/>
        </w:rPr>
        <w:t>Agrosearch</w:t>
      </w:r>
      <w:r w:rsidRPr="00B011EF">
        <w:rPr>
          <w:lang w:eastAsia="fr-FR"/>
        </w:rPr>
        <w:t>, vol. 24, n° 1, AJOL, Ibadan.</w:t>
      </w:r>
    </w:p>
    <w:p w:rsidR="00B011EF" w:rsidRPr="00B011EF" w:rsidRDefault="00B011EF" w:rsidP="002D5A00">
      <w:pPr>
        <w:pStyle w:val="TM1"/>
        <w:rPr>
          <w:lang w:eastAsia="fr-FR"/>
        </w:rPr>
      </w:pPr>
      <w:r w:rsidRPr="00B011EF">
        <w:rPr>
          <w:b/>
          <w:bCs/>
          <w:lang w:eastAsia="fr-FR"/>
        </w:rPr>
        <w:t>ATASEVEN Yener</w:t>
      </w:r>
      <w:r w:rsidRPr="00B011EF">
        <w:rPr>
          <w:lang w:eastAsia="fr-FR"/>
        </w:rPr>
        <w:t xml:space="preserve">, </w:t>
      </w:r>
      <w:r w:rsidRPr="00B011EF">
        <w:rPr>
          <w:b/>
          <w:bCs/>
          <w:lang w:eastAsia="fr-FR"/>
        </w:rPr>
        <w:t>DEMİRDÖĞEN Alper</w:t>
      </w:r>
      <w:r w:rsidRPr="00B011EF">
        <w:rPr>
          <w:lang w:eastAsia="fr-FR"/>
        </w:rPr>
        <w:t xml:space="preserve">, </w:t>
      </w:r>
      <w:r w:rsidRPr="00B011EF">
        <w:rPr>
          <w:b/>
          <w:bCs/>
          <w:lang w:eastAsia="fr-FR"/>
        </w:rPr>
        <w:t>AKYÜZ Mustafa</w:t>
      </w:r>
      <w:r w:rsidRPr="00B011EF">
        <w:rPr>
          <w:lang w:eastAsia="fr-FR"/>
        </w:rPr>
        <w:t xml:space="preserve"> (2024), « Construire la confiance de la ferme à la fourchette dans l'agriculture biologique : un examen approfondi des systèmes d'inspection et de certification », </w:t>
      </w:r>
      <w:r w:rsidRPr="00B011EF">
        <w:rPr>
          <w:i/>
          <w:iCs/>
          <w:lang w:eastAsia="fr-FR"/>
        </w:rPr>
        <w:t>Revue turque d'agriculture, de science et technologie alimentaires</w:t>
      </w:r>
      <w:r w:rsidRPr="00B011EF">
        <w:rPr>
          <w:lang w:eastAsia="fr-FR"/>
        </w:rPr>
        <w:t>, vol. 12, n° 12, pp. 2666-2667.</w:t>
      </w:r>
    </w:p>
    <w:p w:rsidR="00B011EF" w:rsidRPr="00B011EF" w:rsidRDefault="00B011EF" w:rsidP="002D5A00">
      <w:pPr>
        <w:pStyle w:val="TM1"/>
        <w:rPr>
          <w:lang w:eastAsia="fr-FR"/>
        </w:rPr>
      </w:pPr>
      <w:r w:rsidRPr="00B011EF">
        <w:rPr>
          <w:b/>
          <w:bCs/>
          <w:lang w:eastAsia="fr-FR"/>
        </w:rPr>
        <w:lastRenderedPageBreak/>
        <w:t>ATASEVER M.</w:t>
      </w:r>
      <w:r w:rsidRPr="00B011EF">
        <w:rPr>
          <w:lang w:eastAsia="fr-FR"/>
        </w:rPr>
        <w:t xml:space="preserve"> (2026), « Maladies microbiennes d'origine alimentaire : agents pathogènes, épidémiologie et stratégies de prévention », </w:t>
      </w:r>
      <w:r w:rsidRPr="00B011EF">
        <w:rPr>
          <w:i/>
          <w:iCs/>
          <w:lang w:eastAsia="fr-FR"/>
        </w:rPr>
        <w:t>Journal asio-australien de sécurité et sûreté alimentaires</w:t>
      </w:r>
      <w:r w:rsidRPr="00B011EF">
        <w:rPr>
          <w:lang w:eastAsia="fr-FR"/>
        </w:rPr>
        <w:t>, vol. 10, n° 1, pp. 20-42.</w:t>
      </w:r>
    </w:p>
    <w:p w:rsidR="00B011EF" w:rsidRPr="00B011EF" w:rsidRDefault="00B011EF" w:rsidP="002D5A00">
      <w:pPr>
        <w:pStyle w:val="TM1"/>
        <w:rPr>
          <w:lang w:eastAsia="fr-FR"/>
        </w:rPr>
      </w:pPr>
      <w:r w:rsidRPr="00B011EF">
        <w:rPr>
          <w:b/>
          <w:bCs/>
          <w:lang w:eastAsia="fr-FR"/>
        </w:rPr>
        <w:t>ATANASOAIE G.</w:t>
      </w:r>
      <w:r w:rsidRPr="00B011EF">
        <w:rPr>
          <w:lang w:eastAsia="fr-FR"/>
        </w:rPr>
        <w:t xml:space="preserve"> (2012), « Le prix sur le marché des aliments biologiques », </w:t>
      </w:r>
      <w:r w:rsidRPr="00B011EF">
        <w:rPr>
          <w:i/>
          <w:iCs/>
          <w:lang w:eastAsia="fr-FR"/>
        </w:rPr>
        <w:t>Annales de l'Université de Petroşani, Sciences économiques</w:t>
      </w:r>
      <w:r w:rsidRPr="00B011EF">
        <w:rPr>
          <w:lang w:eastAsia="fr-FR"/>
        </w:rPr>
        <w:t>, vol. 12, n° 4, pp. 5-16.</w:t>
      </w:r>
    </w:p>
    <w:p w:rsidR="00B011EF" w:rsidRPr="00B011EF" w:rsidRDefault="00B011EF" w:rsidP="002D5A00">
      <w:pPr>
        <w:pStyle w:val="TM1"/>
        <w:rPr>
          <w:lang w:eastAsia="fr-FR"/>
        </w:rPr>
      </w:pPr>
      <w:r w:rsidRPr="00B011EF">
        <w:rPr>
          <w:b/>
          <w:bCs/>
          <w:lang w:eastAsia="fr-FR"/>
        </w:rPr>
        <w:t>AYDIN ERYILMAZ G.</w:t>
      </w:r>
      <w:r w:rsidRPr="00B011EF">
        <w:rPr>
          <w:lang w:eastAsia="fr-FR"/>
        </w:rPr>
        <w:t xml:space="preserve"> (2025), « Comment les motivations des consommateurs influencent-elles les préférences pour les produits agricoles biologiques en Turquie ? », </w:t>
      </w:r>
      <w:r w:rsidRPr="00B011EF">
        <w:rPr>
          <w:i/>
          <w:iCs/>
          <w:lang w:eastAsia="fr-FR"/>
        </w:rPr>
        <w:t>Durabilité</w:t>
      </w:r>
      <w:r w:rsidRPr="00B011EF">
        <w:rPr>
          <w:lang w:eastAsia="fr-FR"/>
        </w:rPr>
        <w:t>, vol. 17, n° 23, pp. 4-5.</w:t>
      </w:r>
    </w:p>
    <w:p w:rsidR="00B011EF" w:rsidRPr="00B011EF" w:rsidRDefault="00B011EF" w:rsidP="002D5A00">
      <w:pPr>
        <w:pStyle w:val="TM1"/>
        <w:rPr>
          <w:lang w:val="en-US" w:eastAsia="fr-FR"/>
        </w:rPr>
      </w:pPr>
      <w:r w:rsidRPr="00B011EF">
        <w:rPr>
          <w:b/>
          <w:bCs/>
          <w:lang w:val="en-US" w:eastAsia="fr-FR"/>
        </w:rPr>
        <w:t>BESSAID O. N.</w:t>
      </w:r>
      <w:r w:rsidRPr="00B011EF">
        <w:rPr>
          <w:lang w:val="en-US" w:eastAsia="fr-FR"/>
        </w:rPr>
        <w:t xml:space="preserve">, </w:t>
      </w:r>
      <w:r w:rsidRPr="00B011EF">
        <w:rPr>
          <w:b/>
          <w:bCs/>
          <w:lang w:val="en-US" w:eastAsia="fr-FR"/>
        </w:rPr>
        <w:t>SAIDI T.</w:t>
      </w:r>
      <w:r w:rsidRPr="00B011EF">
        <w:rPr>
          <w:lang w:val="en-US" w:eastAsia="fr-FR"/>
        </w:rPr>
        <w:t xml:space="preserve"> (2025), « Digital Transformation in Algeria's Agrifood Sector: A Strategic Path to Food Security Achievement », </w:t>
      </w:r>
      <w:r w:rsidRPr="00B011EF">
        <w:rPr>
          <w:i/>
          <w:iCs/>
          <w:lang w:val="en-US" w:eastAsia="fr-FR"/>
        </w:rPr>
        <w:t>Review MECAS</w:t>
      </w:r>
      <w:r w:rsidRPr="00B011EF">
        <w:rPr>
          <w:lang w:val="en-US" w:eastAsia="fr-FR"/>
        </w:rPr>
        <w:t>, vol. 21, n° 2, pp. 31-43.</w:t>
      </w:r>
    </w:p>
    <w:p w:rsidR="00B011EF" w:rsidRPr="00B011EF" w:rsidRDefault="00B011EF" w:rsidP="002D5A00">
      <w:pPr>
        <w:pStyle w:val="TM1"/>
        <w:rPr>
          <w:lang w:eastAsia="fr-FR"/>
        </w:rPr>
      </w:pPr>
      <w:r w:rsidRPr="00B011EF">
        <w:rPr>
          <w:b/>
          <w:bCs/>
          <w:lang w:eastAsia="fr-FR"/>
        </w:rPr>
        <w:t>Bilal Arselane</w:t>
      </w:r>
      <w:r w:rsidRPr="00B011EF">
        <w:rPr>
          <w:lang w:eastAsia="fr-FR"/>
        </w:rPr>
        <w:t xml:space="preserve"> (2024), « Le cadre juridique et normatif de la sécurité alimentaire en Algérie », </w:t>
      </w:r>
      <w:r w:rsidRPr="00B011EF">
        <w:rPr>
          <w:i/>
          <w:iCs/>
          <w:lang w:eastAsia="fr-FR"/>
        </w:rPr>
        <w:t>Revue du financement, de l'investissement et du développement durable</w:t>
      </w:r>
      <w:r w:rsidRPr="00B011EF">
        <w:rPr>
          <w:lang w:eastAsia="fr-FR"/>
        </w:rPr>
        <w:t>, vol. 9, n° 1, juin, ISSN : 2507-7244, pp. 728-741.</w:t>
      </w:r>
    </w:p>
    <w:p w:rsidR="00B011EF" w:rsidRPr="00B011EF" w:rsidRDefault="00B011EF" w:rsidP="002D5A00">
      <w:pPr>
        <w:pStyle w:val="TM1"/>
        <w:rPr>
          <w:lang w:eastAsia="fr-FR"/>
        </w:rPr>
      </w:pPr>
      <w:r w:rsidRPr="00B011EF">
        <w:rPr>
          <w:b/>
          <w:bCs/>
          <w:lang w:eastAsia="fr-FR"/>
        </w:rPr>
        <w:t>BOUSENA Abdelghani</w:t>
      </w:r>
      <w:r w:rsidRPr="00B011EF">
        <w:rPr>
          <w:lang w:eastAsia="fr-FR"/>
        </w:rPr>
        <w:t xml:space="preserve">, </w:t>
      </w:r>
      <w:r w:rsidRPr="00B011EF">
        <w:rPr>
          <w:b/>
          <w:bCs/>
          <w:lang w:eastAsia="fr-FR"/>
        </w:rPr>
        <w:t>IBN HAFFAF Mohamed El Amine</w:t>
      </w:r>
      <w:r w:rsidRPr="00B011EF">
        <w:rPr>
          <w:lang w:eastAsia="fr-FR"/>
        </w:rPr>
        <w:t xml:space="preserve"> (2017), « Le marketing mix des produits biologiques en Algérie », </w:t>
      </w:r>
      <w:r w:rsidRPr="00B011EF">
        <w:rPr>
          <w:i/>
          <w:iCs/>
          <w:lang w:eastAsia="fr-FR"/>
        </w:rPr>
        <w:t>Revue des études financières et comptables</w:t>
      </w:r>
      <w:r w:rsidRPr="00B011EF">
        <w:rPr>
          <w:lang w:eastAsia="fr-FR"/>
        </w:rPr>
        <w:t>, vol. 8, n° 1, pp. 421-438.</w:t>
      </w:r>
    </w:p>
    <w:p w:rsidR="00B011EF" w:rsidRPr="00B011EF" w:rsidRDefault="00B011EF" w:rsidP="002D5A00">
      <w:pPr>
        <w:pStyle w:val="TM1"/>
        <w:rPr>
          <w:lang w:eastAsia="fr-FR"/>
        </w:rPr>
      </w:pPr>
      <w:r w:rsidRPr="00B011EF">
        <w:rPr>
          <w:b/>
          <w:bCs/>
          <w:lang w:eastAsia="fr-FR"/>
        </w:rPr>
        <w:t>DERRAR A.</w:t>
      </w:r>
      <w:r w:rsidRPr="00B011EF">
        <w:rPr>
          <w:lang w:eastAsia="fr-FR"/>
        </w:rPr>
        <w:t xml:space="preserve">, </w:t>
      </w:r>
      <w:r w:rsidRPr="00B011EF">
        <w:rPr>
          <w:b/>
          <w:bCs/>
          <w:lang w:eastAsia="fr-FR"/>
        </w:rPr>
        <w:t>BENBOUZIANE M.</w:t>
      </w:r>
      <w:r w:rsidRPr="00B011EF">
        <w:rPr>
          <w:lang w:eastAsia="fr-FR"/>
        </w:rPr>
        <w:t xml:space="preserve"> (2025), « L'influence du marketing social sur les comportements de consommation des produits bio en Algérie : étude de cas de la wilaya de Tlemcen », </w:t>
      </w:r>
      <w:r w:rsidRPr="00B011EF">
        <w:rPr>
          <w:i/>
          <w:iCs/>
          <w:lang w:eastAsia="fr-FR"/>
        </w:rPr>
        <w:t>Revue MECAS</w:t>
      </w:r>
      <w:r w:rsidRPr="00B011EF">
        <w:rPr>
          <w:lang w:eastAsia="fr-FR"/>
        </w:rPr>
        <w:t>, vol. 21, n° 1, Université de Tlemcen, juin, pp. 385-387.</w:t>
      </w:r>
    </w:p>
    <w:p w:rsidR="00B011EF" w:rsidRPr="00B011EF" w:rsidRDefault="00B011EF" w:rsidP="002D5A00">
      <w:pPr>
        <w:pStyle w:val="TM1"/>
        <w:rPr>
          <w:lang w:eastAsia="fr-FR"/>
        </w:rPr>
      </w:pPr>
      <w:r w:rsidRPr="00B011EF">
        <w:rPr>
          <w:b/>
          <w:bCs/>
          <w:lang w:eastAsia="fr-FR"/>
        </w:rPr>
        <w:t>DYCK Bruno</w:t>
      </w:r>
      <w:r w:rsidRPr="00B011EF">
        <w:rPr>
          <w:lang w:eastAsia="fr-FR"/>
        </w:rPr>
        <w:t xml:space="preserve"> et al. (2023), « Marketing durable : une étude exploratoire d'une approche centrée sur la durabilité plutôt que sur le profit », </w:t>
      </w:r>
      <w:r w:rsidRPr="00B011EF">
        <w:rPr>
          <w:i/>
          <w:iCs/>
          <w:lang w:eastAsia="fr-FR"/>
        </w:rPr>
        <w:t>Revue entreprise et société</w:t>
      </w:r>
      <w:r w:rsidRPr="00B011EF">
        <w:rPr>
          <w:lang w:eastAsia="fr-FR"/>
        </w:rPr>
        <w:t>, vol. 128, n° 2, Wiley, Boston, pp. 195-216.</w:t>
      </w:r>
    </w:p>
    <w:p w:rsidR="00B011EF" w:rsidRPr="00B011EF" w:rsidRDefault="00B011EF" w:rsidP="002D5A00">
      <w:pPr>
        <w:pStyle w:val="TM1"/>
        <w:rPr>
          <w:lang w:eastAsia="fr-FR"/>
        </w:rPr>
      </w:pPr>
      <w:r w:rsidRPr="00B011EF">
        <w:rPr>
          <w:b/>
          <w:bCs/>
          <w:lang w:eastAsia="fr-FR"/>
        </w:rPr>
        <w:t>FERRARI L.</w:t>
      </w:r>
      <w:r w:rsidRPr="00B011EF">
        <w:rPr>
          <w:lang w:eastAsia="fr-FR"/>
        </w:rPr>
        <w:t xml:space="preserve">, </w:t>
      </w:r>
      <w:r w:rsidRPr="00B011EF">
        <w:rPr>
          <w:b/>
          <w:bCs/>
          <w:lang w:eastAsia="fr-FR"/>
        </w:rPr>
        <w:t>CAVALCANTI M.</w:t>
      </w:r>
      <w:r w:rsidRPr="00B011EF">
        <w:rPr>
          <w:lang w:eastAsia="fr-FR"/>
        </w:rPr>
        <w:t xml:space="preserve">, </w:t>
      </w:r>
      <w:r w:rsidRPr="00B011EF">
        <w:rPr>
          <w:b/>
          <w:bCs/>
          <w:lang w:eastAsia="fr-FR"/>
        </w:rPr>
        <w:t>ROSSI F.</w:t>
      </w:r>
      <w:r w:rsidRPr="00B011EF">
        <w:rPr>
          <w:lang w:eastAsia="fr-FR"/>
        </w:rPr>
        <w:t xml:space="preserve"> (2025), « Analyse comparative des différences de prix entre les fruits et légumes biologiques et conventionnels dans l'Espírito Santo, Brésil : implications pour l'accès des consommateurs et la croissance du marché », </w:t>
      </w:r>
      <w:r w:rsidRPr="00B011EF">
        <w:rPr>
          <w:i/>
          <w:iCs/>
          <w:lang w:eastAsia="fr-FR"/>
        </w:rPr>
        <w:t>Agriculture et sécurité alimentaire</w:t>
      </w:r>
      <w:r w:rsidRPr="00B011EF">
        <w:rPr>
          <w:lang w:eastAsia="fr-FR"/>
        </w:rPr>
        <w:t>, vol. 14, article n° 33, Springer.</w:t>
      </w:r>
    </w:p>
    <w:p w:rsidR="00B011EF" w:rsidRPr="00B011EF" w:rsidRDefault="00B011EF" w:rsidP="002D5A00">
      <w:pPr>
        <w:pStyle w:val="TM1"/>
        <w:rPr>
          <w:lang w:eastAsia="fr-FR"/>
        </w:rPr>
      </w:pPr>
      <w:r w:rsidRPr="00B011EF">
        <w:rPr>
          <w:b/>
          <w:bCs/>
          <w:lang w:eastAsia="fr-FR"/>
        </w:rPr>
        <w:t>GALANOU T.</w:t>
      </w:r>
      <w:r w:rsidRPr="00B011EF">
        <w:rPr>
          <w:lang w:eastAsia="fr-FR"/>
        </w:rPr>
        <w:t xml:space="preserve">, </w:t>
      </w:r>
      <w:r w:rsidRPr="00B011EF">
        <w:rPr>
          <w:b/>
          <w:bCs/>
          <w:lang w:eastAsia="fr-FR"/>
        </w:rPr>
        <w:t>PALIOURA E.</w:t>
      </w:r>
      <w:r w:rsidRPr="00B011EF">
        <w:rPr>
          <w:lang w:eastAsia="fr-FR"/>
        </w:rPr>
        <w:t xml:space="preserve">, </w:t>
      </w:r>
      <w:r w:rsidRPr="00B011EF">
        <w:rPr>
          <w:b/>
          <w:bCs/>
          <w:lang w:eastAsia="fr-FR"/>
        </w:rPr>
        <w:t>CHOULIARAS V.</w:t>
      </w:r>
      <w:r w:rsidRPr="00B011EF">
        <w:rPr>
          <w:lang w:eastAsia="fr-FR"/>
        </w:rPr>
        <w:t xml:space="preserve"> (2005), « Marketing des produits biologiques », </w:t>
      </w:r>
      <w:r w:rsidRPr="00B011EF">
        <w:rPr>
          <w:i/>
          <w:iCs/>
          <w:lang w:eastAsia="fr-FR"/>
        </w:rPr>
        <w:t>AgroThèse</w:t>
      </w:r>
      <w:r w:rsidRPr="00B011EF">
        <w:rPr>
          <w:lang w:eastAsia="fr-FR"/>
        </w:rPr>
        <w:t>, vol. 3, n° 1, pp. 3-10.</w:t>
      </w:r>
    </w:p>
    <w:p w:rsidR="00B011EF" w:rsidRPr="00B011EF" w:rsidRDefault="00B011EF" w:rsidP="002D5A00">
      <w:pPr>
        <w:pStyle w:val="TM1"/>
        <w:rPr>
          <w:lang w:eastAsia="fr-FR"/>
        </w:rPr>
      </w:pPr>
      <w:r w:rsidRPr="00B011EF">
        <w:rPr>
          <w:b/>
          <w:bCs/>
          <w:lang w:eastAsia="fr-FR"/>
        </w:rPr>
        <w:t>GIAMPIERI F.</w:t>
      </w:r>
      <w:r w:rsidRPr="00B011EF">
        <w:rPr>
          <w:lang w:eastAsia="fr-FR"/>
        </w:rPr>
        <w:t xml:space="preserve"> et al. (2022), « Aliments d'origine végétale biologiques vs conventionnels : une revue », </w:t>
      </w:r>
      <w:r w:rsidRPr="00B011EF">
        <w:rPr>
          <w:i/>
          <w:iCs/>
          <w:lang w:eastAsia="fr-FR"/>
        </w:rPr>
        <w:t>Chimie alimentaire</w:t>
      </w:r>
      <w:r w:rsidRPr="00B011EF">
        <w:rPr>
          <w:lang w:eastAsia="fr-FR"/>
        </w:rPr>
        <w:t>, vol. 383, Elsevier, Amsterdam.</w:t>
      </w:r>
    </w:p>
    <w:p w:rsidR="00B011EF" w:rsidRPr="00B011EF" w:rsidRDefault="00B011EF" w:rsidP="002D5A00">
      <w:pPr>
        <w:pStyle w:val="TM1"/>
        <w:rPr>
          <w:lang w:eastAsia="fr-FR"/>
        </w:rPr>
      </w:pPr>
      <w:r w:rsidRPr="00B011EF">
        <w:rPr>
          <w:b/>
          <w:bCs/>
          <w:lang w:eastAsia="fr-FR"/>
        </w:rPr>
        <w:t>GIANNAKAS Konstantinos</w:t>
      </w:r>
      <w:r w:rsidRPr="00B011EF">
        <w:rPr>
          <w:lang w:eastAsia="fr-FR"/>
        </w:rPr>
        <w:t xml:space="preserve">, </w:t>
      </w:r>
      <w:r w:rsidRPr="00B011EF">
        <w:rPr>
          <w:b/>
          <w:bCs/>
          <w:lang w:eastAsia="fr-FR"/>
        </w:rPr>
        <w:t>YIANNAKA Amalia</w:t>
      </w:r>
      <w:r w:rsidRPr="00B011EF">
        <w:rPr>
          <w:lang w:eastAsia="fr-FR"/>
        </w:rPr>
        <w:t xml:space="preserve"> (2023), « La fraude alimentaire : un problème persistant qui exige une approche globale », </w:t>
      </w:r>
      <w:r w:rsidRPr="00B011EF">
        <w:rPr>
          <w:i/>
          <w:iCs/>
          <w:lang w:eastAsia="fr-FR"/>
        </w:rPr>
        <w:t xml:space="preserve">Journal </w:t>
      </w:r>
      <w:r w:rsidRPr="00B011EF">
        <w:rPr>
          <w:i/>
          <w:iCs/>
          <w:lang w:eastAsia="fr-FR"/>
        </w:rPr>
        <w:lastRenderedPageBreak/>
        <w:t>de protection des consommateurs et de sécurité alimentaire</w:t>
      </w:r>
      <w:r w:rsidRPr="00B011EF">
        <w:rPr>
          <w:lang w:eastAsia="fr-FR"/>
        </w:rPr>
        <w:t>, vol. 18, Springer, Amsterdam, pp. 359-360.</w:t>
      </w:r>
    </w:p>
    <w:p w:rsidR="00B011EF" w:rsidRPr="00B011EF" w:rsidRDefault="00B011EF" w:rsidP="002D5A00">
      <w:pPr>
        <w:pStyle w:val="TM1"/>
        <w:rPr>
          <w:lang w:eastAsia="fr-FR"/>
        </w:rPr>
      </w:pPr>
      <w:r w:rsidRPr="00B011EF">
        <w:rPr>
          <w:b/>
          <w:bCs/>
          <w:lang w:eastAsia="fr-FR"/>
        </w:rPr>
        <w:t>GONZÁLEZ R.</w:t>
      </w:r>
      <w:r w:rsidRPr="00B011EF">
        <w:rPr>
          <w:lang w:eastAsia="fr-FR"/>
        </w:rPr>
        <w:t xml:space="preserve">, </w:t>
      </w:r>
      <w:r w:rsidRPr="00B011EF">
        <w:rPr>
          <w:b/>
          <w:bCs/>
          <w:lang w:eastAsia="fr-FR"/>
        </w:rPr>
        <w:t>GONZÁLEZ L.</w:t>
      </w:r>
      <w:r w:rsidRPr="00B011EF">
        <w:rPr>
          <w:lang w:eastAsia="fr-FR"/>
        </w:rPr>
        <w:t xml:space="preserve"> (2002), « La traçabilité et la sécurité sanitaire des aliments », </w:t>
      </w:r>
      <w:r w:rsidRPr="00B011EF">
        <w:rPr>
          <w:i/>
          <w:iCs/>
          <w:lang w:eastAsia="fr-FR"/>
        </w:rPr>
        <w:t>Revue virtuelle d'études de la science et de la technologie</w:t>
      </w:r>
      <w:r w:rsidRPr="00B011EF">
        <w:rPr>
          <w:lang w:eastAsia="fr-FR"/>
        </w:rPr>
        <w:t>, vol. 2, n° 2, SciELO, Caracas, pp. 12-25.</w:t>
      </w:r>
    </w:p>
    <w:p w:rsidR="00B011EF" w:rsidRPr="00B011EF" w:rsidRDefault="00B011EF" w:rsidP="002D5A00">
      <w:pPr>
        <w:pStyle w:val="TM1"/>
        <w:rPr>
          <w:lang w:eastAsia="fr-FR"/>
        </w:rPr>
      </w:pPr>
      <w:r w:rsidRPr="00B011EF">
        <w:rPr>
          <w:b/>
          <w:bCs/>
          <w:lang w:eastAsia="fr-FR"/>
        </w:rPr>
        <w:t>Hadjou L.</w:t>
      </w:r>
      <w:r w:rsidRPr="00B011EF">
        <w:rPr>
          <w:lang w:eastAsia="fr-FR"/>
        </w:rPr>
        <w:t xml:space="preserve">, </w:t>
      </w:r>
      <w:r w:rsidRPr="00B011EF">
        <w:rPr>
          <w:b/>
          <w:bCs/>
          <w:lang w:eastAsia="fr-FR"/>
        </w:rPr>
        <w:t>Cheriet F.</w:t>
      </w:r>
      <w:r w:rsidRPr="00B011EF">
        <w:rPr>
          <w:lang w:eastAsia="fr-FR"/>
        </w:rPr>
        <w:t xml:space="preserve">, </w:t>
      </w:r>
      <w:r w:rsidRPr="00B011EF">
        <w:rPr>
          <w:b/>
          <w:bCs/>
          <w:lang w:eastAsia="fr-FR"/>
        </w:rPr>
        <w:t>Djenane A.</w:t>
      </w:r>
      <w:r w:rsidRPr="00B011EF">
        <w:rPr>
          <w:lang w:eastAsia="fr-FR"/>
        </w:rPr>
        <w:t xml:space="preserve"> (2013), « Agriculture biologique en Algérie : potentiel et perspectives de développement », </w:t>
      </w:r>
      <w:r w:rsidRPr="00B011EF">
        <w:rPr>
          <w:i/>
          <w:iCs/>
          <w:lang w:eastAsia="fr-FR"/>
        </w:rPr>
        <w:t>Les cahiers du CREAD</w:t>
      </w:r>
      <w:r w:rsidRPr="00B011EF">
        <w:rPr>
          <w:lang w:eastAsia="fr-FR"/>
        </w:rPr>
        <w:t>, n° 105/106, pp. 113-132.</w:t>
      </w:r>
    </w:p>
    <w:p w:rsidR="00B011EF" w:rsidRPr="00B011EF" w:rsidRDefault="00B011EF" w:rsidP="002D5A00">
      <w:pPr>
        <w:pStyle w:val="TM1"/>
        <w:rPr>
          <w:lang w:eastAsia="fr-FR"/>
        </w:rPr>
      </w:pPr>
      <w:r w:rsidRPr="00B011EF">
        <w:rPr>
          <w:b/>
          <w:bCs/>
          <w:lang w:eastAsia="fr-FR"/>
        </w:rPr>
        <w:t>HALIL Nawara</w:t>
      </w:r>
      <w:r w:rsidRPr="00B011EF">
        <w:rPr>
          <w:lang w:eastAsia="fr-FR"/>
        </w:rPr>
        <w:t xml:space="preserve"> (2021), « L'obligation d'étiquetage comme mécanisme d'information et de protection du consommateur », </w:t>
      </w:r>
      <w:r w:rsidRPr="00B011EF">
        <w:rPr>
          <w:i/>
          <w:iCs/>
          <w:lang w:eastAsia="fr-FR"/>
        </w:rPr>
        <w:t>Revue des études et recherches</w:t>
      </w:r>
      <w:r w:rsidRPr="00B011EF">
        <w:rPr>
          <w:lang w:eastAsia="fr-FR"/>
        </w:rPr>
        <w:t>, vol. 13, n° 4, p. 597.</w:t>
      </w:r>
    </w:p>
    <w:p w:rsidR="00B011EF" w:rsidRPr="00B011EF" w:rsidRDefault="00B011EF" w:rsidP="002D5A00">
      <w:pPr>
        <w:pStyle w:val="TM1"/>
        <w:rPr>
          <w:lang w:eastAsia="fr-FR"/>
        </w:rPr>
      </w:pPr>
      <w:r w:rsidRPr="00B011EF">
        <w:rPr>
          <w:b/>
          <w:bCs/>
          <w:lang w:eastAsia="fr-FR"/>
        </w:rPr>
        <w:t>JANKOWSKA Magdalena</w:t>
      </w:r>
      <w:r w:rsidRPr="00B011EF">
        <w:rPr>
          <w:lang w:eastAsia="fr-FR"/>
        </w:rPr>
        <w:t xml:space="preserve">, </w:t>
      </w:r>
      <w:r w:rsidRPr="00B011EF">
        <w:rPr>
          <w:b/>
          <w:bCs/>
          <w:lang w:eastAsia="fr-FR"/>
        </w:rPr>
        <w:t>KACZYŃSKI Piotr</w:t>
      </w:r>
      <w:r w:rsidRPr="00B011EF">
        <w:rPr>
          <w:lang w:eastAsia="fr-FR"/>
        </w:rPr>
        <w:t xml:space="preserve">, </w:t>
      </w:r>
      <w:r w:rsidRPr="00B011EF">
        <w:rPr>
          <w:b/>
          <w:bCs/>
          <w:lang w:eastAsia="fr-FR"/>
        </w:rPr>
        <w:t>HRYNKO Izabela</w:t>
      </w:r>
      <w:r w:rsidRPr="00B011EF">
        <w:rPr>
          <w:lang w:eastAsia="fr-FR"/>
        </w:rPr>
        <w:t xml:space="preserve"> et al. (2024), « Évaluation du risque alimentaire pour les enfants et les adultes consommant des fruits et légumes présentant de multiples résidus de pesticides », </w:t>
      </w:r>
      <w:r w:rsidRPr="00B011EF">
        <w:rPr>
          <w:i/>
          <w:iCs/>
          <w:lang w:eastAsia="fr-FR"/>
        </w:rPr>
        <w:t>Chemosphère</w:t>
      </w:r>
      <w:r w:rsidRPr="00B011EF">
        <w:rPr>
          <w:lang w:eastAsia="fr-FR"/>
        </w:rPr>
        <w:t>, vol. 369, Elsevier, Amsterdam, décembre, article 143858.</w:t>
      </w:r>
    </w:p>
    <w:p w:rsidR="00B011EF" w:rsidRPr="00B011EF" w:rsidRDefault="00B011EF" w:rsidP="002D5A00">
      <w:pPr>
        <w:pStyle w:val="TM1"/>
        <w:rPr>
          <w:lang w:eastAsia="fr-FR"/>
        </w:rPr>
      </w:pPr>
      <w:r w:rsidRPr="00B011EF">
        <w:rPr>
          <w:b/>
          <w:bCs/>
          <w:lang w:eastAsia="fr-FR"/>
        </w:rPr>
        <w:t>Jellal Imane</w:t>
      </w:r>
      <w:r w:rsidRPr="00B011EF">
        <w:rPr>
          <w:lang w:eastAsia="fr-FR"/>
        </w:rPr>
        <w:t xml:space="preserve">, </w:t>
      </w:r>
      <w:r w:rsidRPr="00B011EF">
        <w:rPr>
          <w:b/>
          <w:bCs/>
          <w:lang w:eastAsia="fr-FR"/>
        </w:rPr>
        <w:t>Kounane Kahina</w:t>
      </w:r>
      <w:r w:rsidRPr="00B011EF">
        <w:rPr>
          <w:lang w:eastAsia="fr-FR"/>
        </w:rPr>
        <w:t xml:space="preserve"> (s.d.), « L'étiquetage dans le monde des produits : une garantie de la sécurité du consommateur et un mécanisme de lutte contre les risques », </w:t>
      </w:r>
      <w:r w:rsidRPr="00B011EF">
        <w:rPr>
          <w:i/>
          <w:iCs/>
          <w:lang w:eastAsia="fr-FR"/>
        </w:rPr>
        <w:t>Revue des études et recherches juridiques</w:t>
      </w:r>
      <w:r w:rsidRPr="00B011EF">
        <w:rPr>
          <w:lang w:eastAsia="fr-FR"/>
        </w:rPr>
        <w:t>, vol. 10, n° 1, ISSN : 2437-1084, Université Mouloud Mammeri de Tizi Ouzou, Algérie, p. 281.</w:t>
      </w:r>
    </w:p>
    <w:p w:rsidR="00B011EF" w:rsidRPr="00B011EF" w:rsidRDefault="00B011EF" w:rsidP="002D5A00">
      <w:pPr>
        <w:pStyle w:val="TM1"/>
        <w:rPr>
          <w:lang w:eastAsia="fr-FR"/>
        </w:rPr>
      </w:pPr>
      <w:r w:rsidRPr="00B011EF">
        <w:rPr>
          <w:b/>
          <w:bCs/>
          <w:lang w:eastAsia="fr-FR"/>
        </w:rPr>
        <w:t>KOTLER Philip</w:t>
      </w:r>
      <w:r w:rsidRPr="00B011EF">
        <w:rPr>
          <w:lang w:eastAsia="fr-FR"/>
        </w:rPr>
        <w:t xml:space="preserve">, </w:t>
      </w:r>
      <w:r w:rsidRPr="00B011EF">
        <w:rPr>
          <w:b/>
          <w:bCs/>
          <w:lang w:eastAsia="fr-FR"/>
        </w:rPr>
        <w:t>LEVY Sidney J.</w:t>
      </w:r>
      <w:r w:rsidRPr="00B011EF">
        <w:rPr>
          <w:lang w:eastAsia="fr-FR"/>
        </w:rPr>
        <w:t xml:space="preserve"> (1969), « Élargir le concept de marketing », </w:t>
      </w:r>
      <w:r w:rsidRPr="00B011EF">
        <w:rPr>
          <w:i/>
          <w:iCs/>
          <w:lang w:eastAsia="fr-FR"/>
        </w:rPr>
        <w:t>Journal du marketing</w:t>
      </w:r>
      <w:r w:rsidRPr="00B011EF">
        <w:rPr>
          <w:lang w:eastAsia="fr-FR"/>
        </w:rPr>
        <w:t>, vol. 33, n° 1, American Marketing Association, Chicago, pp. 10-15.</w:t>
      </w:r>
    </w:p>
    <w:p w:rsidR="00B011EF" w:rsidRPr="00B011EF" w:rsidRDefault="00B011EF" w:rsidP="002D5A00">
      <w:pPr>
        <w:pStyle w:val="TM1"/>
        <w:rPr>
          <w:lang w:eastAsia="fr-FR"/>
        </w:rPr>
      </w:pPr>
      <w:r w:rsidRPr="00B011EF">
        <w:rPr>
          <w:b/>
          <w:bCs/>
          <w:lang w:eastAsia="fr-FR"/>
        </w:rPr>
        <w:t>LEE C. L.</w:t>
      </w:r>
      <w:r w:rsidRPr="00B011EF">
        <w:rPr>
          <w:lang w:eastAsia="fr-FR"/>
        </w:rPr>
        <w:t xml:space="preserve">, </w:t>
      </w:r>
      <w:r w:rsidRPr="00B011EF">
        <w:rPr>
          <w:b/>
          <w:bCs/>
          <w:lang w:eastAsia="fr-FR"/>
        </w:rPr>
        <w:t>LEE M. H.</w:t>
      </w:r>
      <w:r w:rsidRPr="00B011EF">
        <w:rPr>
          <w:lang w:eastAsia="fr-FR"/>
        </w:rPr>
        <w:t xml:space="preserve">, </w:t>
      </w:r>
      <w:r w:rsidRPr="00B011EF">
        <w:rPr>
          <w:b/>
          <w:bCs/>
          <w:lang w:eastAsia="fr-FR"/>
        </w:rPr>
        <w:t>LEE J. H.</w:t>
      </w:r>
      <w:r w:rsidRPr="00B011EF">
        <w:rPr>
          <w:lang w:eastAsia="fr-FR"/>
        </w:rPr>
        <w:t xml:space="preserve"> (2012), « Crise alimentaire : comment la définir statistiquement ? », </w:t>
      </w:r>
      <w:r w:rsidRPr="00B011EF">
        <w:rPr>
          <w:i/>
          <w:iCs/>
          <w:lang w:eastAsia="fr-FR"/>
        </w:rPr>
        <w:t>Transactions WIT sur l'écologie et l'environnement</w:t>
      </w:r>
      <w:r w:rsidRPr="00B011EF">
        <w:rPr>
          <w:lang w:eastAsia="fr-FR"/>
        </w:rPr>
        <w:t>, n° 162, WIT Press, Southampton, pp. 303-312.</w:t>
      </w:r>
    </w:p>
    <w:p w:rsidR="00B011EF" w:rsidRPr="00B011EF" w:rsidRDefault="00B011EF" w:rsidP="002D5A00">
      <w:pPr>
        <w:pStyle w:val="TM1"/>
        <w:rPr>
          <w:lang w:eastAsia="fr-FR"/>
        </w:rPr>
      </w:pPr>
      <w:r w:rsidRPr="00B011EF">
        <w:rPr>
          <w:b/>
          <w:bCs/>
          <w:lang w:eastAsia="fr-FR"/>
        </w:rPr>
        <w:t>LEMMON B.</w:t>
      </w:r>
      <w:r w:rsidRPr="00B011EF">
        <w:rPr>
          <w:lang w:eastAsia="fr-FR"/>
        </w:rPr>
        <w:t xml:space="preserve">, </w:t>
      </w:r>
      <w:r w:rsidRPr="00B011EF">
        <w:rPr>
          <w:b/>
          <w:bCs/>
          <w:lang w:eastAsia="fr-FR"/>
        </w:rPr>
        <w:t>GRUMMON A. H.</w:t>
      </w:r>
      <w:r w:rsidRPr="00B011EF">
        <w:rPr>
          <w:lang w:eastAsia="fr-FR"/>
        </w:rPr>
        <w:t xml:space="preserve">, </w:t>
      </w:r>
      <w:r w:rsidRPr="00B011EF">
        <w:rPr>
          <w:b/>
          <w:bCs/>
          <w:lang w:eastAsia="fr-FR"/>
        </w:rPr>
        <w:t>MARQUEZ A.</w:t>
      </w:r>
      <w:r w:rsidRPr="00B011EF">
        <w:rPr>
          <w:lang w:eastAsia="fr-FR"/>
        </w:rPr>
        <w:t xml:space="preserve"> et al. (2026), « Efficacité des étiquettes nutritionnelles sur le devant des emballages conçues pour une mise en œuvre obligatoire aux États-Unis : un essai contrôlé randomisé en ligne », </w:t>
      </w:r>
      <w:r w:rsidRPr="00B011EF">
        <w:rPr>
          <w:i/>
          <w:iCs/>
          <w:lang w:eastAsia="fr-FR"/>
        </w:rPr>
        <w:t>The Lancet</w:t>
      </w:r>
      <w:r w:rsidRPr="00B011EF">
        <w:rPr>
          <w:lang w:eastAsia="fr-FR"/>
        </w:rPr>
        <w:t>, Elsevier.</w:t>
      </w:r>
    </w:p>
    <w:p w:rsidR="00B011EF" w:rsidRPr="00B011EF" w:rsidRDefault="00B011EF" w:rsidP="002D5A00">
      <w:pPr>
        <w:pStyle w:val="TM1"/>
        <w:rPr>
          <w:lang w:eastAsia="fr-FR"/>
        </w:rPr>
      </w:pPr>
      <w:r w:rsidRPr="00B011EF">
        <w:rPr>
          <w:b/>
          <w:bCs/>
          <w:lang w:eastAsia="fr-FR"/>
        </w:rPr>
        <w:t>LIU Caiyue</w:t>
      </w:r>
      <w:r w:rsidRPr="00B011EF">
        <w:rPr>
          <w:lang w:eastAsia="fr-FR"/>
        </w:rPr>
        <w:t xml:space="preserve">, </w:t>
      </w:r>
      <w:r w:rsidRPr="00B011EF">
        <w:rPr>
          <w:b/>
          <w:bCs/>
          <w:lang w:eastAsia="fr-FR"/>
        </w:rPr>
        <w:t>WANG Youhua</w:t>
      </w:r>
      <w:r w:rsidRPr="00B011EF">
        <w:rPr>
          <w:lang w:eastAsia="fr-FR"/>
        </w:rPr>
        <w:t xml:space="preserve">, </w:t>
      </w:r>
      <w:r w:rsidRPr="00B011EF">
        <w:rPr>
          <w:b/>
          <w:bCs/>
          <w:lang w:eastAsia="fr-FR"/>
        </w:rPr>
        <w:t>TANG Qiaoling</w:t>
      </w:r>
      <w:r w:rsidRPr="00B011EF">
        <w:rPr>
          <w:lang w:eastAsia="fr-FR"/>
        </w:rPr>
        <w:t xml:space="preserve">, </w:t>
      </w:r>
      <w:r w:rsidRPr="00B011EF">
        <w:rPr>
          <w:b/>
          <w:bCs/>
          <w:lang w:eastAsia="fr-FR"/>
        </w:rPr>
        <w:t>LI Ning</w:t>
      </w:r>
      <w:r w:rsidRPr="00B011EF">
        <w:rPr>
          <w:lang w:eastAsia="fr-FR"/>
        </w:rPr>
        <w:t xml:space="preserve">, </w:t>
      </w:r>
      <w:r w:rsidRPr="00B011EF">
        <w:rPr>
          <w:b/>
          <w:bCs/>
          <w:lang w:eastAsia="fr-FR"/>
        </w:rPr>
        <w:t>WANG Zhixing</w:t>
      </w:r>
      <w:r w:rsidRPr="00B011EF">
        <w:rPr>
          <w:lang w:eastAsia="fr-FR"/>
        </w:rPr>
        <w:t xml:space="preserve">, </w:t>
      </w:r>
      <w:r w:rsidRPr="00B011EF">
        <w:rPr>
          <w:b/>
          <w:bCs/>
          <w:lang w:eastAsia="fr-FR"/>
        </w:rPr>
        <w:t>TAN Tan</w:t>
      </w:r>
      <w:r w:rsidRPr="00B011EF">
        <w:rPr>
          <w:lang w:eastAsia="fr-FR"/>
        </w:rPr>
        <w:t xml:space="preserve">, </w:t>
      </w:r>
      <w:r w:rsidRPr="00B011EF">
        <w:rPr>
          <w:b/>
          <w:bCs/>
          <w:lang w:eastAsia="fr-FR"/>
        </w:rPr>
        <w:t>WANG Xujing</w:t>
      </w:r>
      <w:r w:rsidRPr="00B011EF">
        <w:rPr>
          <w:lang w:eastAsia="fr-FR"/>
        </w:rPr>
        <w:t xml:space="preserve"> (2025), « Analyse de la gestion internationale de la coexistence des cultures génétiquement modifiées et non génétiquement modifiées », </w:t>
      </w:r>
      <w:r w:rsidRPr="00B011EF">
        <w:rPr>
          <w:i/>
          <w:iCs/>
          <w:lang w:eastAsia="fr-FR"/>
        </w:rPr>
        <w:t>Plantes</w:t>
      </w:r>
      <w:r w:rsidRPr="00B011EF">
        <w:rPr>
          <w:lang w:eastAsia="fr-FR"/>
        </w:rPr>
        <w:t>, vol. 14, n° 6, MDPI, Bâle, pp. 895-912.</w:t>
      </w:r>
    </w:p>
    <w:p w:rsidR="00B011EF" w:rsidRPr="00B011EF" w:rsidRDefault="00B011EF" w:rsidP="002D5A00">
      <w:pPr>
        <w:pStyle w:val="TM1"/>
        <w:rPr>
          <w:lang w:eastAsia="fr-FR"/>
        </w:rPr>
      </w:pPr>
      <w:r w:rsidRPr="00B011EF">
        <w:rPr>
          <w:b/>
          <w:bCs/>
          <w:lang w:eastAsia="fr-FR"/>
        </w:rPr>
        <w:t>MOHAMED Shukri F.</w:t>
      </w:r>
      <w:r w:rsidRPr="00B011EF">
        <w:rPr>
          <w:lang w:eastAsia="fr-FR"/>
        </w:rPr>
        <w:t xml:space="preserve">, </w:t>
      </w:r>
      <w:r w:rsidRPr="00B011EF">
        <w:rPr>
          <w:b/>
          <w:bCs/>
          <w:lang w:eastAsia="fr-FR"/>
        </w:rPr>
        <w:t>KARUGI Caroline H.</w:t>
      </w:r>
      <w:r w:rsidRPr="00B011EF">
        <w:rPr>
          <w:lang w:eastAsia="fr-FR"/>
        </w:rPr>
        <w:t xml:space="preserve">, </w:t>
      </w:r>
      <w:r w:rsidRPr="00B011EF">
        <w:rPr>
          <w:b/>
          <w:bCs/>
          <w:lang w:eastAsia="fr-FR"/>
        </w:rPr>
        <w:t>IDDI Samuel</w:t>
      </w:r>
      <w:r w:rsidRPr="00B011EF">
        <w:rPr>
          <w:lang w:eastAsia="fr-FR"/>
        </w:rPr>
        <w:t xml:space="preserve"> et al. (2024), « Efficacité de trois étiquettes nutritionnelles sur le devant des emballages pour guider l'identification par les consommateurs des nutriments préoccupants et les </w:t>
      </w:r>
      <w:r w:rsidRPr="00B011EF">
        <w:rPr>
          <w:lang w:eastAsia="fr-FR"/>
        </w:rPr>
        <w:lastRenderedPageBreak/>
        <w:t xml:space="preserve">intentions d'achat au Kenya : un essai contrôlé randomisé », </w:t>
      </w:r>
      <w:r w:rsidRPr="00B011EF">
        <w:rPr>
          <w:i/>
          <w:iCs/>
          <w:lang w:eastAsia="fr-FR"/>
        </w:rPr>
        <w:t>Nutriments</w:t>
      </w:r>
      <w:r w:rsidRPr="00B011EF">
        <w:rPr>
          <w:lang w:eastAsia="fr-FR"/>
        </w:rPr>
        <w:t>, vol. 16, n° 22, MDPI, novembre, p. 3846.</w:t>
      </w:r>
    </w:p>
    <w:p w:rsidR="00B011EF" w:rsidRPr="00B011EF" w:rsidRDefault="00B011EF" w:rsidP="002D5A00">
      <w:pPr>
        <w:pStyle w:val="TM1"/>
        <w:rPr>
          <w:lang w:eastAsia="fr-FR"/>
        </w:rPr>
      </w:pPr>
      <w:r w:rsidRPr="00B011EF">
        <w:rPr>
          <w:b/>
          <w:bCs/>
          <w:lang w:eastAsia="fr-FR"/>
        </w:rPr>
        <w:t>NEMES Noémi</w:t>
      </w:r>
      <w:r w:rsidRPr="00B011EF">
        <w:rPr>
          <w:lang w:eastAsia="fr-FR"/>
        </w:rPr>
        <w:t xml:space="preserve"> et al. (2022), « Un cadre intégré pour évaluer l'écoblanchiment », </w:t>
      </w:r>
      <w:r w:rsidRPr="00B011EF">
        <w:rPr>
          <w:i/>
          <w:iCs/>
          <w:lang w:eastAsia="fr-FR"/>
        </w:rPr>
        <w:t>Durabilité</w:t>
      </w:r>
      <w:r w:rsidRPr="00B011EF">
        <w:rPr>
          <w:lang w:eastAsia="fr-FR"/>
        </w:rPr>
        <w:t>, vol. 14, n° 8, MDPI AG, Bâle, pp. 1-13.</w:t>
      </w:r>
    </w:p>
    <w:p w:rsidR="00B011EF" w:rsidRPr="00B011EF" w:rsidRDefault="00B011EF" w:rsidP="002D5A00">
      <w:pPr>
        <w:pStyle w:val="TM1"/>
        <w:rPr>
          <w:lang w:eastAsia="fr-FR"/>
        </w:rPr>
      </w:pPr>
      <w:r w:rsidRPr="00B011EF">
        <w:rPr>
          <w:b/>
          <w:bCs/>
          <w:lang w:eastAsia="fr-FR"/>
        </w:rPr>
        <w:t>PETLJAK K.</w:t>
      </w:r>
      <w:r w:rsidRPr="00B011EF">
        <w:rPr>
          <w:lang w:eastAsia="fr-FR"/>
        </w:rPr>
        <w:t xml:space="preserve"> (2013), « Canaux de distribution des aliments biologiques en République de Croatie », </w:t>
      </w:r>
      <w:r w:rsidRPr="00B011EF">
        <w:rPr>
          <w:i/>
          <w:iCs/>
          <w:lang w:eastAsia="fr-FR"/>
        </w:rPr>
        <w:t>Excellence en affaires</w:t>
      </w:r>
      <w:r w:rsidRPr="00B011EF">
        <w:rPr>
          <w:lang w:eastAsia="fr-FR"/>
        </w:rPr>
        <w:t>, vol. 7, n° 1, pp. 73-96.</w:t>
      </w:r>
    </w:p>
    <w:p w:rsidR="00B011EF" w:rsidRPr="00B011EF" w:rsidRDefault="00B011EF" w:rsidP="002D5A00">
      <w:pPr>
        <w:pStyle w:val="TM1"/>
        <w:rPr>
          <w:lang w:eastAsia="fr-FR"/>
        </w:rPr>
      </w:pPr>
      <w:r w:rsidRPr="00B011EF">
        <w:rPr>
          <w:b/>
          <w:bCs/>
          <w:lang w:eastAsia="fr-FR"/>
        </w:rPr>
        <w:t>POLONSKY Michael Jay</w:t>
      </w:r>
      <w:r w:rsidRPr="00B011EF">
        <w:rPr>
          <w:lang w:eastAsia="fr-FR"/>
        </w:rPr>
        <w:t xml:space="preserve"> (1994), « Introduction au marketing vert », </w:t>
      </w:r>
      <w:r w:rsidRPr="00B011EF">
        <w:rPr>
          <w:i/>
          <w:iCs/>
          <w:lang w:eastAsia="fr-FR"/>
        </w:rPr>
        <w:t>Journal électronique vert</w:t>
      </w:r>
      <w:r w:rsidRPr="00B011EF">
        <w:rPr>
          <w:lang w:eastAsia="fr-FR"/>
        </w:rPr>
        <w:t>, n° 2, Bibliothèque de l'Université de l'Idaho, Moscou.</w:t>
      </w:r>
    </w:p>
    <w:p w:rsidR="00B011EF" w:rsidRPr="00B011EF" w:rsidRDefault="00B011EF" w:rsidP="002D5A00">
      <w:pPr>
        <w:pStyle w:val="TM1"/>
        <w:rPr>
          <w:lang w:eastAsia="fr-FR"/>
        </w:rPr>
      </w:pPr>
      <w:r w:rsidRPr="00B011EF">
        <w:rPr>
          <w:b/>
          <w:bCs/>
          <w:lang w:eastAsia="fr-FR"/>
        </w:rPr>
        <w:t>SAAD Magdy Moheb El-Dien M.</w:t>
      </w:r>
      <w:r w:rsidRPr="00B011EF">
        <w:rPr>
          <w:lang w:eastAsia="fr-FR"/>
        </w:rPr>
        <w:t xml:space="preserve"> (2015), « Sécurité sanitaire des aliments : concepts principaux et exigences obligatoires pour le système de gestion et l'application (étude de bureau) », </w:t>
      </w:r>
      <w:r w:rsidRPr="00B011EF">
        <w:rPr>
          <w:i/>
          <w:iCs/>
          <w:lang w:eastAsia="fr-FR"/>
        </w:rPr>
        <w:t>Journal asio-pacifique des sciences de la santé</w:t>
      </w:r>
      <w:r w:rsidRPr="00B011EF">
        <w:rPr>
          <w:lang w:eastAsia="fr-FR"/>
        </w:rPr>
        <w:t>, vol. 2, n° 2, NRC, Égypte, pp. 154-159.</w:t>
      </w:r>
    </w:p>
    <w:p w:rsidR="005D0B7E" w:rsidRDefault="005D0B7E" w:rsidP="002D5A00">
      <w:pPr>
        <w:pStyle w:val="TM1"/>
        <w:rPr>
          <w:rStyle w:val="lev"/>
        </w:rPr>
      </w:pPr>
    </w:p>
    <w:p w:rsidR="005D0B7E" w:rsidRDefault="005D0B7E" w:rsidP="002D5A00">
      <w:pPr>
        <w:pStyle w:val="TM1"/>
        <w:rPr>
          <w:rStyle w:val="lev"/>
        </w:rPr>
      </w:pPr>
    </w:p>
    <w:p w:rsidR="005D0B7E" w:rsidRDefault="005D0B7E" w:rsidP="002D5A00">
      <w:pPr>
        <w:pStyle w:val="TM1"/>
        <w:rPr>
          <w:rStyle w:val="lev"/>
        </w:rPr>
      </w:pPr>
    </w:p>
    <w:p w:rsidR="005D0B7E" w:rsidRDefault="005D0B7E" w:rsidP="002D5A00">
      <w:pPr>
        <w:pStyle w:val="TM1"/>
        <w:rPr>
          <w:rStyle w:val="lev"/>
        </w:rPr>
      </w:pPr>
    </w:p>
    <w:p w:rsidR="005D0B7E" w:rsidRDefault="005D0B7E" w:rsidP="002D5A00">
      <w:pPr>
        <w:pStyle w:val="TM1"/>
        <w:rPr>
          <w:rStyle w:val="lev"/>
        </w:rPr>
      </w:pPr>
    </w:p>
    <w:p w:rsidR="005D0B7E" w:rsidRDefault="005D0B7E" w:rsidP="002D5A00">
      <w:pPr>
        <w:pStyle w:val="TM1"/>
        <w:rPr>
          <w:rStyle w:val="lev"/>
        </w:rPr>
      </w:pPr>
    </w:p>
    <w:p w:rsidR="005D0B7E" w:rsidRDefault="005D0B7E" w:rsidP="002D5A00">
      <w:pPr>
        <w:pStyle w:val="TM1"/>
        <w:rPr>
          <w:rStyle w:val="lev"/>
        </w:rPr>
      </w:pPr>
    </w:p>
    <w:p w:rsidR="005D0B7E" w:rsidRDefault="005D0B7E" w:rsidP="002D5A00">
      <w:pPr>
        <w:pStyle w:val="TM1"/>
        <w:rPr>
          <w:rStyle w:val="lev"/>
        </w:rPr>
      </w:pPr>
    </w:p>
    <w:p w:rsidR="005D0B7E" w:rsidRDefault="005D0B7E" w:rsidP="002D5A00">
      <w:pPr>
        <w:pStyle w:val="TM1"/>
        <w:rPr>
          <w:rStyle w:val="lev"/>
        </w:rPr>
      </w:pPr>
    </w:p>
    <w:p w:rsidR="00B011EF" w:rsidRDefault="00B011EF" w:rsidP="00B011EF"/>
    <w:p w:rsidR="00B011EF" w:rsidRDefault="00B011EF" w:rsidP="00B011EF"/>
    <w:p w:rsidR="00B011EF" w:rsidRDefault="00B011EF" w:rsidP="00B011EF"/>
    <w:p w:rsidR="00B011EF" w:rsidRPr="00B011EF" w:rsidRDefault="00B011EF" w:rsidP="00B011EF"/>
    <w:p w:rsidR="005D0B7E" w:rsidRDefault="005D0B7E" w:rsidP="002D5A00">
      <w:pPr>
        <w:pStyle w:val="TM1"/>
        <w:rPr>
          <w:rStyle w:val="lev"/>
        </w:rPr>
      </w:pPr>
    </w:p>
    <w:p w:rsidR="008E60F7" w:rsidRDefault="008E60F7" w:rsidP="002D5A00">
      <w:pPr>
        <w:pStyle w:val="TM1"/>
        <w:rPr>
          <w:rStyle w:val="lev"/>
        </w:rPr>
      </w:pPr>
    </w:p>
    <w:p w:rsidR="00140168" w:rsidRDefault="00140168" w:rsidP="002D5A00">
      <w:pPr>
        <w:pStyle w:val="TM1"/>
        <w:rPr>
          <w:rStyle w:val="lev"/>
        </w:rPr>
        <w:sectPr w:rsidR="00140168" w:rsidSect="009766E9">
          <w:headerReference w:type="default" r:id="rId71"/>
          <w:footerReference w:type="default" r:id="rId72"/>
          <w:headerReference w:type="first" r:id="rId73"/>
          <w:footerReference w:type="first" r:id="rId74"/>
          <w:footnotePr>
            <w:numRestart w:val="eachPage"/>
          </w:footnotePr>
          <w:pgSz w:w="11906" w:h="16838"/>
          <w:pgMar w:top="1417" w:right="1417" w:bottom="1417" w:left="1417" w:header="737" w:footer="720" w:gutter="0"/>
          <w:cols w:space="720"/>
          <w:titlePg/>
          <w:docGrid w:linePitch="299"/>
        </w:sectPr>
      </w:pPr>
    </w:p>
    <w:p w:rsidR="005D0B7E" w:rsidRPr="008E60F7" w:rsidRDefault="0005673C" w:rsidP="002D5A00">
      <w:pPr>
        <w:pStyle w:val="TM1"/>
        <w:rPr>
          <w:rStyle w:val="lev"/>
        </w:rPr>
      </w:pPr>
      <w:r w:rsidRPr="008E60F7">
        <w:rPr>
          <w:rStyle w:val="lev"/>
        </w:rPr>
        <w:lastRenderedPageBreak/>
        <w:t>les annexes</w:t>
      </w:r>
    </w:p>
    <w:p w:rsidR="008E60F7" w:rsidRPr="008E60F7" w:rsidRDefault="008E60F7" w:rsidP="008E60F7">
      <w:pPr>
        <w:spacing w:line="360" w:lineRule="auto"/>
        <w:jc w:val="lowKashida"/>
        <w:rPr>
          <w:rFonts w:asciiTheme="majorBidi" w:hAnsiTheme="majorBidi" w:cstheme="majorBidi"/>
          <w:b/>
          <w:bCs/>
          <w:sz w:val="24"/>
          <w:szCs w:val="24"/>
        </w:rPr>
      </w:pPr>
      <w:r w:rsidRPr="008E60F7">
        <w:rPr>
          <w:rFonts w:asciiTheme="majorBidi" w:hAnsiTheme="majorBidi" w:cstheme="majorBidi"/>
          <w:b/>
          <w:bCs/>
          <w:sz w:val="24"/>
          <w:szCs w:val="24"/>
        </w:rPr>
        <w:t xml:space="preserve">Annex 01 : le questionnaire de partie pratique  </w:t>
      </w:r>
    </w:p>
    <w:p w:rsidR="008E60F7" w:rsidRPr="008E60F7" w:rsidRDefault="008E60F7" w:rsidP="008E60F7">
      <w:pPr>
        <w:spacing w:line="360" w:lineRule="auto"/>
        <w:jc w:val="lowKashida"/>
        <w:rPr>
          <w:rFonts w:asciiTheme="majorBidi" w:hAnsiTheme="majorBidi" w:cstheme="majorBidi"/>
          <w:b/>
          <w:bCs/>
          <w:sz w:val="24"/>
          <w:szCs w:val="24"/>
        </w:rPr>
      </w:pPr>
      <w:r w:rsidRPr="008E60F7">
        <w:rPr>
          <w:rFonts w:asciiTheme="majorBidi" w:hAnsiTheme="majorBidi" w:cstheme="majorBidi"/>
          <w:b/>
          <w:bCs/>
          <w:sz w:val="24"/>
          <w:szCs w:val="24"/>
        </w:rPr>
        <w:t>Introduction</w:t>
      </w:r>
    </w:p>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Dans le cadre de la préparation d’un mémoire de fin d’études intitulé : « Le marketing des produits biologiques et son rôle dans la sécurité sanitaire des aliments », nous mettons à votre disposition ce questionnaire afin de collecter des données nécessaires à notre recherche.</w:t>
      </w:r>
      <w:r w:rsidRPr="008E60F7">
        <w:rPr>
          <w:rFonts w:asciiTheme="majorBidi" w:hAnsiTheme="majorBidi" w:cstheme="majorBidi"/>
          <w:sz w:val="24"/>
          <w:szCs w:val="24"/>
        </w:rPr>
        <w:br/>
        <w:t>Vos réponses resteront strictement confidentielles et seront utilisées uniquement à des fins académiques.</w:t>
      </w:r>
    </w:p>
    <w:p w:rsidR="008E60F7" w:rsidRPr="008E60F7" w:rsidRDefault="008E60F7" w:rsidP="008E60F7">
      <w:pPr>
        <w:spacing w:line="360" w:lineRule="auto"/>
        <w:rPr>
          <w:rFonts w:asciiTheme="majorBidi" w:hAnsiTheme="majorBidi" w:cstheme="majorBidi"/>
          <w:b/>
          <w:bCs/>
          <w:sz w:val="24"/>
          <w:szCs w:val="24"/>
        </w:rPr>
      </w:pPr>
      <w:r w:rsidRPr="008E60F7">
        <w:rPr>
          <w:rFonts w:asciiTheme="majorBidi" w:hAnsiTheme="majorBidi" w:cstheme="majorBidi"/>
          <w:b/>
          <w:bCs/>
          <w:sz w:val="24"/>
          <w:szCs w:val="24"/>
        </w:rPr>
        <w:t>Consignes</w:t>
      </w:r>
    </w:p>
    <w:p w:rsidR="008E60F7" w:rsidRPr="008E60F7" w:rsidRDefault="008E60F7" w:rsidP="008E60F7">
      <w:pPr>
        <w:spacing w:line="360" w:lineRule="auto"/>
        <w:rPr>
          <w:rFonts w:asciiTheme="majorBidi" w:hAnsiTheme="majorBidi" w:cstheme="majorBidi"/>
          <w:sz w:val="24"/>
          <w:szCs w:val="24"/>
        </w:rPr>
      </w:pPr>
      <w:r w:rsidRPr="008E60F7">
        <w:rPr>
          <w:rFonts w:asciiTheme="majorBidi" w:hAnsiTheme="majorBidi" w:cstheme="majorBidi"/>
          <w:sz w:val="24"/>
          <w:szCs w:val="24"/>
        </w:rPr>
        <w:t>Veuillez cocher (</w:t>
      </w:r>
      <w:r w:rsidRPr="008E60F7">
        <w:rPr>
          <w:rFonts w:ascii="Segoe UI Symbol" w:hAnsi="Segoe UI Symbol" w:cs="Segoe UI Symbol"/>
          <w:sz w:val="24"/>
          <w:szCs w:val="24"/>
        </w:rPr>
        <w:t>✔</w:t>
      </w:r>
      <w:r w:rsidRPr="008E60F7">
        <w:rPr>
          <w:rFonts w:asciiTheme="majorBidi" w:hAnsiTheme="majorBidi" w:cstheme="majorBidi"/>
          <w:sz w:val="24"/>
          <w:szCs w:val="24"/>
        </w:rPr>
        <w:t>) la r</w:t>
      </w:r>
      <w:r w:rsidRPr="008E60F7">
        <w:rPr>
          <w:rFonts w:ascii="Times New Roman" w:hAnsi="Times New Roman" w:cs="Times New Roman"/>
          <w:sz w:val="24"/>
          <w:szCs w:val="24"/>
        </w:rPr>
        <w:t>é</w:t>
      </w:r>
      <w:r w:rsidRPr="008E60F7">
        <w:rPr>
          <w:rFonts w:asciiTheme="majorBidi" w:hAnsiTheme="majorBidi" w:cstheme="majorBidi"/>
          <w:sz w:val="24"/>
          <w:szCs w:val="24"/>
        </w:rPr>
        <w:t>ponse appropri</w:t>
      </w:r>
      <w:r w:rsidRPr="008E60F7">
        <w:rPr>
          <w:rFonts w:ascii="Times New Roman" w:hAnsi="Times New Roman" w:cs="Times New Roman"/>
          <w:sz w:val="24"/>
          <w:szCs w:val="24"/>
        </w:rPr>
        <w:t>é</w:t>
      </w:r>
      <w:r w:rsidRPr="008E60F7">
        <w:rPr>
          <w:rFonts w:asciiTheme="majorBidi" w:hAnsiTheme="majorBidi" w:cstheme="majorBidi"/>
          <w:sz w:val="24"/>
          <w:szCs w:val="24"/>
        </w:rPr>
        <w:t>e.</w:t>
      </w:r>
      <w:r w:rsidRPr="008E60F7">
        <w:rPr>
          <w:rFonts w:asciiTheme="majorBidi" w:hAnsiTheme="majorBidi" w:cstheme="majorBidi"/>
          <w:sz w:val="24"/>
          <w:szCs w:val="24"/>
        </w:rPr>
        <w:br/>
      </w:r>
      <w:r w:rsidRPr="008E60F7">
        <w:rPr>
          <w:rFonts w:ascii="Times New Roman" w:hAnsi="Times New Roman" w:cs="Times New Roman"/>
          <w:sz w:val="24"/>
          <w:szCs w:val="24"/>
        </w:rPr>
        <w:t>É</w:t>
      </w:r>
      <w:r w:rsidRPr="008E60F7">
        <w:rPr>
          <w:rFonts w:asciiTheme="majorBidi" w:hAnsiTheme="majorBidi" w:cstheme="majorBidi"/>
          <w:sz w:val="24"/>
          <w:szCs w:val="24"/>
        </w:rPr>
        <w:t>chelle de Likert :</w:t>
      </w:r>
      <w:r w:rsidRPr="008E60F7">
        <w:rPr>
          <w:rFonts w:asciiTheme="majorBidi" w:hAnsiTheme="majorBidi" w:cstheme="majorBidi"/>
          <w:sz w:val="24"/>
          <w:szCs w:val="24"/>
        </w:rPr>
        <w:br/>
        <w:t>1. Pas du tout d</w:t>
      </w:r>
      <w:r w:rsidRPr="008E60F7">
        <w:rPr>
          <w:rFonts w:ascii="Times New Roman" w:hAnsi="Times New Roman" w:cs="Times New Roman"/>
          <w:sz w:val="24"/>
          <w:szCs w:val="24"/>
        </w:rPr>
        <w:t>’</w:t>
      </w:r>
      <w:r w:rsidRPr="008E60F7">
        <w:rPr>
          <w:rFonts w:asciiTheme="majorBidi" w:hAnsiTheme="majorBidi" w:cstheme="majorBidi"/>
          <w:sz w:val="24"/>
          <w:szCs w:val="24"/>
        </w:rPr>
        <w:t>accord | 2. Pas d</w:t>
      </w:r>
      <w:r w:rsidRPr="008E60F7">
        <w:rPr>
          <w:rFonts w:ascii="Times New Roman" w:hAnsi="Times New Roman" w:cs="Times New Roman"/>
          <w:sz w:val="24"/>
          <w:szCs w:val="24"/>
        </w:rPr>
        <w:t>’</w:t>
      </w:r>
      <w:r w:rsidRPr="008E60F7">
        <w:rPr>
          <w:rFonts w:asciiTheme="majorBidi" w:hAnsiTheme="majorBidi" w:cstheme="majorBidi"/>
          <w:sz w:val="24"/>
          <w:szCs w:val="24"/>
        </w:rPr>
        <w:t>accord | 3. Neutre | 4. D</w:t>
      </w:r>
      <w:r w:rsidRPr="008E60F7">
        <w:rPr>
          <w:rFonts w:ascii="Times New Roman" w:hAnsi="Times New Roman" w:cs="Times New Roman"/>
          <w:sz w:val="24"/>
          <w:szCs w:val="24"/>
        </w:rPr>
        <w:t>’</w:t>
      </w:r>
      <w:r w:rsidRPr="008E60F7">
        <w:rPr>
          <w:rFonts w:asciiTheme="majorBidi" w:hAnsiTheme="majorBidi" w:cstheme="majorBidi"/>
          <w:sz w:val="24"/>
          <w:szCs w:val="24"/>
        </w:rPr>
        <w:t xml:space="preserve">accord | 5. Tout </w:t>
      </w:r>
      <w:r w:rsidRPr="008E60F7">
        <w:rPr>
          <w:rFonts w:ascii="Times New Roman" w:hAnsi="Times New Roman" w:cs="Times New Roman"/>
          <w:sz w:val="24"/>
          <w:szCs w:val="24"/>
        </w:rPr>
        <w:t>à</w:t>
      </w:r>
      <w:r w:rsidRPr="008E60F7">
        <w:rPr>
          <w:rFonts w:asciiTheme="majorBidi" w:hAnsiTheme="majorBidi" w:cstheme="majorBidi"/>
          <w:sz w:val="24"/>
          <w:szCs w:val="24"/>
        </w:rPr>
        <w:t xml:space="preserve"> fait d</w:t>
      </w:r>
      <w:r w:rsidRPr="008E60F7">
        <w:rPr>
          <w:rFonts w:ascii="Times New Roman" w:hAnsi="Times New Roman" w:cs="Times New Roman"/>
          <w:sz w:val="24"/>
          <w:szCs w:val="24"/>
        </w:rPr>
        <w:t>’</w:t>
      </w:r>
      <w:r w:rsidRPr="008E60F7">
        <w:rPr>
          <w:rFonts w:asciiTheme="majorBidi" w:hAnsiTheme="majorBidi" w:cstheme="majorBidi"/>
          <w:sz w:val="24"/>
          <w:szCs w:val="24"/>
        </w:rPr>
        <w:t>accord</w:t>
      </w:r>
    </w:p>
    <w:p w:rsidR="008E60F7" w:rsidRPr="008E60F7" w:rsidRDefault="008E60F7" w:rsidP="008E60F7">
      <w:pPr>
        <w:spacing w:line="360" w:lineRule="auto"/>
        <w:jc w:val="lowKashida"/>
        <w:rPr>
          <w:rFonts w:asciiTheme="majorBidi" w:hAnsiTheme="majorBidi" w:cstheme="majorBidi"/>
          <w:b/>
          <w:bCs/>
          <w:sz w:val="24"/>
          <w:szCs w:val="24"/>
        </w:rPr>
      </w:pPr>
      <w:r w:rsidRPr="008E60F7">
        <w:rPr>
          <w:rFonts w:asciiTheme="majorBidi" w:hAnsiTheme="majorBidi" w:cstheme="majorBidi"/>
          <w:b/>
          <w:bCs/>
          <w:sz w:val="24"/>
          <w:szCs w:val="24"/>
        </w:rPr>
        <w:t>Partie 1 : Informations générales</w:t>
      </w:r>
    </w:p>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 xml:space="preserve">1. Sexe :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Homme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Femme</w:t>
      </w:r>
    </w:p>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 xml:space="preserve">2. Âge :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Moins de 25 ans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25</w:t>
      </w:r>
      <w:r w:rsidRPr="008E60F7">
        <w:rPr>
          <w:rFonts w:ascii="Times New Roman" w:hAnsi="Times New Roman" w:cs="Times New Roman"/>
          <w:sz w:val="24"/>
          <w:szCs w:val="24"/>
        </w:rPr>
        <w:t>–</w:t>
      </w:r>
      <w:r w:rsidRPr="008E60F7">
        <w:rPr>
          <w:rFonts w:asciiTheme="majorBidi" w:hAnsiTheme="majorBidi" w:cstheme="majorBidi"/>
          <w:sz w:val="24"/>
          <w:szCs w:val="24"/>
        </w:rPr>
        <w:t xml:space="preserve">35 ans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36</w:t>
      </w:r>
      <w:r w:rsidRPr="008E60F7">
        <w:rPr>
          <w:rFonts w:ascii="Times New Roman" w:hAnsi="Times New Roman" w:cs="Times New Roman"/>
          <w:sz w:val="24"/>
          <w:szCs w:val="24"/>
        </w:rPr>
        <w:t>–</w:t>
      </w:r>
      <w:r w:rsidRPr="008E60F7">
        <w:rPr>
          <w:rFonts w:asciiTheme="majorBidi" w:hAnsiTheme="majorBidi" w:cstheme="majorBidi"/>
          <w:sz w:val="24"/>
          <w:szCs w:val="24"/>
        </w:rPr>
        <w:t xml:space="preserve">45 ans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Plus de 45 ans</w:t>
      </w:r>
    </w:p>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 xml:space="preserve">3. Niveau :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Secondaire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Licence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Master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Doctorat</w:t>
      </w:r>
    </w:p>
    <w:p w:rsidR="008E60F7" w:rsidRPr="008E60F7" w:rsidRDefault="008E60F7" w:rsidP="008E60F7">
      <w:pPr>
        <w:spacing w:line="360" w:lineRule="auto"/>
        <w:jc w:val="lowKashida"/>
        <w:rPr>
          <w:rFonts w:asciiTheme="majorBidi" w:hAnsiTheme="majorBidi" w:cstheme="majorBidi"/>
          <w:b/>
          <w:bCs/>
          <w:sz w:val="24"/>
          <w:szCs w:val="24"/>
        </w:rPr>
      </w:pPr>
      <w:r w:rsidRPr="008E60F7">
        <w:rPr>
          <w:rFonts w:asciiTheme="majorBidi" w:hAnsiTheme="majorBidi" w:cstheme="majorBidi"/>
          <w:sz w:val="24"/>
          <w:szCs w:val="24"/>
        </w:rPr>
        <w:t>4. Quelle est votre situation professionnelle actuelle ?</w:t>
      </w:r>
    </w:p>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r w:rsidRPr="008E60F7">
        <w:rPr>
          <w:rFonts w:asciiTheme="majorBidi" w:hAnsiTheme="majorBidi" w:cstheme="majorBidi"/>
          <w:sz w:val="24"/>
          <w:szCs w:val="24"/>
        </w:rPr>
        <w:t xml:space="preserve"> Étudiant(e)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Employé(e)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Retraité(e)    </w:t>
      </w:r>
      <w:r w:rsidRPr="008E60F7">
        <w:rPr>
          <w:rFonts w:ascii="Segoe UI Symbol" w:hAnsi="Segoe UI Symbol" w:cs="Segoe UI Symbol"/>
          <w:sz w:val="24"/>
          <w:szCs w:val="24"/>
        </w:rPr>
        <w:t>☐</w:t>
      </w:r>
      <w:r w:rsidRPr="008E60F7">
        <w:rPr>
          <w:rFonts w:asciiTheme="majorBidi" w:hAnsiTheme="majorBidi" w:cstheme="majorBidi"/>
          <w:sz w:val="24"/>
          <w:szCs w:val="24"/>
        </w:rPr>
        <w:t xml:space="preserve"> Autre (précisez) : …………………</w:t>
      </w:r>
    </w:p>
    <w:p w:rsidR="008E60F7" w:rsidRPr="008E60F7" w:rsidRDefault="008E60F7" w:rsidP="008E60F7">
      <w:pPr>
        <w:spacing w:line="360" w:lineRule="auto"/>
        <w:jc w:val="lowKashida"/>
        <w:rPr>
          <w:rFonts w:asciiTheme="majorBidi" w:hAnsiTheme="majorBidi" w:cstheme="majorBidi"/>
          <w:b/>
          <w:bCs/>
          <w:sz w:val="24"/>
          <w:szCs w:val="24"/>
        </w:rPr>
      </w:pPr>
      <w:r w:rsidRPr="008E60F7">
        <w:rPr>
          <w:rFonts w:asciiTheme="majorBidi" w:hAnsiTheme="majorBidi" w:cstheme="majorBidi"/>
          <w:b/>
          <w:bCs/>
          <w:sz w:val="24"/>
          <w:szCs w:val="24"/>
        </w:rPr>
        <w:t>Chapitre I :Le marketing des produits biologiques</w:t>
      </w:r>
    </w:p>
    <w:p w:rsidR="008E60F7" w:rsidRPr="008E60F7" w:rsidRDefault="008E60F7" w:rsidP="008E60F7">
      <w:pPr>
        <w:spacing w:line="360" w:lineRule="auto"/>
        <w:jc w:val="lowKashida"/>
        <w:rPr>
          <w:rFonts w:asciiTheme="majorBidi" w:hAnsiTheme="majorBidi" w:cstheme="majorBidi"/>
          <w:b/>
          <w:bCs/>
          <w:sz w:val="24"/>
          <w:szCs w:val="24"/>
          <w:lang w:val="en-US"/>
        </w:rPr>
      </w:pPr>
      <w:r w:rsidRPr="008E60F7">
        <w:rPr>
          <w:rFonts w:asciiTheme="majorBidi" w:hAnsiTheme="majorBidi" w:cstheme="majorBidi"/>
          <w:b/>
          <w:bCs/>
          <w:sz w:val="24"/>
          <w:szCs w:val="24"/>
          <w:lang w:val="en-US"/>
        </w:rPr>
        <w:t>Produit / Label biologique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1275"/>
        <w:gridCol w:w="1377"/>
        <w:gridCol w:w="1440"/>
        <w:gridCol w:w="1440"/>
        <w:gridCol w:w="1440"/>
      </w:tblGrid>
      <w:tr w:rsidR="008E60F7" w:rsidRPr="008E60F7">
        <w:tc>
          <w:tcPr>
            <w:tcW w:w="166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Affirmation</w:t>
            </w:r>
          </w:p>
        </w:tc>
        <w:tc>
          <w:tcPr>
            <w:tcW w:w="127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 xml:space="preserve">Pas du tout d’accord </w:t>
            </w:r>
          </w:p>
        </w:tc>
        <w:tc>
          <w:tcPr>
            <w:tcW w:w="137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 xml:space="preserve">Pas 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Neutre</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 xml:space="preserve">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Tout à fait d’accord</w:t>
            </w:r>
          </w:p>
        </w:tc>
      </w:tr>
      <w:tr w:rsidR="008E60F7" w:rsidRPr="008E60F7">
        <w:tc>
          <w:tcPr>
            <w:tcW w:w="166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 xml:space="preserve">5. La présence d’un label biologique </w:t>
            </w:r>
            <w:r w:rsidRPr="008E60F7">
              <w:rPr>
                <w:rFonts w:asciiTheme="majorBidi" w:hAnsiTheme="majorBidi" w:cstheme="majorBidi"/>
                <w:sz w:val="24"/>
                <w:szCs w:val="24"/>
              </w:rPr>
              <w:lastRenderedPageBreak/>
              <w:t>certifié renforce ma confiance dans le produit.</w:t>
            </w:r>
          </w:p>
        </w:tc>
        <w:tc>
          <w:tcPr>
            <w:tcW w:w="127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lastRenderedPageBreak/>
              <w:t>☐</w:t>
            </w:r>
          </w:p>
        </w:tc>
        <w:tc>
          <w:tcPr>
            <w:tcW w:w="137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6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lastRenderedPageBreak/>
              <w:t>6. Je vérifie la présence du label biologique avant l’achat.</w:t>
            </w:r>
          </w:p>
        </w:tc>
        <w:tc>
          <w:tcPr>
            <w:tcW w:w="127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37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6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7. Un produit sans certification officielle diminue ma confiance.</w:t>
            </w:r>
          </w:p>
        </w:tc>
        <w:tc>
          <w:tcPr>
            <w:tcW w:w="127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37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6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8. Le label biologique indique le respect des normes sanitaires.</w:t>
            </w:r>
          </w:p>
        </w:tc>
        <w:tc>
          <w:tcPr>
            <w:tcW w:w="127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37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bl>
    <w:p w:rsidR="008E60F7" w:rsidRPr="008E60F7" w:rsidRDefault="008E60F7" w:rsidP="008E60F7">
      <w:pPr>
        <w:spacing w:line="360" w:lineRule="auto"/>
        <w:jc w:val="lowKashida"/>
        <w:rPr>
          <w:rFonts w:asciiTheme="majorBidi" w:hAnsiTheme="majorBidi" w:cstheme="majorBidi"/>
          <w:b/>
          <w:bCs/>
          <w:sz w:val="24"/>
          <w:szCs w:val="24"/>
          <w:lang w:val="en-US"/>
        </w:rPr>
      </w:pPr>
      <w:r w:rsidRPr="008E60F7">
        <w:rPr>
          <w:rFonts w:asciiTheme="majorBidi" w:hAnsiTheme="majorBidi" w:cstheme="majorBidi"/>
          <w:b/>
          <w:bCs/>
          <w:sz w:val="24"/>
          <w:szCs w:val="24"/>
          <w:lang w:val="en-US"/>
        </w:rPr>
        <w:t>Prix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30"/>
        <w:gridCol w:w="1432"/>
        <w:gridCol w:w="1431"/>
        <w:gridCol w:w="1431"/>
        <w:gridCol w:w="1431"/>
        <w:gridCol w:w="1431"/>
      </w:tblGrid>
      <w:tr w:rsidR="008E60F7" w:rsidRPr="008E60F7">
        <w:tc>
          <w:tcPr>
            <w:tcW w:w="170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Affirmation</w:t>
            </w:r>
          </w:p>
        </w:tc>
        <w:tc>
          <w:tcPr>
            <w:tcW w:w="1432"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du tout d’accord </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d’accord </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Neutre</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d’accord </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Tout à fait d’accord</w:t>
            </w:r>
          </w:p>
        </w:tc>
      </w:tr>
      <w:tr w:rsidR="008E60F7" w:rsidRPr="008E60F7">
        <w:tc>
          <w:tcPr>
            <w:tcW w:w="170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9. Le prix élevé limite mon achat des produits biologiques.</w:t>
            </w:r>
          </w:p>
        </w:tc>
        <w:tc>
          <w:tcPr>
            <w:tcW w:w="1432"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70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 xml:space="preserve">10. Même si le </w:t>
            </w:r>
            <w:r w:rsidRPr="008E60F7">
              <w:rPr>
                <w:rFonts w:asciiTheme="majorBidi" w:hAnsiTheme="majorBidi" w:cstheme="majorBidi"/>
                <w:sz w:val="24"/>
                <w:szCs w:val="24"/>
              </w:rPr>
              <w:lastRenderedPageBreak/>
              <w:t>prix est élevé, je continue à acheter des produits biologiques.</w:t>
            </w:r>
          </w:p>
        </w:tc>
        <w:tc>
          <w:tcPr>
            <w:tcW w:w="1432"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lastRenderedPageBreak/>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70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lastRenderedPageBreak/>
              <w:t>11. Le prix influence ma décision d’achat.</w:t>
            </w:r>
          </w:p>
        </w:tc>
        <w:tc>
          <w:tcPr>
            <w:tcW w:w="1432"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70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12. Je compare les prix bio et conventionnels.</w:t>
            </w:r>
          </w:p>
        </w:tc>
        <w:tc>
          <w:tcPr>
            <w:tcW w:w="1432"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1"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bl>
    <w:p w:rsidR="008E60F7" w:rsidRPr="008E60F7" w:rsidRDefault="008E60F7" w:rsidP="008E60F7">
      <w:pPr>
        <w:spacing w:line="360" w:lineRule="auto"/>
        <w:jc w:val="lowKashida"/>
        <w:rPr>
          <w:rFonts w:asciiTheme="majorBidi" w:hAnsiTheme="majorBidi" w:cstheme="majorBidi"/>
          <w:b/>
          <w:bCs/>
          <w:sz w:val="24"/>
          <w:szCs w:val="24"/>
          <w:lang w:val="en-US"/>
        </w:rPr>
      </w:pPr>
      <w:r w:rsidRPr="008E60F7">
        <w:rPr>
          <w:rFonts w:asciiTheme="majorBidi" w:hAnsiTheme="majorBidi" w:cstheme="majorBidi"/>
          <w:b/>
          <w:bCs/>
          <w:sz w:val="24"/>
          <w:szCs w:val="24"/>
          <w:lang w:val="en-US"/>
        </w:rPr>
        <w:t>Promotion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6"/>
        <w:gridCol w:w="1440"/>
        <w:gridCol w:w="1440"/>
        <w:gridCol w:w="1440"/>
        <w:gridCol w:w="1440"/>
        <w:gridCol w:w="1440"/>
      </w:tblGrid>
      <w:tr w:rsidR="008E60F7" w:rsidRPr="008E60F7">
        <w:tc>
          <w:tcPr>
            <w:tcW w:w="162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Affirmation</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du tout 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Neutre</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Tout à fait d’accord</w:t>
            </w:r>
          </w:p>
        </w:tc>
      </w:tr>
      <w:tr w:rsidR="008E60F7" w:rsidRPr="008E60F7">
        <w:tc>
          <w:tcPr>
            <w:tcW w:w="162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13. Les publicités augmentent mon intérêt.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2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14. Les réseaux sociaux m’informent sur les produits bio.</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2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15. Les campagnes influencent mes décisions.</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25"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lastRenderedPageBreak/>
              <w:t>16. Les informations disponibles m’encouragent à acheter.</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bl>
    <w:p w:rsidR="008E60F7" w:rsidRPr="008E60F7" w:rsidRDefault="008E60F7" w:rsidP="008E60F7">
      <w:pPr>
        <w:spacing w:line="360" w:lineRule="auto"/>
        <w:jc w:val="lowKashida"/>
        <w:rPr>
          <w:rFonts w:asciiTheme="majorBidi" w:hAnsiTheme="majorBidi" w:cstheme="majorBidi"/>
          <w:b/>
          <w:bCs/>
          <w:sz w:val="24"/>
          <w:szCs w:val="24"/>
          <w:lang w:val="en-US"/>
        </w:rPr>
      </w:pPr>
      <w:r w:rsidRPr="008E60F7">
        <w:rPr>
          <w:rFonts w:asciiTheme="majorBidi" w:hAnsiTheme="majorBidi" w:cstheme="majorBidi"/>
          <w:b/>
          <w:bCs/>
          <w:sz w:val="24"/>
          <w:szCs w:val="24"/>
          <w:lang w:val="en-US"/>
        </w:rPr>
        <w:t>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8"/>
        <w:gridCol w:w="1439"/>
        <w:gridCol w:w="1439"/>
        <w:gridCol w:w="1440"/>
        <w:gridCol w:w="1440"/>
        <w:gridCol w:w="1440"/>
      </w:tblGrid>
      <w:tr w:rsidR="008E60F7" w:rsidRPr="008E60F7">
        <w:tc>
          <w:tcPr>
            <w:tcW w:w="165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Affirmation</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1</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2</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3</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4</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5</w:t>
            </w:r>
          </w:p>
        </w:tc>
      </w:tr>
      <w:tr w:rsidR="008E60F7" w:rsidRPr="008E60F7">
        <w:tc>
          <w:tcPr>
            <w:tcW w:w="165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17. Je trouve facilement des produits bio.</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5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18. La disponibilité influence mon achat.</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658" w:type="dxa"/>
            <w:tcBorders>
              <w:top w:val="single" w:sz="4" w:space="0" w:color="auto"/>
              <w:left w:val="single" w:sz="4" w:space="0" w:color="auto"/>
              <w:bottom w:val="single" w:sz="4" w:space="0" w:color="auto"/>
              <w:right w:val="single" w:sz="4" w:space="0" w:color="auto"/>
            </w:tcBorders>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19. Le manque de promotion des produits biologiques réduit la consommation de ce type de produits.</w:t>
            </w:r>
          </w:p>
          <w:p w:rsidR="008E60F7" w:rsidRPr="008E60F7" w:rsidRDefault="008E60F7" w:rsidP="008E60F7">
            <w:pPr>
              <w:spacing w:line="360" w:lineRule="auto"/>
              <w:jc w:val="lowKashida"/>
              <w:rPr>
                <w:rFonts w:asciiTheme="majorBidi" w:hAnsiTheme="majorBidi" w:cstheme="majorBidi"/>
                <w:sz w:val="24"/>
                <w:szCs w:val="24"/>
              </w:rPr>
            </w:pP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r>
      <w:tr w:rsidR="008E60F7" w:rsidRPr="008E60F7">
        <w:tc>
          <w:tcPr>
            <w:tcW w:w="165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20. Les points de vente sont accessibles.</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3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Segoe UI Symbol" w:hAnsi="Segoe UI Symbol" w:cs="Segoe UI Symbol"/>
                <w:sz w:val="24"/>
                <w:szCs w:val="24"/>
              </w:rPr>
              <w:t>☐</w:t>
            </w:r>
          </w:p>
        </w:tc>
      </w:tr>
    </w:tbl>
    <w:p w:rsidR="008E60F7" w:rsidRPr="008E60F7" w:rsidRDefault="008E60F7" w:rsidP="008E60F7">
      <w:pPr>
        <w:spacing w:line="360" w:lineRule="auto"/>
        <w:jc w:val="lowKashida"/>
        <w:rPr>
          <w:rFonts w:asciiTheme="majorBidi" w:hAnsiTheme="majorBidi" w:cstheme="majorBidi"/>
          <w:b/>
          <w:bCs/>
          <w:sz w:val="24"/>
          <w:szCs w:val="24"/>
        </w:rPr>
      </w:pPr>
      <w:r w:rsidRPr="008E60F7">
        <w:rPr>
          <w:rFonts w:asciiTheme="majorBidi" w:hAnsiTheme="majorBidi" w:cstheme="majorBidi"/>
          <w:b/>
          <w:bCs/>
          <w:sz w:val="24"/>
          <w:szCs w:val="24"/>
        </w:rPr>
        <w:t>Chapitre II : la sécurité sanitaire des aliments</w:t>
      </w:r>
    </w:p>
    <w:p w:rsidR="008E60F7" w:rsidRPr="008E60F7" w:rsidRDefault="008E60F7" w:rsidP="008E60F7">
      <w:pPr>
        <w:spacing w:line="360" w:lineRule="auto"/>
        <w:jc w:val="lowKashida"/>
        <w:rPr>
          <w:rFonts w:asciiTheme="majorBidi" w:hAnsiTheme="majorBidi" w:cstheme="majorBidi"/>
          <w:b/>
          <w:bCs/>
          <w:sz w:val="24"/>
          <w:szCs w:val="24"/>
          <w:lang w:val="en-US"/>
        </w:rPr>
      </w:pPr>
      <w:r w:rsidRPr="008E60F7">
        <w:rPr>
          <w:rFonts w:asciiTheme="majorBidi" w:hAnsiTheme="majorBidi" w:cstheme="majorBidi"/>
          <w:b/>
          <w:bCs/>
          <w:sz w:val="24"/>
          <w:szCs w:val="24"/>
        </w:rPr>
        <w:t>Sécurité sanit</w:t>
      </w:r>
      <w:r w:rsidRPr="008E60F7">
        <w:rPr>
          <w:rFonts w:asciiTheme="majorBidi" w:hAnsiTheme="majorBidi" w:cstheme="majorBidi"/>
          <w:b/>
          <w:bCs/>
          <w:sz w:val="24"/>
          <w:szCs w:val="24"/>
          <w:lang w:val="en-US"/>
        </w:rPr>
        <w:t>aire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03"/>
        <w:gridCol w:w="1440"/>
        <w:gridCol w:w="1440"/>
        <w:gridCol w:w="1440"/>
        <w:gridCol w:w="1440"/>
        <w:gridCol w:w="1440"/>
      </w:tblGrid>
      <w:tr w:rsidR="008E60F7" w:rsidRPr="008E60F7">
        <w:tc>
          <w:tcPr>
            <w:tcW w:w="14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Affirmation</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 xml:space="preserve">Pas du tout </w:t>
            </w:r>
            <w:r w:rsidRPr="008E60F7">
              <w:rPr>
                <w:rFonts w:asciiTheme="majorBidi" w:hAnsiTheme="majorBidi" w:cstheme="majorBidi"/>
                <w:sz w:val="24"/>
                <w:szCs w:val="24"/>
              </w:rPr>
              <w:lastRenderedPageBreak/>
              <w:t xml:space="preserve">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lastRenderedPageBreak/>
              <w:t xml:space="preserve">Pas </w:t>
            </w:r>
            <w:r w:rsidRPr="008E60F7">
              <w:rPr>
                <w:rFonts w:asciiTheme="majorBidi" w:hAnsiTheme="majorBidi" w:cstheme="majorBidi"/>
                <w:sz w:val="24"/>
                <w:szCs w:val="24"/>
              </w:rPr>
              <w:lastRenderedPageBreak/>
              <w:t xml:space="preserve">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lastRenderedPageBreak/>
              <w:t>Neutre</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 xml:space="preserve">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rPr>
              <w:t xml:space="preserve">Tout à fait </w:t>
            </w:r>
            <w:r w:rsidRPr="008E60F7">
              <w:rPr>
                <w:rFonts w:asciiTheme="majorBidi" w:hAnsiTheme="majorBidi" w:cstheme="majorBidi"/>
                <w:sz w:val="24"/>
                <w:szCs w:val="24"/>
              </w:rPr>
              <w:lastRenderedPageBreak/>
              <w:t>d’accord</w:t>
            </w:r>
          </w:p>
        </w:tc>
      </w:tr>
      <w:tr w:rsidR="008E60F7" w:rsidRPr="008E60F7">
        <w:tc>
          <w:tcPr>
            <w:tcW w:w="14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lastRenderedPageBreak/>
              <w:t>21. Les produits bio sont plus sûrs.</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4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22. Ils contiennent moins de substances nocives.</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4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23. Ils respectent mieux les normes sanitaires.</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4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24. Je me sens en sécurité en les consommant.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bl>
    <w:p w:rsidR="008E60F7" w:rsidRPr="008E60F7" w:rsidRDefault="008E60F7" w:rsidP="008E60F7">
      <w:pPr>
        <w:spacing w:line="360" w:lineRule="auto"/>
        <w:jc w:val="lowKashida"/>
        <w:rPr>
          <w:rFonts w:asciiTheme="majorBidi" w:hAnsiTheme="majorBidi" w:cstheme="majorBidi"/>
          <w:b/>
          <w:bCs/>
          <w:sz w:val="24"/>
          <w:szCs w:val="24"/>
          <w:lang w:val="en-US"/>
        </w:rPr>
      </w:pPr>
      <w:r w:rsidRPr="008E60F7">
        <w:rPr>
          <w:rFonts w:asciiTheme="majorBidi" w:hAnsiTheme="majorBidi" w:cstheme="majorBidi"/>
          <w:b/>
          <w:bCs/>
          <w:sz w:val="24"/>
          <w:szCs w:val="24"/>
          <w:lang w:val="en-US"/>
        </w:rPr>
        <w:t>Conscience sanitaire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3"/>
        <w:gridCol w:w="1440"/>
        <w:gridCol w:w="1440"/>
        <w:gridCol w:w="1440"/>
        <w:gridCol w:w="1440"/>
        <w:gridCol w:w="1440"/>
      </w:tblGrid>
      <w:tr w:rsidR="008E60F7" w:rsidRPr="008E60F7">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Affirmation</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du tout 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Neutre</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Tout à fait d’accord</w:t>
            </w:r>
          </w:p>
        </w:tc>
      </w:tr>
      <w:tr w:rsidR="008E60F7" w:rsidRPr="008E60F7">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25. Je fais attention à la composition.</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26. Ma santé influence mes achats.</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lastRenderedPageBreak/>
              <w:t>27. Je cherche des infos sur les risques.</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28. Je paie plus pour protéger ma santé.</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bl>
    <w:p w:rsidR="008E60F7" w:rsidRPr="008E60F7" w:rsidRDefault="008E60F7" w:rsidP="008E60F7">
      <w:pPr>
        <w:spacing w:line="360" w:lineRule="auto"/>
        <w:jc w:val="lowKashida"/>
        <w:rPr>
          <w:rFonts w:asciiTheme="majorBidi" w:hAnsiTheme="majorBidi" w:cstheme="majorBidi"/>
          <w:b/>
          <w:bCs/>
          <w:sz w:val="24"/>
          <w:szCs w:val="24"/>
          <w:lang w:val="en-US"/>
        </w:rPr>
      </w:pPr>
      <w:r w:rsidRPr="008E60F7">
        <w:rPr>
          <w:rFonts w:asciiTheme="majorBidi" w:hAnsiTheme="majorBidi" w:cstheme="majorBidi"/>
          <w:b/>
          <w:bCs/>
          <w:sz w:val="24"/>
          <w:szCs w:val="24"/>
          <w:lang w:val="en-US"/>
        </w:rPr>
        <w:t>Intention d’achat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1418"/>
        <w:gridCol w:w="1417"/>
        <w:gridCol w:w="1280"/>
        <w:gridCol w:w="1440"/>
        <w:gridCol w:w="1440"/>
      </w:tblGrid>
      <w:tr w:rsidR="008E60F7" w:rsidRPr="008E60F7">
        <w:tc>
          <w:tcPr>
            <w:tcW w:w="180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Affirmation</w:t>
            </w:r>
          </w:p>
        </w:tc>
        <w:tc>
          <w:tcPr>
            <w:tcW w:w="141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du tout d’accord </w:t>
            </w:r>
          </w:p>
        </w:tc>
        <w:tc>
          <w:tcPr>
            <w:tcW w:w="141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Pas d’accord </w:t>
            </w:r>
          </w:p>
        </w:tc>
        <w:tc>
          <w:tcPr>
            <w:tcW w:w="12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Neutre</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 xml:space="preserve">d’accord </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Theme="majorBidi" w:hAnsiTheme="majorBidi" w:cstheme="majorBidi"/>
                <w:sz w:val="24"/>
                <w:szCs w:val="24"/>
                <w:lang w:val="en-US"/>
              </w:rPr>
              <w:t>Tout à fait d’accord</w:t>
            </w:r>
          </w:p>
        </w:tc>
      </w:tr>
      <w:tr w:rsidR="008E60F7" w:rsidRPr="008E60F7">
        <w:tc>
          <w:tcPr>
            <w:tcW w:w="180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29. J’ai l’intention d’acheter ces produits régulièrement.</w:t>
            </w:r>
          </w:p>
        </w:tc>
        <w:tc>
          <w:tcPr>
            <w:tcW w:w="141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2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80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30. Je recommande ce genre de produits.</w:t>
            </w:r>
          </w:p>
        </w:tc>
        <w:tc>
          <w:tcPr>
            <w:tcW w:w="141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2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80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31. Je préfère les produits bio.</w:t>
            </w:r>
          </w:p>
        </w:tc>
        <w:tc>
          <w:tcPr>
            <w:tcW w:w="141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2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r w:rsidR="008E60F7" w:rsidRPr="008E60F7">
        <w:tc>
          <w:tcPr>
            <w:tcW w:w="1809"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rPr>
            </w:pPr>
            <w:r w:rsidRPr="008E60F7">
              <w:rPr>
                <w:rFonts w:asciiTheme="majorBidi" w:hAnsiTheme="majorBidi" w:cstheme="majorBidi"/>
                <w:sz w:val="24"/>
                <w:szCs w:val="24"/>
              </w:rPr>
              <w:t>32. Je les choisis s’ils sont disponibles.</w:t>
            </w:r>
          </w:p>
        </w:tc>
        <w:tc>
          <w:tcPr>
            <w:tcW w:w="1418"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28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8E60F7" w:rsidRPr="008E60F7" w:rsidRDefault="008E60F7" w:rsidP="008E60F7">
            <w:pPr>
              <w:spacing w:line="360" w:lineRule="auto"/>
              <w:jc w:val="lowKashida"/>
              <w:rPr>
                <w:rFonts w:asciiTheme="majorBidi" w:hAnsiTheme="majorBidi" w:cstheme="majorBidi"/>
                <w:sz w:val="24"/>
                <w:szCs w:val="24"/>
                <w:lang w:val="en-US"/>
              </w:rPr>
            </w:pPr>
            <w:r w:rsidRPr="008E60F7">
              <w:rPr>
                <w:rFonts w:ascii="Segoe UI Symbol" w:hAnsi="Segoe UI Symbol" w:cs="Segoe UI Symbol"/>
                <w:sz w:val="24"/>
                <w:szCs w:val="24"/>
                <w:lang w:val="en-US"/>
              </w:rPr>
              <w:t>☐</w:t>
            </w:r>
          </w:p>
        </w:tc>
      </w:tr>
    </w:tbl>
    <w:p w:rsidR="00EF0221" w:rsidRPr="00EF0221" w:rsidRDefault="00EF0221" w:rsidP="00EF0221"/>
    <w:p w:rsidR="005D0B7E" w:rsidRDefault="007B5998" w:rsidP="002D5A00">
      <w:pPr>
        <w:pStyle w:val="TM1"/>
        <w:rPr>
          <w:noProof/>
          <w:lang w:eastAsia="fr-FR"/>
        </w:rPr>
      </w:pPr>
      <w:r w:rsidRPr="007B5998">
        <w:rPr>
          <w:noProof/>
          <w:lang w:eastAsia="fr-FR"/>
        </w:rPr>
      </w:r>
      <w:r w:rsidRPr="007B5998">
        <w:rPr>
          <w:noProof/>
          <w:lang w:eastAsia="fr-FR"/>
        </w:rPr>
        <w:pict>
          <v:rect id="Rectangle 61" o:spid="_x0000_s1101"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B54D3C" w:rsidRDefault="00B54D3C" w:rsidP="00B54D3C">
      <w:pPr>
        <w:rPr>
          <w:lang w:eastAsia="fr-FR"/>
        </w:rPr>
      </w:pPr>
    </w:p>
    <w:p w:rsidR="00B54D3C" w:rsidRDefault="00B54D3C" w:rsidP="00B54D3C">
      <w:pPr>
        <w:rPr>
          <w:lang w:eastAsia="fr-FR"/>
        </w:rPr>
      </w:pPr>
    </w:p>
    <w:p w:rsidR="00B54D3C" w:rsidRPr="002D5A00" w:rsidRDefault="00B54D3C" w:rsidP="00B54D3C">
      <w:pPr>
        <w:pStyle w:val="Titre1"/>
        <w:rPr>
          <w:rFonts w:asciiTheme="majorBidi" w:hAnsiTheme="majorBidi" w:cstheme="majorBidi"/>
          <w:b/>
          <w:bCs/>
          <w:color w:val="auto"/>
        </w:rPr>
      </w:pPr>
      <w:r w:rsidRPr="002D5A00">
        <w:rPr>
          <w:rFonts w:asciiTheme="majorBidi" w:hAnsiTheme="majorBidi" w:cstheme="majorBidi"/>
          <w:b/>
          <w:bCs/>
          <w:color w:val="auto"/>
        </w:rPr>
        <w:lastRenderedPageBreak/>
        <w:t>Guide d’entretien</w:t>
      </w:r>
    </w:p>
    <w:p w:rsidR="00B54D3C" w:rsidRPr="002D5A00" w:rsidRDefault="00B54D3C" w:rsidP="00B54D3C">
      <w:pPr>
        <w:pStyle w:val="NormalWeb"/>
        <w:rPr>
          <w:b/>
          <w:bCs/>
        </w:rPr>
      </w:pPr>
      <w:r w:rsidRPr="002D5A00">
        <w:rPr>
          <w:rStyle w:val="lev"/>
          <w:b w:val="0"/>
          <w:bCs w:val="0"/>
        </w:rPr>
        <w:t>Bonjour,</w:t>
      </w:r>
    </w:p>
    <w:p w:rsidR="00B54D3C" w:rsidRDefault="00B54D3C" w:rsidP="00B54D3C">
      <w:pPr>
        <w:pStyle w:val="NormalWeb"/>
      </w:pPr>
      <w:r>
        <w:t>Dans le cadre de la préparation de notre mémoire de fin d’études de Master en Gestion des Services de Santé, nous réalisons une recherche intitulée :</w:t>
      </w:r>
    </w:p>
    <w:p w:rsidR="00B54D3C" w:rsidRDefault="00B54D3C" w:rsidP="00B54D3C">
      <w:pPr>
        <w:pStyle w:val="NormalWeb"/>
      </w:pPr>
      <w:r>
        <w:rPr>
          <w:rStyle w:val="lev"/>
        </w:rPr>
        <w:t>« Le marketing des produits biologiques et son rôle dans la sécurité sanitaire des al</w:t>
      </w:r>
      <w:r>
        <w:rPr>
          <w:rStyle w:val="lev"/>
        </w:rPr>
        <w:t>i</w:t>
      </w:r>
      <w:r>
        <w:rPr>
          <w:rStyle w:val="lev"/>
        </w:rPr>
        <w:t>ments : Cas de l’entreprise Dahbia »</w:t>
      </w:r>
    </w:p>
    <w:p w:rsidR="00B54D3C" w:rsidRDefault="00B54D3C" w:rsidP="00B54D3C">
      <w:pPr>
        <w:pStyle w:val="NormalWeb"/>
      </w:pPr>
      <w:r>
        <w:t>Cette étude est réalisée par :</w:t>
      </w:r>
    </w:p>
    <w:p w:rsidR="00B54D3C" w:rsidRDefault="00B54D3C" w:rsidP="00B54D3C">
      <w:pPr>
        <w:pStyle w:val="NormalWeb"/>
        <w:numPr>
          <w:ilvl w:val="0"/>
          <w:numId w:val="42"/>
        </w:numPr>
        <w:spacing w:before="100" w:beforeAutospacing="1" w:after="100" w:afterAutospacing="1" w:line="240" w:lineRule="auto"/>
      </w:pPr>
      <w:r>
        <w:rPr>
          <w:rStyle w:val="lev"/>
        </w:rPr>
        <w:t>ATBI Hanane</w:t>
      </w:r>
    </w:p>
    <w:p w:rsidR="00B54D3C" w:rsidRDefault="00B54D3C" w:rsidP="00B54D3C">
      <w:pPr>
        <w:pStyle w:val="NormalWeb"/>
        <w:numPr>
          <w:ilvl w:val="0"/>
          <w:numId w:val="42"/>
        </w:numPr>
        <w:spacing w:before="100" w:beforeAutospacing="1" w:after="100" w:afterAutospacing="1" w:line="240" w:lineRule="auto"/>
      </w:pPr>
      <w:r>
        <w:rPr>
          <w:rStyle w:val="lev"/>
        </w:rPr>
        <w:t>HAKKOUMI Hanane</w:t>
      </w:r>
    </w:p>
    <w:p w:rsidR="00B54D3C" w:rsidRDefault="00B54D3C" w:rsidP="00B54D3C">
      <w:pPr>
        <w:pStyle w:val="NormalWeb"/>
      </w:pPr>
      <w:r>
        <w:t>L’objectif de cet entretien est de recueillir des informations sur les pratiques du marketing biologique au sein de l’entreprise Dahbia, ainsi que sur leur contribution à la sécurité sanitaire des aliments, à la qualité des produits et au renforcement de la confiance des consommateurs.</w:t>
      </w:r>
    </w:p>
    <w:p w:rsidR="00B54D3C" w:rsidRDefault="00B54D3C" w:rsidP="00B54D3C">
      <w:pPr>
        <w:pStyle w:val="NormalWeb"/>
      </w:pPr>
      <w:r>
        <w:t>Nous vous remercions sincèrement pour votre collaboration et le temps que vous nous acco</w:t>
      </w:r>
      <w:r>
        <w:t>r</w:t>
      </w:r>
      <w:r>
        <w:t>dez. Nous vous assurons que toutes les informations recueillies dans le cadre de cet entretien seront traitées avec la plus stricte confidentialité et utilisées exclusivement à des fins scient</w:t>
      </w:r>
      <w:r>
        <w:t>i</w:t>
      </w:r>
      <w:r>
        <w:t>fiques et académiques.</w:t>
      </w:r>
    </w:p>
    <w:p w:rsidR="00B54D3C" w:rsidRPr="007B4B09" w:rsidRDefault="00B54D3C" w:rsidP="00B54D3C">
      <w:pPr>
        <w:pStyle w:val="NormalWeb"/>
        <w:rPr>
          <w:rFonts w:eastAsia="Times New Roman"/>
          <w:kern w:val="0"/>
          <w:lang w:eastAsia="fr-FR"/>
        </w:rPr>
      </w:pPr>
      <w:r>
        <w:t>Nous vous remercions de votre précieuse contribution à la réussite de cette recherche.</w:t>
      </w:r>
    </w:p>
    <w:p w:rsidR="00B54D3C" w:rsidRPr="00DD09F4" w:rsidRDefault="00B54D3C" w:rsidP="00B54D3C">
      <w:pPr>
        <w:spacing w:before="100" w:beforeAutospacing="1" w:after="100" w:afterAutospacing="1" w:line="240" w:lineRule="auto"/>
        <w:outlineLvl w:val="0"/>
        <w:rPr>
          <w:rFonts w:asciiTheme="majorBidi" w:eastAsia="Times New Roman" w:hAnsiTheme="majorBidi" w:cstheme="majorBidi"/>
          <w:b/>
          <w:bCs/>
          <w:kern w:val="36"/>
          <w:sz w:val="28"/>
          <w:szCs w:val="28"/>
          <w:lang w:eastAsia="fr-FR"/>
        </w:rPr>
      </w:pPr>
      <w:r w:rsidRPr="00DD09F4">
        <w:rPr>
          <w:rFonts w:asciiTheme="majorBidi" w:eastAsia="Times New Roman" w:hAnsiTheme="majorBidi" w:cstheme="majorBidi"/>
          <w:b/>
          <w:bCs/>
          <w:kern w:val="36"/>
          <w:sz w:val="28"/>
          <w:szCs w:val="28"/>
          <w:lang w:eastAsia="fr-FR"/>
        </w:rPr>
        <w:t>Axe 1 : Profil professionnel et présentation de l’entreprise</w:t>
      </w:r>
    </w:p>
    <w:tbl>
      <w:tblPr>
        <w:tblStyle w:val="Grilledutableau"/>
        <w:tblW w:w="0" w:type="auto"/>
        <w:tblInd w:w="720" w:type="dxa"/>
        <w:tblLook w:val="04A0"/>
      </w:tblPr>
      <w:tblGrid>
        <w:gridCol w:w="8566"/>
      </w:tblGrid>
      <w:tr w:rsidR="00B54D3C" w:rsidRPr="00D96849" w:rsidTr="00B54D3C">
        <w:tc>
          <w:tcPr>
            <w:tcW w:w="9166" w:type="dxa"/>
          </w:tcPr>
          <w:p w:rsidR="00B54D3C" w:rsidRPr="00D96849" w:rsidRDefault="00B54D3C" w:rsidP="00B54D3C">
            <w:pPr>
              <w:numPr>
                <w:ilvl w:val="0"/>
                <w:numId w:val="41"/>
              </w:numPr>
              <w:suppressAutoHyphens w:val="0"/>
              <w:autoSpaceDN/>
              <w:spacing w:before="100" w:beforeAutospacing="1" w:after="100" w:afterAutospacing="1"/>
              <w:textAlignment w:val="auto"/>
              <w:rPr>
                <w:rFonts w:asciiTheme="majorBidi" w:eastAsia="Times New Roman" w:hAnsiTheme="majorBidi" w:cstheme="majorBidi"/>
                <w:sz w:val="24"/>
                <w:szCs w:val="24"/>
                <w:lang w:eastAsia="fr-FR"/>
              </w:rPr>
            </w:pPr>
            <w:r w:rsidRPr="00DD09F4">
              <w:rPr>
                <w:rFonts w:asciiTheme="majorBidi" w:eastAsia="Times New Roman" w:hAnsiTheme="majorBidi" w:cstheme="majorBidi"/>
                <w:sz w:val="24"/>
                <w:szCs w:val="24"/>
                <w:lang w:eastAsia="fr-FR"/>
              </w:rPr>
              <w:t>Quel est votre poste actuel au sein de l’entreprise Dahbia et quelles sont les principales missions qui vous sont confiées ?</w:t>
            </w:r>
          </w:p>
        </w:tc>
      </w:tr>
      <w:tr w:rsidR="00B54D3C" w:rsidRPr="00D96849" w:rsidTr="00B54D3C">
        <w:tc>
          <w:tcPr>
            <w:tcW w:w="9166" w:type="dxa"/>
          </w:tcPr>
          <w:p w:rsidR="00B54D3C" w:rsidRPr="00D96849" w:rsidRDefault="00B54D3C" w:rsidP="00B54D3C">
            <w:pPr>
              <w:numPr>
                <w:ilvl w:val="0"/>
                <w:numId w:val="41"/>
              </w:numPr>
              <w:suppressAutoHyphens w:val="0"/>
              <w:autoSpaceDN/>
              <w:spacing w:before="100" w:beforeAutospacing="1" w:after="100" w:afterAutospacing="1"/>
              <w:textAlignment w:val="auto"/>
              <w:rPr>
                <w:rFonts w:asciiTheme="majorBidi" w:eastAsia="Times New Roman" w:hAnsiTheme="majorBidi" w:cstheme="majorBidi"/>
                <w:sz w:val="24"/>
                <w:szCs w:val="24"/>
                <w:lang w:eastAsia="fr-FR"/>
              </w:rPr>
            </w:pPr>
            <w:r w:rsidRPr="00DD09F4">
              <w:rPr>
                <w:rFonts w:asciiTheme="majorBidi" w:eastAsia="Times New Roman" w:hAnsiTheme="majorBidi" w:cstheme="majorBidi"/>
                <w:sz w:val="24"/>
                <w:szCs w:val="24"/>
                <w:lang w:eastAsia="fr-FR"/>
              </w:rPr>
              <w:t>Depuis combien de temps travaillez-vous au sein de l’entreprise ?</w:t>
            </w:r>
          </w:p>
        </w:tc>
      </w:tr>
      <w:tr w:rsidR="00B54D3C" w:rsidRPr="00D96849" w:rsidTr="00B54D3C">
        <w:tc>
          <w:tcPr>
            <w:tcW w:w="9166" w:type="dxa"/>
          </w:tcPr>
          <w:p w:rsidR="00B54D3C" w:rsidRPr="00D96849" w:rsidRDefault="00B54D3C" w:rsidP="00B54D3C">
            <w:pPr>
              <w:numPr>
                <w:ilvl w:val="0"/>
                <w:numId w:val="41"/>
              </w:numPr>
              <w:suppressAutoHyphens w:val="0"/>
              <w:autoSpaceDN/>
              <w:spacing w:before="100" w:beforeAutospacing="1" w:after="100" w:afterAutospacing="1"/>
              <w:textAlignment w:val="auto"/>
              <w:rPr>
                <w:rFonts w:asciiTheme="majorBidi" w:eastAsia="Times New Roman" w:hAnsiTheme="majorBidi" w:cstheme="majorBidi"/>
                <w:sz w:val="24"/>
                <w:szCs w:val="24"/>
                <w:lang w:eastAsia="fr-FR"/>
              </w:rPr>
            </w:pPr>
            <w:r w:rsidRPr="00DD09F4">
              <w:rPr>
                <w:rFonts w:asciiTheme="majorBidi" w:eastAsia="Times New Roman" w:hAnsiTheme="majorBidi" w:cstheme="majorBidi"/>
                <w:sz w:val="24"/>
                <w:szCs w:val="24"/>
                <w:lang w:eastAsia="fr-FR"/>
              </w:rPr>
              <w:t>Quelles sont les principales responsabilités et tâches que vous assurez quot</w:t>
            </w:r>
            <w:r w:rsidRPr="00DD09F4">
              <w:rPr>
                <w:rFonts w:asciiTheme="majorBidi" w:eastAsia="Times New Roman" w:hAnsiTheme="majorBidi" w:cstheme="majorBidi"/>
                <w:sz w:val="24"/>
                <w:szCs w:val="24"/>
                <w:lang w:eastAsia="fr-FR"/>
              </w:rPr>
              <w:t>i</w:t>
            </w:r>
            <w:r w:rsidRPr="00DD09F4">
              <w:rPr>
                <w:rFonts w:asciiTheme="majorBidi" w:eastAsia="Times New Roman" w:hAnsiTheme="majorBidi" w:cstheme="majorBidi"/>
                <w:sz w:val="24"/>
                <w:szCs w:val="24"/>
                <w:lang w:eastAsia="fr-FR"/>
              </w:rPr>
              <w:t>diennement dans le cadre de votre fonction ?</w:t>
            </w:r>
          </w:p>
        </w:tc>
      </w:tr>
      <w:tr w:rsidR="00B54D3C" w:rsidRPr="00D96849" w:rsidTr="00B54D3C">
        <w:tc>
          <w:tcPr>
            <w:tcW w:w="9166" w:type="dxa"/>
          </w:tcPr>
          <w:p w:rsidR="00B54D3C" w:rsidRPr="00D96849" w:rsidRDefault="00B54D3C" w:rsidP="00B54D3C">
            <w:pPr>
              <w:numPr>
                <w:ilvl w:val="0"/>
                <w:numId w:val="41"/>
              </w:numPr>
              <w:suppressAutoHyphens w:val="0"/>
              <w:autoSpaceDN/>
              <w:spacing w:before="100" w:beforeAutospacing="1" w:after="100" w:afterAutospacing="1"/>
              <w:textAlignment w:val="auto"/>
              <w:rPr>
                <w:rFonts w:asciiTheme="majorBidi" w:eastAsia="Times New Roman" w:hAnsiTheme="majorBidi" w:cstheme="majorBidi"/>
                <w:sz w:val="24"/>
                <w:szCs w:val="24"/>
                <w:lang w:eastAsia="fr-FR"/>
              </w:rPr>
            </w:pPr>
            <w:r w:rsidRPr="00DD09F4">
              <w:rPr>
                <w:rFonts w:asciiTheme="majorBidi" w:eastAsia="Times New Roman" w:hAnsiTheme="majorBidi" w:cstheme="majorBidi"/>
                <w:sz w:val="24"/>
                <w:szCs w:val="24"/>
                <w:lang w:eastAsia="fr-FR"/>
              </w:rPr>
              <w:t>Quels sont les objectifs principaux du service dont vous avez la charge ?</w:t>
            </w:r>
          </w:p>
        </w:tc>
      </w:tr>
      <w:tr w:rsidR="00B54D3C" w:rsidRPr="00D96849" w:rsidTr="00B54D3C">
        <w:tc>
          <w:tcPr>
            <w:tcW w:w="9166" w:type="dxa"/>
          </w:tcPr>
          <w:p w:rsidR="00B54D3C" w:rsidRPr="00D96849" w:rsidRDefault="00B54D3C" w:rsidP="00B54D3C">
            <w:pPr>
              <w:numPr>
                <w:ilvl w:val="0"/>
                <w:numId w:val="41"/>
              </w:numPr>
              <w:suppressAutoHyphens w:val="0"/>
              <w:autoSpaceDN/>
              <w:spacing w:before="100" w:beforeAutospacing="1" w:after="100" w:afterAutospacing="1"/>
              <w:textAlignment w:val="auto"/>
              <w:rPr>
                <w:rFonts w:asciiTheme="majorBidi" w:eastAsia="Times New Roman" w:hAnsiTheme="majorBidi" w:cstheme="majorBidi"/>
                <w:sz w:val="24"/>
                <w:szCs w:val="24"/>
                <w:lang w:eastAsia="fr-FR"/>
              </w:rPr>
            </w:pPr>
            <w:r w:rsidRPr="00DD09F4">
              <w:rPr>
                <w:rFonts w:asciiTheme="majorBidi" w:eastAsia="Times New Roman" w:hAnsiTheme="majorBidi" w:cstheme="majorBidi"/>
                <w:sz w:val="24"/>
                <w:szCs w:val="24"/>
                <w:lang w:eastAsia="fr-FR"/>
              </w:rPr>
              <w:t>Pouvez-vous présenter brièvement l’entreprise Dahbia ainsi que ses principales activités ?</w:t>
            </w:r>
          </w:p>
        </w:tc>
      </w:tr>
    </w:tbl>
    <w:p w:rsidR="00B54D3C" w:rsidRPr="002D5A00" w:rsidRDefault="00B54D3C" w:rsidP="00B54D3C">
      <w:pPr>
        <w:pStyle w:val="Titre1"/>
        <w:rPr>
          <w:rFonts w:asciiTheme="majorBidi" w:hAnsiTheme="majorBidi" w:cstheme="majorBidi"/>
          <w:b/>
          <w:bCs/>
          <w:color w:val="auto"/>
          <w:sz w:val="28"/>
          <w:szCs w:val="28"/>
        </w:rPr>
      </w:pPr>
      <w:r w:rsidRPr="002D5A00">
        <w:rPr>
          <w:rFonts w:asciiTheme="majorBidi" w:hAnsiTheme="majorBidi" w:cstheme="majorBidi"/>
          <w:b/>
          <w:bCs/>
          <w:color w:val="auto"/>
          <w:sz w:val="28"/>
          <w:szCs w:val="28"/>
        </w:rPr>
        <w:t>Axe 2 : Production biologique et respect des normes</w:t>
      </w:r>
    </w:p>
    <w:p w:rsidR="00B54D3C" w:rsidRPr="002D5A00" w:rsidRDefault="00B54D3C" w:rsidP="00B54D3C">
      <w:pPr>
        <w:pStyle w:val="Titre2"/>
        <w:rPr>
          <w:rFonts w:asciiTheme="majorBidi" w:hAnsiTheme="majorBidi" w:cstheme="majorBidi"/>
          <w:b/>
          <w:bCs/>
          <w:color w:val="auto"/>
          <w:sz w:val="24"/>
          <w:szCs w:val="24"/>
        </w:rPr>
      </w:pPr>
      <w:r w:rsidRPr="002D5A00">
        <w:rPr>
          <w:rFonts w:asciiTheme="majorBidi" w:hAnsiTheme="majorBidi" w:cstheme="majorBidi"/>
          <w:b/>
          <w:bCs/>
          <w:color w:val="auto"/>
          <w:sz w:val="24"/>
          <w:szCs w:val="24"/>
        </w:rPr>
        <w:t>Section 1 : Mise en œuvre du système de production biologique</w:t>
      </w:r>
    </w:p>
    <w:tbl>
      <w:tblPr>
        <w:tblStyle w:val="Grilledutableau"/>
        <w:tblW w:w="0" w:type="auto"/>
        <w:tblLook w:val="04A0"/>
      </w:tblPr>
      <w:tblGrid>
        <w:gridCol w:w="1738"/>
        <w:gridCol w:w="2111"/>
        <w:gridCol w:w="2643"/>
        <w:gridCol w:w="2794"/>
      </w:tblGrid>
      <w:tr w:rsidR="00B54D3C" w:rsidRPr="00D96849" w:rsidTr="00B54D3C">
        <w:tc>
          <w:tcPr>
            <w:tcW w:w="0" w:type="auto"/>
            <w:hideMark/>
          </w:tcPr>
          <w:p w:rsidR="00B54D3C" w:rsidRPr="00D96849" w:rsidRDefault="00B54D3C" w:rsidP="00B54D3C">
            <w:pPr>
              <w:jc w:val="center"/>
              <w:rPr>
                <w:rFonts w:asciiTheme="majorBidi" w:hAnsiTheme="majorBidi" w:cstheme="majorBidi"/>
                <w:b/>
                <w:bCs/>
                <w:sz w:val="28"/>
                <w:szCs w:val="28"/>
              </w:rPr>
            </w:pPr>
            <w:r w:rsidRPr="00D96849">
              <w:rPr>
                <w:rFonts w:asciiTheme="majorBidi" w:hAnsiTheme="majorBidi" w:cstheme="majorBidi"/>
                <w:b/>
                <w:bCs/>
                <w:sz w:val="24"/>
                <w:szCs w:val="24"/>
              </w:rPr>
              <w:t>Thème</w:t>
            </w:r>
          </w:p>
        </w:tc>
        <w:tc>
          <w:tcPr>
            <w:tcW w:w="0" w:type="auto"/>
            <w:hideMark/>
          </w:tcPr>
          <w:p w:rsidR="00B54D3C" w:rsidRPr="00D96849" w:rsidRDefault="00B54D3C" w:rsidP="00B54D3C">
            <w:pPr>
              <w:jc w:val="center"/>
              <w:rPr>
                <w:rFonts w:asciiTheme="majorBidi" w:hAnsiTheme="majorBidi" w:cstheme="majorBidi"/>
                <w:b/>
                <w:bCs/>
                <w:sz w:val="28"/>
                <w:szCs w:val="28"/>
              </w:rPr>
            </w:pPr>
            <w:r w:rsidRPr="00D96849">
              <w:rPr>
                <w:rFonts w:asciiTheme="majorBidi" w:hAnsiTheme="majorBidi" w:cstheme="majorBidi"/>
                <w:b/>
                <w:bCs/>
                <w:sz w:val="24"/>
                <w:szCs w:val="24"/>
              </w:rPr>
              <w:t>Question principale</w:t>
            </w:r>
          </w:p>
        </w:tc>
        <w:tc>
          <w:tcPr>
            <w:tcW w:w="0" w:type="auto"/>
            <w:hideMark/>
          </w:tcPr>
          <w:p w:rsidR="00B54D3C" w:rsidRPr="00D96849" w:rsidRDefault="00B54D3C" w:rsidP="00B54D3C">
            <w:pPr>
              <w:jc w:val="center"/>
              <w:rPr>
                <w:rFonts w:asciiTheme="majorBidi" w:hAnsiTheme="majorBidi" w:cstheme="majorBidi"/>
                <w:b/>
                <w:bCs/>
                <w:sz w:val="28"/>
                <w:szCs w:val="28"/>
              </w:rPr>
            </w:pPr>
            <w:r w:rsidRPr="00D96849">
              <w:rPr>
                <w:rFonts w:asciiTheme="majorBidi" w:hAnsiTheme="majorBidi" w:cstheme="majorBidi"/>
                <w:b/>
                <w:bCs/>
                <w:sz w:val="24"/>
                <w:szCs w:val="24"/>
              </w:rPr>
              <w:t>Questions additionnelles</w:t>
            </w:r>
          </w:p>
        </w:tc>
        <w:tc>
          <w:tcPr>
            <w:tcW w:w="0" w:type="auto"/>
            <w:hideMark/>
          </w:tcPr>
          <w:p w:rsidR="00B54D3C" w:rsidRPr="00D96849" w:rsidRDefault="00B54D3C" w:rsidP="00B54D3C">
            <w:pPr>
              <w:jc w:val="center"/>
              <w:rPr>
                <w:rFonts w:asciiTheme="majorBidi" w:hAnsiTheme="majorBidi" w:cstheme="majorBidi"/>
                <w:b/>
                <w:bCs/>
                <w:sz w:val="28"/>
                <w:szCs w:val="28"/>
              </w:rPr>
            </w:pPr>
            <w:r w:rsidRPr="00D96849">
              <w:rPr>
                <w:rFonts w:asciiTheme="majorBidi" w:hAnsiTheme="majorBidi" w:cstheme="majorBidi"/>
                <w:b/>
                <w:bCs/>
                <w:sz w:val="24"/>
                <w:szCs w:val="24"/>
              </w:rPr>
              <w:t>Questions de relance</w:t>
            </w:r>
          </w:p>
        </w:tc>
      </w:tr>
      <w:tr w:rsidR="00B54D3C" w:rsidRPr="00D96849" w:rsidTr="00B54D3C">
        <w:tc>
          <w:tcPr>
            <w:tcW w:w="0" w:type="auto"/>
            <w:hideMark/>
          </w:tcPr>
          <w:p w:rsidR="00B54D3C" w:rsidRPr="00D96849" w:rsidRDefault="00B54D3C" w:rsidP="00B54D3C">
            <w:pPr>
              <w:rPr>
                <w:rFonts w:asciiTheme="majorBidi" w:hAnsiTheme="majorBidi" w:cstheme="majorBidi"/>
                <w:b/>
                <w:bCs/>
                <w:sz w:val="28"/>
                <w:szCs w:val="28"/>
              </w:rPr>
            </w:pPr>
            <w:r w:rsidRPr="00D96849">
              <w:rPr>
                <w:rFonts w:asciiTheme="majorBidi" w:hAnsiTheme="majorBidi" w:cstheme="majorBidi"/>
                <w:b/>
                <w:bCs/>
                <w:sz w:val="24"/>
                <w:szCs w:val="24"/>
              </w:rPr>
              <w:t>Pratiques agricoles biologiques</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 xml:space="preserve">Comment l’entreprise met-elle en œuvre la </w:t>
            </w:r>
            <w:r w:rsidRPr="00D96849">
              <w:rPr>
                <w:rFonts w:asciiTheme="majorBidi" w:hAnsiTheme="majorBidi" w:cstheme="majorBidi"/>
                <w:sz w:val="24"/>
                <w:szCs w:val="24"/>
              </w:rPr>
              <w:lastRenderedPageBreak/>
              <w:t>production biologique de l’huile d’olive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lastRenderedPageBreak/>
              <w:t xml:space="preserve">Quelles sont les principales pratiques agricoles adoptées ? </w:t>
            </w:r>
            <w:r w:rsidRPr="00D96849">
              <w:rPr>
                <w:rFonts w:asciiTheme="majorBidi" w:hAnsiTheme="majorBidi" w:cstheme="majorBidi"/>
                <w:sz w:val="24"/>
                <w:szCs w:val="24"/>
              </w:rPr>
              <w:lastRenderedPageBreak/>
              <w:t>Quels moyens utilisez-vous pour préserver la fertilité des sols et économiser l’eau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lastRenderedPageBreak/>
              <w:t xml:space="preserve">Pouvez-vous décrire les différentes étapes de production depuis la </w:t>
            </w:r>
            <w:r w:rsidRPr="00D96849">
              <w:rPr>
                <w:rFonts w:asciiTheme="majorBidi" w:hAnsiTheme="majorBidi" w:cstheme="majorBidi"/>
                <w:sz w:val="24"/>
                <w:szCs w:val="24"/>
              </w:rPr>
              <w:lastRenderedPageBreak/>
              <w:t>culture jusqu’à l’extraction de l’huile ?</w:t>
            </w:r>
          </w:p>
        </w:tc>
      </w:tr>
      <w:tr w:rsidR="00B54D3C" w:rsidRPr="00D96849" w:rsidTr="00B54D3C">
        <w:tc>
          <w:tcPr>
            <w:tcW w:w="0" w:type="auto"/>
            <w:hideMark/>
          </w:tcPr>
          <w:p w:rsidR="00B54D3C" w:rsidRPr="00D96849" w:rsidRDefault="00B54D3C" w:rsidP="00B54D3C">
            <w:pPr>
              <w:rPr>
                <w:rFonts w:asciiTheme="majorBidi" w:hAnsiTheme="majorBidi" w:cstheme="majorBidi"/>
                <w:b/>
                <w:bCs/>
                <w:sz w:val="28"/>
                <w:szCs w:val="28"/>
              </w:rPr>
            </w:pPr>
            <w:r w:rsidRPr="00D96849">
              <w:rPr>
                <w:rFonts w:asciiTheme="majorBidi" w:hAnsiTheme="majorBidi" w:cstheme="majorBidi"/>
                <w:b/>
                <w:bCs/>
                <w:sz w:val="24"/>
                <w:szCs w:val="24"/>
              </w:rPr>
              <w:lastRenderedPageBreak/>
              <w:t>Absence de produits chimiques</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Comment garantissez-vous l’absence de pesticides et d’engrais chimiques dans la production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Quels produits ou méthodes alternatives utilisez-vous ? Comment vérifiez-vous la conformité biologique des produits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Pouvez-vous donner un exemple concret de contrôle ou d’analyse effectué pour vérifier l’absence de résidus chimiques ?</w:t>
            </w:r>
          </w:p>
        </w:tc>
      </w:tr>
      <w:tr w:rsidR="00B54D3C" w:rsidRPr="00D96849" w:rsidTr="00B54D3C">
        <w:tc>
          <w:tcPr>
            <w:tcW w:w="0" w:type="auto"/>
            <w:hideMark/>
          </w:tcPr>
          <w:p w:rsidR="00B54D3C" w:rsidRPr="00D96849" w:rsidRDefault="00B54D3C" w:rsidP="00B54D3C">
            <w:pPr>
              <w:rPr>
                <w:rFonts w:asciiTheme="majorBidi" w:hAnsiTheme="majorBidi" w:cstheme="majorBidi"/>
                <w:b/>
                <w:bCs/>
                <w:sz w:val="28"/>
                <w:szCs w:val="28"/>
              </w:rPr>
            </w:pPr>
            <w:r w:rsidRPr="00D96849">
              <w:rPr>
                <w:rFonts w:asciiTheme="majorBidi" w:hAnsiTheme="majorBidi" w:cstheme="majorBidi"/>
                <w:b/>
                <w:bCs/>
                <w:sz w:val="24"/>
                <w:szCs w:val="24"/>
              </w:rPr>
              <w:t>Respect des normes et certifications</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Quel rôle jouent les certifications biologiques dans votre système de production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Quelles certifications détenez-vous ? Quels contrôles sont réalisés dans le cadre de ces certifications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Quelles sont les principales exigences imposées par les organismes certificateurs ?</w:t>
            </w:r>
          </w:p>
        </w:tc>
      </w:tr>
      <w:tr w:rsidR="00B54D3C" w:rsidRPr="00D96849" w:rsidTr="00B54D3C">
        <w:tc>
          <w:tcPr>
            <w:tcW w:w="0" w:type="auto"/>
            <w:hideMark/>
          </w:tcPr>
          <w:p w:rsidR="00B54D3C" w:rsidRPr="00D96849" w:rsidRDefault="00B54D3C" w:rsidP="00B54D3C">
            <w:pPr>
              <w:rPr>
                <w:rFonts w:asciiTheme="majorBidi" w:hAnsiTheme="majorBidi" w:cstheme="majorBidi"/>
                <w:b/>
                <w:bCs/>
                <w:sz w:val="28"/>
                <w:szCs w:val="28"/>
              </w:rPr>
            </w:pPr>
            <w:r w:rsidRPr="00D96849">
              <w:rPr>
                <w:rFonts w:asciiTheme="majorBidi" w:hAnsiTheme="majorBidi" w:cstheme="majorBidi"/>
                <w:b/>
                <w:bCs/>
                <w:sz w:val="24"/>
                <w:szCs w:val="24"/>
              </w:rPr>
              <w:t>Qualité du produit biologique</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Comment assurez-vous la qualité de l’huile d’olive produite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Quels sont les facteurs qui influencent la qualité finale du produit ? Quelle importance accordez-vous à la récolte et à la trituration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Pouvez-vous expliquer comment la qualité est contrôlée avant la commercialisation ?</w:t>
            </w:r>
          </w:p>
        </w:tc>
      </w:tr>
      <w:tr w:rsidR="00B54D3C" w:rsidRPr="00D96849" w:rsidTr="00B54D3C">
        <w:tc>
          <w:tcPr>
            <w:tcW w:w="0" w:type="auto"/>
            <w:hideMark/>
          </w:tcPr>
          <w:p w:rsidR="00B54D3C" w:rsidRPr="00D96849" w:rsidRDefault="00B54D3C" w:rsidP="00B54D3C">
            <w:pPr>
              <w:rPr>
                <w:rFonts w:asciiTheme="majorBidi" w:hAnsiTheme="majorBidi" w:cstheme="majorBidi"/>
                <w:b/>
                <w:bCs/>
                <w:sz w:val="28"/>
                <w:szCs w:val="28"/>
              </w:rPr>
            </w:pPr>
            <w:r w:rsidRPr="00D96849">
              <w:rPr>
                <w:rFonts w:asciiTheme="majorBidi" w:hAnsiTheme="majorBidi" w:cstheme="majorBidi"/>
                <w:b/>
                <w:bCs/>
                <w:sz w:val="24"/>
                <w:szCs w:val="24"/>
              </w:rPr>
              <w:t>Contraintes de production</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Quelles sont les principales difficultés rencontrées dans la production biologique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Les conditions climatiques influencent-elles votre activité ? Quels sont les principaux coûts liés à ce mode de production ?</w:t>
            </w:r>
          </w:p>
        </w:tc>
        <w:tc>
          <w:tcPr>
            <w:tcW w:w="0" w:type="auto"/>
            <w:hideMark/>
          </w:tcPr>
          <w:p w:rsidR="00B54D3C" w:rsidRPr="00D96849" w:rsidRDefault="00B54D3C" w:rsidP="00B54D3C">
            <w:pPr>
              <w:rPr>
                <w:rFonts w:asciiTheme="majorBidi" w:hAnsiTheme="majorBidi" w:cstheme="majorBidi"/>
                <w:sz w:val="28"/>
                <w:szCs w:val="28"/>
              </w:rPr>
            </w:pPr>
            <w:r w:rsidRPr="00D96849">
              <w:rPr>
                <w:rFonts w:asciiTheme="majorBidi" w:hAnsiTheme="majorBidi" w:cstheme="majorBidi"/>
                <w:sz w:val="24"/>
                <w:szCs w:val="24"/>
              </w:rPr>
              <w:t>Quelle est selon vous la contrainte la plus difficile à gérer au quotidien ?</w:t>
            </w:r>
          </w:p>
        </w:tc>
      </w:tr>
    </w:tbl>
    <w:p w:rsidR="00B54D3C" w:rsidRPr="003E2782" w:rsidRDefault="00B54D3C" w:rsidP="00B54D3C">
      <w:pPr>
        <w:spacing w:before="100" w:beforeAutospacing="1" w:after="100" w:afterAutospacing="1" w:line="240" w:lineRule="auto"/>
        <w:outlineLvl w:val="0"/>
        <w:rPr>
          <w:rFonts w:asciiTheme="majorBidi" w:eastAsia="Times New Roman" w:hAnsiTheme="majorBidi" w:cstheme="majorBidi"/>
          <w:b/>
          <w:bCs/>
          <w:kern w:val="36"/>
          <w:sz w:val="28"/>
          <w:szCs w:val="28"/>
          <w:lang w:eastAsia="fr-FR"/>
        </w:rPr>
      </w:pPr>
      <w:r w:rsidRPr="003E2782">
        <w:rPr>
          <w:rFonts w:asciiTheme="majorBidi" w:eastAsia="Times New Roman" w:hAnsiTheme="majorBidi" w:cstheme="majorBidi"/>
          <w:b/>
          <w:bCs/>
          <w:kern w:val="36"/>
          <w:sz w:val="28"/>
          <w:szCs w:val="28"/>
          <w:lang w:eastAsia="fr-FR"/>
        </w:rPr>
        <w:t>Axe 3 : Certifications et conformité aux normes internationales</w:t>
      </w:r>
    </w:p>
    <w:tbl>
      <w:tblPr>
        <w:tblStyle w:val="Grilledutableau"/>
        <w:tblW w:w="0" w:type="auto"/>
        <w:tblLook w:val="04A0"/>
      </w:tblPr>
      <w:tblGrid>
        <w:gridCol w:w="1803"/>
        <w:gridCol w:w="2305"/>
        <w:gridCol w:w="2873"/>
        <w:gridCol w:w="2305"/>
      </w:tblGrid>
      <w:tr w:rsidR="00B54D3C" w:rsidRPr="003E2782" w:rsidTr="00B54D3C">
        <w:tc>
          <w:tcPr>
            <w:tcW w:w="0" w:type="auto"/>
            <w:hideMark/>
          </w:tcPr>
          <w:p w:rsidR="00B54D3C" w:rsidRPr="003E2782" w:rsidRDefault="00B54D3C" w:rsidP="00B54D3C">
            <w:pPr>
              <w:jc w:val="center"/>
              <w:rPr>
                <w:rFonts w:asciiTheme="majorBidi" w:eastAsia="Times New Roman" w:hAnsiTheme="majorBidi" w:cstheme="majorBidi"/>
                <w:b/>
                <w:bCs/>
                <w:sz w:val="24"/>
                <w:szCs w:val="24"/>
                <w:lang w:eastAsia="fr-FR"/>
              </w:rPr>
            </w:pPr>
            <w:r w:rsidRPr="003E2782">
              <w:rPr>
                <w:rFonts w:asciiTheme="majorBidi" w:eastAsia="Times New Roman" w:hAnsiTheme="majorBidi" w:cstheme="majorBidi"/>
                <w:b/>
                <w:bCs/>
                <w:sz w:val="24"/>
                <w:szCs w:val="24"/>
                <w:lang w:eastAsia="fr-FR"/>
              </w:rPr>
              <w:t>Thème</w:t>
            </w:r>
          </w:p>
        </w:tc>
        <w:tc>
          <w:tcPr>
            <w:tcW w:w="0" w:type="auto"/>
            <w:hideMark/>
          </w:tcPr>
          <w:p w:rsidR="00B54D3C" w:rsidRPr="003E2782" w:rsidRDefault="00B54D3C" w:rsidP="00B54D3C">
            <w:pPr>
              <w:jc w:val="center"/>
              <w:rPr>
                <w:rFonts w:asciiTheme="majorBidi" w:eastAsia="Times New Roman" w:hAnsiTheme="majorBidi" w:cstheme="majorBidi"/>
                <w:b/>
                <w:bCs/>
                <w:sz w:val="24"/>
                <w:szCs w:val="24"/>
                <w:lang w:eastAsia="fr-FR"/>
              </w:rPr>
            </w:pPr>
            <w:r w:rsidRPr="003E2782">
              <w:rPr>
                <w:rFonts w:asciiTheme="majorBidi" w:eastAsia="Times New Roman" w:hAnsiTheme="majorBidi" w:cstheme="majorBidi"/>
                <w:b/>
                <w:bCs/>
                <w:sz w:val="24"/>
                <w:szCs w:val="24"/>
                <w:lang w:eastAsia="fr-FR"/>
              </w:rPr>
              <w:t>Question principale</w:t>
            </w:r>
          </w:p>
        </w:tc>
        <w:tc>
          <w:tcPr>
            <w:tcW w:w="0" w:type="auto"/>
            <w:hideMark/>
          </w:tcPr>
          <w:p w:rsidR="00B54D3C" w:rsidRPr="003E2782" w:rsidRDefault="00B54D3C" w:rsidP="00B54D3C">
            <w:pPr>
              <w:jc w:val="center"/>
              <w:rPr>
                <w:rFonts w:asciiTheme="majorBidi" w:eastAsia="Times New Roman" w:hAnsiTheme="majorBidi" w:cstheme="majorBidi"/>
                <w:b/>
                <w:bCs/>
                <w:sz w:val="24"/>
                <w:szCs w:val="24"/>
                <w:lang w:eastAsia="fr-FR"/>
              </w:rPr>
            </w:pPr>
            <w:r w:rsidRPr="003E2782">
              <w:rPr>
                <w:rFonts w:asciiTheme="majorBidi" w:eastAsia="Times New Roman" w:hAnsiTheme="majorBidi" w:cstheme="majorBidi"/>
                <w:b/>
                <w:bCs/>
                <w:sz w:val="24"/>
                <w:szCs w:val="24"/>
                <w:lang w:eastAsia="fr-FR"/>
              </w:rPr>
              <w:t>Questions additionnelles</w:t>
            </w:r>
          </w:p>
        </w:tc>
        <w:tc>
          <w:tcPr>
            <w:tcW w:w="0" w:type="auto"/>
            <w:hideMark/>
          </w:tcPr>
          <w:p w:rsidR="00B54D3C" w:rsidRPr="003E2782" w:rsidRDefault="00B54D3C" w:rsidP="00B54D3C">
            <w:pPr>
              <w:jc w:val="center"/>
              <w:rPr>
                <w:rFonts w:asciiTheme="majorBidi" w:eastAsia="Times New Roman" w:hAnsiTheme="majorBidi" w:cstheme="majorBidi"/>
                <w:b/>
                <w:bCs/>
                <w:sz w:val="24"/>
                <w:szCs w:val="24"/>
                <w:lang w:eastAsia="fr-FR"/>
              </w:rPr>
            </w:pPr>
            <w:r w:rsidRPr="003E2782">
              <w:rPr>
                <w:rFonts w:asciiTheme="majorBidi" w:eastAsia="Times New Roman" w:hAnsiTheme="majorBidi" w:cstheme="majorBidi"/>
                <w:b/>
                <w:bCs/>
                <w:sz w:val="24"/>
                <w:szCs w:val="24"/>
                <w:lang w:eastAsia="fr-FR"/>
              </w:rPr>
              <w:t>Questions de relance</w:t>
            </w:r>
          </w:p>
        </w:tc>
      </w:tr>
      <w:tr w:rsidR="00B54D3C" w:rsidRPr="003E2782" w:rsidTr="00B54D3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Certifications biologiques</w:t>
            </w:r>
          </w:p>
        </w:t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Quelle est l’importance des certifications biologiques dans les activités de l’entreprise ?</w:t>
            </w:r>
          </w:p>
        </w:t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Quelles certifications l’entreprise possède-t-elle ? Quelles sont les démarches nécessaires pour les obtenir et les maintenir ?</w:t>
            </w:r>
          </w:p>
        </w:t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Pouvez-vous expliquer comment se déroulent les contrôles et les audits réalisés par les organismes certificateurs ?</w:t>
            </w:r>
          </w:p>
        </w:tc>
      </w:tr>
      <w:tr w:rsidR="00B54D3C" w:rsidRPr="003E2782" w:rsidTr="00B54D3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Confiance des consommateurs</w:t>
            </w:r>
          </w:p>
        </w:t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Selon vous, comment les certifications biologiques influencent-elles la confiance des consommateurs envers vos produits ?</w:t>
            </w:r>
          </w:p>
        </w:t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Les consommateurs accordent-ils une importance particulière aux labels biologiques ? Quel impact ces certifications ont-elles sur la commercialisation et l’exportation des produits ?</w:t>
            </w:r>
          </w:p>
        </w:tc>
        <w:tc>
          <w:tcPr>
            <w:tcW w:w="0" w:type="auto"/>
            <w:hideMark/>
          </w:tcPr>
          <w:p w:rsidR="00B54D3C" w:rsidRPr="003E2782" w:rsidRDefault="00B54D3C" w:rsidP="00B54D3C">
            <w:pPr>
              <w:rPr>
                <w:rFonts w:asciiTheme="majorBidi" w:eastAsia="Times New Roman" w:hAnsiTheme="majorBidi" w:cstheme="majorBidi"/>
                <w:sz w:val="24"/>
                <w:szCs w:val="24"/>
                <w:lang w:eastAsia="fr-FR"/>
              </w:rPr>
            </w:pPr>
            <w:r w:rsidRPr="003E2782">
              <w:rPr>
                <w:rFonts w:asciiTheme="majorBidi" w:eastAsia="Times New Roman" w:hAnsiTheme="majorBidi" w:cstheme="majorBidi"/>
                <w:sz w:val="24"/>
                <w:szCs w:val="24"/>
                <w:lang w:eastAsia="fr-FR"/>
              </w:rPr>
              <w:t>Avez-vous constaté une évolution de la demande ou de la confiance des consommateurs grâce aux certifications obtenues ?</w:t>
            </w:r>
          </w:p>
        </w:tc>
      </w:tr>
    </w:tbl>
    <w:p w:rsidR="00B54D3C" w:rsidRPr="00B54D3C" w:rsidRDefault="00B54D3C" w:rsidP="00B54D3C">
      <w:pPr>
        <w:pStyle w:val="Titre1"/>
        <w:rPr>
          <w:rFonts w:asciiTheme="majorBidi" w:hAnsiTheme="majorBidi" w:cstheme="majorBidi"/>
          <w:b/>
          <w:bCs/>
          <w:color w:val="auto"/>
          <w:sz w:val="28"/>
          <w:szCs w:val="28"/>
        </w:rPr>
      </w:pPr>
      <w:r w:rsidRPr="00B54D3C">
        <w:rPr>
          <w:rFonts w:asciiTheme="majorBidi" w:hAnsiTheme="majorBidi" w:cstheme="majorBidi"/>
          <w:b/>
          <w:bCs/>
          <w:color w:val="auto"/>
          <w:sz w:val="28"/>
          <w:szCs w:val="28"/>
        </w:rPr>
        <w:lastRenderedPageBreak/>
        <w:t>Axe 4 : Le rôle du marketing biologique dans la sécurité sanitaire des aliments</w:t>
      </w:r>
    </w:p>
    <w:p w:rsidR="00B54D3C" w:rsidRPr="00B54D3C" w:rsidRDefault="00B54D3C" w:rsidP="00B54D3C">
      <w:pPr>
        <w:pStyle w:val="Titre2"/>
        <w:rPr>
          <w:rFonts w:asciiTheme="majorBidi" w:hAnsiTheme="majorBidi" w:cstheme="majorBidi"/>
          <w:b/>
          <w:bCs/>
          <w:color w:val="auto"/>
          <w:sz w:val="24"/>
          <w:szCs w:val="24"/>
        </w:rPr>
      </w:pPr>
      <w:r w:rsidRPr="00B54D3C">
        <w:rPr>
          <w:rFonts w:asciiTheme="majorBidi" w:hAnsiTheme="majorBidi" w:cstheme="majorBidi"/>
          <w:b/>
          <w:bCs/>
          <w:color w:val="auto"/>
          <w:sz w:val="24"/>
          <w:szCs w:val="24"/>
        </w:rPr>
        <w:t>Section 1 : Contribution du marketing biologique à la sécurité sanitaire des aliments</w:t>
      </w:r>
    </w:p>
    <w:tbl>
      <w:tblPr>
        <w:tblStyle w:val="Grilledutableau"/>
        <w:tblW w:w="0" w:type="auto"/>
        <w:tblLook w:val="04A0"/>
      </w:tblPr>
      <w:tblGrid>
        <w:gridCol w:w="1638"/>
        <w:gridCol w:w="2872"/>
        <w:gridCol w:w="2705"/>
        <w:gridCol w:w="2071"/>
      </w:tblGrid>
      <w:tr w:rsidR="00B54D3C" w:rsidRPr="00D96849" w:rsidTr="00B54D3C">
        <w:tc>
          <w:tcPr>
            <w:tcW w:w="0" w:type="auto"/>
            <w:hideMark/>
          </w:tcPr>
          <w:p w:rsidR="00B54D3C" w:rsidRPr="00D96849" w:rsidRDefault="00B54D3C" w:rsidP="00B54D3C">
            <w:pPr>
              <w:jc w:val="center"/>
              <w:rPr>
                <w:rFonts w:asciiTheme="majorBidi" w:hAnsiTheme="majorBidi" w:cstheme="majorBidi"/>
                <w:b/>
                <w:bCs/>
                <w:sz w:val="24"/>
                <w:szCs w:val="24"/>
              </w:rPr>
            </w:pPr>
            <w:r w:rsidRPr="00D96849">
              <w:rPr>
                <w:rFonts w:asciiTheme="majorBidi" w:hAnsiTheme="majorBidi" w:cstheme="majorBidi"/>
                <w:b/>
                <w:bCs/>
                <w:sz w:val="24"/>
                <w:szCs w:val="24"/>
              </w:rPr>
              <w:t>Thème</w:t>
            </w:r>
          </w:p>
        </w:tc>
        <w:tc>
          <w:tcPr>
            <w:tcW w:w="0" w:type="auto"/>
            <w:hideMark/>
          </w:tcPr>
          <w:p w:rsidR="00B54D3C" w:rsidRPr="00D96849" w:rsidRDefault="00B54D3C" w:rsidP="00B54D3C">
            <w:pPr>
              <w:jc w:val="center"/>
              <w:rPr>
                <w:rFonts w:asciiTheme="majorBidi" w:hAnsiTheme="majorBidi" w:cstheme="majorBidi"/>
                <w:b/>
                <w:bCs/>
                <w:sz w:val="24"/>
                <w:szCs w:val="24"/>
              </w:rPr>
            </w:pPr>
            <w:r w:rsidRPr="00D96849">
              <w:rPr>
                <w:rFonts w:asciiTheme="majorBidi" w:hAnsiTheme="majorBidi" w:cstheme="majorBidi"/>
                <w:b/>
                <w:bCs/>
                <w:sz w:val="24"/>
                <w:szCs w:val="24"/>
              </w:rPr>
              <w:t>Question principale</w:t>
            </w:r>
          </w:p>
        </w:tc>
        <w:tc>
          <w:tcPr>
            <w:tcW w:w="0" w:type="auto"/>
            <w:hideMark/>
          </w:tcPr>
          <w:p w:rsidR="00B54D3C" w:rsidRPr="00D96849" w:rsidRDefault="00B54D3C" w:rsidP="00B54D3C">
            <w:pPr>
              <w:jc w:val="center"/>
              <w:rPr>
                <w:rFonts w:asciiTheme="majorBidi" w:hAnsiTheme="majorBidi" w:cstheme="majorBidi"/>
                <w:b/>
                <w:bCs/>
                <w:sz w:val="24"/>
                <w:szCs w:val="24"/>
              </w:rPr>
            </w:pPr>
            <w:r w:rsidRPr="00D96849">
              <w:rPr>
                <w:rFonts w:asciiTheme="majorBidi" w:hAnsiTheme="majorBidi" w:cstheme="majorBidi"/>
                <w:b/>
                <w:bCs/>
                <w:sz w:val="24"/>
                <w:szCs w:val="24"/>
              </w:rPr>
              <w:t>Questions additionnelles</w:t>
            </w:r>
          </w:p>
        </w:tc>
        <w:tc>
          <w:tcPr>
            <w:tcW w:w="0" w:type="auto"/>
            <w:hideMark/>
          </w:tcPr>
          <w:p w:rsidR="00B54D3C" w:rsidRPr="00D96849" w:rsidRDefault="00B54D3C" w:rsidP="00B54D3C">
            <w:pPr>
              <w:jc w:val="center"/>
              <w:rPr>
                <w:rFonts w:asciiTheme="majorBidi" w:hAnsiTheme="majorBidi" w:cstheme="majorBidi"/>
                <w:b/>
                <w:bCs/>
                <w:sz w:val="24"/>
                <w:szCs w:val="24"/>
              </w:rPr>
            </w:pPr>
            <w:r w:rsidRPr="00D96849">
              <w:rPr>
                <w:rFonts w:asciiTheme="majorBidi" w:hAnsiTheme="majorBidi" w:cstheme="majorBidi"/>
                <w:b/>
                <w:bCs/>
                <w:sz w:val="24"/>
                <w:szCs w:val="24"/>
              </w:rPr>
              <w:t>Questions de relance</w:t>
            </w:r>
          </w:p>
        </w:tc>
      </w:tr>
      <w:tr w:rsidR="00B54D3C" w:rsidRPr="00D96849" w:rsidTr="00B54D3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Qualité sanitaire des produits</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Comment les pratiques biologiques contribuent-elles à la sécurité sanitaire de vos produits ?</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Quels sont les principaux mécanismes mis en place pour garantir cette sécurité ?</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Pouvez-vous donner un exemple concret ?</w:t>
            </w:r>
          </w:p>
        </w:tc>
      </w:tr>
      <w:tr w:rsidR="00B54D3C" w:rsidRPr="00D96849" w:rsidTr="00B54D3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Absence de substances chimiques</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En quoi l’absence de pesticides et d’intrants chimiques améliore-t-elle la qualité sanitaire des produits ?</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Quels bénéfices observez-vous sur la qualité finale de l’huile ?</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Quels contrôles permettent de vérifier cela ?</w:t>
            </w:r>
          </w:p>
        </w:tc>
      </w:tr>
      <w:tr w:rsidR="00B54D3C" w:rsidRPr="00D96849" w:rsidTr="00B54D3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Contrôle et conformité</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Comment assurez-vous le respect des normes sanitaires tout au long du processus de production ?</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Quels types d’analyses ou de contrôles sont réalisés ?</w:t>
            </w:r>
          </w:p>
        </w:tc>
        <w:tc>
          <w:tcPr>
            <w:tcW w:w="0" w:type="auto"/>
            <w:hideMark/>
          </w:tcPr>
          <w:p w:rsidR="00B54D3C" w:rsidRPr="00D96849" w:rsidRDefault="00B54D3C" w:rsidP="00B54D3C">
            <w:pPr>
              <w:rPr>
                <w:rFonts w:asciiTheme="majorBidi" w:hAnsiTheme="majorBidi" w:cstheme="majorBidi"/>
                <w:sz w:val="24"/>
                <w:szCs w:val="24"/>
              </w:rPr>
            </w:pPr>
            <w:r w:rsidRPr="00D96849">
              <w:rPr>
                <w:rFonts w:asciiTheme="majorBidi" w:hAnsiTheme="majorBidi" w:cstheme="majorBidi"/>
                <w:sz w:val="24"/>
                <w:szCs w:val="24"/>
              </w:rPr>
              <w:t>Comment gérez-vous les éventuelles non-conformités ?</w:t>
            </w:r>
          </w:p>
        </w:tc>
      </w:tr>
    </w:tbl>
    <w:p w:rsidR="00B54D3C" w:rsidRPr="00D96849" w:rsidRDefault="00B54D3C" w:rsidP="00B54D3C">
      <w:pPr>
        <w:rPr>
          <w:rFonts w:asciiTheme="majorBidi" w:hAnsiTheme="majorBidi" w:cstheme="majorBidi"/>
          <w:sz w:val="24"/>
          <w:szCs w:val="24"/>
        </w:rPr>
      </w:pPr>
    </w:p>
    <w:p w:rsidR="00B54D3C" w:rsidRPr="00B54D3C" w:rsidRDefault="00B54D3C" w:rsidP="00B54D3C">
      <w:pPr>
        <w:pStyle w:val="Titre2"/>
        <w:rPr>
          <w:rFonts w:asciiTheme="majorBidi" w:hAnsiTheme="majorBidi" w:cstheme="majorBidi"/>
          <w:b/>
          <w:bCs/>
          <w:color w:val="auto"/>
          <w:sz w:val="24"/>
          <w:szCs w:val="24"/>
        </w:rPr>
      </w:pPr>
      <w:r w:rsidRPr="00B54D3C">
        <w:rPr>
          <w:rFonts w:asciiTheme="majorBidi" w:hAnsiTheme="majorBidi" w:cstheme="majorBidi"/>
          <w:b/>
          <w:bCs/>
          <w:color w:val="auto"/>
          <w:sz w:val="24"/>
          <w:szCs w:val="24"/>
        </w:rPr>
        <w:t>Section 2 : Rôle du marketing biologique dans la valorisation de la sécurité sanitaire</w:t>
      </w:r>
    </w:p>
    <w:tbl>
      <w:tblPr>
        <w:tblStyle w:val="Grilledutableau"/>
        <w:tblW w:w="0" w:type="auto"/>
        <w:tblLook w:val="04A0"/>
      </w:tblPr>
      <w:tblGrid>
        <w:gridCol w:w="1981"/>
        <w:gridCol w:w="2614"/>
        <w:gridCol w:w="2335"/>
        <w:gridCol w:w="2356"/>
      </w:tblGrid>
      <w:tr w:rsidR="00B54D3C" w:rsidRPr="00E552EE" w:rsidTr="00B54D3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Thème</w:t>
            </w:r>
          </w:p>
        </w:t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Question principale</w:t>
            </w:r>
          </w:p>
        </w:t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Questions additionnelles</w:t>
            </w:r>
          </w:p>
        </w:t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Questions de relance</w:t>
            </w:r>
          </w:p>
        </w:tc>
      </w:tr>
      <w:tr w:rsidR="00B54D3C" w:rsidRPr="00E552EE" w:rsidTr="00B54D3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Communication de la qualité sanitaire</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Comment communiquez-vous auprès des consommateurs sur la qualité sanitaire de vos produits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Quels messages sont les plus utilisés dans votre communication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Quels arguments attirent le plus l’attention des consommateurs ?</w:t>
            </w:r>
          </w:p>
        </w:tc>
      </w:tr>
      <w:tr w:rsidR="00B54D3C" w:rsidRPr="00E552EE" w:rsidTr="00B54D3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Sensibilisation des consommateurs</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Le marketing biologique contribue-t-il à sensibiliser les consommateurs aux enjeux de sécurité sanitaire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Par quels moyens cette sensibilisation est-elle réalisée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Avez-vous observé un changement dans le comportement des consommateurs ?</w:t>
            </w:r>
          </w:p>
        </w:tc>
      </w:tr>
      <w:tr w:rsidR="00B54D3C" w:rsidRPr="00E552EE" w:rsidTr="00B54D3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Image et avantage concurrentiel</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La mise en avant de la sécurité sanitaire constitue-t-elle un avantage concurrentiel pour l’entreprise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Quel impact cela a-t-il sur la confiance des consommateurs et sur les ventes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Pouvez-vous citer un exemple ou un résultat observé ?</w:t>
            </w:r>
          </w:p>
        </w:tc>
      </w:tr>
    </w:tbl>
    <w:p w:rsidR="00B54D3C" w:rsidRPr="00B54D3C" w:rsidRDefault="00B54D3C" w:rsidP="00B54D3C">
      <w:pPr>
        <w:pStyle w:val="Titre1"/>
        <w:rPr>
          <w:rFonts w:asciiTheme="majorBidi" w:hAnsiTheme="majorBidi" w:cstheme="majorBidi"/>
          <w:b/>
          <w:bCs/>
          <w:color w:val="auto"/>
          <w:sz w:val="28"/>
          <w:szCs w:val="28"/>
        </w:rPr>
      </w:pPr>
      <w:r w:rsidRPr="00B54D3C">
        <w:rPr>
          <w:rFonts w:asciiTheme="majorBidi" w:hAnsiTheme="majorBidi" w:cstheme="majorBidi"/>
          <w:b/>
          <w:bCs/>
          <w:color w:val="auto"/>
          <w:sz w:val="28"/>
          <w:szCs w:val="28"/>
        </w:rPr>
        <w:t>Axe 5 : Système de qualité et performance</w:t>
      </w:r>
    </w:p>
    <w:p w:rsidR="00B54D3C" w:rsidRPr="00B54D3C" w:rsidRDefault="00B54D3C" w:rsidP="00B54D3C">
      <w:pPr>
        <w:pStyle w:val="Titre2"/>
        <w:rPr>
          <w:rFonts w:asciiTheme="majorBidi" w:hAnsiTheme="majorBidi" w:cstheme="majorBidi"/>
          <w:b/>
          <w:bCs/>
          <w:color w:val="auto"/>
          <w:sz w:val="24"/>
          <w:szCs w:val="24"/>
        </w:rPr>
      </w:pPr>
      <w:r w:rsidRPr="00B54D3C">
        <w:rPr>
          <w:rFonts w:asciiTheme="majorBidi" w:hAnsiTheme="majorBidi" w:cstheme="majorBidi"/>
          <w:b/>
          <w:bCs/>
          <w:color w:val="auto"/>
          <w:sz w:val="24"/>
          <w:szCs w:val="24"/>
        </w:rPr>
        <w:t>Section 1 : Normes et exigences de qualité</w:t>
      </w:r>
    </w:p>
    <w:tbl>
      <w:tblPr>
        <w:tblStyle w:val="Grilledutableau"/>
        <w:tblW w:w="0" w:type="auto"/>
        <w:tblLook w:val="04A0"/>
      </w:tblPr>
      <w:tblGrid>
        <w:gridCol w:w="1864"/>
        <w:gridCol w:w="2512"/>
        <w:gridCol w:w="2540"/>
        <w:gridCol w:w="2370"/>
      </w:tblGrid>
      <w:tr w:rsidR="00B54D3C" w:rsidRPr="00E552EE" w:rsidTr="00B54D3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Thème</w:t>
            </w:r>
          </w:p>
        </w:t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Question principale</w:t>
            </w:r>
          </w:p>
        </w:t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Questions additionnelles</w:t>
            </w:r>
          </w:p>
        </w:tc>
        <w:tc>
          <w:tcPr>
            <w:tcW w:w="0" w:type="auto"/>
            <w:hideMark/>
          </w:tcPr>
          <w:p w:rsidR="00B54D3C" w:rsidRPr="00E552EE" w:rsidRDefault="00B54D3C" w:rsidP="00B54D3C">
            <w:pPr>
              <w:jc w:val="center"/>
              <w:rPr>
                <w:rFonts w:asciiTheme="majorBidi" w:hAnsiTheme="majorBidi" w:cstheme="majorBidi"/>
                <w:b/>
                <w:bCs/>
                <w:sz w:val="24"/>
                <w:szCs w:val="24"/>
              </w:rPr>
            </w:pPr>
            <w:r w:rsidRPr="00E552EE">
              <w:rPr>
                <w:rFonts w:asciiTheme="majorBidi" w:hAnsiTheme="majorBidi" w:cstheme="majorBidi"/>
                <w:b/>
                <w:bCs/>
                <w:sz w:val="24"/>
                <w:szCs w:val="24"/>
              </w:rPr>
              <w:t>Questions de relance</w:t>
            </w:r>
          </w:p>
        </w:tc>
      </w:tr>
      <w:tr w:rsidR="00B54D3C" w:rsidRPr="00E552EE" w:rsidTr="00B54D3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Qualité du produit</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 xml:space="preserve">Comment l’entreprise garantit-elle la qualité </w:t>
            </w:r>
            <w:r w:rsidRPr="00E552EE">
              <w:rPr>
                <w:rFonts w:asciiTheme="majorBidi" w:hAnsiTheme="majorBidi" w:cstheme="majorBidi"/>
                <w:sz w:val="24"/>
                <w:szCs w:val="24"/>
              </w:rPr>
              <w:lastRenderedPageBreak/>
              <w:t>de son huile d’olive biologique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lastRenderedPageBreak/>
              <w:t xml:space="preserve">Quels sont les critères utilisés pour évaluer la </w:t>
            </w:r>
            <w:r w:rsidRPr="00E552EE">
              <w:rPr>
                <w:rFonts w:asciiTheme="majorBidi" w:hAnsiTheme="majorBidi" w:cstheme="majorBidi"/>
                <w:sz w:val="24"/>
                <w:szCs w:val="24"/>
              </w:rPr>
              <w:lastRenderedPageBreak/>
              <w:t>qualité du produit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lastRenderedPageBreak/>
              <w:t xml:space="preserve">Quels indicateurs considérez-vous </w:t>
            </w:r>
            <w:r w:rsidRPr="00E552EE">
              <w:rPr>
                <w:rFonts w:asciiTheme="majorBidi" w:hAnsiTheme="majorBidi" w:cstheme="majorBidi"/>
                <w:sz w:val="24"/>
                <w:szCs w:val="24"/>
              </w:rPr>
              <w:lastRenderedPageBreak/>
              <w:t>comme les plus importants ?</w:t>
            </w:r>
          </w:p>
        </w:tc>
      </w:tr>
      <w:tr w:rsidR="00B54D3C" w:rsidRPr="00E552EE" w:rsidTr="00B54D3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lastRenderedPageBreak/>
              <w:t>Indicateurs de qualité</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Quel rôle jouent l’acidité et les polyphénols dans l’évaluation de la qualité de l’huile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Comment ces indicateurs sont-ils mesurés et interprétés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Quels résultats obtenez-vous généralement ?</w:t>
            </w:r>
          </w:p>
        </w:tc>
      </w:tr>
      <w:tr w:rsidR="00B54D3C" w:rsidRPr="00E552EE" w:rsidTr="00B54D3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Stratégie qualité</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Quelle place occupe la qualité dans la stratégie globale de l’entreprise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Privilégiez-vous la qualité ou l’augmentation des volumes de production ? Pourquoi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Comment ce choix influence-t-il votre positionnement sur le marché ?</w:t>
            </w:r>
          </w:p>
        </w:tc>
      </w:tr>
      <w:tr w:rsidR="00B54D3C" w:rsidRPr="00E552EE" w:rsidTr="00B54D3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Performance et reconnaissance</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Dans quelle mesure les certifications et distinctions obtenues reflètent-elles la qualité du produit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Quel impact ont-elles sur la réputation de l’entreprise ?</w:t>
            </w:r>
          </w:p>
        </w:tc>
        <w:tc>
          <w:tcPr>
            <w:tcW w:w="0" w:type="auto"/>
            <w:hideMark/>
          </w:tcPr>
          <w:p w:rsidR="00B54D3C" w:rsidRPr="00E552EE" w:rsidRDefault="00B54D3C" w:rsidP="00B54D3C">
            <w:pPr>
              <w:rPr>
                <w:rFonts w:asciiTheme="majorBidi" w:hAnsiTheme="majorBidi" w:cstheme="majorBidi"/>
                <w:sz w:val="24"/>
                <w:szCs w:val="24"/>
              </w:rPr>
            </w:pPr>
            <w:r w:rsidRPr="00E552EE">
              <w:rPr>
                <w:rFonts w:asciiTheme="majorBidi" w:hAnsiTheme="majorBidi" w:cstheme="majorBidi"/>
                <w:sz w:val="24"/>
                <w:szCs w:val="24"/>
              </w:rPr>
              <w:t>Pouvez-vous citer quelques récompenses ou résultats significatifs ?</w:t>
            </w:r>
          </w:p>
        </w:tc>
      </w:tr>
    </w:tbl>
    <w:p w:rsidR="00B54D3C" w:rsidRPr="00D96849" w:rsidRDefault="00B54D3C" w:rsidP="00B54D3C">
      <w:pPr>
        <w:rPr>
          <w:rFonts w:asciiTheme="majorBidi" w:hAnsiTheme="majorBidi" w:cstheme="majorBidi"/>
        </w:rPr>
      </w:pPr>
    </w:p>
    <w:p w:rsidR="00B54D3C" w:rsidRPr="00B54D3C" w:rsidRDefault="00B54D3C" w:rsidP="00B54D3C">
      <w:pPr>
        <w:pStyle w:val="Titre2"/>
        <w:rPr>
          <w:rFonts w:asciiTheme="majorBidi" w:hAnsiTheme="majorBidi" w:cstheme="majorBidi"/>
          <w:b/>
          <w:bCs/>
          <w:color w:val="auto"/>
          <w:sz w:val="24"/>
          <w:szCs w:val="24"/>
        </w:rPr>
      </w:pPr>
      <w:r w:rsidRPr="00B54D3C">
        <w:rPr>
          <w:rFonts w:asciiTheme="majorBidi" w:hAnsiTheme="majorBidi" w:cstheme="majorBidi"/>
          <w:b/>
          <w:bCs/>
          <w:color w:val="auto"/>
          <w:sz w:val="24"/>
          <w:szCs w:val="24"/>
        </w:rPr>
        <w:t>Section 2 : Contrôle qualité</w:t>
      </w:r>
    </w:p>
    <w:tbl>
      <w:tblPr>
        <w:tblStyle w:val="Grilledutableau"/>
        <w:tblW w:w="0" w:type="auto"/>
        <w:tblLook w:val="04A0"/>
      </w:tblPr>
      <w:tblGrid>
        <w:gridCol w:w="1627"/>
        <w:gridCol w:w="2831"/>
        <w:gridCol w:w="2378"/>
        <w:gridCol w:w="2450"/>
      </w:tblGrid>
      <w:tr w:rsidR="00B54D3C" w:rsidRPr="00E552EE" w:rsidTr="00B54D3C">
        <w:tc>
          <w:tcPr>
            <w:tcW w:w="0" w:type="auto"/>
            <w:hideMark/>
          </w:tcPr>
          <w:p w:rsidR="00B54D3C" w:rsidRPr="00E552EE" w:rsidRDefault="00B54D3C" w:rsidP="00B54D3C">
            <w:pPr>
              <w:jc w:val="center"/>
              <w:rPr>
                <w:rFonts w:asciiTheme="majorBidi" w:hAnsiTheme="majorBidi" w:cstheme="majorBidi"/>
                <w:b/>
                <w:bCs/>
                <w:sz w:val="28"/>
                <w:szCs w:val="28"/>
              </w:rPr>
            </w:pPr>
            <w:r w:rsidRPr="00E552EE">
              <w:rPr>
                <w:rFonts w:asciiTheme="majorBidi" w:hAnsiTheme="majorBidi" w:cstheme="majorBidi"/>
                <w:b/>
                <w:bCs/>
                <w:sz w:val="24"/>
                <w:szCs w:val="24"/>
              </w:rPr>
              <w:t>Thème</w:t>
            </w:r>
          </w:p>
        </w:tc>
        <w:tc>
          <w:tcPr>
            <w:tcW w:w="0" w:type="auto"/>
            <w:hideMark/>
          </w:tcPr>
          <w:p w:rsidR="00B54D3C" w:rsidRPr="00E552EE" w:rsidRDefault="00B54D3C" w:rsidP="00B54D3C">
            <w:pPr>
              <w:jc w:val="center"/>
              <w:rPr>
                <w:rFonts w:asciiTheme="majorBidi" w:hAnsiTheme="majorBidi" w:cstheme="majorBidi"/>
                <w:b/>
                <w:bCs/>
                <w:sz w:val="28"/>
                <w:szCs w:val="28"/>
              </w:rPr>
            </w:pPr>
            <w:r w:rsidRPr="00E552EE">
              <w:rPr>
                <w:rFonts w:asciiTheme="majorBidi" w:hAnsiTheme="majorBidi" w:cstheme="majorBidi"/>
                <w:b/>
                <w:bCs/>
                <w:sz w:val="24"/>
                <w:szCs w:val="24"/>
              </w:rPr>
              <w:t>Question principale</w:t>
            </w:r>
          </w:p>
        </w:tc>
        <w:tc>
          <w:tcPr>
            <w:tcW w:w="0" w:type="auto"/>
            <w:hideMark/>
          </w:tcPr>
          <w:p w:rsidR="00B54D3C" w:rsidRPr="00E552EE" w:rsidRDefault="00B54D3C" w:rsidP="00B54D3C">
            <w:pPr>
              <w:jc w:val="center"/>
              <w:rPr>
                <w:rFonts w:asciiTheme="majorBidi" w:hAnsiTheme="majorBidi" w:cstheme="majorBidi"/>
                <w:b/>
                <w:bCs/>
                <w:sz w:val="28"/>
                <w:szCs w:val="28"/>
              </w:rPr>
            </w:pPr>
            <w:r w:rsidRPr="00E552EE">
              <w:rPr>
                <w:rFonts w:asciiTheme="majorBidi" w:hAnsiTheme="majorBidi" w:cstheme="majorBidi"/>
                <w:b/>
                <w:bCs/>
                <w:sz w:val="24"/>
                <w:szCs w:val="24"/>
              </w:rPr>
              <w:t>Questions additionnelles</w:t>
            </w:r>
          </w:p>
        </w:tc>
        <w:tc>
          <w:tcPr>
            <w:tcW w:w="0" w:type="auto"/>
            <w:hideMark/>
          </w:tcPr>
          <w:p w:rsidR="00B54D3C" w:rsidRPr="00E552EE" w:rsidRDefault="00B54D3C" w:rsidP="00B54D3C">
            <w:pPr>
              <w:jc w:val="center"/>
              <w:rPr>
                <w:rFonts w:asciiTheme="majorBidi" w:hAnsiTheme="majorBidi" w:cstheme="majorBidi"/>
                <w:b/>
                <w:bCs/>
                <w:sz w:val="28"/>
                <w:szCs w:val="28"/>
              </w:rPr>
            </w:pPr>
            <w:r w:rsidRPr="00E552EE">
              <w:rPr>
                <w:rFonts w:asciiTheme="majorBidi" w:hAnsiTheme="majorBidi" w:cstheme="majorBidi"/>
                <w:b/>
                <w:bCs/>
                <w:sz w:val="24"/>
                <w:szCs w:val="24"/>
              </w:rPr>
              <w:t>Questions de relance</w:t>
            </w:r>
          </w:p>
        </w:tc>
      </w:tr>
      <w:tr w:rsidR="00B54D3C" w:rsidRPr="00E552EE" w:rsidTr="00B54D3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Système de contrôle</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Comment est organisé le système de contrôle qualité au sein de l’entreprise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Quelles sont les principales étapes soumises au contrôle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Pouvez-vous décrire le déroulement d’un contrôle type ?</w:t>
            </w:r>
          </w:p>
        </w:tc>
      </w:tr>
      <w:tr w:rsidR="00B54D3C" w:rsidRPr="00E552EE" w:rsidTr="00B54D3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Analyses et vérification</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Quel rôle jouent les analyses de laboratoire dans le contrôle qualité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Quels paramètres sont analysés régulièrement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À quelle fréquence ces analyses sont-elles réalisées ?</w:t>
            </w:r>
          </w:p>
        </w:tc>
      </w:tr>
      <w:tr w:rsidR="00B54D3C" w:rsidRPr="00E552EE" w:rsidTr="00B54D3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Rôle du service qualité</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Quelles sont les responsabilités du service qualité dans le processus de production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Comment assure-t-il le suivi des normes et des certifications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Comment se fait la coordination entre le service qualité et les autres services ?</w:t>
            </w:r>
          </w:p>
        </w:tc>
      </w:tr>
      <w:tr w:rsidR="00B54D3C" w:rsidRPr="00E552EE" w:rsidTr="00B54D3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Gestion des non-conformités</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Comment l’entreprise réagit-elle lorsqu’une anomalie ou une non-conformité est détectée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Existe-t-il des procédures correctives spécifiques ?</w:t>
            </w:r>
          </w:p>
        </w:tc>
        <w:tc>
          <w:tcPr>
            <w:tcW w:w="0" w:type="auto"/>
            <w:hideMark/>
          </w:tcPr>
          <w:p w:rsidR="00B54D3C" w:rsidRPr="00E552EE" w:rsidRDefault="00B54D3C" w:rsidP="00B54D3C">
            <w:pPr>
              <w:rPr>
                <w:rFonts w:asciiTheme="majorBidi" w:hAnsiTheme="majorBidi" w:cstheme="majorBidi"/>
                <w:sz w:val="28"/>
                <w:szCs w:val="28"/>
              </w:rPr>
            </w:pPr>
            <w:r w:rsidRPr="00E552EE">
              <w:rPr>
                <w:rFonts w:asciiTheme="majorBidi" w:hAnsiTheme="majorBidi" w:cstheme="majorBidi"/>
                <w:sz w:val="24"/>
                <w:szCs w:val="24"/>
              </w:rPr>
              <w:t>Pouvez-vous donner un exemple concret de situation rencontrée ?</w:t>
            </w:r>
          </w:p>
        </w:tc>
      </w:tr>
    </w:tbl>
    <w:p w:rsidR="00B54D3C" w:rsidRPr="00EF0FBC" w:rsidRDefault="00B54D3C" w:rsidP="00B54D3C">
      <w:pPr>
        <w:spacing w:before="100" w:beforeAutospacing="1" w:after="100" w:afterAutospacing="1" w:line="240" w:lineRule="auto"/>
        <w:outlineLvl w:val="0"/>
        <w:rPr>
          <w:rFonts w:ascii="Times New Roman" w:eastAsia="Times New Roman" w:hAnsi="Times New Roman" w:cs="Times New Roman"/>
          <w:b/>
          <w:bCs/>
          <w:kern w:val="36"/>
          <w:sz w:val="28"/>
          <w:szCs w:val="28"/>
          <w:lang w:eastAsia="fr-FR"/>
        </w:rPr>
      </w:pPr>
      <w:r w:rsidRPr="00EF0FBC">
        <w:rPr>
          <w:rFonts w:ascii="Times New Roman" w:eastAsia="Times New Roman" w:hAnsi="Times New Roman" w:cs="Times New Roman"/>
          <w:b/>
          <w:bCs/>
          <w:kern w:val="36"/>
          <w:sz w:val="28"/>
          <w:szCs w:val="28"/>
          <w:lang w:eastAsia="fr-FR"/>
        </w:rPr>
        <w:t>Axe 6 : Récompenses et reconnaissance internationale</w:t>
      </w:r>
    </w:p>
    <w:tbl>
      <w:tblPr>
        <w:tblStyle w:val="Grilledutableau"/>
        <w:tblW w:w="0" w:type="auto"/>
        <w:tblLook w:val="04A0"/>
      </w:tblPr>
      <w:tblGrid>
        <w:gridCol w:w="1850"/>
        <w:gridCol w:w="2201"/>
        <w:gridCol w:w="2826"/>
        <w:gridCol w:w="2409"/>
      </w:tblGrid>
      <w:tr w:rsidR="00B54D3C" w:rsidRPr="00EF0FBC" w:rsidTr="00B54D3C">
        <w:tc>
          <w:tcPr>
            <w:tcW w:w="0" w:type="auto"/>
            <w:hideMark/>
          </w:tcPr>
          <w:p w:rsidR="00B54D3C" w:rsidRPr="00EF0FBC" w:rsidRDefault="00B54D3C" w:rsidP="00B54D3C">
            <w:pPr>
              <w:jc w:val="center"/>
              <w:rPr>
                <w:rFonts w:ascii="Times New Roman" w:eastAsia="Times New Roman" w:hAnsi="Times New Roman" w:cs="Times New Roman"/>
                <w:b/>
                <w:bCs/>
                <w:sz w:val="24"/>
                <w:szCs w:val="24"/>
                <w:lang w:eastAsia="fr-FR"/>
              </w:rPr>
            </w:pPr>
            <w:r w:rsidRPr="00EF0FBC">
              <w:rPr>
                <w:rFonts w:ascii="Times New Roman" w:eastAsia="Times New Roman" w:hAnsi="Times New Roman" w:cs="Times New Roman"/>
                <w:b/>
                <w:bCs/>
                <w:sz w:val="24"/>
                <w:szCs w:val="24"/>
                <w:lang w:eastAsia="fr-FR"/>
              </w:rPr>
              <w:t>Thème</w:t>
            </w:r>
          </w:p>
        </w:tc>
        <w:tc>
          <w:tcPr>
            <w:tcW w:w="0" w:type="auto"/>
            <w:hideMark/>
          </w:tcPr>
          <w:p w:rsidR="00B54D3C" w:rsidRPr="00EF0FBC" w:rsidRDefault="00B54D3C" w:rsidP="00B54D3C">
            <w:pPr>
              <w:jc w:val="center"/>
              <w:rPr>
                <w:rFonts w:ascii="Times New Roman" w:eastAsia="Times New Roman" w:hAnsi="Times New Roman" w:cs="Times New Roman"/>
                <w:b/>
                <w:bCs/>
                <w:sz w:val="24"/>
                <w:szCs w:val="24"/>
                <w:lang w:eastAsia="fr-FR"/>
              </w:rPr>
            </w:pPr>
            <w:r w:rsidRPr="00EF0FBC">
              <w:rPr>
                <w:rFonts w:ascii="Times New Roman" w:eastAsia="Times New Roman" w:hAnsi="Times New Roman" w:cs="Times New Roman"/>
                <w:b/>
                <w:bCs/>
                <w:sz w:val="24"/>
                <w:szCs w:val="24"/>
                <w:lang w:eastAsia="fr-FR"/>
              </w:rPr>
              <w:t>Question principale</w:t>
            </w:r>
          </w:p>
        </w:tc>
        <w:tc>
          <w:tcPr>
            <w:tcW w:w="0" w:type="auto"/>
            <w:hideMark/>
          </w:tcPr>
          <w:p w:rsidR="00B54D3C" w:rsidRPr="00EF0FBC" w:rsidRDefault="00B54D3C" w:rsidP="00B54D3C">
            <w:pPr>
              <w:jc w:val="center"/>
              <w:rPr>
                <w:rFonts w:ascii="Times New Roman" w:eastAsia="Times New Roman" w:hAnsi="Times New Roman" w:cs="Times New Roman"/>
                <w:b/>
                <w:bCs/>
                <w:sz w:val="24"/>
                <w:szCs w:val="24"/>
                <w:lang w:eastAsia="fr-FR"/>
              </w:rPr>
            </w:pPr>
            <w:r w:rsidRPr="00EF0FBC">
              <w:rPr>
                <w:rFonts w:ascii="Times New Roman" w:eastAsia="Times New Roman" w:hAnsi="Times New Roman" w:cs="Times New Roman"/>
                <w:b/>
                <w:bCs/>
                <w:sz w:val="24"/>
                <w:szCs w:val="24"/>
                <w:lang w:eastAsia="fr-FR"/>
              </w:rPr>
              <w:t>Questions additionnelles</w:t>
            </w:r>
          </w:p>
        </w:tc>
        <w:tc>
          <w:tcPr>
            <w:tcW w:w="0" w:type="auto"/>
            <w:hideMark/>
          </w:tcPr>
          <w:p w:rsidR="00B54D3C" w:rsidRPr="00EF0FBC" w:rsidRDefault="00B54D3C" w:rsidP="00B54D3C">
            <w:pPr>
              <w:jc w:val="center"/>
              <w:rPr>
                <w:rFonts w:ascii="Times New Roman" w:eastAsia="Times New Roman" w:hAnsi="Times New Roman" w:cs="Times New Roman"/>
                <w:b/>
                <w:bCs/>
                <w:sz w:val="24"/>
                <w:szCs w:val="24"/>
                <w:lang w:eastAsia="fr-FR"/>
              </w:rPr>
            </w:pPr>
            <w:r w:rsidRPr="00EF0FBC">
              <w:rPr>
                <w:rFonts w:ascii="Times New Roman" w:eastAsia="Times New Roman" w:hAnsi="Times New Roman" w:cs="Times New Roman"/>
                <w:b/>
                <w:bCs/>
                <w:sz w:val="24"/>
                <w:szCs w:val="24"/>
                <w:lang w:eastAsia="fr-FR"/>
              </w:rPr>
              <w:t>Questions de relance</w:t>
            </w:r>
          </w:p>
        </w:tc>
      </w:tr>
      <w:tr w:rsidR="00B54D3C" w:rsidRPr="00EF0FBC" w:rsidTr="00B54D3C">
        <w:tc>
          <w:tcPr>
            <w:tcW w:w="0" w:type="auto"/>
            <w:hideMark/>
          </w:tcPr>
          <w:p w:rsidR="00B54D3C" w:rsidRPr="00EF0FBC" w:rsidRDefault="00B54D3C" w:rsidP="00B54D3C">
            <w:pPr>
              <w:rPr>
                <w:rFonts w:ascii="Times New Roman" w:eastAsia="Times New Roman" w:hAnsi="Times New Roman" w:cs="Times New Roman"/>
                <w:sz w:val="24"/>
                <w:szCs w:val="24"/>
                <w:lang w:eastAsia="fr-FR"/>
              </w:rPr>
            </w:pPr>
            <w:r w:rsidRPr="00EF0FBC">
              <w:rPr>
                <w:rFonts w:ascii="Times New Roman" w:eastAsia="Times New Roman" w:hAnsi="Times New Roman" w:cs="Times New Roman"/>
                <w:sz w:val="24"/>
                <w:szCs w:val="24"/>
                <w:lang w:eastAsia="fr-FR"/>
              </w:rPr>
              <w:t>Récompenses internationales et notoriété de la marque</w:t>
            </w:r>
          </w:p>
        </w:tc>
        <w:tc>
          <w:tcPr>
            <w:tcW w:w="0" w:type="auto"/>
            <w:hideMark/>
          </w:tcPr>
          <w:p w:rsidR="00B54D3C" w:rsidRPr="00EF0FBC" w:rsidRDefault="00B54D3C" w:rsidP="00B54D3C">
            <w:pPr>
              <w:rPr>
                <w:rFonts w:ascii="Times New Roman" w:eastAsia="Times New Roman" w:hAnsi="Times New Roman" w:cs="Times New Roman"/>
                <w:sz w:val="24"/>
                <w:szCs w:val="24"/>
                <w:lang w:eastAsia="fr-FR"/>
              </w:rPr>
            </w:pPr>
            <w:r w:rsidRPr="00EF0FBC">
              <w:rPr>
                <w:rFonts w:ascii="Times New Roman" w:eastAsia="Times New Roman" w:hAnsi="Times New Roman" w:cs="Times New Roman"/>
                <w:sz w:val="24"/>
                <w:szCs w:val="24"/>
                <w:lang w:eastAsia="fr-FR"/>
              </w:rPr>
              <w:t>Quel est le rôle des récompenses internationales dans le développement et la notoriété de la marque Dahbia ?</w:t>
            </w:r>
          </w:p>
        </w:tc>
        <w:tc>
          <w:tcPr>
            <w:tcW w:w="0" w:type="auto"/>
            <w:hideMark/>
          </w:tcPr>
          <w:p w:rsidR="00B54D3C" w:rsidRPr="00EF0FBC" w:rsidRDefault="00B54D3C" w:rsidP="00B54D3C">
            <w:pPr>
              <w:rPr>
                <w:rFonts w:ascii="Times New Roman" w:eastAsia="Times New Roman" w:hAnsi="Times New Roman" w:cs="Times New Roman"/>
                <w:sz w:val="24"/>
                <w:szCs w:val="24"/>
                <w:lang w:eastAsia="fr-FR"/>
              </w:rPr>
            </w:pPr>
            <w:r w:rsidRPr="00EF0FBC">
              <w:rPr>
                <w:rFonts w:ascii="Times New Roman" w:eastAsia="Times New Roman" w:hAnsi="Times New Roman" w:cs="Times New Roman"/>
                <w:sz w:val="24"/>
                <w:szCs w:val="24"/>
                <w:lang w:eastAsia="fr-FR"/>
              </w:rPr>
              <w:t xml:space="preserve">À quels concours internationaux participez-vous ? Quelles sont les principales distinctions obtenues ? Comment ces récompenses contribuent-elles à valoriser la qualité </w:t>
            </w:r>
            <w:r w:rsidRPr="00EF0FBC">
              <w:rPr>
                <w:rFonts w:ascii="Times New Roman" w:eastAsia="Times New Roman" w:hAnsi="Times New Roman" w:cs="Times New Roman"/>
                <w:sz w:val="24"/>
                <w:szCs w:val="24"/>
                <w:lang w:eastAsia="fr-FR"/>
              </w:rPr>
              <w:lastRenderedPageBreak/>
              <w:t>du produit ? Facilitent-elles l'accès à de nouveaux marchés ?</w:t>
            </w:r>
          </w:p>
        </w:tc>
        <w:tc>
          <w:tcPr>
            <w:tcW w:w="0" w:type="auto"/>
            <w:hideMark/>
          </w:tcPr>
          <w:p w:rsidR="00B54D3C" w:rsidRPr="00EF0FBC" w:rsidRDefault="00B54D3C" w:rsidP="00B54D3C">
            <w:pPr>
              <w:rPr>
                <w:rFonts w:ascii="Times New Roman" w:eastAsia="Times New Roman" w:hAnsi="Times New Roman" w:cs="Times New Roman"/>
                <w:sz w:val="24"/>
                <w:szCs w:val="24"/>
                <w:lang w:eastAsia="fr-FR"/>
              </w:rPr>
            </w:pPr>
            <w:r w:rsidRPr="00EF0FBC">
              <w:rPr>
                <w:rFonts w:ascii="Times New Roman" w:eastAsia="Times New Roman" w:hAnsi="Times New Roman" w:cs="Times New Roman"/>
                <w:sz w:val="24"/>
                <w:szCs w:val="24"/>
                <w:lang w:eastAsia="fr-FR"/>
              </w:rPr>
              <w:lastRenderedPageBreak/>
              <w:t xml:space="preserve">Avez-vous constaté une augmentation de la demande, de la visibilité ou des exportations après l'obtention de certaines récompenses </w:t>
            </w:r>
            <w:r w:rsidRPr="00EF0FBC">
              <w:rPr>
                <w:rFonts w:ascii="Times New Roman" w:eastAsia="Times New Roman" w:hAnsi="Times New Roman" w:cs="Times New Roman"/>
                <w:sz w:val="24"/>
                <w:szCs w:val="24"/>
                <w:lang w:eastAsia="fr-FR"/>
              </w:rPr>
              <w:lastRenderedPageBreak/>
              <w:t>? Pouvez-vous citer un exemple concret ?</w:t>
            </w:r>
          </w:p>
        </w:tc>
      </w:tr>
    </w:tbl>
    <w:p w:rsidR="00B54D3C" w:rsidRPr="002D5A00" w:rsidRDefault="00B54D3C" w:rsidP="00B54D3C">
      <w:pPr>
        <w:pStyle w:val="Titre1"/>
        <w:rPr>
          <w:rFonts w:asciiTheme="majorBidi" w:hAnsiTheme="majorBidi" w:cstheme="majorBidi"/>
          <w:b/>
          <w:bCs/>
          <w:color w:val="auto"/>
          <w:sz w:val="28"/>
          <w:szCs w:val="28"/>
        </w:rPr>
      </w:pPr>
      <w:r w:rsidRPr="002D5A00">
        <w:rPr>
          <w:rFonts w:asciiTheme="majorBidi" w:hAnsiTheme="majorBidi" w:cstheme="majorBidi"/>
          <w:b/>
          <w:bCs/>
          <w:color w:val="auto"/>
          <w:sz w:val="28"/>
          <w:szCs w:val="28"/>
        </w:rPr>
        <w:lastRenderedPageBreak/>
        <w:t>Axe 7 : Stratégie marketing et positionnement premium</w:t>
      </w:r>
    </w:p>
    <w:p w:rsidR="00B54D3C" w:rsidRPr="002D5A00" w:rsidRDefault="00B54D3C" w:rsidP="00B54D3C">
      <w:pPr>
        <w:pStyle w:val="Titre2"/>
        <w:rPr>
          <w:rFonts w:asciiTheme="majorBidi" w:hAnsiTheme="majorBidi" w:cstheme="majorBidi"/>
          <w:b/>
          <w:bCs/>
          <w:color w:val="auto"/>
          <w:sz w:val="24"/>
          <w:szCs w:val="24"/>
        </w:rPr>
      </w:pPr>
      <w:r w:rsidRPr="002D5A00">
        <w:rPr>
          <w:rFonts w:asciiTheme="majorBidi" w:hAnsiTheme="majorBidi" w:cstheme="majorBidi"/>
          <w:b/>
          <w:bCs/>
          <w:color w:val="auto"/>
          <w:sz w:val="24"/>
          <w:szCs w:val="24"/>
        </w:rPr>
        <w:t>Section 1 : Produit et image de marque</w:t>
      </w:r>
    </w:p>
    <w:tbl>
      <w:tblPr>
        <w:tblStyle w:val="Grilledutableau"/>
        <w:tblW w:w="0" w:type="auto"/>
        <w:tblLook w:val="04A0"/>
      </w:tblPr>
      <w:tblGrid>
        <w:gridCol w:w="1880"/>
        <w:gridCol w:w="2647"/>
        <w:gridCol w:w="2503"/>
        <w:gridCol w:w="2256"/>
      </w:tblGrid>
      <w:tr w:rsidR="00B54D3C" w:rsidRPr="005B1142" w:rsidTr="00B54D3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Thème</w:t>
            </w:r>
          </w:p>
        </w:t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Question principale</w:t>
            </w:r>
          </w:p>
        </w:t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Questions additionnelles</w:t>
            </w:r>
          </w:p>
        </w:t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Questions de relance</w:t>
            </w:r>
          </w:p>
        </w:tc>
      </w:tr>
      <w:tr w:rsidR="00B54D3C" w:rsidRPr="005B1142" w:rsidTr="00B54D3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Caractéristiques du produit</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Quelles sont les principales caractéristiques qui distinguent votre huile d’olive biologique des autres huiles présentes sur le marché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Quels sont les éléments qui reflètent sa qualité biologique et son positionnement premium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Quels avantages spécifiques le produit offre-t-il aux consommateurs ?</w:t>
            </w:r>
          </w:p>
        </w:tc>
      </w:tr>
      <w:tr w:rsidR="00B54D3C" w:rsidRPr="005B1142" w:rsidTr="00B54D3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Image de marque et packaging</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 rôle joue le packaging dans la valorisation du produit et de la marque Dahbia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Pourquoi avez-vous choisi ce type d’emballage ? Comment contribue-t-il à la conservation et à l’image du produit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Selon vous, quel impact le packaging a-t-il sur la perception des consommateurs ?</w:t>
            </w:r>
          </w:p>
        </w:tc>
      </w:tr>
    </w:tbl>
    <w:p w:rsidR="00B54D3C" w:rsidRDefault="00B54D3C" w:rsidP="00B54D3C"/>
    <w:p w:rsidR="00B54D3C" w:rsidRPr="002D5A00" w:rsidRDefault="00B54D3C" w:rsidP="00B54D3C">
      <w:pPr>
        <w:pStyle w:val="Titre2"/>
        <w:rPr>
          <w:rFonts w:asciiTheme="majorBidi" w:hAnsiTheme="majorBidi" w:cstheme="majorBidi"/>
          <w:b/>
          <w:bCs/>
          <w:color w:val="auto"/>
          <w:sz w:val="24"/>
          <w:szCs w:val="24"/>
        </w:rPr>
      </w:pPr>
      <w:r w:rsidRPr="002D5A00">
        <w:rPr>
          <w:rFonts w:asciiTheme="majorBidi" w:hAnsiTheme="majorBidi" w:cstheme="majorBidi"/>
          <w:b/>
          <w:bCs/>
          <w:color w:val="auto"/>
          <w:sz w:val="24"/>
          <w:szCs w:val="24"/>
        </w:rPr>
        <w:t>Section 2 : Prix, distribution et promotion</w:t>
      </w:r>
    </w:p>
    <w:tbl>
      <w:tblPr>
        <w:tblStyle w:val="Grilledutableau"/>
        <w:tblW w:w="0" w:type="auto"/>
        <w:tblLook w:val="04A0"/>
      </w:tblPr>
      <w:tblGrid>
        <w:gridCol w:w="1422"/>
        <w:gridCol w:w="2491"/>
        <w:gridCol w:w="2754"/>
        <w:gridCol w:w="2619"/>
      </w:tblGrid>
      <w:tr w:rsidR="00B54D3C" w:rsidRPr="005B1142" w:rsidTr="00B54D3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Thème</w:t>
            </w:r>
          </w:p>
        </w:t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Question principale</w:t>
            </w:r>
          </w:p>
        </w:t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Questions additionnelles</w:t>
            </w:r>
          </w:p>
        </w:tc>
        <w:tc>
          <w:tcPr>
            <w:tcW w:w="0" w:type="auto"/>
            <w:hideMark/>
          </w:tcPr>
          <w:p w:rsidR="00B54D3C" w:rsidRPr="005B1142" w:rsidRDefault="00B54D3C" w:rsidP="00B54D3C">
            <w:pPr>
              <w:jc w:val="center"/>
              <w:rPr>
                <w:rFonts w:asciiTheme="majorBidi" w:hAnsiTheme="majorBidi" w:cstheme="majorBidi"/>
                <w:b/>
                <w:bCs/>
                <w:sz w:val="24"/>
                <w:szCs w:val="24"/>
              </w:rPr>
            </w:pPr>
            <w:r w:rsidRPr="005B1142">
              <w:rPr>
                <w:rFonts w:asciiTheme="majorBidi" w:hAnsiTheme="majorBidi" w:cstheme="majorBidi"/>
                <w:b/>
                <w:bCs/>
                <w:sz w:val="24"/>
                <w:szCs w:val="24"/>
              </w:rPr>
              <w:t>Questions de relance</w:t>
            </w:r>
          </w:p>
        </w:tc>
      </w:tr>
      <w:tr w:rsidR="00B54D3C" w:rsidRPr="005B1142" w:rsidTr="00B54D3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Stratégie de prix</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Comment est fixé le prix de votre huile d’olive biologique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Quels sont les facteurs qui justifient ce positionnement premium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Comment les consommateurs perçoivent-ils ce niveau de prix ?</w:t>
            </w:r>
          </w:p>
        </w:tc>
      </w:tr>
      <w:tr w:rsidR="00B54D3C" w:rsidRPr="005B1142" w:rsidTr="00B54D3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Distribution</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Quels sont les principaux canaux de distribution utilisés pour commercialiser vos produits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Quels sont les marchés nationaux et internationaux les plus importants pour l’entreprise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Quels avantages apportent ces canaux de distribution au développement de la marque ?</w:t>
            </w:r>
          </w:p>
        </w:tc>
      </w:tr>
      <w:tr w:rsidR="00B54D3C" w:rsidRPr="005B1142" w:rsidTr="00B54D3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Promotion</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Quelle stratégie de communication adoptez-vous pour promouvoir vos produits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 rôle jouent les réseaux sociaux, les certifications et les récompenses internationales dans votre communication ?</w:t>
            </w:r>
          </w:p>
        </w:tc>
        <w:tc>
          <w:tcPr>
            <w:tcW w:w="0" w:type="auto"/>
            <w:hideMark/>
          </w:tcPr>
          <w:p w:rsidR="00B54D3C" w:rsidRPr="005B1142" w:rsidRDefault="00B54D3C" w:rsidP="00B54D3C">
            <w:pPr>
              <w:rPr>
                <w:rFonts w:asciiTheme="majorBidi" w:hAnsiTheme="majorBidi" w:cstheme="majorBidi"/>
                <w:sz w:val="24"/>
                <w:szCs w:val="24"/>
              </w:rPr>
            </w:pPr>
            <w:r w:rsidRPr="005B1142">
              <w:rPr>
                <w:rFonts w:asciiTheme="majorBidi" w:hAnsiTheme="majorBidi" w:cstheme="majorBidi"/>
                <w:sz w:val="24"/>
                <w:szCs w:val="24"/>
              </w:rPr>
              <w:t>Quels moyens de promotion vous semblent les plus efficaces pour renforcer la notoriété de la marque ?</w:t>
            </w:r>
          </w:p>
        </w:tc>
      </w:tr>
    </w:tbl>
    <w:p w:rsidR="00B54D3C" w:rsidRPr="00CD417D" w:rsidRDefault="00B54D3C" w:rsidP="00B54D3C">
      <w:pPr>
        <w:spacing w:before="100" w:beforeAutospacing="1" w:after="100" w:afterAutospacing="1" w:line="240" w:lineRule="auto"/>
        <w:outlineLvl w:val="0"/>
        <w:rPr>
          <w:rFonts w:ascii="Times New Roman" w:eastAsia="Times New Roman" w:hAnsi="Times New Roman" w:cs="Times New Roman"/>
          <w:b/>
          <w:bCs/>
          <w:kern w:val="36"/>
          <w:sz w:val="28"/>
          <w:szCs w:val="28"/>
          <w:lang w:eastAsia="fr-FR"/>
        </w:rPr>
      </w:pPr>
      <w:r w:rsidRPr="00CD417D">
        <w:rPr>
          <w:rFonts w:ascii="Times New Roman" w:eastAsia="Times New Roman" w:hAnsi="Times New Roman" w:cs="Times New Roman"/>
          <w:b/>
          <w:bCs/>
          <w:kern w:val="36"/>
          <w:sz w:val="28"/>
          <w:szCs w:val="28"/>
          <w:lang w:eastAsia="fr-FR"/>
        </w:rPr>
        <w:t>Axe 8 : Contraintes et difficultés</w:t>
      </w:r>
    </w:p>
    <w:tbl>
      <w:tblPr>
        <w:tblStyle w:val="Grilledutableau"/>
        <w:tblW w:w="0" w:type="auto"/>
        <w:tblLook w:val="04A0"/>
      </w:tblPr>
      <w:tblGrid>
        <w:gridCol w:w="1411"/>
        <w:gridCol w:w="2901"/>
        <w:gridCol w:w="2880"/>
        <w:gridCol w:w="2094"/>
      </w:tblGrid>
      <w:tr w:rsidR="00B54D3C" w:rsidRPr="00CD417D" w:rsidTr="00B54D3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Thème</w:t>
            </w:r>
          </w:p>
        </w:t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Question principale</w:t>
            </w:r>
          </w:p>
        </w:t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Questions additionnelles</w:t>
            </w:r>
          </w:p>
        </w:t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Questions de relance</w:t>
            </w:r>
          </w:p>
        </w:tc>
      </w:tr>
      <w:tr w:rsidR="00B54D3C" w:rsidRPr="00CD417D" w:rsidTr="00B54D3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t>Contraintes et difficultés</w:t>
            </w:r>
          </w:p>
        </w:t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t xml:space="preserve">Quelles sont les principales contraintes et difficultés rencontrées par l’entreprise </w:t>
            </w:r>
            <w:r w:rsidRPr="00CD417D">
              <w:rPr>
                <w:rFonts w:ascii="Times New Roman" w:eastAsia="Times New Roman" w:hAnsi="Times New Roman" w:cs="Times New Roman"/>
                <w:sz w:val="24"/>
                <w:szCs w:val="24"/>
                <w:lang w:eastAsia="fr-FR"/>
              </w:rPr>
              <w:lastRenderedPageBreak/>
              <w:t>dans la production et la commercialisation de l’huile d’olive biologique ?</w:t>
            </w:r>
          </w:p>
        </w:t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lastRenderedPageBreak/>
              <w:t xml:space="preserve">Quels sont les défis liés aux coûts de production, aux conditions climatiques </w:t>
            </w:r>
            <w:r w:rsidRPr="00CD417D">
              <w:rPr>
                <w:rFonts w:ascii="Times New Roman" w:eastAsia="Times New Roman" w:hAnsi="Times New Roman" w:cs="Times New Roman"/>
                <w:sz w:val="24"/>
                <w:szCs w:val="24"/>
                <w:lang w:eastAsia="fr-FR"/>
              </w:rPr>
              <w:lastRenderedPageBreak/>
              <w:t>et aux certifications biologiques ? Quelles difficultés rencontrez-vous dans l’exportation et la concurrence internationale ?</w:t>
            </w:r>
          </w:p>
        </w:t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lastRenderedPageBreak/>
              <w:t xml:space="preserve">Selon vous, quelles sont les contraintes les plus difficiles à </w:t>
            </w:r>
            <w:r w:rsidRPr="00CD417D">
              <w:rPr>
                <w:rFonts w:ascii="Times New Roman" w:eastAsia="Times New Roman" w:hAnsi="Times New Roman" w:cs="Times New Roman"/>
                <w:sz w:val="24"/>
                <w:szCs w:val="24"/>
                <w:lang w:eastAsia="fr-FR"/>
              </w:rPr>
              <w:lastRenderedPageBreak/>
              <w:t>surmonter ? Quelles solutions avez-vous mises en place pour y faire face ?</w:t>
            </w:r>
          </w:p>
        </w:tc>
      </w:tr>
    </w:tbl>
    <w:p w:rsidR="00B54D3C" w:rsidRPr="00CD417D" w:rsidRDefault="00B54D3C" w:rsidP="00B54D3C">
      <w:pPr>
        <w:spacing w:before="100" w:beforeAutospacing="1" w:after="100" w:afterAutospacing="1" w:line="240" w:lineRule="auto"/>
        <w:outlineLvl w:val="0"/>
        <w:rPr>
          <w:rFonts w:ascii="Times New Roman" w:eastAsia="Times New Roman" w:hAnsi="Times New Roman" w:cs="Times New Roman"/>
          <w:b/>
          <w:bCs/>
          <w:kern w:val="36"/>
          <w:sz w:val="28"/>
          <w:szCs w:val="28"/>
          <w:lang w:eastAsia="fr-FR"/>
        </w:rPr>
      </w:pPr>
      <w:r w:rsidRPr="00CD417D">
        <w:rPr>
          <w:rFonts w:ascii="Times New Roman" w:eastAsia="Times New Roman" w:hAnsi="Times New Roman" w:cs="Times New Roman"/>
          <w:b/>
          <w:bCs/>
          <w:kern w:val="36"/>
          <w:sz w:val="28"/>
          <w:szCs w:val="28"/>
          <w:lang w:eastAsia="fr-FR"/>
        </w:rPr>
        <w:lastRenderedPageBreak/>
        <w:t>Axe 9 : Perspectives et développement futur</w:t>
      </w:r>
    </w:p>
    <w:tbl>
      <w:tblPr>
        <w:tblStyle w:val="Grilledutableau"/>
        <w:tblW w:w="0" w:type="auto"/>
        <w:tblLook w:val="04A0"/>
      </w:tblPr>
      <w:tblGrid>
        <w:gridCol w:w="1782"/>
        <w:gridCol w:w="2153"/>
        <w:gridCol w:w="2717"/>
        <w:gridCol w:w="2634"/>
      </w:tblGrid>
      <w:tr w:rsidR="00B54D3C" w:rsidRPr="00CD417D" w:rsidTr="00B54D3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Thème</w:t>
            </w:r>
          </w:p>
        </w:t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Question principale</w:t>
            </w:r>
          </w:p>
        </w:t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Questions additionnelles</w:t>
            </w:r>
          </w:p>
        </w:tc>
        <w:tc>
          <w:tcPr>
            <w:tcW w:w="0" w:type="auto"/>
            <w:hideMark/>
          </w:tcPr>
          <w:p w:rsidR="00B54D3C" w:rsidRPr="00CD417D" w:rsidRDefault="00B54D3C" w:rsidP="00B54D3C">
            <w:pPr>
              <w:jc w:val="center"/>
              <w:rPr>
                <w:rFonts w:ascii="Times New Roman" w:eastAsia="Times New Roman" w:hAnsi="Times New Roman" w:cs="Times New Roman"/>
                <w:b/>
                <w:bCs/>
                <w:sz w:val="24"/>
                <w:szCs w:val="24"/>
                <w:lang w:eastAsia="fr-FR"/>
              </w:rPr>
            </w:pPr>
            <w:r w:rsidRPr="00CD417D">
              <w:rPr>
                <w:rFonts w:ascii="Times New Roman" w:eastAsia="Times New Roman" w:hAnsi="Times New Roman" w:cs="Times New Roman"/>
                <w:b/>
                <w:bCs/>
                <w:sz w:val="24"/>
                <w:szCs w:val="24"/>
                <w:lang w:eastAsia="fr-FR"/>
              </w:rPr>
              <w:t>Questions de relance</w:t>
            </w:r>
          </w:p>
        </w:tc>
      </w:tr>
      <w:tr w:rsidR="00B54D3C" w:rsidRPr="00CD417D" w:rsidTr="00B54D3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t>Perspectives et développement futur</w:t>
            </w:r>
          </w:p>
        </w:t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t>Quelles sont les principales perspectives de développement envisagées par l’entreprise pour les prochaines années ?</w:t>
            </w:r>
          </w:p>
        </w:t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t>Quels sont vos projets en matière d’augmentation de la capacité de production, d’expansion internationale et de diversification des activités ? Quel rôle pourrait jouer le projet d’écotourisme dans le développement de la marque ?</w:t>
            </w:r>
          </w:p>
        </w:tc>
        <w:tc>
          <w:tcPr>
            <w:tcW w:w="0" w:type="auto"/>
            <w:hideMark/>
          </w:tcPr>
          <w:p w:rsidR="00B54D3C" w:rsidRPr="00CD417D" w:rsidRDefault="00B54D3C" w:rsidP="00B54D3C">
            <w:pPr>
              <w:rPr>
                <w:rFonts w:ascii="Times New Roman" w:eastAsia="Times New Roman" w:hAnsi="Times New Roman" w:cs="Times New Roman"/>
                <w:sz w:val="24"/>
                <w:szCs w:val="24"/>
                <w:lang w:eastAsia="fr-FR"/>
              </w:rPr>
            </w:pPr>
            <w:r w:rsidRPr="00CD417D">
              <w:rPr>
                <w:rFonts w:ascii="Times New Roman" w:eastAsia="Times New Roman" w:hAnsi="Times New Roman" w:cs="Times New Roman"/>
                <w:sz w:val="24"/>
                <w:szCs w:val="24"/>
                <w:lang w:eastAsia="fr-FR"/>
              </w:rPr>
              <w:t>Quelles recommandations proposeriez-vous pour améliorer la production biologique en Algérie ? Comment envisagez-vous l’avenir de l’entreprise Dahbia à long terme ?</w:t>
            </w:r>
          </w:p>
        </w:tc>
      </w:tr>
    </w:tbl>
    <w:p w:rsidR="00B54D3C" w:rsidRPr="00E552EE" w:rsidRDefault="00B54D3C" w:rsidP="00B54D3C">
      <w:pPr>
        <w:rPr>
          <w:rFonts w:asciiTheme="majorBidi" w:hAnsiTheme="majorBidi" w:cstheme="majorBidi"/>
          <w:sz w:val="28"/>
          <w:szCs w:val="28"/>
        </w:rPr>
      </w:pPr>
    </w:p>
    <w:p w:rsidR="004B52FF" w:rsidRDefault="004B52FF" w:rsidP="002D5A00">
      <w:pPr>
        <w:pStyle w:val="TM1"/>
        <w:rPr>
          <w:rStyle w:val="lev"/>
        </w:rPr>
        <w:sectPr w:rsidR="004B52FF" w:rsidSect="00140168">
          <w:headerReference w:type="default" r:id="rId75"/>
          <w:headerReference w:type="first" r:id="rId76"/>
          <w:footnotePr>
            <w:numRestart w:val="eachPage"/>
          </w:footnotePr>
          <w:pgSz w:w="11906" w:h="16838"/>
          <w:pgMar w:top="1418" w:right="1418" w:bottom="1418" w:left="1418" w:header="737" w:footer="720" w:gutter="0"/>
          <w:cols w:space="720"/>
          <w:titlePg/>
          <w:docGrid w:linePitch="299"/>
        </w:sectPr>
      </w:pPr>
    </w:p>
    <w:p w:rsidR="005D0B7E" w:rsidRDefault="005D0B7E" w:rsidP="002D5A00">
      <w:pPr>
        <w:pStyle w:val="TM1"/>
        <w:rPr>
          <w:rStyle w:val="lev"/>
        </w:rPr>
      </w:pPr>
    </w:p>
    <w:p w:rsidR="008E60F7" w:rsidRPr="002D5A00" w:rsidRDefault="008E60F7" w:rsidP="002D5A00">
      <w:pPr>
        <w:pStyle w:val="TM1"/>
        <w:rPr>
          <w:rStyle w:val="lev"/>
        </w:rPr>
      </w:pPr>
      <w:r w:rsidRPr="002D5A00">
        <w:rPr>
          <w:rStyle w:val="lev"/>
        </w:rPr>
        <w:t>Tableau des matières</w:t>
      </w:r>
    </w:p>
    <w:p w:rsidR="00E52A17" w:rsidRDefault="007B5998" w:rsidP="002D5A00">
      <w:pPr>
        <w:pStyle w:val="TM1"/>
        <w:rPr>
          <w:rFonts w:asciiTheme="minorHAnsi" w:eastAsiaTheme="minorEastAsia" w:hAnsiTheme="minorHAnsi" w:cstheme="minorBidi"/>
          <w:noProof/>
          <w:kern w:val="2"/>
          <w:lang w:eastAsia="fr-FR"/>
        </w:rPr>
      </w:pPr>
      <w:r w:rsidRPr="007B5998">
        <w:rPr>
          <w:rStyle w:val="lev"/>
        </w:rPr>
        <w:fldChar w:fldCharType="begin"/>
      </w:r>
      <w:r w:rsidR="005D0B7E">
        <w:rPr>
          <w:rStyle w:val="lev"/>
        </w:rPr>
        <w:instrText xml:space="preserve"> TOC \o "1-5" \h \z \u </w:instrText>
      </w:r>
      <w:r w:rsidRPr="007B5998">
        <w:rPr>
          <w:rStyle w:val="lev"/>
        </w:rPr>
        <w:fldChar w:fldCharType="separate"/>
      </w:r>
      <w:hyperlink w:anchor="_Toc230900238" w:history="1">
        <w:r w:rsidR="00E52A17" w:rsidRPr="002B6755">
          <w:rPr>
            <w:rStyle w:val="Lienhypertexte"/>
            <w:b/>
            <w:bCs/>
            <w:noProof/>
          </w:rPr>
          <w:t>Liste des tableaux</w:t>
        </w:r>
        <w:r w:rsidR="00E52A17">
          <w:rPr>
            <w:noProof/>
            <w:webHidden/>
          </w:rPr>
          <w:tab/>
        </w:r>
        <w:r>
          <w:rPr>
            <w:noProof/>
            <w:webHidden/>
          </w:rPr>
          <w:fldChar w:fldCharType="begin"/>
        </w:r>
        <w:r w:rsidR="00E52A17">
          <w:rPr>
            <w:noProof/>
            <w:webHidden/>
          </w:rPr>
          <w:instrText xml:space="preserve"> PAGEREF _Toc230900238 \h </w:instrText>
        </w:r>
        <w:r>
          <w:rPr>
            <w:noProof/>
            <w:webHidden/>
          </w:rPr>
        </w:r>
        <w:r>
          <w:rPr>
            <w:noProof/>
            <w:webHidden/>
          </w:rPr>
          <w:fldChar w:fldCharType="separate"/>
        </w:r>
        <w:r w:rsidR="00515B25">
          <w:rPr>
            <w:noProof/>
            <w:webHidden/>
          </w:rPr>
          <w:t>VII</w:t>
        </w:r>
        <w:r>
          <w:rPr>
            <w:noProof/>
            <w:webHidden/>
          </w:rPr>
          <w:fldChar w:fldCharType="end"/>
        </w:r>
      </w:hyperlink>
    </w:p>
    <w:p w:rsidR="00E52A17" w:rsidRDefault="007B5998" w:rsidP="002D5A00">
      <w:pPr>
        <w:pStyle w:val="TM1"/>
        <w:rPr>
          <w:rFonts w:asciiTheme="minorHAnsi" w:eastAsiaTheme="minorEastAsia" w:hAnsiTheme="minorHAnsi" w:cstheme="minorBidi"/>
          <w:noProof/>
          <w:kern w:val="2"/>
          <w:lang w:eastAsia="fr-FR"/>
        </w:rPr>
      </w:pPr>
      <w:hyperlink w:anchor="_Toc230900239" w:history="1">
        <w:r w:rsidR="00E52A17" w:rsidRPr="002B6755">
          <w:rPr>
            <w:rStyle w:val="Lienhypertexte"/>
            <w:b/>
            <w:bCs/>
            <w:noProof/>
          </w:rPr>
          <w:t>Liste des figures</w:t>
        </w:r>
        <w:r w:rsidR="00E52A17">
          <w:rPr>
            <w:noProof/>
            <w:webHidden/>
          </w:rPr>
          <w:tab/>
        </w:r>
        <w:r>
          <w:rPr>
            <w:noProof/>
            <w:webHidden/>
          </w:rPr>
          <w:fldChar w:fldCharType="begin"/>
        </w:r>
        <w:r w:rsidR="00E52A17">
          <w:rPr>
            <w:noProof/>
            <w:webHidden/>
          </w:rPr>
          <w:instrText xml:space="preserve"> PAGEREF _Toc230900239 \h </w:instrText>
        </w:r>
        <w:r>
          <w:rPr>
            <w:noProof/>
            <w:webHidden/>
          </w:rPr>
        </w:r>
        <w:r>
          <w:rPr>
            <w:noProof/>
            <w:webHidden/>
          </w:rPr>
          <w:fldChar w:fldCharType="separate"/>
        </w:r>
        <w:r w:rsidR="00515B25">
          <w:rPr>
            <w:noProof/>
            <w:webHidden/>
          </w:rPr>
          <w:t>X</w:t>
        </w:r>
        <w:r>
          <w:rPr>
            <w:noProof/>
            <w:webHidden/>
          </w:rPr>
          <w:fldChar w:fldCharType="end"/>
        </w:r>
      </w:hyperlink>
    </w:p>
    <w:p w:rsidR="00E52A17" w:rsidRDefault="007B5998" w:rsidP="002D5A00">
      <w:pPr>
        <w:pStyle w:val="TM1"/>
        <w:rPr>
          <w:rFonts w:asciiTheme="minorHAnsi" w:eastAsiaTheme="minorEastAsia" w:hAnsiTheme="minorHAnsi" w:cstheme="minorBidi"/>
          <w:noProof/>
          <w:kern w:val="2"/>
          <w:lang w:eastAsia="fr-FR"/>
        </w:rPr>
      </w:pPr>
      <w:hyperlink w:anchor="_Toc230900240" w:history="1">
        <w:r w:rsidR="00E52A17" w:rsidRPr="002B6755">
          <w:rPr>
            <w:rStyle w:val="Lienhypertexte"/>
            <w:b/>
            <w:bCs/>
            <w:noProof/>
          </w:rPr>
          <w:t>Liste des abréviations</w:t>
        </w:r>
        <w:r w:rsidR="00E52A17">
          <w:rPr>
            <w:noProof/>
            <w:webHidden/>
          </w:rPr>
          <w:tab/>
        </w:r>
        <w:r>
          <w:rPr>
            <w:noProof/>
            <w:webHidden/>
          </w:rPr>
          <w:fldChar w:fldCharType="begin"/>
        </w:r>
        <w:r w:rsidR="00E52A17">
          <w:rPr>
            <w:noProof/>
            <w:webHidden/>
          </w:rPr>
          <w:instrText xml:space="preserve"> PAGEREF _Toc230900240 \h </w:instrText>
        </w:r>
        <w:r>
          <w:rPr>
            <w:noProof/>
            <w:webHidden/>
          </w:rPr>
        </w:r>
        <w:r>
          <w:rPr>
            <w:noProof/>
            <w:webHidden/>
          </w:rPr>
          <w:fldChar w:fldCharType="separate"/>
        </w:r>
        <w:r w:rsidR="00515B25">
          <w:rPr>
            <w:noProof/>
            <w:webHidden/>
          </w:rPr>
          <w:t>XII</w:t>
        </w:r>
        <w:r>
          <w:rPr>
            <w:noProof/>
            <w:webHidden/>
          </w:rPr>
          <w:fldChar w:fldCharType="end"/>
        </w:r>
      </w:hyperlink>
    </w:p>
    <w:p w:rsidR="00E52A17" w:rsidRDefault="007B5998" w:rsidP="002D5A00">
      <w:pPr>
        <w:pStyle w:val="TM1"/>
        <w:rPr>
          <w:rFonts w:asciiTheme="minorHAnsi" w:eastAsiaTheme="minorEastAsia" w:hAnsiTheme="minorHAnsi" w:cstheme="minorBidi"/>
          <w:noProof/>
          <w:kern w:val="2"/>
          <w:lang w:eastAsia="fr-FR"/>
        </w:rPr>
      </w:pPr>
      <w:hyperlink w:anchor="_Toc230900241" w:history="1">
        <w:r w:rsidR="00E52A17" w:rsidRPr="002B6755">
          <w:rPr>
            <w:rStyle w:val="Lienhypertexte"/>
            <w:b/>
            <w:bCs/>
            <w:noProof/>
          </w:rPr>
          <w:t>Résumé</w:t>
        </w:r>
        <w:r w:rsidR="00E52A17">
          <w:rPr>
            <w:noProof/>
            <w:webHidden/>
          </w:rPr>
          <w:tab/>
        </w:r>
        <w:r>
          <w:rPr>
            <w:noProof/>
            <w:webHidden/>
          </w:rPr>
          <w:fldChar w:fldCharType="begin"/>
        </w:r>
        <w:r w:rsidR="00E52A17">
          <w:rPr>
            <w:noProof/>
            <w:webHidden/>
          </w:rPr>
          <w:instrText xml:space="preserve"> PAGEREF _Toc230900241 \h </w:instrText>
        </w:r>
        <w:r>
          <w:rPr>
            <w:noProof/>
            <w:webHidden/>
          </w:rPr>
        </w:r>
        <w:r>
          <w:rPr>
            <w:noProof/>
            <w:webHidden/>
          </w:rPr>
          <w:fldChar w:fldCharType="separate"/>
        </w:r>
        <w:r w:rsidR="00515B25">
          <w:rPr>
            <w:noProof/>
            <w:webHidden/>
          </w:rPr>
          <w:t>XV</w:t>
        </w:r>
        <w:r>
          <w:rPr>
            <w:noProof/>
            <w:webHidden/>
          </w:rPr>
          <w:fldChar w:fldCharType="end"/>
        </w:r>
      </w:hyperlink>
    </w:p>
    <w:p w:rsidR="00E52A17" w:rsidRDefault="007B5998" w:rsidP="002D5A00">
      <w:pPr>
        <w:pStyle w:val="TM1"/>
        <w:rPr>
          <w:rFonts w:asciiTheme="minorHAnsi" w:eastAsiaTheme="minorEastAsia" w:hAnsiTheme="minorHAnsi" w:cstheme="minorBidi"/>
          <w:noProof/>
          <w:kern w:val="2"/>
          <w:lang w:eastAsia="fr-FR"/>
        </w:rPr>
      </w:pPr>
      <w:hyperlink w:anchor="_Toc230900242" w:history="1">
        <w:r w:rsidR="00E52A17" w:rsidRPr="002B6755">
          <w:rPr>
            <w:rStyle w:val="Lienhypertexte"/>
            <w:b/>
            <w:bCs/>
            <w:noProof/>
          </w:rPr>
          <w:t>Introduction Générale</w:t>
        </w:r>
        <w:r w:rsidR="00E52A17" w:rsidRPr="002B6755">
          <w:rPr>
            <w:rStyle w:val="Lienhypertexte"/>
            <w:noProof/>
          </w:rPr>
          <w:t> :</w:t>
        </w:r>
        <w:r w:rsidR="00E52A17">
          <w:rPr>
            <w:noProof/>
            <w:webHidden/>
          </w:rPr>
          <w:tab/>
        </w:r>
        <w:r>
          <w:rPr>
            <w:noProof/>
            <w:webHidden/>
          </w:rPr>
          <w:fldChar w:fldCharType="begin"/>
        </w:r>
        <w:r w:rsidR="00E52A17">
          <w:rPr>
            <w:noProof/>
            <w:webHidden/>
          </w:rPr>
          <w:instrText xml:space="preserve"> PAGEREF _Toc230900242 \h </w:instrText>
        </w:r>
        <w:r>
          <w:rPr>
            <w:noProof/>
            <w:webHidden/>
          </w:rPr>
        </w:r>
        <w:r>
          <w:rPr>
            <w:noProof/>
            <w:webHidden/>
          </w:rPr>
          <w:fldChar w:fldCharType="separate"/>
        </w:r>
        <w:r w:rsidR="00515B25">
          <w:rPr>
            <w:noProof/>
            <w:webHidden/>
          </w:rPr>
          <w:t>1</w:t>
        </w:r>
        <w:r>
          <w:rPr>
            <w:noProof/>
            <w:webHidden/>
          </w:rPr>
          <w:fldChar w:fldCharType="end"/>
        </w:r>
      </w:hyperlink>
    </w:p>
    <w:p w:rsidR="00E52A17" w:rsidRDefault="007B5998" w:rsidP="002D5A00">
      <w:pPr>
        <w:pStyle w:val="TM1"/>
        <w:rPr>
          <w:rFonts w:asciiTheme="minorHAnsi" w:eastAsiaTheme="minorEastAsia" w:hAnsiTheme="minorHAnsi" w:cstheme="minorBidi"/>
          <w:noProof/>
          <w:kern w:val="2"/>
          <w:lang w:eastAsia="fr-FR"/>
        </w:rPr>
      </w:pPr>
      <w:hyperlink w:anchor="_Toc230900243" w:history="1">
        <w:r w:rsidR="00E52A17" w:rsidRPr="002B6755">
          <w:rPr>
            <w:rStyle w:val="Lienhypertexte"/>
            <w:b/>
            <w:bCs/>
            <w:noProof/>
          </w:rPr>
          <w:t>Chapitre I</w:t>
        </w:r>
        <w:r w:rsidR="00E52A17" w:rsidRPr="002B6755">
          <w:rPr>
            <w:rStyle w:val="Lienhypertexte"/>
            <w:b/>
            <w:bCs/>
            <w:noProof/>
            <w:rtl/>
          </w:rPr>
          <w:t> </w:t>
        </w:r>
        <w:r w:rsidR="00E52A17" w:rsidRPr="002B6755">
          <w:rPr>
            <w:rStyle w:val="Lienhypertexte"/>
            <w:b/>
            <w:bCs/>
            <w:noProof/>
          </w:rPr>
          <w:t>:Cadre conceptuel du marketing biologique et spécificité des produits biologiques.</w:t>
        </w:r>
        <w:r w:rsidR="00E52A17">
          <w:rPr>
            <w:noProof/>
            <w:webHidden/>
          </w:rPr>
          <w:tab/>
        </w:r>
        <w:r>
          <w:rPr>
            <w:noProof/>
            <w:webHidden/>
          </w:rPr>
          <w:fldChar w:fldCharType="begin"/>
        </w:r>
        <w:r w:rsidR="00E52A17">
          <w:rPr>
            <w:noProof/>
            <w:webHidden/>
          </w:rPr>
          <w:instrText xml:space="preserve"> PAGEREF _Toc230900243 \h </w:instrText>
        </w:r>
        <w:r>
          <w:rPr>
            <w:noProof/>
            <w:webHidden/>
          </w:rPr>
        </w:r>
        <w:r>
          <w:rPr>
            <w:noProof/>
            <w:webHidden/>
          </w:rPr>
          <w:fldChar w:fldCharType="separate"/>
        </w:r>
        <w:r w:rsidR="00515B25">
          <w:rPr>
            <w:noProof/>
            <w:webHidden/>
          </w:rPr>
          <w:t>14</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244" w:history="1">
        <w:r w:rsidR="00E52A17" w:rsidRPr="002B6755">
          <w:rPr>
            <w:rStyle w:val="Lienhypertexte"/>
            <w:rFonts w:asciiTheme="majorBidi" w:hAnsiTheme="majorBidi" w:cstheme="majorBidi"/>
            <w:b/>
            <w:bCs/>
            <w:noProof/>
          </w:rPr>
          <w:t xml:space="preserve">Section </w:t>
        </w:r>
        <w:r w:rsidR="00E52A17" w:rsidRPr="002B6755">
          <w:rPr>
            <w:rStyle w:val="Lienhypertexte"/>
            <w:rFonts w:asciiTheme="majorBidi" w:hAnsiTheme="majorBidi" w:cstheme="majorBidi"/>
            <w:b/>
            <w:bCs/>
            <w:noProof/>
            <w:rtl/>
          </w:rPr>
          <w:t>0</w:t>
        </w:r>
        <w:r w:rsidR="00E52A17" w:rsidRPr="002B6755">
          <w:rPr>
            <w:rStyle w:val="Lienhypertexte"/>
            <w:rFonts w:asciiTheme="majorBidi" w:hAnsiTheme="majorBidi" w:cstheme="majorBidi"/>
            <w:b/>
            <w:bCs/>
            <w:noProof/>
          </w:rPr>
          <w:t xml:space="preserve">1 : </w:t>
        </w:r>
        <w:r w:rsidR="00E52A17" w:rsidRPr="002B6755">
          <w:rPr>
            <w:rStyle w:val="Lienhypertexte"/>
            <w:rFonts w:asciiTheme="majorBidi" w:hAnsiTheme="majorBidi" w:cstheme="majorBidi"/>
            <w:noProof/>
          </w:rPr>
          <w:t>Notion du marketing biologique</w:t>
        </w:r>
        <w:r w:rsidR="00E52A17">
          <w:rPr>
            <w:noProof/>
            <w:webHidden/>
          </w:rPr>
          <w:tab/>
        </w:r>
        <w:r>
          <w:rPr>
            <w:noProof/>
            <w:webHidden/>
          </w:rPr>
          <w:fldChar w:fldCharType="begin"/>
        </w:r>
        <w:r w:rsidR="00E52A17">
          <w:rPr>
            <w:noProof/>
            <w:webHidden/>
          </w:rPr>
          <w:instrText xml:space="preserve"> PAGEREF _Toc230900244 \h </w:instrText>
        </w:r>
        <w:r>
          <w:rPr>
            <w:noProof/>
            <w:webHidden/>
          </w:rPr>
        </w:r>
        <w:r>
          <w:rPr>
            <w:noProof/>
            <w:webHidden/>
          </w:rPr>
          <w:fldChar w:fldCharType="separate"/>
        </w:r>
        <w:r w:rsidR="00515B25">
          <w:rPr>
            <w:noProof/>
            <w:webHidden/>
          </w:rPr>
          <w:t>16</w:t>
        </w:r>
        <w:r>
          <w:rPr>
            <w:noProof/>
            <w:webHidden/>
          </w:rPr>
          <w:fldChar w:fldCharType="end"/>
        </w:r>
      </w:hyperlink>
    </w:p>
    <w:p w:rsidR="00E52A17" w:rsidRDefault="007B5998">
      <w:pPr>
        <w:pStyle w:val="TM3"/>
        <w:tabs>
          <w:tab w:val="left" w:pos="880"/>
          <w:tab w:val="right" w:leader="dot" w:pos="9062"/>
        </w:tabs>
        <w:rPr>
          <w:rFonts w:asciiTheme="minorHAnsi" w:eastAsiaTheme="minorEastAsia" w:hAnsiTheme="minorHAnsi" w:cstheme="minorBidi"/>
          <w:noProof/>
          <w:kern w:val="2"/>
          <w:sz w:val="24"/>
          <w:szCs w:val="24"/>
          <w:lang w:eastAsia="fr-FR"/>
        </w:rPr>
      </w:pPr>
      <w:hyperlink w:anchor="_Toc230900245" w:history="1">
        <w:r w:rsidR="00E52A17" w:rsidRPr="002B6755">
          <w:rPr>
            <w:rStyle w:val="Lienhypertexte"/>
            <w:rFonts w:asciiTheme="majorBidi" w:hAnsiTheme="majorBidi" w:cstheme="majorBidi"/>
            <w:b/>
            <w:bCs/>
            <w:noProof/>
          </w:rPr>
          <w:t>1.</w:t>
        </w:r>
        <w:r w:rsidR="00E52A17">
          <w:rPr>
            <w:rFonts w:asciiTheme="minorHAnsi" w:eastAsiaTheme="minorEastAsia" w:hAnsiTheme="minorHAnsi" w:cstheme="minorBidi"/>
            <w:noProof/>
            <w:kern w:val="2"/>
            <w:sz w:val="24"/>
            <w:szCs w:val="24"/>
            <w:lang w:eastAsia="fr-FR"/>
          </w:rPr>
          <w:tab/>
        </w:r>
        <w:r w:rsidR="00E52A17" w:rsidRPr="002B6755">
          <w:rPr>
            <w:rStyle w:val="Lienhypertexte"/>
            <w:rFonts w:asciiTheme="majorBidi" w:hAnsiTheme="majorBidi" w:cstheme="majorBidi"/>
            <w:b/>
            <w:bCs/>
            <w:noProof/>
          </w:rPr>
          <w:t>L’évolution des concepts marketing (du traditionnel au biologique)</w:t>
        </w:r>
        <w:r w:rsidR="00E52A17">
          <w:rPr>
            <w:noProof/>
            <w:webHidden/>
          </w:rPr>
          <w:tab/>
        </w:r>
        <w:r>
          <w:rPr>
            <w:noProof/>
            <w:webHidden/>
          </w:rPr>
          <w:fldChar w:fldCharType="begin"/>
        </w:r>
        <w:r w:rsidR="00E52A17">
          <w:rPr>
            <w:noProof/>
            <w:webHidden/>
          </w:rPr>
          <w:instrText xml:space="preserve"> PAGEREF _Toc230900245 \h </w:instrText>
        </w:r>
        <w:r>
          <w:rPr>
            <w:noProof/>
            <w:webHidden/>
          </w:rPr>
        </w:r>
        <w:r>
          <w:rPr>
            <w:noProof/>
            <w:webHidden/>
          </w:rPr>
          <w:fldChar w:fldCharType="separate"/>
        </w:r>
        <w:r w:rsidR="00515B25">
          <w:rPr>
            <w:noProof/>
            <w:webHidden/>
          </w:rPr>
          <w:t>16</w:t>
        </w:r>
        <w:r>
          <w:rPr>
            <w:noProof/>
            <w:webHidden/>
          </w:rPr>
          <w:fldChar w:fldCharType="end"/>
        </w:r>
      </w:hyperlink>
    </w:p>
    <w:p w:rsidR="00E52A17" w:rsidRDefault="007B5998">
      <w:pPr>
        <w:pStyle w:val="TM4"/>
        <w:tabs>
          <w:tab w:val="left" w:pos="1440"/>
          <w:tab w:val="right" w:leader="dot" w:pos="9062"/>
        </w:tabs>
        <w:rPr>
          <w:rFonts w:asciiTheme="minorHAnsi" w:eastAsiaTheme="minorEastAsia" w:hAnsiTheme="minorHAnsi" w:cstheme="minorBidi"/>
          <w:noProof/>
          <w:kern w:val="2"/>
          <w:sz w:val="24"/>
          <w:szCs w:val="24"/>
          <w:lang w:eastAsia="fr-FR"/>
        </w:rPr>
      </w:pPr>
      <w:hyperlink w:anchor="_Toc230900246" w:history="1">
        <w:r w:rsidR="00E52A17" w:rsidRPr="002B6755">
          <w:rPr>
            <w:rStyle w:val="Lienhypertexte"/>
            <w:rFonts w:asciiTheme="majorBidi" w:hAnsiTheme="majorBidi" w:cstheme="majorBidi"/>
            <w:b/>
            <w:bCs/>
            <w:noProof/>
            <w:lang w:bidi="ar-DZ"/>
          </w:rPr>
          <w:t>1.1.</w:t>
        </w:r>
        <w:r w:rsidR="00E52A17">
          <w:rPr>
            <w:rFonts w:asciiTheme="minorHAnsi" w:eastAsiaTheme="minorEastAsia" w:hAnsiTheme="minorHAnsi" w:cstheme="minorBidi"/>
            <w:noProof/>
            <w:kern w:val="2"/>
            <w:sz w:val="24"/>
            <w:szCs w:val="24"/>
            <w:lang w:eastAsia="fr-FR"/>
          </w:rPr>
          <w:tab/>
        </w:r>
        <w:r w:rsidR="00E52A17" w:rsidRPr="002B6755">
          <w:rPr>
            <w:rStyle w:val="Lienhypertexte"/>
            <w:rFonts w:asciiTheme="majorBidi" w:hAnsiTheme="majorBidi" w:cstheme="majorBidi"/>
            <w:b/>
            <w:bCs/>
            <w:noProof/>
          </w:rPr>
          <w:t>Le marketing traditionnel :</w:t>
        </w:r>
        <w:r w:rsidR="00E52A17">
          <w:rPr>
            <w:noProof/>
            <w:webHidden/>
          </w:rPr>
          <w:tab/>
        </w:r>
        <w:r>
          <w:rPr>
            <w:noProof/>
            <w:webHidden/>
          </w:rPr>
          <w:fldChar w:fldCharType="begin"/>
        </w:r>
        <w:r w:rsidR="00E52A17">
          <w:rPr>
            <w:noProof/>
            <w:webHidden/>
          </w:rPr>
          <w:instrText xml:space="preserve"> PAGEREF _Toc230900246 \h </w:instrText>
        </w:r>
        <w:r>
          <w:rPr>
            <w:noProof/>
            <w:webHidden/>
          </w:rPr>
        </w:r>
        <w:r>
          <w:rPr>
            <w:noProof/>
            <w:webHidden/>
          </w:rPr>
          <w:fldChar w:fldCharType="separate"/>
        </w:r>
        <w:r w:rsidR="00515B25">
          <w:rPr>
            <w:noProof/>
            <w:webHidden/>
          </w:rPr>
          <w:t>16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47" w:history="1">
        <w:r w:rsidR="00E52A17" w:rsidRPr="002B6755">
          <w:rPr>
            <w:rStyle w:val="Lienhypertexte"/>
            <w:rFonts w:asciiTheme="majorBidi" w:hAnsiTheme="majorBidi" w:cstheme="majorBidi"/>
            <w:b/>
            <w:bCs/>
            <w:noProof/>
            <w:lang w:bidi="ar-DZ"/>
          </w:rPr>
          <w:t>1.2. Le marketing vert :</w:t>
        </w:r>
        <w:r w:rsidR="00E52A17">
          <w:rPr>
            <w:noProof/>
            <w:webHidden/>
          </w:rPr>
          <w:tab/>
        </w:r>
        <w:r>
          <w:rPr>
            <w:noProof/>
            <w:webHidden/>
          </w:rPr>
          <w:fldChar w:fldCharType="begin"/>
        </w:r>
        <w:r w:rsidR="00E52A17">
          <w:rPr>
            <w:noProof/>
            <w:webHidden/>
          </w:rPr>
          <w:instrText xml:space="preserve"> PAGEREF _Toc230900247 \h </w:instrText>
        </w:r>
        <w:r>
          <w:rPr>
            <w:noProof/>
            <w:webHidden/>
          </w:rPr>
        </w:r>
        <w:r>
          <w:rPr>
            <w:noProof/>
            <w:webHidden/>
          </w:rPr>
          <w:fldChar w:fldCharType="separate"/>
        </w:r>
        <w:r w:rsidR="00515B25">
          <w:rPr>
            <w:noProof/>
            <w:webHidden/>
          </w:rPr>
          <w:t>17</w:t>
        </w:r>
        <w:r>
          <w:rPr>
            <w:noProof/>
            <w:webHidden/>
          </w:rPr>
          <w:fldChar w:fldCharType="end"/>
        </w:r>
      </w:hyperlink>
    </w:p>
    <w:p w:rsidR="00E52A17" w:rsidRDefault="007B5998">
      <w:pPr>
        <w:pStyle w:val="TM4"/>
        <w:tabs>
          <w:tab w:val="left" w:pos="1440"/>
          <w:tab w:val="right" w:leader="dot" w:pos="9062"/>
        </w:tabs>
        <w:rPr>
          <w:rFonts w:asciiTheme="minorHAnsi" w:eastAsiaTheme="minorEastAsia" w:hAnsiTheme="minorHAnsi" w:cstheme="minorBidi"/>
          <w:noProof/>
          <w:kern w:val="2"/>
          <w:sz w:val="24"/>
          <w:szCs w:val="24"/>
          <w:lang w:eastAsia="fr-FR"/>
        </w:rPr>
      </w:pPr>
      <w:hyperlink w:anchor="_Toc230900248" w:history="1">
        <w:r w:rsidR="00E52A17" w:rsidRPr="002B6755">
          <w:rPr>
            <w:rStyle w:val="Lienhypertexte"/>
            <w:rFonts w:asciiTheme="majorBidi" w:hAnsiTheme="majorBidi" w:cstheme="majorBidi"/>
            <w:b/>
            <w:noProof/>
            <w:rtl/>
            <w:lang w:bidi="ar-DZ"/>
          </w:rPr>
          <w:t>1.3.</w:t>
        </w:r>
        <w:r w:rsidR="00E52A17">
          <w:rPr>
            <w:rFonts w:asciiTheme="minorHAnsi" w:eastAsiaTheme="minorEastAsia" w:hAnsiTheme="minorHAnsi" w:cstheme="minorBidi"/>
            <w:noProof/>
            <w:kern w:val="2"/>
            <w:sz w:val="24"/>
            <w:szCs w:val="24"/>
            <w:lang w:eastAsia="fr-FR"/>
          </w:rPr>
          <w:tab/>
        </w:r>
        <w:r w:rsidR="00E52A17" w:rsidRPr="002B6755">
          <w:rPr>
            <w:rStyle w:val="Lienhypertexte"/>
            <w:rFonts w:asciiTheme="majorBidi" w:hAnsiTheme="majorBidi" w:cstheme="majorBidi"/>
            <w:b/>
            <w:bCs/>
            <w:noProof/>
            <w:lang w:bidi="ar-DZ"/>
          </w:rPr>
          <w:t>Marketing durable</w:t>
        </w:r>
        <w:r w:rsidR="00E52A17" w:rsidRPr="002B6755">
          <w:rPr>
            <w:rStyle w:val="Lienhypertexte"/>
            <w:noProof/>
            <w:rtl/>
            <w:lang w:bidi="ar-DZ"/>
          </w:rPr>
          <w:t xml:space="preserve"> :</w:t>
        </w:r>
        <w:r w:rsidR="00E52A17">
          <w:rPr>
            <w:noProof/>
            <w:webHidden/>
          </w:rPr>
          <w:tab/>
        </w:r>
        <w:r>
          <w:rPr>
            <w:noProof/>
            <w:webHidden/>
          </w:rPr>
          <w:fldChar w:fldCharType="begin"/>
        </w:r>
        <w:r w:rsidR="00E52A17">
          <w:rPr>
            <w:noProof/>
            <w:webHidden/>
          </w:rPr>
          <w:instrText xml:space="preserve"> PAGEREF _Toc230900248 \h </w:instrText>
        </w:r>
        <w:r>
          <w:rPr>
            <w:noProof/>
            <w:webHidden/>
          </w:rPr>
        </w:r>
        <w:r>
          <w:rPr>
            <w:noProof/>
            <w:webHidden/>
          </w:rPr>
          <w:fldChar w:fldCharType="separate"/>
        </w:r>
        <w:r w:rsidR="00515B25">
          <w:rPr>
            <w:noProof/>
            <w:webHidden/>
          </w:rPr>
          <w:t>18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49" w:history="1">
        <w:r w:rsidR="00E52A17" w:rsidRPr="002B6755">
          <w:rPr>
            <w:rStyle w:val="Lienhypertexte"/>
            <w:rFonts w:asciiTheme="majorBidi" w:hAnsiTheme="majorBidi" w:cstheme="majorBidi"/>
            <w:b/>
            <w:bCs/>
            <w:noProof/>
            <w:lang w:bidi="ar-DZ"/>
          </w:rPr>
          <w:t>1.4. Le marketing biologique :</w:t>
        </w:r>
        <w:r w:rsidR="00E52A17">
          <w:rPr>
            <w:noProof/>
            <w:webHidden/>
          </w:rPr>
          <w:tab/>
        </w:r>
        <w:r>
          <w:rPr>
            <w:noProof/>
            <w:webHidden/>
          </w:rPr>
          <w:fldChar w:fldCharType="begin"/>
        </w:r>
        <w:r w:rsidR="00E52A17">
          <w:rPr>
            <w:noProof/>
            <w:webHidden/>
          </w:rPr>
          <w:instrText xml:space="preserve"> PAGEREF _Toc230900249 \h </w:instrText>
        </w:r>
        <w:r>
          <w:rPr>
            <w:noProof/>
            <w:webHidden/>
          </w:rPr>
        </w:r>
        <w:r>
          <w:rPr>
            <w:noProof/>
            <w:webHidden/>
          </w:rPr>
          <w:fldChar w:fldCharType="separate"/>
        </w:r>
        <w:r w:rsidR="00515B25">
          <w:rPr>
            <w:noProof/>
            <w:webHidden/>
          </w:rPr>
          <w:t>19</w:t>
        </w:r>
        <w:r>
          <w:rPr>
            <w:noProof/>
            <w:webHidden/>
          </w:rPr>
          <w:fldChar w:fldCharType="end"/>
        </w:r>
      </w:hyperlink>
    </w:p>
    <w:p w:rsidR="00E52A17" w:rsidRDefault="007B5998">
      <w:pPr>
        <w:pStyle w:val="TM3"/>
        <w:tabs>
          <w:tab w:val="left" w:pos="880"/>
          <w:tab w:val="right" w:leader="dot" w:pos="9062"/>
        </w:tabs>
        <w:rPr>
          <w:rFonts w:asciiTheme="minorHAnsi" w:eastAsiaTheme="minorEastAsia" w:hAnsiTheme="minorHAnsi" w:cstheme="minorBidi"/>
          <w:noProof/>
          <w:kern w:val="2"/>
          <w:sz w:val="24"/>
          <w:szCs w:val="24"/>
          <w:lang w:eastAsia="fr-FR"/>
        </w:rPr>
      </w:pPr>
      <w:hyperlink w:anchor="_Toc230900250" w:history="1">
        <w:r w:rsidR="00E52A17" w:rsidRPr="002B6755">
          <w:rPr>
            <w:rStyle w:val="Lienhypertexte"/>
            <w:rFonts w:asciiTheme="majorBidi" w:hAnsiTheme="majorBidi" w:cstheme="majorBidi"/>
            <w:b/>
            <w:bCs/>
            <w:noProof/>
          </w:rPr>
          <w:t>2.</w:t>
        </w:r>
        <w:r w:rsidR="00E52A17">
          <w:rPr>
            <w:rFonts w:asciiTheme="minorHAnsi" w:eastAsiaTheme="minorEastAsia" w:hAnsiTheme="minorHAnsi" w:cstheme="minorBidi"/>
            <w:noProof/>
            <w:kern w:val="2"/>
            <w:sz w:val="24"/>
            <w:szCs w:val="24"/>
            <w:lang w:eastAsia="fr-FR"/>
          </w:rPr>
          <w:tab/>
        </w:r>
        <w:r w:rsidR="00E52A17" w:rsidRPr="002B6755">
          <w:rPr>
            <w:rStyle w:val="Lienhypertexte"/>
            <w:rFonts w:asciiTheme="majorBidi" w:hAnsiTheme="majorBidi" w:cstheme="majorBidi"/>
            <w:b/>
            <w:bCs/>
            <w:noProof/>
          </w:rPr>
          <w:t>La</w:t>
        </w:r>
        <w:r w:rsidR="00E52A17" w:rsidRPr="002B6755">
          <w:rPr>
            <w:rStyle w:val="Lienhypertexte"/>
            <w:rFonts w:asciiTheme="majorBidi" w:hAnsiTheme="majorBidi" w:cstheme="majorBidi"/>
            <w:b/>
            <w:bCs/>
            <w:noProof/>
            <w:lang w:bidi="ar-DZ"/>
          </w:rPr>
          <w:t xml:space="preserve"> différence entre le marketing vert et le marketing biologique</w:t>
        </w:r>
        <w:r w:rsidR="00E52A17">
          <w:rPr>
            <w:noProof/>
            <w:webHidden/>
          </w:rPr>
          <w:tab/>
        </w:r>
        <w:r>
          <w:rPr>
            <w:noProof/>
            <w:webHidden/>
          </w:rPr>
          <w:fldChar w:fldCharType="begin"/>
        </w:r>
        <w:r w:rsidR="00E52A17">
          <w:rPr>
            <w:noProof/>
            <w:webHidden/>
          </w:rPr>
          <w:instrText xml:space="preserve"> PAGEREF _Toc230900250 \h </w:instrText>
        </w:r>
        <w:r>
          <w:rPr>
            <w:noProof/>
            <w:webHidden/>
          </w:rPr>
        </w:r>
        <w:r>
          <w:rPr>
            <w:noProof/>
            <w:webHidden/>
          </w:rPr>
          <w:fldChar w:fldCharType="separate"/>
        </w:r>
        <w:r w:rsidR="00515B25">
          <w:rPr>
            <w:noProof/>
            <w:webHidden/>
          </w:rPr>
          <w:t>20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51" w:history="1">
        <w:r w:rsidR="00E52A17" w:rsidRPr="002B6755">
          <w:rPr>
            <w:rStyle w:val="Lienhypertexte"/>
            <w:rFonts w:asciiTheme="majorBidi" w:hAnsiTheme="majorBidi" w:cstheme="majorBidi"/>
            <w:b/>
            <w:bCs/>
            <w:noProof/>
            <w:lang w:bidi="ar-DZ"/>
          </w:rPr>
          <w:t>2.1. En termes d’objectif :</w:t>
        </w:r>
        <w:r w:rsidR="00E52A17">
          <w:rPr>
            <w:noProof/>
            <w:webHidden/>
          </w:rPr>
          <w:tab/>
        </w:r>
        <w:r>
          <w:rPr>
            <w:noProof/>
            <w:webHidden/>
          </w:rPr>
          <w:fldChar w:fldCharType="begin"/>
        </w:r>
        <w:r w:rsidR="00E52A17">
          <w:rPr>
            <w:noProof/>
            <w:webHidden/>
          </w:rPr>
          <w:instrText xml:space="preserve"> PAGEREF _Toc230900251 \h </w:instrText>
        </w:r>
        <w:r>
          <w:rPr>
            <w:noProof/>
            <w:webHidden/>
          </w:rPr>
        </w:r>
        <w:r>
          <w:rPr>
            <w:noProof/>
            <w:webHidden/>
          </w:rPr>
          <w:fldChar w:fldCharType="separate"/>
        </w:r>
        <w:r w:rsidR="00515B25">
          <w:rPr>
            <w:noProof/>
            <w:webHidden/>
          </w:rPr>
          <w:t>20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52" w:history="1">
        <w:r w:rsidR="00E52A17" w:rsidRPr="002B6755">
          <w:rPr>
            <w:rStyle w:val="Lienhypertexte"/>
            <w:rFonts w:asciiTheme="majorBidi" w:hAnsiTheme="majorBidi" w:cstheme="majorBidi"/>
            <w:b/>
            <w:bCs/>
            <w:noProof/>
            <w:lang w:bidi="ar-DZ"/>
          </w:rPr>
          <w:t>2.2. En termes de domaine d’application :</w:t>
        </w:r>
        <w:r w:rsidR="00E52A17">
          <w:rPr>
            <w:noProof/>
            <w:webHidden/>
          </w:rPr>
          <w:tab/>
        </w:r>
        <w:r>
          <w:rPr>
            <w:noProof/>
            <w:webHidden/>
          </w:rPr>
          <w:fldChar w:fldCharType="begin"/>
        </w:r>
        <w:r w:rsidR="00E52A17">
          <w:rPr>
            <w:noProof/>
            <w:webHidden/>
          </w:rPr>
          <w:instrText xml:space="preserve"> PAGEREF _Toc230900252 \h </w:instrText>
        </w:r>
        <w:r>
          <w:rPr>
            <w:noProof/>
            <w:webHidden/>
          </w:rPr>
        </w:r>
        <w:r>
          <w:rPr>
            <w:noProof/>
            <w:webHidden/>
          </w:rPr>
          <w:fldChar w:fldCharType="separate"/>
        </w:r>
        <w:r w:rsidR="00515B25">
          <w:rPr>
            <w:noProof/>
            <w:webHidden/>
          </w:rPr>
          <w:t>20</w:t>
        </w:r>
        <w:r>
          <w:rPr>
            <w:noProof/>
            <w:webHidden/>
          </w:rPr>
          <w:fldChar w:fldCharType="end"/>
        </w:r>
      </w:hyperlink>
    </w:p>
    <w:p w:rsidR="00E52A17" w:rsidRDefault="007B5998">
      <w:pPr>
        <w:pStyle w:val="TM3"/>
        <w:tabs>
          <w:tab w:val="left" w:pos="880"/>
          <w:tab w:val="right" w:leader="dot" w:pos="9062"/>
        </w:tabs>
        <w:rPr>
          <w:rFonts w:asciiTheme="minorHAnsi" w:eastAsiaTheme="minorEastAsia" w:hAnsiTheme="minorHAnsi" w:cstheme="minorBidi"/>
          <w:noProof/>
          <w:kern w:val="2"/>
          <w:sz w:val="24"/>
          <w:szCs w:val="24"/>
          <w:lang w:eastAsia="fr-FR"/>
        </w:rPr>
      </w:pPr>
      <w:hyperlink w:anchor="_Toc230900253" w:history="1">
        <w:r w:rsidR="00E52A17" w:rsidRPr="002B6755">
          <w:rPr>
            <w:rStyle w:val="Lienhypertexte"/>
            <w:rFonts w:asciiTheme="majorBidi" w:hAnsiTheme="majorBidi" w:cstheme="majorBidi"/>
            <w:b/>
            <w:bCs/>
            <w:noProof/>
            <w:lang w:bidi="ar-DZ"/>
          </w:rPr>
          <w:t>3.</w:t>
        </w:r>
        <w:r w:rsidR="00E52A17">
          <w:rPr>
            <w:rFonts w:asciiTheme="minorHAnsi" w:eastAsiaTheme="minorEastAsia" w:hAnsiTheme="minorHAnsi" w:cstheme="minorBidi"/>
            <w:noProof/>
            <w:kern w:val="2"/>
            <w:sz w:val="24"/>
            <w:szCs w:val="24"/>
            <w:lang w:eastAsia="fr-FR"/>
          </w:rPr>
          <w:tab/>
        </w:r>
        <w:r w:rsidR="00E52A17" w:rsidRPr="002B6755">
          <w:rPr>
            <w:rStyle w:val="Lienhypertexte"/>
            <w:rFonts w:asciiTheme="majorBidi" w:hAnsiTheme="majorBidi" w:cstheme="majorBidi"/>
            <w:b/>
            <w:bCs/>
            <w:noProof/>
            <w:lang w:bidi="ar-DZ"/>
          </w:rPr>
          <w:t>Les éléments du mix marketing pour les produits biologiques</w:t>
        </w:r>
        <w:r w:rsidR="00E52A17">
          <w:rPr>
            <w:noProof/>
            <w:webHidden/>
          </w:rPr>
          <w:tab/>
        </w:r>
        <w:r>
          <w:rPr>
            <w:noProof/>
            <w:webHidden/>
          </w:rPr>
          <w:fldChar w:fldCharType="begin"/>
        </w:r>
        <w:r w:rsidR="00E52A17">
          <w:rPr>
            <w:noProof/>
            <w:webHidden/>
          </w:rPr>
          <w:instrText xml:space="preserve"> PAGEREF _Toc230900253 \h </w:instrText>
        </w:r>
        <w:r>
          <w:rPr>
            <w:noProof/>
            <w:webHidden/>
          </w:rPr>
        </w:r>
        <w:r>
          <w:rPr>
            <w:noProof/>
            <w:webHidden/>
          </w:rPr>
          <w:fldChar w:fldCharType="separate"/>
        </w:r>
        <w:r w:rsidR="00515B25">
          <w:rPr>
            <w:noProof/>
            <w:webHidden/>
          </w:rPr>
          <w:t>20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54" w:history="1">
        <w:r w:rsidR="00E52A17" w:rsidRPr="002B6755">
          <w:rPr>
            <w:rStyle w:val="Lienhypertexte"/>
            <w:rFonts w:asciiTheme="majorBidi" w:hAnsiTheme="majorBidi" w:cstheme="majorBidi"/>
            <w:b/>
            <w:bCs/>
            <w:noProof/>
            <w:lang w:bidi="ar-DZ"/>
          </w:rPr>
          <w:t>3.1. Politique produit :</w:t>
        </w:r>
        <w:r w:rsidR="00E52A17">
          <w:rPr>
            <w:noProof/>
            <w:webHidden/>
          </w:rPr>
          <w:tab/>
        </w:r>
        <w:r>
          <w:rPr>
            <w:noProof/>
            <w:webHidden/>
          </w:rPr>
          <w:fldChar w:fldCharType="begin"/>
        </w:r>
        <w:r w:rsidR="00E52A17">
          <w:rPr>
            <w:noProof/>
            <w:webHidden/>
          </w:rPr>
          <w:instrText xml:space="preserve"> PAGEREF _Toc230900254 \h </w:instrText>
        </w:r>
        <w:r>
          <w:rPr>
            <w:noProof/>
            <w:webHidden/>
          </w:rPr>
        </w:r>
        <w:r>
          <w:rPr>
            <w:noProof/>
            <w:webHidden/>
          </w:rPr>
          <w:fldChar w:fldCharType="separate"/>
        </w:r>
        <w:r w:rsidR="00515B25">
          <w:rPr>
            <w:noProof/>
            <w:webHidden/>
          </w:rPr>
          <w:t>20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55" w:history="1">
        <w:r w:rsidR="00E52A17" w:rsidRPr="002B6755">
          <w:rPr>
            <w:rStyle w:val="Lienhypertexte"/>
            <w:rFonts w:asciiTheme="majorBidi" w:hAnsiTheme="majorBidi" w:cstheme="majorBidi"/>
            <w:b/>
            <w:bCs/>
            <w:noProof/>
            <w:lang w:bidi="ar-DZ"/>
          </w:rPr>
          <w:t>3.2. Politique prix :</w:t>
        </w:r>
        <w:r w:rsidR="00E52A17">
          <w:rPr>
            <w:noProof/>
            <w:webHidden/>
          </w:rPr>
          <w:tab/>
        </w:r>
        <w:r>
          <w:rPr>
            <w:noProof/>
            <w:webHidden/>
          </w:rPr>
          <w:fldChar w:fldCharType="begin"/>
        </w:r>
        <w:r w:rsidR="00E52A17">
          <w:rPr>
            <w:noProof/>
            <w:webHidden/>
          </w:rPr>
          <w:instrText xml:space="preserve"> PAGEREF _Toc230900255 \h </w:instrText>
        </w:r>
        <w:r>
          <w:rPr>
            <w:noProof/>
            <w:webHidden/>
          </w:rPr>
        </w:r>
        <w:r>
          <w:rPr>
            <w:noProof/>
            <w:webHidden/>
          </w:rPr>
          <w:fldChar w:fldCharType="separate"/>
        </w:r>
        <w:r w:rsidR="00515B25">
          <w:rPr>
            <w:noProof/>
            <w:webHidden/>
          </w:rPr>
          <w:t>21</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56" w:history="1">
        <w:r w:rsidR="00E52A17" w:rsidRPr="002B6755">
          <w:rPr>
            <w:rStyle w:val="Lienhypertexte"/>
            <w:rFonts w:asciiTheme="majorBidi" w:hAnsiTheme="majorBidi" w:cstheme="majorBidi"/>
            <w:b/>
            <w:bCs/>
            <w:noProof/>
          </w:rPr>
          <w:t xml:space="preserve">3.3. </w:t>
        </w:r>
        <w:r w:rsidR="00E52A17" w:rsidRPr="002B6755">
          <w:rPr>
            <w:rStyle w:val="Lienhypertexte"/>
            <w:rFonts w:asciiTheme="majorBidi" w:hAnsiTheme="majorBidi" w:cstheme="majorBidi"/>
            <w:b/>
            <w:bCs/>
            <w:noProof/>
            <w:lang w:bidi="ar-DZ"/>
          </w:rPr>
          <w:t>Distribution des produits biologique :</w:t>
        </w:r>
        <w:r w:rsidR="00E52A17">
          <w:rPr>
            <w:noProof/>
            <w:webHidden/>
          </w:rPr>
          <w:tab/>
        </w:r>
        <w:r>
          <w:rPr>
            <w:noProof/>
            <w:webHidden/>
          </w:rPr>
          <w:fldChar w:fldCharType="begin"/>
        </w:r>
        <w:r w:rsidR="00E52A17">
          <w:rPr>
            <w:noProof/>
            <w:webHidden/>
          </w:rPr>
          <w:instrText xml:space="preserve"> PAGEREF _Toc230900256 \h </w:instrText>
        </w:r>
        <w:r>
          <w:rPr>
            <w:noProof/>
            <w:webHidden/>
          </w:rPr>
        </w:r>
        <w:r>
          <w:rPr>
            <w:noProof/>
            <w:webHidden/>
          </w:rPr>
          <w:fldChar w:fldCharType="separate"/>
        </w:r>
        <w:r w:rsidR="00515B25">
          <w:rPr>
            <w:noProof/>
            <w:webHidden/>
          </w:rPr>
          <w:t>22</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57" w:history="1">
        <w:r w:rsidR="00E52A17" w:rsidRPr="002B6755">
          <w:rPr>
            <w:rStyle w:val="Lienhypertexte"/>
            <w:rFonts w:asciiTheme="majorBidi" w:hAnsiTheme="majorBidi" w:cstheme="majorBidi"/>
            <w:b/>
            <w:bCs/>
            <w:noProof/>
            <w:lang w:bidi="ar-DZ"/>
          </w:rPr>
          <w:t>3.4. La promotion des produits biologiques :</w:t>
        </w:r>
        <w:r w:rsidR="00E52A17">
          <w:rPr>
            <w:noProof/>
            <w:webHidden/>
          </w:rPr>
          <w:tab/>
        </w:r>
        <w:r>
          <w:rPr>
            <w:noProof/>
            <w:webHidden/>
          </w:rPr>
          <w:fldChar w:fldCharType="begin"/>
        </w:r>
        <w:r w:rsidR="00E52A17">
          <w:rPr>
            <w:noProof/>
            <w:webHidden/>
          </w:rPr>
          <w:instrText xml:space="preserve"> PAGEREF _Toc230900257 \h </w:instrText>
        </w:r>
        <w:r>
          <w:rPr>
            <w:noProof/>
            <w:webHidden/>
          </w:rPr>
        </w:r>
        <w:r>
          <w:rPr>
            <w:noProof/>
            <w:webHidden/>
          </w:rPr>
          <w:fldChar w:fldCharType="separate"/>
        </w:r>
        <w:r w:rsidR="00515B25">
          <w:rPr>
            <w:noProof/>
            <w:webHidden/>
          </w:rPr>
          <w:t>26</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258" w:history="1">
        <w:r w:rsidR="00E52A17" w:rsidRPr="002B6755">
          <w:rPr>
            <w:rStyle w:val="Lienhypertexte"/>
            <w:rFonts w:asciiTheme="majorBidi" w:hAnsiTheme="majorBidi" w:cstheme="majorBidi"/>
            <w:b/>
            <w:bCs/>
            <w:noProof/>
            <w:lang w:bidi="ar-DZ"/>
          </w:rPr>
          <w:t xml:space="preserve">Section 02 : </w:t>
        </w:r>
        <w:r w:rsidR="00E52A17" w:rsidRPr="002B6755">
          <w:rPr>
            <w:rStyle w:val="Lienhypertexte"/>
            <w:rFonts w:asciiTheme="majorBidi" w:hAnsiTheme="majorBidi" w:cstheme="majorBidi"/>
            <w:noProof/>
            <w:lang w:bidi="ar-DZ"/>
          </w:rPr>
          <w:t>L’approche scientifique et commerciale des produits biologiques.</w:t>
        </w:r>
        <w:r w:rsidR="00E52A17">
          <w:rPr>
            <w:noProof/>
            <w:webHidden/>
          </w:rPr>
          <w:tab/>
        </w:r>
        <w:r>
          <w:rPr>
            <w:noProof/>
            <w:webHidden/>
          </w:rPr>
          <w:fldChar w:fldCharType="begin"/>
        </w:r>
        <w:r w:rsidR="00E52A17">
          <w:rPr>
            <w:noProof/>
            <w:webHidden/>
          </w:rPr>
          <w:instrText xml:space="preserve"> PAGEREF _Toc230900258 \h </w:instrText>
        </w:r>
        <w:r>
          <w:rPr>
            <w:noProof/>
            <w:webHidden/>
          </w:rPr>
        </w:r>
        <w:r>
          <w:rPr>
            <w:noProof/>
            <w:webHidden/>
          </w:rPr>
          <w:fldChar w:fldCharType="separate"/>
        </w:r>
        <w:r w:rsidR="00515B25">
          <w:rPr>
            <w:noProof/>
            <w:webHidden/>
          </w:rPr>
          <w:t>30</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259" w:history="1">
        <w:r w:rsidR="00E52A17" w:rsidRPr="002B6755">
          <w:rPr>
            <w:rStyle w:val="Lienhypertexte"/>
            <w:rFonts w:asciiTheme="majorBidi" w:hAnsiTheme="majorBidi" w:cstheme="majorBidi"/>
            <w:b/>
            <w:bCs/>
            <w:noProof/>
            <w:lang w:bidi="ar-DZ"/>
          </w:rPr>
          <w:t>1. Concept et normes des produits biologiques.</w:t>
        </w:r>
        <w:r w:rsidR="00E52A17">
          <w:rPr>
            <w:noProof/>
            <w:webHidden/>
          </w:rPr>
          <w:tab/>
        </w:r>
        <w:r>
          <w:rPr>
            <w:noProof/>
            <w:webHidden/>
          </w:rPr>
          <w:fldChar w:fldCharType="begin"/>
        </w:r>
        <w:r w:rsidR="00E52A17">
          <w:rPr>
            <w:noProof/>
            <w:webHidden/>
          </w:rPr>
          <w:instrText xml:space="preserve"> PAGEREF _Toc230900259 \h </w:instrText>
        </w:r>
        <w:r>
          <w:rPr>
            <w:noProof/>
            <w:webHidden/>
          </w:rPr>
        </w:r>
        <w:r>
          <w:rPr>
            <w:noProof/>
            <w:webHidden/>
          </w:rPr>
          <w:fldChar w:fldCharType="separate"/>
        </w:r>
        <w:r w:rsidR="00515B25">
          <w:rPr>
            <w:noProof/>
            <w:webHidden/>
          </w:rPr>
          <w:t>30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60" w:history="1">
        <w:r w:rsidR="00E52A17" w:rsidRPr="002B6755">
          <w:rPr>
            <w:rStyle w:val="Lienhypertexte"/>
            <w:rFonts w:asciiTheme="majorBidi" w:hAnsiTheme="majorBidi" w:cstheme="majorBidi"/>
            <w:b/>
            <w:bCs/>
            <w:noProof/>
            <w:lang w:bidi="ar-DZ"/>
          </w:rPr>
          <w:t>1.1. Définition des produits biologiques :</w:t>
        </w:r>
        <w:r w:rsidR="00E52A17">
          <w:rPr>
            <w:noProof/>
            <w:webHidden/>
          </w:rPr>
          <w:tab/>
        </w:r>
        <w:r>
          <w:rPr>
            <w:noProof/>
            <w:webHidden/>
          </w:rPr>
          <w:fldChar w:fldCharType="begin"/>
        </w:r>
        <w:r w:rsidR="00E52A17">
          <w:rPr>
            <w:noProof/>
            <w:webHidden/>
          </w:rPr>
          <w:instrText xml:space="preserve"> PAGEREF _Toc230900260 \h </w:instrText>
        </w:r>
        <w:r>
          <w:rPr>
            <w:noProof/>
            <w:webHidden/>
          </w:rPr>
        </w:r>
        <w:r>
          <w:rPr>
            <w:noProof/>
            <w:webHidden/>
          </w:rPr>
          <w:fldChar w:fldCharType="separate"/>
        </w:r>
        <w:r w:rsidR="00515B25">
          <w:rPr>
            <w:noProof/>
            <w:webHidden/>
          </w:rPr>
          <w:t>30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61" w:history="1">
        <w:r w:rsidR="00E52A17" w:rsidRPr="002B6755">
          <w:rPr>
            <w:rStyle w:val="Lienhypertexte"/>
            <w:rFonts w:asciiTheme="majorBidi" w:hAnsiTheme="majorBidi" w:cstheme="majorBidi"/>
            <w:b/>
            <w:bCs/>
            <w:noProof/>
            <w:lang w:bidi="ar-DZ"/>
          </w:rPr>
          <w:t>1.2. Les critères des produits biologiques :</w:t>
        </w:r>
        <w:r w:rsidR="00E52A17">
          <w:rPr>
            <w:noProof/>
            <w:webHidden/>
          </w:rPr>
          <w:tab/>
        </w:r>
        <w:r>
          <w:rPr>
            <w:noProof/>
            <w:webHidden/>
          </w:rPr>
          <w:fldChar w:fldCharType="begin"/>
        </w:r>
        <w:r w:rsidR="00E52A17">
          <w:rPr>
            <w:noProof/>
            <w:webHidden/>
          </w:rPr>
          <w:instrText xml:space="preserve"> PAGEREF _Toc230900261 \h </w:instrText>
        </w:r>
        <w:r>
          <w:rPr>
            <w:noProof/>
            <w:webHidden/>
          </w:rPr>
        </w:r>
        <w:r>
          <w:rPr>
            <w:noProof/>
            <w:webHidden/>
          </w:rPr>
          <w:fldChar w:fldCharType="separate"/>
        </w:r>
        <w:r w:rsidR="00515B25">
          <w:rPr>
            <w:noProof/>
            <w:webHidden/>
          </w:rPr>
          <w:t>31</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262" w:history="1">
        <w:r w:rsidR="00E52A17" w:rsidRPr="002B6755">
          <w:rPr>
            <w:rStyle w:val="Lienhypertexte"/>
            <w:rFonts w:asciiTheme="majorBidi" w:hAnsiTheme="majorBidi" w:cstheme="majorBidi"/>
            <w:b/>
            <w:bCs/>
            <w:noProof/>
          </w:rPr>
          <w:t>2.  Système de certification et étiquetage biologique.</w:t>
        </w:r>
        <w:r w:rsidR="00E52A17">
          <w:rPr>
            <w:noProof/>
            <w:webHidden/>
          </w:rPr>
          <w:tab/>
        </w:r>
        <w:r>
          <w:rPr>
            <w:noProof/>
            <w:webHidden/>
          </w:rPr>
          <w:fldChar w:fldCharType="begin"/>
        </w:r>
        <w:r w:rsidR="00E52A17">
          <w:rPr>
            <w:noProof/>
            <w:webHidden/>
          </w:rPr>
          <w:instrText xml:space="preserve"> PAGEREF _Toc230900262 \h </w:instrText>
        </w:r>
        <w:r>
          <w:rPr>
            <w:noProof/>
            <w:webHidden/>
          </w:rPr>
        </w:r>
        <w:r>
          <w:rPr>
            <w:noProof/>
            <w:webHidden/>
          </w:rPr>
          <w:fldChar w:fldCharType="separate"/>
        </w:r>
        <w:r w:rsidR="00515B25">
          <w:rPr>
            <w:noProof/>
            <w:webHidden/>
          </w:rPr>
          <w:t>35</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63" w:history="1">
        <w:r w:rsidR="00E52A17" w:rsidRPr="002B6755">
          <w:rPr>
            <w:rStyle w:val="Lienhypertexte"/>
            <w:rFonts w:ascii="Times New Roman" w:hAnsi="Times New Roman"/>
            <w:b/>
            <w:bCs/>
            <w:noProof/>
          </w:rPr>
          <w:t>2.1. Définition de certification :</w:t>
        </w:r>
        <w:r w:rsidR="00E52A17">
          <w:rPr>
            <w:noProof/>
            <w:webHidden/>
          </w:rPr>
          <w:tab/>
        </w:r>
        <w:r>
          <w:rPr>
            <w:noProof/>
            <w:webHidden/>
          </w:rPr>
          <w:fldChar w:fldCharType="begin"/>
        </w:r>
        <w:r w:rsidR="00E52A17">
          <w:rPr>
            <w:noProof/>
            <w:webHidden/>
          </w:rPr>
          <w:instrText xml:space="preserve"> PAGEREF _Toc230900263 \h </w:instrText>
        </w:r>
        <w:r>
          <w:rPr>
            <w:noProof/>
            <w:webHidden/>
          </w:rPr>
        </w:r>
        <w:r>
          <w:rPr>
            <w:noProof/>
            <w:webHidden/>
          </w:rPr>
          <w:fldChar w:fldCharType="separate"/>
        </w:r>
        <w:r w:rsidR="00515B25">
          <w:rPr>
            <w:noProof/>
            <w:webHidden/>
          </w:rPr>
          <w:t>35</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64" w:history="1">
        <w:r w:rsidR="00E52A17" w:rsidRPr="002B6755">
          <w:rPr>
            <w:rStyle w:val="Lienhypertexte"/>
            <w:rFonts w:ascii="Times New Roman" w:hAnsi="Times New Roman"/>
            <w:b/>
            <w:bCs/>
            <w:noProof/>
          </w:rPr>
          <w:t>2.2.Définition de certification des produits biologiques :</w:t>
        </w:r>
        <w:r w:rsidR="00E52A17">
          <w:rPr>
            <w:noProof/>
            <w:webHidden/>
          </w:rPr>
          <w:tab/>
        </w:r>
        <w:r>
          <w:rPr>
            <w:noProof/>
            <w:webHidden/>
          </w:rPr>
          <w:fldChar w:fldCharType="begin"/>
        </w:r>
        <w:r w:rsidR="00E52A17">
          <w:rPr>
            <w:noProof/>
            <w:webHidden/>
          </w:rPr>
          <w:instrText xml:space="preserve"> PAGEREF _Toc230900264 \h </w:instrText>
        </w:r>
        <w:r>
          <w:rPr>
            <w:noProof/>
            <w:webHidden/>
          </w:rPr>
        </w:r>
        <w:r>
          <w:rPr>
            <w:noProof/>
            <w:webHidden/>
          </w:rPr>
          <w:fldChar w:fldCharType="separate"/>
        </w:r>
        <w:r w:rsidR="00515B25">
          <w:rPr>
            <w:noProof/>
            <w:webHidden/>
          </w:rPr>
          <w:t>35</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65" w:history="1">
        <w:r w:rsidR="00E52A17" w:rsidRPr="002B6755">
          <w:rPr>
            <w:rStyle w:val="Lienhypertexte"/>
            <w:rFonts w:ascii="Times New Roman" w:hAnsi="Times New Roman"/>
            <w:b/>
            <w:bCs/>
            <w:noProof/>
          </w:rPr>
          <w:t>2.3. Conditions de certification biologique :</w:t>
        </w:r>
        <w:r w:rsidR="00E52A17">
          <w:rPr>
            <w:noProof/>
            <w:webHidden/>
          </w:rPr>
          <w:tab/>
        </w:r>
        <w:r>
          <w:rPr>
            <w:noProof/>
            <w:webHidden/>
          </w:rPr>
          <w:fldChar w:fldCharType="begin"/>
        </w:r>
        <w:r w:rsidR="00E52A17">
          <w:rPr>
            <w:noProof/>
            <w:webHidden/>
          </w:rPr>
          <w:instrText xml:space="preserve"> PAGEREF _Toc230900265 \h </w:instrText>
        </w:r>
        <w:r>
          <w:rPr>
            <w:noProof/>
            <w:webHidden/>
          </w:rPr>
        </w:r>
        <w:r>
          <w:rPr>
            <w:noProof/>
            <w:webHidden/>
          </w:rPr>
          <w:fldChar w:fldCharType="separate"/>
        </w:r>
        <w:r w:rsidR="00515B25">
          <w:rPr>
            <w:noProof/>
            <w:webHidden/>
          </w:rPr>
          <w:t>37</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66" w:history="1">
        <w:r w:rsidR="00E52A17" w:rsidRPr="002B6755">
          <w:rPr>
            <w:rStyle w:val="Lienhypertexte"/>
            <w:rFonts w:ascii="Times New Roman" w:hAnsi="Times New Roman"/>
            <w:b/>
            <w:bCs/>
            <w:noProof/>
          </w:rPr>
          <w:t>2.3.1Conditions de production agricole :</w:t>
        </w:r>
        <w:r w:rsidR="00E52A17">
          <w:rPr>
            <w:noProof/>
            <w:webHidden/>
          </w:rPr>
          <w:tab/>
        </w:r>
        <w:r>
          <w:rPr>
            <w:noProof/>
            <w:webHidden/>
          </w:rPr>
          <w:fldChar w:fldCharType="begin"/>
        </w:r>
        <w:r w:rsidR="00E52A17">
          <w:rPr>
            <w:noProof/>
            <w:webHidden/>
          </w:rPr>
          <w:instrText xml:space="preserve"> PAGEREF _Toc230900266 \h </w:instrText>
        </w:r>
        <w:r>
          <w:rPr>
            <w:noProof/>
            <w:webHidden/>
          </w:rPr>
        </w:r>
        <w:r>
          <w:rPr>
            <w:noProof/>
            <w:webHidden/>
          </w:rPr>
          <w:fldChar w:fldCharType="separate"/>
        </w:r>
        <w:r w:rsidR="00515B25">
          <w:rPr>
            <w:noProof/>
            <w:webHidden/>
          </w:rPr>
          <w:t>37</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67" w:history="1">
        <w:r w:rsidR="00E52A17" w:rsidRPr="002B6755">
          <w:rPr>
            <w:rStyle w:val="Lienhypertexte"/>
            <w:rFonts w:ascii="Times New Roman" w:hAnsi="Times New Roman"/>
            <w:b/>
            <w:bCs/>
            <w:noProof/>
          </w:rPr>
          <w:t>2.3.2Conditions de production animale :</w:t>
        </w:r>
        <w:r w:rsidR="00E52A17">
          <w:rPr>
            <w:noProof/>
            <w:webHidden/>
          </w:rPr>
          <w:tab/>
        </w:r>
        <w:r>
          <w:rPr>
            <w:noProof/>
            <w:webHidden/>
          </w:rPr>
          <w:fldChar w:fldCharType="begin"/>
        </w:r>
        <w:r w:rsidR="00E52A17">
          <w:rPr>
            <w:noProof/>
            <w:webHidden/>
          </w:rPr>
          <w:instrText xml:space="preserve"> PAGEREF _Toc230900267 \h </w:instrText>
        </w:r>
        <w:r>
          <w:rPr>
            <w:noProof/>
            <w:webHidden/>
          </w:rPr>
        </w:r>
        <w:r>
          <w:rPr>
            <w:noProof/>
            <w:webHidden/>
          </w:rPr>
          <w:fldChar w:fldCharType="separate"/>
        </w:r>
        <w:r w:rsidR="00515B25">
          <w:rPr>
            <w:noProof/>
            <w:webHidden/>
          </w:rPr>
          <w:t>38</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68" w:history="1">
        <w:r w:rsidR="00E52A17" w:rsidRPr="002B6755">
          <w:rPr>
            <w:rStyle w:val="Lienhypertexte"/>
            <w:rFonts w:ascii="Times New Roman" w:hAnsi="Times New Roman"/>
            <w:b/>
            <w:bCs/>
            <w:noProof/>
          </w:rPr>
          <w:t>2.3.3.Les conditions de traitement et commercialisation :</w:t>
        </w:r>
        <w:r w:rsidR="00E52A17">
          <w:rPr>
            <w:noProof/>
            <w:webHidden/>
          </w:rPr>
          <w:tab/>
        </w:r>
        <w:r>
          <w:rPr>
            <w:noProof/>
            <w:webHidden/>
          </w:rPr>
          <w:fldChar w:fldCharType="begin"/>
        </w:r>
        <w:r w:rsidR="00E52A17">
          <w:rPr>
            <w:noProof/>
            <w:webHidden/>
          </w:rPr>
          <w:instrText xml:space="preserve"> PAGEREF _Toc230900268 \h </w:instrText>
        </w:r>
        <w:r>
          <w:rPr>
            <w:noProof/>
            <w:webHidden/>
          </w:rPr>
        </w:r>
        <w:r>
          <w:rPr>
            <w:noProof/>
            <w:webHidden/>
          </w:rPr>
          <w:fldChar w:fldCharType="separate"/>
        </w:r>
        <w:r w:rsidR="00515B25">
          <w:rPr>
            <w:noProof/>
            <w:webHidden/>
          </w:rPr>
          <w:t>40</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69" w:history="1">
        <w:r w:rsidR="00E52A17" w:rsidRPr="002B6755">
          <w:rPr>
            <w:rStyle w:val="Lienhypertexte"/>
            <w:rFonts w:ascii="Times New Roman" w:hAnsi="Times New Roman"/>
            <w:b/>
            <w:bCs/>
            <w:noProof/>
          </w:rPr>
          <w:t>2.3.4.les conditions d'étiquetage :</w:t>
        </w:r>
        <w:r w:rsidR="00E52A17">
          <w:rPr>
            <w:noProof/>
            <w:webHidden/>
          </w:rPr>
          <w:tab/>
        </w:r>
        <w:r>
          <w:rPr>
            <w:noProof/>
            <w:webHidden/>
          </w:rPr>
          <w:fldChar w:fldCharType="begin"/>
        </w:r>
        <w:r w:rsidR="00E52A17">
          <w:rPr>
            <w:noProof/>
            <w:webHidden/>
          </w:rPr>
          <w:instrText xml:space="preserve"> PAGEREF _Toc230900269 \h </w:instrText>
        </w:r>
        <w:r>
          <w:rPr>
            <w:noProof/>
            <w:webHidden/>
          </w:rPr>
        </w:r>
        <w:r>
          <w:rPr>
            <w:noProof/>
            <w:webHidden/>
          </w:rPr>
          <w:fldChar w:fldCharType="separate"/>
        </w:r>
        <w:r w:rsidR="00515B25">
          <w:rPr>
            <w:noProof/>
            <w:webHidden/>
          </w:rPr>
          <w:t>40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70"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2.4</w:t>
        </w:r>
        <w:r w:rsidR="00E52A17" w:rsidRPr="002B6755">
          <w:rPr>
            <w:rStyle w:val="Lienhypertexte"/>
            <w:rFonts w:ascii="Times New Roman" w:hAnsi="Times New Roman"/>
            <w:b/>
            <w:bCs/>
            <w:noProof/>
          </w:rPr>
          <w:t>Organismes d'accréditation et de surveillance</w:t>
        </w:r>
        <w:r w:rsidR="00E52A17" w:rsidRPr="002B6755">
          <w:rPr>
            <w:rStyle w:val="Lienhypertexte"/>
            <w:rFonts w:ascii="Times New Roman" w:hAnsi="Times New Roman"/>
            <w:b/>
            <w:bCs/>
            <w:noProof/>
            <w:rtl/>
          </w:rPr>
          <w:t xml:space="preserve"> :</w:t>
        </w:r>
        <w:r w:rsidR="00E52A17">
          <w:rPr>
            <w:noProof/>
            <w:webHidden/>
          </w:rPr>
          <w:tab/>
        </w:r>
        <w:r>
          <w:rPr>
            <w:noProof/>
            <w:webHidden/>
          </w:rPr>
          <w:fldChar w:fldCharType="begin"/>
        </w:r>
        <w:r w:rsidR="00E52A17">
          <w:rPr>
            <w:noProof/>
            <w:webHidden/>
          </w:rPr>
          <w:instrText xml:space="preserve"> PAGEREF _Toc230900270 \h </w:instrText>
        </w:r>
        <w:r>
          <w:rPr>
            <w:noProof/>
            <w:webHidden/>
          </w:rPr>
        </w:r>
        <w:r>
          <w:rPr>
            <w:noProof/>
            <w:webHidden/>
          </w:rPr>
          <w:fldChar w:fldCharType="separate"/>
        </w:r>
        <w:r w:rsidR="00515B25">
          <w:rPr>
            <w:noProof/>
            <w:webHidden/>
          </w:rPr>
          <w:t>41</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71" w:history="1">
        <w:r w:rsidR="00E52A17" w:rsidRPr="002B6755">
          <w:rPr>
            <w:rStyle w:val="Lienhypertexte"/>
            <w:rFonts w:ascii="Times New Roman" w:hAnsi="Times New Roman"/>
            <w:b/>
            <w:bCs/>
            <w:noProof/>
          </w:rPr>
          <w:t>2.</w:t>
        </w:r>
        <w:r w:rsidR="00E52A17" w:rsidRPr="002B6755">
          <w:rPr>
            <w:rStyle w:val="Lienhypertexte"/>
            <w:rFonts w:ascii="Times New Roman" w:hAnsi="Times New Roman"/>
            <w:b/>
            <w:bCs/>
            <w:noProof/>
            <w:rtl/>
            <w:lang w:bidi="ar-DZ"/>
          </w:rPr>
          <w:t>4</w:t>
        </w:r>
        <w:r w:rsidR="00E52A17" w:rsidRPr="002B6755">
          <w:rPr>
            <w:rStyle w:val="Lienhypertexte"/>
            <w:rFonts w:ascii="Times New Roman" w:hAnsi="Times New Roman"/>
            <w:b/>
            <w:bCs/>
            <w:noProof/>
          </w:rPr>
          <w:t>.1.Ecocert :</w:t>
        </w:r>
        <w:r w:rsidR="00E52A17">
          <w:rPr>
            <w:noProof/>
            <w:webHidden/>
          </w:rPr>
          <w:tab/>
        </w:r>
        <w:r>
          <w:rPr>
            <w:noProof/>
            <w:webHidden/>
          </w:rPr>
          <w:fldChar w:fldCharType="begin"/>
        </w:r>
        <w:r w:rsidR="00E52A17">
          <w:rPr>
            <w:noProof/>
            <w:webHidden/>
          </w:rPr>
          <w:instrText xml:space="preserve"> PAGEREF _Toc230900271 \h </w:instrText>
        </w:r>
        <w:r>
          <w:rPr>
            <w:noProof/>
            <w:webHidden/>
          </w:rPr>
        </w:r>
        <w:r>
          <w:rPr>
            <w:noProof/>
            <w:webHidden/>
          </w:rPr>
          <w:fldChar w:fldCharType="separate"/>
        </w:r>
        <w:r w:rsidR="00515B25">
          <w:rPr>
            <w:noProof/>
            <w:webHidden/>
          </w:rPr>
          <w:t>41</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72" w:history="1">
        <w:r w:rsidR="00E52A17" w:rsidRPr="002B6755">
          <w:rPr>
            <w:rStyle w:val="Lienhypertexte"/>
            <w:rFonts w:ascii="Times New Roman" w:hAnsi="Times New Roman"/>
            <w:b/>
            <w:bCs/>
            <w:noProof/>
          </w:rPr>
          <w:t>2.</w:t>
        </w:r>
        <w:r w:rsidR="00E52A17" w:rsidRPr="002B6755">
          <w:rPr>
            <w:rStyle w:val="Lienhypertexte"/>
            <w:rFonts w:ascii="Times New Roman" w:hAnsi="Times New Roman"/>
            <w:b/>
            <w:bCs/>
            <w:noProof/>
            <w:rtl/>
            <w:lang w:bidi="ar-DZ"/>
          </w:rPr>
          <w:t>4</w:t>
        </w:r>
        <w:r w:rsidR="00E52A17" w:rsidRPr="002B6755">
          <w:rPr>
            <w:rStyle w:val="Lienhypertexte"/>
            <w:rFonts w:ascii="Times New Roman" w:hAnsi="Times New Roman"/>
            <w:b/>
            <w:bCs/>
            <w:noProof/>
          </w:rPr>
          <w:t>.2.Le rôle de l'organisme de certification:</w:t>
        </w:r>
        <w:r w:rsidR="00E52A17">
          <w:rPr>
            <w:noProof/>
            <w:webHidden/>
          </w:rPr>
          <w:tab/>
        </w:r>
        <w:r>
          <w:rPr>
            <w:noProof/>
            <w:webHidden/>
          </w:rPr>
          <w:fldChar w:fldCharType="begin"/>
        </w:r>
        <w:r w:rsidR="00E52A17">
          <w:rPr>
            <w:noProof/>
            <w:webHidden/>
          </w:rPr>
          <w:instrText xml:space="preserve"> PAGEREF _Toc230900272 \h </w:instrText>
        </w:r>
        <w:r>
          <w:rPr>
            <w:noProof/>
            <w:webHidden/>
          </w:rPr>
        </w:r>
        <w:r>
          <w:rPr>
            <w:noProof/>
            <w:webHidden/>
          </w:rPr>
          <w:fldChar w:fldCharType="separate"/>
        </w:r>
        <w:r w:rsidR="00515B25">
          <w:rPr>
            <w:noProof/>
            <w:webHidden/>
          </w:rPr>
          <w:t>42</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73" w:history="1">
        <w:r w:rsidR="00E52A17" w:rsidRPr="002B6755">
          <w:rPr>
            <w:rStyle w:val="Lienhypertexte"/>
            <w:rFonts w:ascii="Times New Roman" w:hAnsi="Times New Roman"/>
            <w:b/>
            <w:bCs/>
            <w:noProof/>
          </w:rPr>
          <w:t>2.</w:t>
        </w:r>
        <w:r w:rsidR="00E52A17" w:rsidRPr="002B6755">
          <w:rPr>
            <w:rStyle w:val="Lienhypertexte"/>
            <w:rFonts w:ascii="Times New Roman" w:hAnsi="Times New Roman"/>
            <w:b/>
            <w:bCs/>
            <w:noProof/>
            <w:rtl/>
            <w:lang w:bidi="ar-DZ"/>
          </w:rPr>
          <w:t>4</w:t>
        </w:r>
        <w:r w:rsidR="00E52A17" w:rsidRPr="002B6755">
          <w:rPr>
            <w:rStyle w:val="Lienhypertexte"/>
            <w:rFonts w:ascii="Times New Roman" w:hAnsi="Times New Roman"/>
            <w:b/>
            <w:bCs/>
            <w:noProof/>
          </w:rPr>
          <w:t>.3.Étapes pour obtenir la certification biologique :</w:t>
        </w:r>
        <w:r w:rsidR="00E52A17">
          <w:rPr>
            <w:noProof/>
            <w:webHidden/>
          </w:rPr>
          <w:tab/>
        </w:r>
        <w:r>
          <w:rPr>
            <w:noProof/>
            <w:webHidden/>
          </w:rPr>
          <w:fldChar w:fldCharType="begin"/>
        </w:r>
        <w:r w:rsidR="00E52A17">
          <w:rPr>
            <w:noProof/>
            <w:webHidden/>
          </w:rPr>
          <w:instrText xml:space="preserve"> PAGEREF _Toc230900273 \h </w:instrText>
        </w:r>
        <w:r>
          <w:rPr>
            <w:noProof/>
            <w:webHidden/>
          </w:rPr>
        </w:r>
        <w:r>
          <w:rPr>
            <w:noProof/>
            <w:webHidden/>
          </w:rPr>
          <w:fldChar w:fldCharType="separate"/>
        </w:r>
        <w:r w:rsidR="00515B25">
          <w:rPr>
            <w:noProof/>
            <w:webHidden/>
          </w:rPr>
          <w:t>43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74"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2.5</w:t>
        </w:r>
        <w:r w:rsidR="00E52A17" w:rsidRPr="002B6755">
          <w:rPr>
            <w:rStyle w:val="Lienhypertexte"/>
            <w:rFonts w:ascii="Times New Roman" w:hAnsi="Times New Roman"/>
            <w:b/>
            <w:bCs/>
            <w:noProof/>
            <w:lang w:bidi="ar-DZ"/>
          </w:rPr>
          <w:t>Définition de label bio :</w:t>
        </w:r>
        <w:r w:rsidR="00E52A17">
          <w:rPr>
            <w:noProof/>
            <w:webHidden/>
          </w:rPr>
          <w:tab/>
        </w:r>
        <w:r>
          <w:rPr>
            <w:noProof/>
            <w:webHidden/>
          </w:rPr>
          <w:fldChar w:fldCharType="begin"/>
        </w:r>
        <w:r w:rsidR="00E52A17">
          <w:rPr>
            <w:noProof/>
            <w:webHidden/>
          </w:rPr>
          <w:instrText xml:space="preserve"> PAGEREF _Toc230900274 \h </w:instrText>
        </w:r>
        <w:r>
          <w:rPr>
            <w:noProof/>
            <w:webHidden/>
          </w:rPr>
        </w:r>
        <w:r>
          <w:rPr>
            <w:noProof/>
            <w:webHidden/>
          </w:rPr>
          <w:fldChar w:fldCharType="separate"/>
        </w:r>
        <w:r w:rsidR="00515B25">
          <w:rPr>
            <w:noProof/>
            <w:webHidden/>
          </w:rPr>
          <w:t>43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75"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2.6</w:t>
        </w:r>
        <w:r w:rsidR="00E52A17" w:rsidRPr="002B6755">
          <w:rPr>
            <w:rStyle w:val="Lienhypertexte"/>
            <w:rFonts w:ascii="Times New Roman" w:hAnsi="Times New Roman"/>
            <w:b/>
            <w:bCs/>
            <w:noProof/>
            <w:lang w:bidi="ar-DZ"/>
          </w:rPr>
          <w:t>les types des label bio:</w:t>
        </w:r>
        <w:r w:rsidR="00E52A17">
          <w:rPr>
            <w:noProof/>
            <w:webHidden/>
          </w:rPr>
          <w:tab/>
        </w:r>
        <w:r>
          <w:rPr>
            <w:noProof/>
            <w:webHidden/>
          </w:rPr>
          <w:fldChar w:fldCharType="begin"/>
        </w:r>
        <w:r w:rsidR="00E52A17">
          <w:rPr>
            <w:noProof/>
            <w:webHidden/>
          </w:rPr>
          <w:instrText xml:space="preserve"> PAGEREF _Toc230900275 \h </w:instrText>
        </w:r>
        <w:r>
          <w:rPr>
            <w:noProof/>
            <w:webHidden/>
          </w:rPr>
        </w:r>
        <w:r>
          <w:rPr>
            <w:noProof/>
            <w:webHidden/>
          </w:rPr>
          <w:fldChar w:fldCharType="separate"/>
        </w:r>
        <w:r w:rsidR="00515B25">
          <w:rPr>
            <w:noProof/>
            <w:webHidden/>
          </w:rPr>
          <w:t>44</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76"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2.6.1</w:t>
        </w:r>
        <w:r w:rsidR="00E52A17" w:rsidRPr="002B6755">
          <w:rPr>
            <w:rStyle w:val="Lienhypertexte"/>
            <w:rFonts w:ascii="Times New Roman" w:hAnsi="Times New Roman"/>
            <w:b/>
            <w:bCs/>
            <w:noProof/>
            <w:lang w:bidi="ar-DZ"/>
          </w:rPr>
          <w:t>Première classification : par pays d'origine</w:t>
        </w:r>
        <w:r w:rsidR="00E52A17">
          <w:rPr>
            <w:noProof/>
            <w:webHidden/>
          </w:rPr>
          <w:tab/>
        </w:r>
        <w:r>
          <w:rPr>
            <w:noProof/>
            <w:webHidden/>
          </w:rPr>
          <w:fldChar w:fldCharType="begin"/>
        </w:r>
        <w:r w:rsidR="00E52A17">
          <w:rPr>
            <w:noProof/>
            <w:webHidden/>
          </w:rPr>
          <w:instrText xml:space="preserve"> PAGEREF _Toc230900276 \h </w:instrText>
        </w:r>
        <w:r>
          <w:rPr>
            <w:noProof/>
            <w:webHidden/>
          </w:rPr>
        </w:r>
        <w:r>
          <w:rPr>
            <w:noProof/>
            <w:webHidden/>
          </w:rPr>
          <w:fldChar w:fldCharType="separate"/>
        </w:r>
        <w:r w:rsidR="00515B25">
          <w:rPr>
            <w:noProof/>
            <w:webHidden/>
          </w:rPr>
          <w:t>44</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77"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2.6.2</w:t>
        </w:r>
        <w:r w:rsidR="00E52A17" w:rsidRPr="002B6755">
          <w:rPr>
            <w:rStyle w:val="Lienhypertexte"/>
            <w:rFonts w:ascii="Times New Roman" w:hAnsi="Times New Roman"/>
            <w:b/>
            <w:bCs/>
            <w:noProof/>
            <w:lang w:bidi="ar-DZ"/>
          </w:rPr>
          <w:t>Deuxième classification : selon le pourcentage de matière organique</w:t>
        </w:r>
        <w:r w:rsidR="00E52A17">
          <w:rPr>
            <w:noProof/>
            <w:webHidden/>
          </w:rPr>
          <w:tab/>
        </w:r>
        <w:r>
          <w:rPr>
            <w:noProof/>
            <w:webHidden/>
          </w:rPr>
          <w:fldChar w:fldCharType="begin"/>
        </w:r>
        <w:r w:rsidR="00E52A17">
          <w:rPr>
            <w:noProof/>
            <w:webHidden/>
          </w:rPr>
          <w:instrText xml:space="preserve"> PAGEREF _Toc230900277 \h </w:instrText>
        </w:r>
        <w:r>
          <w:rPr>
            <w:noProof/>
            <w:webHidden/>
          </w:rPr>
        </w:r>
        <w:r>
          <w:rPr>
            <w:noProof/>
            <w:webHidden/>
          </w:rPr>
          <w:fldChar w:fldCharType="separate"/>
        </w:r>
        <w:r w:rsidR="00515B25">
          <w:rPr>
            <w:noProof/>
            <w:webHidden/>
          </w:rPr>
          <w:t>45</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78" w:history="1">
        <w:r w:rsidR="00E52A17" w:rsidRPr="002B6755">
          <w:rPr>
            <w:rStyle w:val="Lienhypertexte"/>
            <w:noProof/>
            <w:rtl/>
            <w:lang w:bidi="ar-DZ"/>
          </w:rPr>
          <w:t xml:space="preserve">. </w:t>
        </w:r>
        <w:r w:rsidR="00E52A17" w:rsidRPr="002B6755">
          <w:rPr>
            <w:rStyle w:val="Lienhypertexte"/>
            <w:rFonts w:ascii="Times New Roman" w:hAnsi="Times New Roman"/>
            <w:b/>
            <w:bCs/>
            <w:noProof/>
            <w:rtl/>
            <w:lang w:bidi="ar-DZ"/>
          </w:rPr>
          <w:t>2.6.3</w:t>
        </w:r>
        <w:r w:rsidR="00E52A17" w:rsidRPr="002B6755">
          <w:rPr>
            <w:rStyle w:val="Lienhypertexte"/>
            <w:rFonts w:ascii="Times New Roman" w:hAnsi="Times New Roman"/>
            <w:b/>
            <w:bCs/>
            <w:noProof/>
            <w:lang w:bidi="ar-DZ"/>
          </w:rPr>
          <w:t>Classification troisième: par région géographique</w:t>
        </w:r>
        <w:r w:rsidR="00E52A17">
          <w:rPr>
            <w:noProof/>
            <w:webHidden/>
          </w:rPr>
          <w:tab/>
        </w:r>
        <w:r>
          <w:rPr>
            <w:noProof/>
            <w:webHidden/>
          </w:rPr>
          <w:fldChar w:fldCharType="begin"/>
        </w:r>
        <w:r w:rsidR="00E52A17">
          <w:rPr>
            <w:noProof/>
            <w:webHidden/>
          </w:rPr>
          <w:instrText xml:space="preserve"> PAGEREF _Toc230900278 \h </w:instrText>
        </w:r>
        <w:r>
          <w:rPr>
            <w:noProof/>
            <w:webHidden/>
          </w:rPr>
        </w:r>
        <w:r>
          <w:rPr>
            <w:noProof/>
            <w:webHidden/>
          </w:rPr>
          <w:fldChar w:fldCharType="separate"/>
        </w:r>
        <w:r w:rsidR="00515B25">
          <w:rPr>
            <w:noProof/>
            <w:webHidden/>
          </w:rPr>
          <w:t>47</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279" w:history="1">
        <w:r w:rsidR="00E52A17" w:rsidRPr="002B6755">
          <w:rPr>
            <w:rStyle w:val="Lienhypertexte"/>
            <w:rFonts w:asciiTheme="majorBidi" w:hAnsiTheme="majorBidi" w:cstheme="majorBidi"/>
            <w:b/>
            <w:bCs/>
            <w:noProof/>
          </w:rPr>
          <w:t>3. La réalité du marché des produits biologiques et les transformations du comportement du consommateur saine.</w:t>
        </w:r>
        <w:r w:rsidR="00E52A17">
          <w:rPr>
            <w:noProof/>
            <w:webHidden/>
          </w:rPr>
          <w:tab/>
        </w:r>
        <w:r>
          <w:rPr>
            <w:noProof/>
            <w:webHidden/>
          </w:rPr>
          <w:fldChar w:fldCharType="begin"/>
        </w:r>
        <w:r w:rsidR="00E52A17">
          <w:rPr>
            <w:noProof/>
            <w:webHidden/>
          </w:rPr>
          <w:instrText xml:space="preserve"> PAGEREF _Toc230900279 \h </w:instrText>
        </w:r>
        <w:r>
          <w:rPr>
            <w:noProof/>
            <w:webHidden/>
          </w:rPr>
        </w:r>
        <w:r>
          <w:rPr>
            <w:noProof/>
            <w:webHidden/>
          </w:rPr>
          <w:fldChar w:fldCharType="separate"/>
        </w:r>
        <w:r w:rsidR="00515B25">
          <w:rPr>
            <w:noProof/>
            <w:webHidden/>
          </w:rPr>
          <w:t>53</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280" w:history="1">
        <w:r w:rsidR="00E52A17" w:rsidRPr="002B6755">
          <w:rPr>
            <w:rStyle w:val="Lienhypertexte"/>
            <w:rFonts w:ascii="Times New Roman" w:hAnsi="Times New Roman"/>
            <w:noProof/>
            <w:rtl/>
            <w:lang w:bidi="ar-DZ"/>
          </w:rPr>
          <w:t>.</w:t>
        </w:r>
        <w:r w:rsidR="00E52A17" w:rsidRPr="002B6755">
          <w:rPr>
            <w:rStyle w:val="Lienhypertexte"/>
            <w:rFonts w:ascii="Times New Roman" w:hAnsi="Times New Roman"/>
            <w:b/>
            <w:bCs/>
            <w:noProof/>
            <w:rtl/>
            <w:lang w:bidi="ar-DZ"/>
          </w:rPr>
          <w:t>3.1</w:t>
        </w:r>
        <w:r w:rsidR="00E52A17" w:rsidRPr="002B6755">
          <w:rPr>
            <w:rStyle w:val="Lienhypertexte"/>
            <w:rFonts w:ascii="Times New Roman" w:hAnsi="Times New Roman"/>
            <w:b/>
            <w:bCs/>
            <w:noProof/>
            <w:lang w:bidi="ar-DZ"/>
          </w:rPr>
          <w:t>Taille du marché et croissance mondiale:</w:t>
        </w:r>
        <w:r w:rsidR="00E52A17">
          <w:rPr>
            <w:noProof/>
            <w:webHidden/>
          </w:rPr>
          <w:tab/>
        </w:r>
        <w:r>
          <w:rPr>
            <w:noProof/>
            <w:webHidden/>
          </w:rPr>
          <w:fldChar w:fldCharType="begin"/>
        </w:r>
        <w:r w:rsidR="00E52A17">
          <w:rPr>
            <w:noProof/>
            <w:webHidden/>
          </w:rPr>
          <w:instrText xml:space="preserve"> PAGEREF _Toc230900280 \h </w:instrText>
        </w:r>
        <w:r>
          <w:rPr>
            <w:noProof/>
            <w:webHidden/>
          </w:rPr>
        </w:r>
        <w:r>
          <w:rPr>
            <w:noProof/>
            <w:webHidden/>
          </w:rPr>
          <w:fldChar w:fldCharType="separate"/>
        </w:r>
        <w:r w:rsidR="00515B25">
          <w:rPr>
            <w:noProof/>
            <w:webHidden/>
          </w:rPr>
          <w:t>53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81" w:history="1">
        <w:r w:rsidR="00E52A17" w:rsidRPr="002B6755">
          <w:rPr>
            <w:rStyle w:val="Lienhypertexte"/>
            <w:rFonts w:ascii="Times New Roman" w:hAnsi="Times New Roman"/>
            <w:b/>
            <w:bCs/>
            <w:noProof/>
            <w:lang w:bidi="ar-DZ"/>
          </w:rPr>
          <w:t>3.2. La répartition géographique du marché mondial des produits biologiques :</w:t>
        </w:r>
        <w:r w:rsidR="00E52A17">
          <w:rPr>
            <w:noProof/>
            <w:webHidden/>
          </w:rPr>
          <w:tab/>
        </w:r>
        <w:r>
          <w:rPr>
            <w:noProof/>
            <w:webHidden/>
          </w:rPr>
          <w:fldChar w:fldCharType="begin"/>
        </w:r>
        <w:r w:rsidR="00E52A17">
          <w:rPr>
            <w:noProof/>
            <w:webHidden/>
          </w:rPr>
          <w:instrText xml:space="preserve"> PAGEREF _Toc230900281 \h </w:instrText>
        </w:r>
        <w:r>
          <w:rPr>
            <w:noProof/>
            <w:webHidden/>
          </w:rPr>
        </w:r>
        <w:r>
          <w:rPr>
            <w:noProof/>
            <w:webHidden/>
          </w:rPr>
          <w:fldChar w:fldCharType="separate"/>
        </w:r>
        <w:r w:rsidR="00515B25">
          <w:rPr>
            <w:noProof/>
            <w:webHidden/>
          </w:rPr>
          <w:t>54</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82" w:history="1">
        <w:r w:rsidR="00E52A17" w:rsidRPr="002B6755">
          <w:rPr>
            <w:rStyle w:val="Lienhypertexte"/>
            <w:rFonts w:ascii="Times New Roman" w:hAnsi="Times New Roman"/>
            <w:b/>
            <w:bCs/>
            <w:noProof/>
            <w:kern w:val="0"/>
            <w:lang w:eastAsia="fr-FR"/>
          </w:rPr>
          <w:t xml:space="preserve">3.3. </w:t>
        </w:r>
        <w:r w:rsidR="00E52A17" w:rsidRPr="002B6755">
          <w:rPr>
            <w:rStyle w:val="Lienhypertexte"/>
            <w:rFonts w:ascii="Times New Roman" w:hAnsi="Times New Roman"/>
            <w:b/>
            <w:bCs/>
            <w:noProof/>
            <w:lang w:bidi="ar-DZ"/>
          </w:rPr>
          <w:t>Motivations pour les produits agricoles biologiques</w:t>
        </w:r>
        <w:r w:rsidR="00E52A17">
          <w:rPr>
            <w:noProof/>
            <w:webHidden/>
          </w:rPr>
          <w:tab/>
        </w:r>
        <w:r>
          <w:rPr>
            <w:noProof/>
            <w:webHidden/>
          </w:rPr>
          <w:fldChar w:fldCharType="begin"/>
        </w:r>
        <w:r w:rsidR="00E52A17">
          <w:rPr>
            <w:noProof/>
            <w:webHidden/>
          </w:rPr>
          <w:instrText xml:space="preserve"> PAGEREF _Toc230900282 \h </w:instrText>
        </w:r>
        <w:r>
          <w:rPr>
            <w:noProof/>
            <w:webHidden/>
          </w:rPr>
        </w:r>
        <w:r>
          <w:rPr>
            <w:noProof/>
            <w:webHidden/>
          </w:rPr>
          <w:fldChar w:fldCharType="separate"/>
        </w:r>
        <w:r w:rsidR="00515B25">
          <w:rPr>
            <w:noProof/>
            <w:webHidden/>
          </w:rPr>
          <w:t>55</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83"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 xml:space="preserve">3.3.1 </w:t>
        </w:r>
        <w:r w:rsidR="00E52A17" w:rsidRPr="002B6755">
          <w:rPr>
            <w:rStyle w:val="Lienhypertexte"/>
            <w:rFonts w:ascii="Times New Roman" w:hAnsi="Times New Roman"/>
            <w:b/>
            <w:bCs/>
            <w:noProof/>
            <w:lang w:bidi="ar-DZ"/>
          </w:rPr>
          <w:t>les motivations sanitaires :</w:t>
        </w:r>
        <w:r w:rsidR="00E52A17">
          <w:rPr>
            <w:noProof/>
            <w:webHidden/>
          </w:rPr>
          <w:tab/>
        </w:r>
        <w:r>
          <w:rPr>
            <w:noProof/>
            <w:webHidden/>
          </w:rPr>
          <w:fldChar w:fldCharType="begin"/>
        </w:r>
        <w:r w:rsidR="00E52A17">
          <w:rPr>
            <w:noProof/>
            <w:webHidden/>
          </w:rPr>
          <w:instrText xml:space="preserve"> PAGEREF _Toc230900283 \h </w:instrText>
        </w:r>
        <w:r>
          <w:rPr>
            <w:noProof/>
            <w:webHidden/>
          </w:rPr>
        </w:r>
        <w:r>
          <w:rPr>
            <w:noProof/>
            <w:webHidden/>
          </w:rPr>
          <w:fldChar w:fldCharType="separate"/>
        </w:r>
        <w:r w:rsidR="00515B25">
          <w:rPr>
            <w:noProof/>
            <w:webHidden/>
          </w:rPr>
          <w:t>55</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84"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3.3.2</w:t>
        </w:r>
        <w:r w:rsidR="00E52A17" w:rsidRPr="002B6755">
          <w:rPr>
            <w:rStyle w:val="Lienhypertexte"/>
            <w:rFonts w:ascii="Times New Roman" w:hAnsi="Times New Roman"/>
            <w:b/>
            <w:bCs/>
            <w:noProof/>
            <w:lang w:bidi="ar-DZ"/>
          </w:rPr>
          <w:t>Motivation économique</w:t>
        </w:r>
        <w:r w:rsidR="00E52A17">
          <w:rPr>
            <w:noProof/>
            <w:webHidden/>
          </w:rPr>
          <w:tab/>
        </w:r>
        <w:r>
          <w:rPr>
            <w:noProof/>
            <w:webHidden/>
          </w:rPr>
          <w:fldChar w:fldCharType="begin"/>
        </w:r>
        <w:r w:rsidR="00E52A17">
          <w:rPr>
            <w:noProof/>
            <w:webHidden/>
          </w:rPr>
          <w:instrText xml:space="preserve"> PAGEREF _Toc230900284 \h </w:instrText>
        </w:r>
        <w:r>
          <w:rPr>
            <w:noProof/>
            <w:webHidden/>
          </w:rPr>
        </w:r>
        <w:r>
          <w:rPr>
            <w:noProof/>
            <w:webHidden/>
          </w:rPr>
          <w:fldChar w:fldCharType="separate"/>
        </w:r>
        <w:r w:rsidR="00515B25">
          <w:rPr>
            <w:noProof/>
            <w:webHidden/>
          </w:rPr>
          <w:t>56</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85"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3.3.3</w:t>
        </w:r>
        <w:r w:rsidR="00E52A17" w:rsidRPr="002B6755">
          <w:rPr>
            <w:rStyle w:val="Lienhypertexte"/>
            <w:rFonts w:ascii="Times New Roman" w:hAnsi="Times New Roman"/>
            <w:b/>
            <w:bCs/>
            <w:noProof/>
            <w:lang w:bidi="ar-DZ"/>
          </w:rPr>
          <w:t>Motivation environnementale</w:t>
        </w:r>
        <w:r w:rsidR="00E52A17">
          <w:rPr>
            <w:noProof/>
            <w:webHidden/>
          </w:rPr>
          <w:tab/>
        </w:r>
        <w:r>
          <w:rPr>
            <w:noProof/>
            <w:webHidden/>
          </w:rPr>
          <w:fldChar w:fldCharType="begin"/>
        </w:r>
        <w:r w:rsidR="00E52A17">
          <w:rPr>
            <w:noProof/>
            <w:webHidden/>
          </w:rPr>
          <w:instrText xml:space="preserve"> PAGEREF _Toc230900285 \h </w:instrText>
        </w:r>
        <w:r>
          <w:rPr>
            <w:noProof/>
            <w:webHidden/>
          </w:rPr>
        </w:r>
        <w:r>
          <w:rPr>
            <w:noProof/>
            <w:webHidden/>
          </w:rPr>
          <w:fldChar w:fldCharType="separate"/>
        </w:r>
        <w:r w:rsidR="00515B25">
          <w:rPr>
            <w:noProof/>
            <w:webHidden/>
          </w:rPr>
          <w:t>57</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86" w:history="1">
        <w:r w:rsidR="00E52A17" w:rsidRPr="002B6755">
          <w:rPr>
            <w:rStyle w:val="Lienhypertexte"/>
            <w:noProof/>
            <w:rtl/>
            <w:lang w:bidi="ar-DZ"/>
          </w:rPr>
          <w:t>.</w:t>
        </w:r>
        <w:r w:rsidR="00E52A17" w:rsidRPr="002B6755">
          <w:rPr>
            <w:rStyle w:val="Lienhypertexte"/>
            <w:rFonts w:ascii="Times New Roman" w:hAnsi="Times New Roman"/>
            <w:b/>
            <w:bCs/>
            <w:noProof/>
            <w:rtl/>
            <w:lang w:bidi="ar-DZ"/>
          </w:rPr>
          <w:t>3.3.4</w:t>
        </w:r>
        <w:r w:rsidR="00E52A17" w:rsidRPr="002B6755">
          <w:rPr>
            <w:rStyle w:val="Lienhypertexte"/>
            <w:rFonts w:ascii="Times New Roman" w:hAnsi="Times New Roman"/>
            <w:b/>
            <w:bCs/>
            <w:noProof/>
            <w:lang w:bidi="ar-DZ"/>
          </w:rPr>
          <w:t>Motivation sociale</w:t>
        </w:r>
        <w:r w:rsidR="00E52A17">
          <w:rPr>
            <w:noProof/>
            <w:webHidden/>
          </w:rPr>
          <w:tab/>
        </w:r>
        <w:r>
          <w:rPr>
            <w:noProof/>
            <w:webHidden/>
          </w:rPr>
          <w:fldChar w:fldCharType="begin"/>
        </w:r>
        <w:r w:rsidR="00E52A17">
          <w:rPr>
            <w:noProof/>
            <w:webHidden/>
          </w:rPr>
          <w:instrText xml:space="preserve"> PAGEREF _Toc230900286 \h </w:instrText>
        </w:r>
        <w:r>
          <w:rPr>
            <w:noProof/>
            <w:webHidden/>
          </w:rPr>
        </w:r>
        <w:r>
          <w:rPr>
            <w:noProof/>
            <w:webHidden/>
          </w:rPr>
          <w:fldChar w:fldCharType="separate"/>
        </w:r>
        <w:r w:rsidR="00515B25">
          <w:rPr>
            <w:noProof/>
            <w:webHidden/>
          </w:rPr>
          <w:t>57</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87" w:history="1">
        <w:r w:rsidR="00E52A17" w:rsidRPr="002B6755">
          <w:rPr>
            <w:rStyle w:val="Lienhypertexte"/>
            <w:rFonts w:ascii="Times New Roman" w:hAnsi="Times New Roman"/>
            <w:b/>
            <w:bCs/>
            <w:noProof/>
          </w:rPr>
          <w:t>3.4. Aperçu du marché local : l'agriculture biologique en Algérie</w:t>
        </w:r>
        <w:r w:rsidR="00E52A17">
          <w:rPr>
            <w:noProof/>
            <w:webHidden/>
          </w:rPr>
          <w:tab/>
        </w:r>
        <w:r>
          <w:rPr>
            <w:noProof/>
            <w:webHidden/>
          </w:rPr>
          <w:fldChar w:fldCharType="begin"/>
        </w:r>
        <w:r w:rsidR="00E52A17">
          <w:rPr>
            <w:noProof/>
            <w:webHidden/>
          </w:rPr>
          <w:instrText xml:space="preserve"> PAGEREF _Toc230900287 \h </w:instrText>
        </w:r>
        <w:r>
          <w:rPr>
            <w:noProof/>
            <w:webHidden/>
          </w:rPr>
        </w:r>
        <w:r>
          <w:rPr>
            <w:noProof/>
            <w:webHidden/>
          </w:rPr>
          <w:fldChar w:fldCharType="separate"/>
        </w:r>
        <w:r w:rsidR="00515B25">
          <w:rPr>
            <w:noProof/>
            <w:webHidden/>
          </w:rPr>
          <w:t>58</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288" w:history="1">
        <w:r w:rsidR="00E52A17" w:rsidRPr="002B6755">
          <w:rPr>
            <w:rStyle w:val="Lienhypertexte"/>
            <w:rFonts w:ascii="Times New Roman" w:hAnsi="Times New Roman"/>
            <w:b/>
            <w:bCs/>
            <w:noProof/>
            <w:lang w:bidi="ar-DZ"/>
          </w:rPr>
          <w:t>3.5.La demande locale et le comportement des consommateurs :</w:t>
        </w:r>
        <w:r w:rsidR="00E52A17">
          <w:rPr>
            <w:noProof/>
            <w:webHidden/>
          </w:rPr>
          <w:tab/>
        </w:r>
        <w:r>
          <w:rPr>
            <w:noProof/>
            <w:webHidden/>
          </w:rPr>
          <w:fldChar w:fldCharType="begin"/>
        </w:r>
        <w:r w:rsidR="00E52A17">
          <w:rPr>
            <w:noProof/>
            <w:webHidden/>
          </w:rPr>
          <w:instrText xml:space="preserve"> PAGEREF _Toc230900288 \h </w:instrText>
        </w:r>
        <w:r>
          <w:rPr>
            <w:noProof/>
            <w:webHidden/>
          </w:rPr>
        </w:r>
        <w:r>
          <w:rPr>
            <w:noProof/>
            <w:webHidden/>
          </w:rPr>
          <w:fldChar w:fldCharType="separate"/>
        </w:r>
        <w:r w:rsidR="00515B25">
          <w:rPr>
            <w:noProof/>
            <w:webHidden/>
          </w:rPr>
          <w:t>60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89" w:history="1">
        <w:r w:rsidR="00E52A17" w:rsidRPr="002B6755">
          <w:rPr>
            <w:rStyle w:val="Lienhypertexte"/>
            <w:rFonts w:ascii="Times New Roman" w:hAnsi="Times New Roman"/>
            <w:b/>
            <w:bCs/>
            <w:noProof/>
            <w:lang w:bidi="ar-DZ"/>
          </w:rPr>
          <w:t>3.6. État actuel du secteur bio en Algérie: Offre et Demande</w:t>
        </w:r>
        <w:r w:rsidR="00E52A17">
          <w:rPr>
            <w:noProof/>
            <w:webHidden/>
          </w:rPr>
          <w:tab/>
        </w:r>
        <w:r>
          <w:rPr>
            <w:noProof/>
            <w:webHidden/>
          </w:rPr>
          <w:fldChar w:fldCharType="begin"/>
        </w:r>
        <w:r w:rsidR="00E52A17">
          <w:rPr>
            <w:noProof/>
            <w:webHidden/>
          </w:rPr>
          <w:instrText xml:space="preserve"> PAGEREF _Toc230900289 \h </w:instrText>
        </w:r>
        <w:r>
          <w:rPr>
            <w:noProof/>
            <w:webHidden/>
          </w:rPr>
        </w:r>
        <w:r>
          <w:rPr>
            <w:noProof/>
            <w:webHidden/>
          </w:rPr>
          <w:fldChar w:fldCharType="separate"/>
        </w:r>
        <w:r w:rsidR="00515B25">
          <w:rPr>
            <w:noProof/>
            <w:webHidden/>
          </w:rPr>
          <w:t>61</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90" w:history="1">
        <w:r w:rsidR="00E52A17" w:rsidRPr="002B6755">
          <w:rPr>
            <w:rStyle w:val="Lienhypertexte"/>
            <w:rFonts w:ascii="Times New Roman" w:hAnsi="Times New Roman"/>
            <w:b/>
            <w:bCs/>
            <w:noProof/>
          </w:rPr>
          <w:t>3.7. Défis du Marché Bio en Algérie :</w:t>
        </w:r>
        <w:r w:rsidR="00E52A17">
          <w:rPr>
            <w:noProof/>
            <w:webHidden/>
          </w:rPr>
          <w:tab/>
        </w:r>
        <w:r>
          <w:rPr>
            <w:noProof/>
            <w:webHidden/>
          </w:rPr>
          <w:fldChar w:fldCharType="begin"/>
        </w:r>
        <w:r w:rsidR="00E52A17">
          <w:rPr>
            <w:noProof/>
            <w:webHidden/>
          </w:rPr>
          <w:instrText xml:space="preserve"> PAGEREF _Toc230900290 \h </w:instrText>
        </w:r>
        <w:r>
          <w:rPr>
            <w:noProof/>
            <w:webHidden/>
          </w:rPr>
        </w:r>
        <w:r>
          <w:rPr>
            <w:noProof/>
            <w:webHidden/>
          </w:rPr>
          <w:fldChar w:fldCharType="separate"/>
        </w:r>
        <w:r w:rsidR="00515B25">
          <w:rPr>
            <w:noProof/>
            <w:webHidden/>
          </w:rPr>
          <w:t>62</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91" w:history="1">
        <w:r w:rsidR="00E52A17" w:rsidRPr="002B6755">
          <w:rPr>
            <w:rStyle w:val="Lienhypertexte"/>
            <w:rFonts w:ascii="Times New Roman" w:hAnsi="Times New Roman"/>
            <w:b/>
            <w:bCs/>
            <w:noProof/>
          </w:rPr>
          <w:t>3.8.Facteurs influençant l’achat de produits bio :</w:t>
        </w:r>
        <w:r w:rsidR="00E52A17">
          <w:rPr>
            <w:noProof/>
            <w:webHidden/>
          </w:rPr>
          <w:tab/>
        </w:r>
        <w:r>
          <w:rPr>
            <w:noProof/>
            <w:webHidden/>
          </w:rPr>
          <w:fldChar w:fldCharType="begin"/>
        </w:r>
        <w:r w:rsidR="00E52A17">
          <w:rPr>
            <w:noProof/>
            <w:webHidden/>
          </w:rPr>
          <w:instrText xml:space="preserve"> PAGEREF _Toc230900291 \h </w:instrText>
        </w:r>
        <w:r>
          <w:rPr>
            <w:noProof/>
            <w:webHidden/>
          </w:rPr>
        </w:r>
        <w:r>
          <w:rPr>
            <w:noProof/>
            <w:webHidden/>
          </w:rPr>
          <w:fldChar w:fldCharType="separate"/>
        </w:r>
        <w:r w:rsidR="00515B25">
          <w:rPr>
            <w:noProof/>
            <w:webHidden/>
          </w:rPr>
          <w:t>63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92" w:history="1">
        <w:r w:rsidR="00E52A17" w:rsidRPr="002B6755">
          <w:rPr>
            <w:rStyle w:val="Lienhypertexte"/>
            <w:rFonts w:ascii="Times New Roman" w:hAnsi="Times New Roman"/>
            <w:b/>
            <w:bCs/>
            <w:noProof/>
          </w:rPr>
          <w:t>3.9.Perspectives du marché biologique en Algérie</w:t>
        </w:r>
        <w:r w:rsidR="00E52A17">
          <w:rPr>
            <w:noProof/>
            <w:webHidden/>
          </w:rPr>
          <w:tab/>
        </w:r>
        <w:r>
          <w:rPr>
            <w:noProof/>
            <w:webHidden/>
          </w:rPr>
          <w:fldChar w:fldCharType="begin"/>
        </w:r>
        <w:r w:rsidR="00E52A17">
          <w:rPr>
            <w:noProof/>
            <w:webHidden/>
          </w:rPr>
          <w:instrText xml:space="preserve"> PAGEREF _Toc230900292 \h </w:instrText>
        </w:r>
        <w:r>
          <w:rPr>
            <w:noProof/>
            <w:webHidden/>
          </w:rPr>
        </w:r>
        <w:r>
          <w:rPr>
            <w:noProof/>
            <w:webHidden/>
          </w:rPr>
          <w:fldChar w:fldCharType="separate"/>
        </w:r>
        <w:r w:rsidR="00515B25">
          <w:rPr>
            <w:noProof/>
            <w:webHidden/>
          </w:rPr>
          <w:t>64</w:t>
        </w:r>
        <w:r>
          <w:rPr>
            <w:noProof/>
            <w:webHidden/>
          </w:rPr>
          <w:fldChar w:fldCharType="end"/>
        </w:r>
      </w:hyperlink>
    </w:p>
    <w:p w:rsidR="00E52A17" w:rsidRDefault="007B5998" w:rsidP="002D5A00">
      <w:pPr>
        <w:pStyle w:val="TM1"/>
        <w:rPr>
          <w:rFonts w:asciiTheme="minorHAnsi" w:eastAsiaTheme="minorEastAsia" w:hAnsiTheme="minorHAnsi" w:cstheme="minorBidi"/>
          <w:noProof/>
          <w:kern w:val="2"/>
          <w:lang w:eastAsia="fr-FR"/>
        </w:rPr>
      </w:pPr>
      <w:hyperlink w:anchor="_Toc230900293" w:history="1">
        <w:r w:rsidR="00E52A17" w:rsidRPr="002B6755">
          <w:rPr>
            <w:rStyle w:val="Lienhypertexte"/>
            <w:noProof/>
          </w:rPr>
          <w:t xml:space="preserve">Chapitre </w:t>
        </w:r>
        <w:r w:rsidR="00E52A17" w:rsidRPr="002B6755">
          <w:rPr>
            <w:rStyle w:val="Lienhypertexte"/>
            <w:b/>
            <w:bCs/>
            <w:noProof/>
          </w:rPr>
          <w:t>II :</w:t>
        </w:r>
        <w:r w:rsidR="00E52A17" w:rsidRPr="002B6755">
          <w:rPr>
            <w:rStyle w:val="Lienhypertexte"/>
            <w:noProof/>
          </w:rPr>
          <w:t xml:space="preserve"> Le rôle stratégique du marketing dans le renforcement de la sécurité sanitaire des aliments</w:t>
        </w:r>
        <w:r w:rsidR="00E52A17">
          <w:rPr>
            <w:noProof/>
            <w:webHidden/>
          </w:rPr>
          <w:tab/>
        </w:r>
        <w:r>
          <w:rPr>
            <w:noProof/>
            <w:webHidden/>
          </w:rPr>
          <w:fldChar w:fldCharType="begin"/>
        </w:r>
        <w:r w:rsidR="00E52A17">
          <w:rPr>
            <w:noProof/>
            <w:webHidden/>
          </w:rPr>
          <w:instrText xml:space="preserve"> PAGEREF _Toc230900293 \h </w:instrText>
        </w:r>
        <w:r>
          <w:rPr>
            <w:noProof/>
            <w:webHidden/>
          </w:rPr>
        </w:r>
        <w:r>
          <w:rPr>
            <w:noProof/>
            <w:webHidden/>
          </w:rPr>
          <w:fldChar w:fldCharType="separate"/>
        </w:r>
        <w:r w:rsidR="00515B25">
          <w:rPr>
            <w:noProof/>
            <w:webHidden/>
          </w:rPr>
          <w:t>66</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294" w:history="1">
        <w:r w:rsidR="00E52A17" w:rsidRPr="002B6755">
          <w:rPr>
            <w:rStyle w:val="Lienhypertexte"/>
            <w:rFonts w:asciiTheme="majorBidi" w:hAnsiTheme="majorBidi" w:cstheme="majorBidi"/>
            <w:b/>
            <w:bCs/>
            <w:noProof/>
            <w:lang w:eastAsia="fr-FR"/>
          </w:rPr>
          <w:t xml:space="preserve">Section 01 : </w:t>
        </w:r>
        <w:r w:rsidR="00E52A17" w:rsidRPr="002B6755">
          <w:rPr>
            <w:rStyle w:val="Lienhypertexte"/>
            <w:rFonts w:asciiTheme="majorBidi" w:hAnsiTheme="majorBidi" w:cstheme="majorBidi"/>
            <w:noProof/>
            <w:lang w:eastAsia="fr-FR"/>
          </w:rPr>
          <w:t>Approche de la sécurité sanitaire des aliments</w:t>
        </w:r>
        <w:r w:rsidR="00E52A17">
          <w:rPr>
            <w:noProof/>
            <w:webHidden/>
          </w:rPr>
          <w:tab/>
        </w:r>
        <w:r>
          <w:rPr>
            <w:noProof/>
            <w:webHidden/>
          </w:rPr>
          <w:fldChar w:fldCharType="begin"/>
        </w:r>
        <w:r w:rsidR="00E52A17">
          <w:rPr>
            <w:noProof/>
            <w:webHidden/>
          </w:rPr>
          <w:instrText xml:space="preserve"> PAGEREF _Toc230900294 \h </w:instrText>
        </w:r>
        <w:r>
          <w:rPr>
            <w:noProof/>
            <w:webHidden/>
          </w:rPr>
        </w:r>
        <w:r>
          <w:rPr>
            <w:noProof/>
            <w:webHidden/>
          </w:rPr>
          <w:fldChar w:fldCharType="separate"/>
        </w:r>
        <w:r w:rsidR="00515B25">
          <w:rPr>
            <w:noProof/>
            <w:webHidden/>
          </w:rPr>
          <w:t>68</w:t>
        </w:r>
        <w:r>
          <w:rPr>
            <w:noProof/>
            <w:webHidden/>
          </w:rPr>
          <w:fldChar w:fldCharType="end"/>
        </w:r>
      </w:hyperlink>
    </w:p>
    <w:p w:rsidR="00E52A17" w:rsidRDefault="007B5998">
      <w:pPr>
        <w:pStyle w:val="TM3"/>
        <w:tabs>
          <w:tab w:val="left" w:pos="880"/>
          <w:tab w:val="right" w:leader="dot" w:pos="9062"/>
        </w:tabs>
        <w:rPr>
          <w:rFonts w:asciiTheme="minorHAnsi" w:eastAsiaTheme="minorEastAsia" w:hAnsiTheme="minorHAnsi" w:cstheme="minorBidi"/>
          <w:noProof/>
          <w:kern w:val="2"/>
          <w:sz w:val="24"/>
          <w:szCs w:val="24"/>
          <w:lang w:eastAsia="fr-FR"/>
        </w:rPr>
      </w:pPr>
      <w:hyperlink w:anchor="_Toc230900295" w:history="1">
        <w:r w:rsidR="00E52A17" w:rsidRPr="002B6755">
          <w:rPr>
            <w:rStyle w:val="Lienhypertexte"/>
            <w:rFonts w:asciiTheme="majorBidi" w:hAnsiTheme="majorBidi" w:cstheme="majorBidi"/>
            <w:b/>
            <w:bCs/>
            <w:noProof/>
          </w:rPr>
          <w:t>1.</w:t>
        </w:r>
        <w:r w:rsidR="00E52A17">
          <w:rPr>
            <w:rFonts w:asciiTheme="minorHAnsi" w:eastAsiaTheme="minorEastAsia" w:hAnsiTheme="minorHAnsi" w:cstheme="minorBidi"/>
            <w:noProof/>
            <w:kern w:val="2"/>
            <w:sz w:val="24"/>
            <w:szCs w:val="24"/>
            <w:lang w:eastAsia="fr-FR"/>
          </w:rPr>
          <w:tab/>
        </w:r>
        <w:r w:rsidR="00E52A17" w:rsidRPr="002B6755">
          <w:rPr>
            <w:rStyle w:val="Lienhypertexte"/>
            <w:rFonts w:asciiTheme="majorBidi" w:hAnsiTheme="majorBidi" w:cstheme="majorBidi"/>
            <w:b/>
            <w:bCs/>
            <w:noProof/>
            <w:lang w:eastAsia="fr-FR"/>
          </w:rPr>
          <w:t>Concept de sécurité sanitaire et distinction avec la sécurité alimentaire</w:t>
        </w:r>
        <w:r w:rsidR="00E52A17">
          <w:rPr>
            <w:noProof/>
            <w:webHidden/>
          </w:rPr>
          <w:tab/>
        </w:r>
        <w:r>
          <w:rPr>
            <w:noProof/>
            <w:webHidden/>
          </w:rPr>
          <w:fldChar w:fldCharType="begin"/>
        </w:r>
        <w:r w:rsidR="00E52A17">
          <w:rPr>
            <w:noProof/>
            <w:webHidden/>
          </w:rPr>
          <w:instrText xml:space="preserve"> PAGEREF _Toc230900295 \h </w:instrText>
        </w:r>
        <w:r>
          <w:rPr>
            <w:noProof/>
            <w:webHidden/>
          </w:rPr>
        </w:r>
        <w:r>
          <w:rPr>
            <w:noProof/>
            <w:webHidden/>
          </w:rPr>
          <w:fldChar w:fldCharType="separate"/>
        </w:r>
        <w:r w:rsidR="00515B25">
          <w:rPr>
            <w:noProof/>
            <w:webHidden/>
          </w:rPr>
          <w:t>68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96" w:history="1">
        <w:r w:rsidR="00E52A17" w:rsidRPr="002B6755">
          <w:rPr>
            <w:rStyle w:val="Lienhypertexte"/>
            <w:rFonts w:ascii="Times New Roman" w:hAnsi="Times New Roman"/>
            <w:b/>
            <w:bCs/>
            <w:noProof/>
          </w:rPr>
          <w:t>1.1.Définition de la sécurité alimentaire</w:t>
        </w:r>
        <w:r w:rsidR="00E52A17">
          <w:rPr>
            <w:noProof/>
            <w:webHidden/>
          </w:rPr>
          <w:tab/>
        </w:r>
        <w:r>
          <w:rPr>
            <w:noProof/>
            <w:webHidden/>
          </w:rPr>
          <w:fldChar w:fldCharType="begin"/>
        </w:r>
        <w:r w:rsidR="00E52A17">
          <w:rPr>
            <w:noProof/>
            <w:webHidden/>
          </w:rPr>
          <w:instrText xml:space="preserve"> PAGEREF _Toc230900296 \h </w:instrText>
        </w:r>
        <w:r>
          <w:rPr>
            <w:noProof/>
            <w:webHidden/>
          </w:rPr>
        </w:r>
        <w:r>
          <w:rPr>
            <w:noProof/>
            <w:webHidden/>
          </w:rPr>
          <w:fldChar w:fldCharType="separate"/>
        </w:r>
        <w:r w:rsidR="00515B25">
          <w:rPr>
            <w:noProof/>
            <w:webHidden/>
          </w:rPr>
          <w:t>68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97" w:history="1">
        <w:r w:rsidR="00E52A17" w:rsidRPr="002B6755">
          <w:rPr>
            <w:rStyle w:val="Lienhypertexte"/>
            <w:rFonts w:ascii="Times New Roman" w:hAnsi="Times New Roman"/>
            <w:b/>
            <w:bCs/>
            <w:noProof/>
          </w:rPr>
          <w:t>1.2. Définition de la sécurité sanitaire des aliments</w:t>
        </w:r>
        <w:r w:rsidR="00E52A17">
          <w:rPr>
            <w:noProof/>
            <w:webHidden/>
          </w:rPr>
          <w:tab/>
        </w:r>
        <w:r>
          <w:rPr>
            <w:noProof/>
            <w:webHidden/>
          </w:rPr>
          <w:fldChar w:fldCharType="begin"/>
        </w:r>
        <w:r w:rsidR="00E52A17">
          <w:rPr>
            <w:noProof/>
            <w:webHidden/>
          </w:rPr>
          <w:instrText xml:space="preserve"> PAGEREF _Toc230900297 \h </w:instrText>
        </w:r>
        <w:r>
          <w:rPr>
            <w:noProof/>
            <w:webHidden/>
          </w:rPr>
        </w:r>
        <w:r>
          <w:rPr>
            <w:noProof/>
            <w:webHidden/>
          </w:rPr>
          <w:fldChar w:fldCharType="separate"/>
        </w:r>
        <w:r w:rsidR="00515B25">
          <w:rPr>
            <w:noProof/>
            <w:webHidden/>
          </w:rPr>
          <w:t>70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98" w:history="1">
        <w:r w:rsidR="00E52A17" w:rsidRPr="002B6755">
          <w:rPr>
            <w:rStyle w:val="Lienhypertexte"/>
            <w:rFonts w:ascii="Times New Roman" w:hAnsi="Times New Roman"/>
            <w:b/>
            <w:bCs/>
            <w:noProof/>
          </w:rPr>
          <w:t>1.3. La différence entre la sécurité sanitaire des aliments et la sécurité alimentaire</w:t>
        </w:r>
        <w:r w:rsidR="00E52A17">
          <w:rPr>
            <w:noProof/>
            <w:webHidden/>
          </w:rPr>
          <w:tab/>
        </w:r>
        <w:r>
          <w:rPr>
            <w:noProof/>
            <w:webHidden/>
          </w:rPr>
          <w:fldChar w:fldCharType="begin"/>
        </w:r>
        <w:r w:rsidR="00E52A17">
          <w:rPr>
            <w:noProof/>
            <w:webHidden/>
          </w:rPr>
          <w:instrText xml:space="preserve"> PAGEREF _Toc230900298 \h </w:instrText>
        </w:r>
        <w:r>
          <w:rPr>
            <w:noProof/>
            <w:webHidden/>
          </w:rPr>
        </w:r>
        <w:r>
          <w:rPr>
            <w:noProof/>
            <w:webHidden/>
          </w:rPr>
          <w:fldChar w:fldCharType="separate"/>
        </w:r>
        <w:r w:rsidR="00515B25">
          <w:rPr>
            <w:noProof/>
            <w:webHidden/>
          </w:rPr>
          <w:t>71</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299" w:history="1">
        <w:r w:rsidR="00E52A17" w:rsidRPr="002B6755">
          <w:rPr>
            <w:rStyle w:val="Lienhypertexte"/>
            <w:rFonts w:ascii="Times New Roman" w:hAnsi="Times New Roman"/>
            <w:b/>
            <w:bCs/>
            <w:noProof/>
          </w:rPr>
          <w:t xml:space="preserve">1.4. Importance de la sécurité sanitaire </w:t>
        </w:r>
        <w:r w:rsidR="00E52A17" w:rsidRPr="002B6755">
          <w:rPr>
            <w:rStyle w:val="Lienhypertexte"/>
            <w:rFonts w:ascii="Times New Roman" w:hAnsi="Times New Roman"/>
            <w:b/>
            <w:bCs/>
            <w:noProof/>
            <w:lang w:eastAsia="fr-FR"/>
          </w:rPr>
          <w:t>la sécurité sanitaire des aliments</w:t>
        </w:r>
        <w:r w:rsidR="00E52A17">
          <w:rPr>
            <w:noProof/>
            <w:webHidden/>
          </w:rPr>
          <w:tab/>
        </w:r>
        <w:r>
          <w:rPr>
            <w:noProof/>
            <w:webHidden/>
          </w:rPr>
          <w:fldChar w:fldCharType="begin"/>
        </w:r>
        <w:r w:rsidR="00E52A17">
          <w:rPr>
            <w:noProof/>
            <w:webHidden/>
          </w:rPr>
          <w:instrText xml:space="preserve"> PAGEREF _Toc230900299 \h </w:instrText>
        </w:r>
        <w:r>
          <w:rPr>
            <w:noProof/>
            <w:webHidden/>
          </w:rPr>
        </w:r>
        <w:r>
          <w:rPr>
            <w:noProof/>
            <w:webHidden/>
          </w:rPr>
          <w:fldChar w:fldCharType="separate"/>
        </w:r>
        <w:r w:rsidR="00515B25">
          <w:rPr>
            <w:noProof/>
            <w:webHidden/>
          </w:rPr>
          <w:t>73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00" w:history="1">
        <w:r w:rsidR="00E52A17" w:rsidRPr="002B6755">
          <w:rPr>
            <w:rStyle w:val="Lienhypertexte"/>
            <w:rFonts w:ascii="Times New Roman" w:hAnsi="Times New Roman"/>
            <w:b/>
            <w:bCs/>
            <w:noProof/>
          </w:rPr>
          <w:t>1.5. Le lien entre les produits biologiques et la sécurité sanitaire des aliments</w:t>
        </w:r>
        <w:r w:rsidR="00E52A17">
          <w:rPr>
            <w:noProof/>
            <w:webHidden/>
          </w:rPr>
          <w:tab/>
        </w:r>
        <w:r>
          <w:rPr>
            <w:noProof/>
            <w:webHidden/>
          </w:rPr>
          <w:fldChar w:fldCharType="begin"/>
        </w:r>
        <w:r w:rsidR="00E52A17">
          <w:rPr>
            <w:noProof/>
            <w:webHidden/>
          </w:rPr>
          <w:instrText xml:space="preserve"> PAGEREF _Toc230900300 \h </w:instrText>
        </w:r>
        <w:r>
          <w:rPr>
            <w:noProof/>
            <w:webHidden/>
          </w:rPr>
        </w:r>
        <w:r>
          <w:rPr>
            <w:noProof/>
            <w:webHidden/>
          </w:rPr>
          <w:fldChar w:fldCharType="separate"/>
        </w:r>
        <w:r w:rsidR="00515B25">
          <w:rPr>
            <w:noProof/>
            <w:webHidden/>
          </w:rPr>
          <w:t>74</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01" w:history="1">
        <w:r w:rsidR="00E52A17" w:rsidRPr="002B6755">
          <w:rPr>
            <w:rStyle w:val="Lienhypertexte"/>
            <w:rFonts w:ascii="Times New Roman" w:eastAsiaTheme="minorHAnsi" w:hAnsi="Times New Roman"/>
            <w:b/>
            <w:bCs/>
            <w:noProof/>
          </w:rPr>
          <w:t>2. </w:t>
        </w:r>
        <w:r w:rsidR="00E52A17" w:rsidRPr="002B6755">
          <w:rPr>
            <w:rStyle w:val="Lienhypertexte"/>
            <w:rFonts w:ascii="Times New Roman" w:hAnsi="Times New Roman"/>
            <w:b/>
            <w:bCs/>
            <w:noProof/>
          </w:rPr>
          <w:t>Analyse des risques alimentaires dans les produits conventionnels et biologiques</w:t>
        </w:r>
        <w:r w:rsidR="00E52A17">
          <w:rPr>
            <w:noProof/>
            <w:webHidden/>
          </w:rPr>
          <w:tab/>
        </w:r>
        <w:r>
          <w:rPr>
            <w:noProof/>
            <w:webHidden/>
          </w:rPr>
          <w:fldChar w:fldCharType="begin"/>
        </w:r>
        <w:r w:rsidR="00E52A17">
          <w:rPr>
            <w:noProof/>
            <w:webHidden/>
          </w:rPr>
          <w:instrText xml:space="preserve"> PAGEREF _Toc230900301 \h </w:instrText>
        </w:r>
        <w:r>
          <w:rPr>
            <w:noProof/>
            <w:webHidden/>
          </w:rPr>
        </w:r>
        <w:r>
          <w:rPr>
            <w:noProof/>
            <w:webHidden/>
          </w:rPr>
          <w:fldChar w:fldCharType="separate"/>
        </w:r>
        <w:r w:rsidR="00515B25">
          <w:rPr>
            <w:noProof/>
            <w:webHidden/>
          </w:rPr>
          <w:t>76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02" w:history="1">
        <w:r w:rsidR="00E52A17" w:rsidRPr="002B6755">
          <w:rPr>
            <w:rStyle w:val="Lienhypertexte"/>
            <w:rFonts w:ascii="Times New Roman" w:hAnsi="Times New Roman"/>
            <w:b/>
            <w:bCs/>
            <w:noProof/>
            <w:lang w:eastAsia="fr-FR"/>
          </w:rPr>
          <w:t>2.1.Concept de l’analyse des risques alimentaires</w:t>
        </w:r>
        <w:r w:rsidR="00E52A17">
          <w:rPr>
            <w:noProof/>
            <w:webHidden/>
          </w:rPr>
          <w:tab/>
        </w:r>
        <w:r>
          <w:rPr>
            <w:noProof/>
            <w:webHidden/>
          </w:rPr>
          <w:fldChar w:fldCharType="begin"/>
        </w:r>
        <w:r w:rsidR="00E52A17">
          <w:rPr>
            <w:noProof/>
            <w:webHidden/>
          </w:rPr>
          <w:instrText xml:space="preserve"> PAGEREF _Toc230900302 \h </w:instrText>
        </w:r>
        <w:r>
          <w:rPr>
            <w:noProof/>
            <w:webHidden/>
          </w:rPr>
        </w:r>
        <w:r>
          <w:rPr>
            <w:noProof/>
            <w:webHidden/>
          </w:rPr>
          <w:fldChar w:fldCharType="separate"/>
        </w:r>
        <w:r w:rsidR="00515B25">
          <w:rPr>
            <w:noProof/>
            <w:webHidden/>
          </w:rPr>
          <w:t>76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03" w:history="1">
        <w:r w:rsidR="00E52A17" w:rsidRPr="002B6755">
          <w:rPr>
            <w:rStyle w:val="Lienhypertexte"/>
            <w:rFonts w:ascii="Times New Roman" w:hAnsi="Times New Roman"/>
            <w:b/>
            <w:bCs/>
            <w:noProof/>
          </w:rPr>
          <w:t>2.2. Les composantes de l’analyse des risques</w:t>
        </w:r>
        <w:r w:rsidR="00E52A17">
          <w:rPr>
            <w:noProof/>
            <w:webHidden/>
          </w:rPr>
          <w:tab/>
        </w:r>
        <w:r>
          <w:rPr>
            <w:noProof/>
            <w:webHidden/>
          </w:rPr>
          <w:fldChar w:fldCharType="begin"/>
        </w:r>
        <w:r w:rsidR="00E52A17">
          <w:rPr>
            <w:noProof/>
            <w:webHidden/>
          </w:rPr>
          <w:instrText xml:space="preserve"> PAGEREF _Toc230900303 \h </w:instrText>
        </w:r>
        <w:r>
          <w:rPr>
            <w:noProof/>
            <w:webHidden/>
          </w:rPr>
        </w:r>
        <w:r>
          <w:rPr>
            <w:noProof/>
            <w:webHidden/>
          </w:rPr>
          <w:fldChar w:fldCharType="separate"/>
        </w:r>
        <w:r w:rsidR="00515B25">
          <w:rPr>
            <w:noProof/>
            <w:webHidden/>
          </w:rPr>
          <w:t>77</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04" w:history="1">
        <w:r w:rsidR="00E52A17" w:rsidRPr="002B6755">
          <w:rPr>
            <w:rStyle w:val="Lienhypertexte"/>
            <w:noProof/>
            <w:rtl/>
            <w:lang w:eastAsia="fr-FR" w:bidi="ar-DZ"/>
          </w:rPr>
          <w:t>.</w:t>
        </w:r>
        <w:r w:rsidR="00E52A17" w:rsidRPr="002B6755">
          <w:rPr>
            <w:rStyle w:val="Lienhypertexte"/>
            <w:rFonts w:ascii="Times New Roman" w:hAnsi="Times New Roman"/>
            <w:b/>
            <w:bCs/>
            <w:noProof/>
            <w:rtl/>
            <w:lang w:eastAsia="fr-FR" w:bidi="ar-DZ"/>
          </w:rPr>
          <w:t>2.3</w:t>
        </w:r>
        <w:r w:rsidR="00E52A17" w:rsidRPr="002B6755">
          <w:rPr>
            <w:rStyle w:val="Lienhypertexte"/>
            <w:rFonts w:ascii="Times New Roman" w:hAnsi="Times New Roman"/>
            <w:b/>
            <w:bCs/>
            <w:noProof/>
            <w:lang w:eastAsia="fr-FR"/>
          </w:rPr>
          <w:t>Les risques liés aux produits alimentaires conventionnels</w:t>
        </w:r>
        <w:r w:rsidR="00E52A17">
          <w:rPr>
            <w:noProof/>
            <w:webHidden/>
          </w:rPr>
          <w:tab/>
        </w:r>
        <w:r>
          <w:rPr>
            <w:noProof/>
            <w:webHidden/>
          </w:rPr>
          <w:fldChar w:fldCharType="begin"/>
        </w:r>
        <w:r w:rsidR="00E52A17">
          <w:rPr>
            <w:noProof/>
            <w:webHidden/>
          </w:rPr>
          <w:instrText xml:space="preserve"> PAGEREF _Toc230900304 \h </w:instrText>
        </w:r>
        <w:r>
          <w:rPr>
            <w:noProof/>
            <w:webHidden/>
          </w:rPr>
        </w:r>
        <w:r>
          <w:rPr>
            <w:noProof/>
            <w:webHidden/>
          </w:rPr>
          <w:fldChar w:fldCharType="separate"/>
        </w:r>
        <w:r w:rsidR="00515B25">
          <w:rPr>
            <w:noProof/>
            <w:webHidden/>
          </w:rPr>
          <w:t>80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05" w:history="1">
        <w:r w:rsidR="00E52A17" w:rsidRPr="002B6755">
          <w:rPr>
            <w:rStyle w:val="Lienhypertexte"/>
            <w:rFonts w:ascii="Times New Roman" w:hAnsi="Times New Roman"/>
            <w:b/>
            <w:bCs/>
            <w:noProof/>
            <w:lang w:eastAsia="fr-FR"/>
          </w:rPr>
          <w:t>2.</w:t>
        </w:r>
        <w:r w:rsidR="00E52A17" w:rsidRPr="002B6755">
          <w:rPr>
            <w:rStyle w:val="Lienhypertexte"/>
            <w:rFonts w:ascii="Times New Roman" w:hAnsi="Times New Roman"/>
            <w:b/>
            <w:bCs/>
            <w:noProof/>
            <w:rtl/>
            <w:lang w:eastAsia="fr-FR" w:bidi="ar-DZ"/>
          </w:rPr>
          <w:t>4</w:t>
        </w:r>
        <w:r w:rsidR="00E52A17" w:rsidRPr="002B6755">
          <w:rPr>
            <w:rStyle w:val="Lienhypertexte"/>
            <w:rFonts w:ascii="Times New Roman" w:hAnsi="Times New Roman"/>
            <w:b/>
            <w:bCs/>
            <w:noProof/>
            <w:lang w:eastAsia="fr-FR"/>
          </w:rPr>
          <w:t>. Les risques potentiels dans les produits biologiques</w:t>
        </w:r>
        <w:r w:rsidR="00E52A17">
          <w:rPr>
            <w:noProof/>
            <w:webHidden/>
          </w:rPr>
          <w:tab/>
        </w:r>
        <w:r>
          <w:rPr>
            <w:noProof/>
            <w:webHidden/>
          </w:rPr>
          <w:fldChar w:fldCharType="begin"/>
        </w:r>
        <w:r w:rsidR="00E52A17">
          <w:rPr>
            <w:noProof/>
            <w:webHidden/>
          </w:rPr>
          <w:instrText xml:space="preserve"> PAGEREF _Toc230900305 \h </w:instrText>
        </w:r>
        <w:r>
          <w:rPr>
            <w:noProof/>
            <w:webHidden/>
          </w:rPr>
        </w:r>
        <w:r>
          <w:rPr>
            <w:noProof/>
            <w:webHidden/>
          </w:rPr>
          <w:fldChar w:fldCharType="separate"/>
        </w:r>
        <w:r w:rsidR="00515B25">
          <w:rPr>
            <w:noProof/>
            <w:webHidden/>
          </w:rPr>
          <w:t>81</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06" w:history="1">
        <w:r w:rsidR="00E52A17" w:rsidRPr="002B6755">
          <w:rPr>
            <w:rStyle w:val="Lienhypertexte"/>
            <w:rFonts w:ascii="Times New Roman" w:hAnsi="Times New Roman"/>
            <w:b/>
            <w:bCs/>
            <w:noProof/>
          </w:rPr>
          <w:t>2.</w:t>
        </w:r>
        <w:r w:rsidR="00E52A17" w:rsidRPr="002B6755">
          <w:rPr>
            <w:rStyle w:val="Lienhypertexte"/>
            <w:rFonts w:ascii="Times New Roman" w:hAnsi="Times New Roman"/>
            <w:b/>
            <w:bCs/>
            <w:noProof/>
            <w:rtl/>
            <w:lang w:bidi="ar-DZ"/>
          </w:rPr>
          <w:t>5</w:t>
        </w:r>
        <w:r w:rsidR="00E52A17" w:rsidRPr="002B6755">
          <w:rPr>
            <w:rStyle w:val="Lienhypertexte"/>
            <w:rFonts w:ascii="Times New Roman" w:hAnsi="Times New Roman"/>
            <w:b/>
            <w:bCs/>
            <w:noProof/>
          </w:rPr>
          <w:t>.Comparaison entre les risques liés aux produits biologiques et conventionnels</w:t>
        </w:r>
        <w:r w:rsidR="00E52A17">
          <w:rPr>
            <w:noProof/>
            <w:webHidden/>
          </w:rPr>
          <w:tab/>
        </w:r>
        <w:r>
          <w:rPr>
            <w:noProof/>
            <w:webHidden/>
          </w:rPr>
          <w:fldChar w:fldCharType="begin"/>
        </w:r>
        <w:r w:rsidR="00E52A17">
          <w:rPr>
            <w:noProof/>
            <w:webHidden/>
          </w:rPr>
          <w:instrText xml:space="preserve"> PAGEREF _Toc230900306 \h </w:instrText>
        </w:r>
        <w:r>
          <w:rPr>
            <w:noProof/>
            <w:webHidden/>
          </w:rPr>
        </w:r>
        <w:r>
          <w:rPr>
            <w:noProof/>
            <w:webHidden/>
          </w:rPr>
          <w:fldChar w:fldCharType="separate"/>
        </w:r>
        <w:r w:rsidR="00515B25">
          <w:rPr>
            <w:noProof/>
            <w:webHidden/>
          </w:rPr>
          <w:t>83</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07" w:history="1">
        <w:r w:rsidR="00E52A17" w:rsidRPr="002B6755">
          <w:rPr>
            <w:rStyle w:val="Lienhypertexte"/>
            <w:noProof/>
            <w:rtl/>
            <w:lang w:eastAsia="fr-FR" w:bidi="ar-DZ"/>
          </w:rPr>
          <w:t>.</w:t>
        </w:r>
        <w:r w:rsidR="00E52A17" w:rsidRPr="002B6755">
          <w:rPr>
            <w:rStyle w:val="Lienhypertexte"/>
            <w:rFonts w:ascii="Times New Roman" w:hAnsi="Times New Roman"/>
            <w:b/>
            <w:bCs/>
            <w:noProof/>
            <w:rtl/>
            <w:lang w:eastAsia="fr-FR" w:bidi="ar-DZ"/>
          </w:rPr>
          <w:t>3</w:t>
        </w:r>
        <w:r w:rsidR="00E52A17" w:rsidRPr="002B6755">
          <w:rPr>
            <w:rStyle w:val="Lienhypertexte"/>
            <w:rFonts w:ascii="Times New Roman" w:hAnsi="Times New Roman"/>
            <w:b/>
            <w:bCs/>
            <w:noProof/>
            <w:lang w:eastAsia="fr-FR"/>
          </w:rPr>
          <w:t>Cadres juridiques et réglementaires pour garantir la sécurité sanitaire des produits.</w:t>
        </w:r>
        <w:r w:rsidR="00E52A17">
          <w:rPr>
            <w:noProof/>
            <w:webHidden/>
          </w:rPr>
          <w:tab/>
        </w:r>
        <w:r>
          <w:rPr>
            <w:noProof/>
            <w:webHidden/>
          </w:rPr>
          <w:fldChar w:fldCharType="begin"/>
        </w:r>
        <w:r w:rsidR="00E52A17">
          <w:rPr>
            <w:noProof/>
            <w:webHidden/>
          </w:rPr>
          <w:instrText xml:space="preserve"> PAGEREF _Toc230900307 \h </w:instrText>
        </w:r>
        <w:r>
          <w:rPr>
            <w:noProof/>
            <w:webHidden/>
          </w:rPr>
        </w:r>
        <w:r>
          <w:rPr>
            <w:noProof/>
            <w:webHidden/>
          </w:rPr>
          <w:fldChar w:fldCharType="separate"/>
        </w:r>
        <w:r w:rsidR="00515B25">
          <w:rPr>
            <w:noProof/>
            <w:webHidden/>
          </w:rPr>
          <w:t>86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08" w:history="1">
        <w:r w:rsidR="00E52A17" w:rsidRPr="002B6755">
          <w:rPr>
            <w:rStyle w:val="Lienhypertexte"/>
            <w:rFonts w:ascii="Times New Roman" w:hAnsi="Times New Roman"/>
            <w:b/>
            <w:bCs/>
            <w:noProof/>
            <w:lang w:eastAsia="fr-FR"/>
          </w:rPr>
          <w:t>3.1.Le cadre juridique général de la sécurité sanitaire des aliments</w:t>
        </w:r>
        <w:r w:rsidR="00E52A17">
          <w:rPr>
            <w:noProof/>
            <w:webHidden/>
          </w:rPr>
          <w:tab/>
        </w:r>
        <w:r>
          <w:rPr>
            <w:noProof/>
            <w:webHidden/>
          </w:rPr>
          <w:fldChar w:fldCharType="begin"/>
        </w:r>
        <w:r w:rsidR="00E52A17">
          <w:rPr>
            <w:noProof/>
            <w:webHidden/>
          </w:rPr>
          <w:instrText xml:space="preserve"> PAGEREF _Toc230900308 \h </w:instrText>
        </w:r>
        <w:r>
          <w:rPr>
            <w:noProof/>
            <w:webHidden/>
          </w:rPr>
        </w:r>
        <w:r>
          <w:rPr>
            <w:noProof/>
            <w:webHidden/>
          </w:rPr>
          <w:fldChar w:fldCharType="separate"/>
        </w:r>
        <w:r w:rsidR="00515B25">
          <w:rPr>
            <w:noProof/>
            <w:webHidden/>
          </w:rPr>
          <w:t>86</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309" w:history="1">
        <w:r w:rsidR="00E52A17" w:rsidRPr="002B6755">
          <w:rPr>
            <w:rStyle w:val="Lienhypertexte"/>
            <w:rFonts w:ascii="Times New Roman" w:hAnsi="Times New Roman"/>
            <w:b/>
            <w:bCs/>
            <w:noProof/>
          </w:rPr>
          <w:t>3.1.1.Codex Alimentarius (FAO/OMS)</w:t>
        </w:r>
        <w:r w:rsidR="00E52A17">
          <w:rPr>
            <w:noProof/>
            <w:webHidden/>
          </w:rPr>
          <w:tab/>
        </w:r>
        <w:r>
          <w:rPr>
            <w:noProof/>
            <w:webHidden/>
          </w:rPr>
          <w:fldChar w:fldCharType="begin"/>
        </w:r>
        <w:r w:rsidR="00E52A17">
          <w:rPr>
            <w:noProof/>
            <w:webHidden/>
          </w:rPr>
          <w:instrText xml:space="preserve"> PAGEREF _Toc230900309 \h </w:instrText>
        </w:r>
        <w:r>
          <w:rPr>
            <w:noProof/>
            <w:webHidden/>
          </w:rPr>
        </w:r>
        <w:r>
          <w:rPr>
            <w:noProof/>
            <w:webHidden/>
          </w:rPr>
          <w:fldChar w:fldCharType="separate"/>
        </w:r>
        <w:r w:rsidR="00515B25">
          <w:rPr>
            <w:noProof/>
            <w:webHidden/>
          </w:rPr>
          <w:t>86</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310" w:history="1">
        <w:r w:rsidR="00E52A17" w:rsidRPr="002B6755">
          <w:rPr>
            <w:rStyle w:val="Lienhypertexte"/>
            <w:rFonts w:ascii="Times New Roman" w:hAnsi="Times New Roman"/>
            <w:b/>
            <w:bCs/>
            <w:noProof/>
          </w:rPr>
          <w:t>3.1.2.Le Règlement (CE) n° 178/2002</w:t>
        </w:r>
        <w:r w:rsidR="00E52A17">
          <w:rPr>
            <w:noProof/>
            <w:webHidden/>
          </w:rPr>
          <w:tab/>
        </w:r>
        <w:r>
          <w:rPr>
            <w:noProof/>
            <w:webHidden/>
          </w:rPr>
          <w:fldChar w:fldCharType="begin"/>
        </w:r>
        <w:r w:rsidR="00E52A17">
          <w:rPr>
            <w:noProof/>
            <w:webHidden/>
          </w:rPr>
          <w:instrText xml:space="preserve"> PAGEREF _Toc230900310 \h </w:instrText>
        </w:r>
        <w:r>
          <w:rPr>
            <w:noProof/>
            <w:webHidden/>
          </w:rPr>
        </w:r>
        <w:r>
          <w:rPr>
            <w:noProof/>
            <w:webHidden/>
          </w:rPr>
          <w:fldChar w:fldCharType="separate"/>
        </w:r>
        <w:r w:rsidR="00515B25">
          <w:rPr>
            <w:noProof/>
            <w:webHidden/>
          </w:rPr>
          <w:t>86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11" w:history="1">
        <w:r w:rsidR="00E52A17" w:rsidRPr="002B6755">
          <w:rPr>
            <w:rStyle w:val="Lienhypertexte"/>
            <w:rFonts w:ascii="Times New Roman" w:hAnsi="Times New Roman"/>
            <w:b/>
            <w:bCs/>
            <w:noProof/>
          </w:rPr>
          <w:t>3.2.Le cadre juridique de la sécurité des produits alimentaires en Algérie</w:t>
        </w:r>
        <w:r w:rsidR="00E52A17">
          <w:rPr>
            <w:noProof/>
            <w:webHidden/>
          </w:rPr>
          <w:tab/>
        </w:r>
        <w:r>
          <w:rPr>
            <w:noProof/>
            <w:webHidden/>
          </w:rPr>
          <w:fldChar w:fldCharType="begin"/>
        </w:r>
        <w:r w:rsidR="00E52A17">
          <w:rPr>
            <w:noProof/>
            <w:webHidden/>
          </w:rPr>
          <w:instrText xml:space="preserve"> PAGEREF _Toc230900311 \h </w:instrText>
        </w:r>
        <w:r>
          <w:rPr>
            <w:noProof/>
            <w:webHidden/>
          </w:rPr>
        </w:r>
        <w:r>
          <w:rPr>
            <w:noProof/>
            <w:webHidden/>
          </w:rPr>
          <w:fldChar w:fldCharType="separate"/>
        </w:r>
        <w:r w:rsidR="00515B25">
          <w:rPr>
            <w:noProof/>
            <w:webHidden/>
          </w:rPr>
          <w:t>87</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312" w:history="1">
        <w:r w:rsidR="00E52A17" w:rsidRPr="002B6755">
          <w:rPr>
            <w:rStyle w:val="Lienhypertexte"/>
            <w:rFonts w:ascii="Times New Roman" w:hAnsi="Times New Roman"/>
            <w:b/>
            <w:bCs/>
            <w:noProof/>
          </w:rPr>
          <w:t>3.2.1. Les exigences légales applicables à toutes les industries alimentaires</w:t>
        </w:r>
        <w:r w:rsidR="00E52A17">
          <w:rPr>
            <w:noProof/>
            <w:webHidden/>
          </w:rPr>
          <w:tab/>
        </w:r>
        <w:r>
          <w:rPr>
            <w:noProof/>
            <w:webHidden/>
          </w:rPr>
          <w:fldChar w:fldCharType="begin"/>
        </w:r>
        <w:r w:rsidR="00E52A17">
          <w:rPr>
            <w:noProof/>
            <w:webHidden/>
          </w:rPr>
          <w:instrText xml:space="preserve"> PAGEREF _Toc230900312 \h </w:instrText>
        </w:r>
        <w:r>
          <w:rPr>
            <w:noProof/>
            <w:webHidden/>
          </w:rPr>
        </w:r>
        <w:r>
          <w:rPr>
            <w:noProof/>
            <w:webHidden/>
          </w:rPr>
          <w:fldChar w:fldCharType="separate"/>
        </w:r>
        <w:r w:rsidR="00515B25">
          <w:rPr>
            <w:noProof/>
            <w:webHidden/>
          </w:rPr>
          <w:t>87</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313" w:history="1">
        <w:r w:rsidR="00E52A17" w:rsidRPr="002B6755">
          <w:rPr>
            <w:rStyle w:val="Lienhypertexte"/>
            <w:rFonts w:ascii="Times New Roman" w:hAnsi="Times New Roman"/>
            <w:b/>
            <w:bCs/>
            <w:noProof/>
          </w:rPr>
          <w:t>3.2.2.Les exigences légales spécialisées pour certains produits alimentaires</w:t>
        </w:r>
        <w:r w:rsidR="00E52A17">
          <w:rPr>
            <w:noProof/>
            <w:webHidden/>
          </w:rPr>
          <w:tab/>
        </w:r>
        <w:r>
          <w:rPr>
            <w:noProof/>
            <w:webHidden/>
          </w:rPr>
          <w:fldChar w:fldCharType="begin"/>
        </w:r>
        <w:r w:rsidR="00E52A17">
          <w:rPr>
            <w:noProof/>
            <w:webHidden/>
          </w:rPr>
          <w:instrText xml:space="preserve"> PAGEREF _Toc230900313 \h </w:instrText>
        </w:r>
        <w:r>
          <w:rPr>
            <w:noProof/>
            <w:webHidden/>
          </w:rPr>
        </w:r>
        <w:r>
          <w:rPr>
            <w:noProof/>
            <w:webHidden/>
          </w:rPr>
          <w:fldChar w:fldCharType="separate"/>
        </w:r>
        <w:r w:rsidR="00515B25">
          <w:rPr>
            <w:noProof/>
            <w:webHidden/>
          </w:rPr>
          <w:t>88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14" w:history="1">
        <w:r w:rsidR="00E52A17" w:rsidRPr="002B6755">
          <w:rPr>
            <w:rStyle w:val="Lienhypertexte"/>
            <w:rFonts w:ascii="Times New Roman" w:hAnsi="Times New Roman"/>
            <w:b/>
            <w:bCs/>
            <w:noProof/>
          </w:rPr>
          <w:t>3.3.Le cadre normatif de la sécurité des produits alimentaires en Algérie</w:t>
        </w:r>
        <w:r w:rsidR="00E52A17">
          <w:rPr>
            <w:noProof/>
            <w:webHidden/>
          </w:rPr>
          <w:tab/>
        </w:r>
        <w:r>
          <w:rPr>
            <w:noProof/>
            <w:webHidden/>
          </w:rPr>
          <w:fldChar w:fldCharType="begin"/>
        </w:r>
        <w:r w:rsidR="00E52A17">
          <w:rPr>
            <w:noProof/>
            <w:webHidden/>
          </w:rPr>
          <w:instrText xml:space="preserve"> PAGEREF _Toc230900314 \h </w:instrText>
        </w:r>
        <w:r>
          <w:rPr>
            <w:noProof/>
            <w:webHidden/>
          </w:rPr>
        </w:r>
        <w:r>
          <w:rPr>
            <w:noProof/>
            <w:webHidden/>
          </w:rPr>
          <w:fldChar w:fldCharType="separate"/>
        </w:r>
        <w:r w:rsidR="00515B25">
          <w:rPr>
            <w:noProof/>
            <w:webHidden/>
          </w:rPr>
          <w:t>89</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315" w:history="1">
        <w:r w:rsidR="00E52A17" w:rsidRPr="002B6755">
          <w:rPr>
            <w:rStyle w:val="Lienhypertexte"/>
            <w:rFonts w:ascii="Times New Roman" w:hAnsi="Times New Roman"/>
            <w:b/>
            <w:bCs/>
            <w:noProof/>
          </w:rPr>
          <w:t>3.3.1.Normes des pratiques administratives</w:t>
        </w:r>
        <w:r w:rsidR="00E52A17">
          <w:rPr>
            <w:noProof/>
            <w:webHidden/>
          </w:rPr>
          <w:tab/>
        </w:r>
        <w:r>
          <w:rPr>
            <w:noProof/>
            <w:webHidden/>
          </w:rPr>
          <w:fldChar w:fldCharType="begin"/>
        </w:r>
        <w:r w:rsidR="00E52A17">
          <w:rPr>
            <w:noProof/>
            <w:webHidden/>
          </w:rPr>
          <w:instrText xml:space="preserve"> PAGEREF _Toc230900315 \h </w:instrText>
        </w:r>
        <w:r>
          <w:rPr>
            <w:noProof/>
            <w:webHidden/>
          </w:rPr>
        </w:r>
        <w:r>
          <w:rPr>
            <w:noProof/>
            <w:webHidden/>
          </w:rPr>
          <w:fldChar w:fldCharType="separate"/>
        </w:r>
        <w:r w:rsidR="00515B25">
          <w:rPr>
            <w:noProof/>
            <w:webHidden/>
          </w:rPr>
          <w:t>89</w:t>
        </w:r>
        <w:r>
          <w:rPr>
            <w:noProof/>
            <w:webHidden/>
          </w:rPr>
          <w:fldChar w:fldCharType="end"/>
        </w:r>
      </w:hyperlink>
    </w:p>
    <w:p w:rsidR="00E52A17" w:rsidRDefault="007B5998">
      <w:pPr>
        <w:pStyle w:val="TM5"/>
        <w:tabs>
          <w:tab w:val="right" w:leader="dot" w:pos="9062"/>
        </w:tabs>
        <w:rPr>
          <w:rFonts w:asciiTheme="minorHAnsi" w:eastAsiaTheme="minorEastAsia" w:hAnsiTheme="minorHAnsi" w:cstheme="minorBidi"/>
          <w:noProof/>
          <w:kern w:val="2"/>
          <w:sz w:val="24"/>
          <w:szCs w:val="24"/>
          <w:lang w:eastAsia="fr-FR"/>
        </w:rPr>
      </w:pPr>
      <w:hyperlink w:anchor="_Toc230900316" w:history="1">
        <w:r w:rsidR="00E52A17" w:rsidRPr="002B6755">
          <w:rPr>
            <w:rStyle w:val="Lienhypertexte"/>
            <w:rFonts w:ascii="Times New Roman" w:hAnsi="Times New Roman"/>
            <w:b/>
            <w:bCs/>
            <w:noProof/>
          </w:rPr>
          <w:t>3.3.2. Normes des spécifications techniques des produits alimentaires</w:t>
        </w:r>
        <w:r w:rsidR="00E52A17">
          <w:rPr>
            <w:noProof/>
            <w:webHidden/>
          </w:rPr>
          <w:tab/>
        </w:r>
        <w:r>
          <w:rPr>
            <w:noProof/>
            <w:webHidden/>
          </w:rPr>
          <w:fldChar w:fldCharType="begin"/>
        </w:r>
        <w:r w:rsidR="00E52A17">
          <w:rPr>
            <w:noProof/>
            <w:webHidden/>
          </w:rPr>
          <w:instrText xml:space="preserve"> PAGEREF _Toc230900316 \h </w:instrText>
        </w:r>
        <w:r>
          <w:rPr>
            <w:noProof/>
            <w:webHidden/>
          </w:rPr>
        </w:r>
        <w:r>
          <w:rPr>
            <w:noProof/>
            <w:webHidden/>
          </w:rPr>
          <w:fldChar w:fldCharType="separate"/>
        </w:r>
        <w:r w:rsidR="00515B25">
          <w:rPr>
            <w:noProof/>
            <w:webHidden/>
          </w:rPr>
          <w:t>90</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17" w:history="1">
        <w:r w:rsidR="00E52A17" w:rsidRPr="002B6755">
          <w:rPr>
            <w:rStyle w:val="Lienhypertexte"/>
            <w:rFonts w:asciiTheme="majorBidi" w:hAnsiTheme="majorBidi" w:cstheme="majorBidi"/>
            <w:b/>
            <w:bCs/>
            <w:noProof/>
            <w:lang w:eastAsia="fr-FR"/>
          </w:rPr>
          <w:t xml:space="preserve">Section 02 : </w:t>
        </w:r>
        <w:r w:rsidR="00E52A17" w:rsidRPr="002B6755">
          <w:rPr>
            <w:rStyle w:val="Lienhypertexte"/>
            <w:rFonts w:asciiTheme="majorBidi" w:hAnsiTheme="majorBidi" w:cstheme="majorBidi"/>
            <w:noProof/>
            <w:lang w:eastAsia="fr-FR"/>
          </w:rPr>
          <w:t>Mécanismes marketing comme leviers de la sécurité sanitaire</w:t>
        </w:r>
        <w:r w:rsidR="00E52A17">
          <w:rPr>
            <w:noProof/>
            <w:webHidden/>
          </w:rPr>
          <w:tab/>
        </w:r>
        <w:r>
          <w:rPr>
            <w:noProof/>
            <w:webHidden/>
          </w:rPr>
          <w:fldChar w:fldCharType="begin"/>
        </w:r>
        <w:r w:rsidR="00E52A17">
          <w:rPr>
            <w:noProof/>
            <w:webHidden/>
          </w:rPr>
          <w:instrText xml:space="preserve"> PAGEREF _Toc230900317 \h </w:instrText>
        </w:r>
        <w:r>
          <w:rPr>
            <w:noProof/>
            <w:webHidden/>
          </w:rPr>
        </w:r>
        <w:r>
          <w:rPr>
            <w:noProof/>
            <w:webHidden/>
          </w:rPr>
          <w:fldChar w:fldCharType="separate"/>
        </w:r>
        <w:r w:rsidR="00515B25">
          <w:rPr>
            <w:noProof/>
            <w:webHidden/>
          </w:rPr>
          <w:t>92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18" w:history="1">
        <w:r w:rsidR="00E52A17" w:rsidRPr="002B6755">
          <w:rPr>
            <w:rStyle w:val="Lienhypertexte"/>
            <w:rFonts w:ascii="Times New Roman" w:hAnsi="Times New Roman"/>
            <w:b/>
            <w:bCs/>
            <w:noProof/>
          </w:rPr>
          <w:t>1.Définition de l’étiquetage</w:t>
        </w:r>
        <w:r w:rsidR="00E52A17">
          <w:rPr>
            <w:noProof/>
            <w:webHidden/>
          </w:rPr>
          <w:tab/>
        </w:r>
        <w:r>
          <w:rPr>
            <w:noProof/>
            <w:webHidden/>
          </w:rPr>
          <w:fldChar w:fldCharType="begin"/>
        </w:r>
        <w:r w:rsidR="00E52A17">
          <w:rPr>
            <w:noProof/>
            <w:webHidden/>
          </w:rPr>
          <w:instrText xml:space="preserve"> PAGEREF _Toc230900318 \h </w:instrText>
        </w:r>
        <w:r>
          <w:rPr>
            <w:noProof/>
            <w:webHidden/>
          </w:rPr>
        </w:r>
        <w:r>
          <w:rPr>
            <w:noProof/>
            <w:webHidden/>
          </w:rPr>
          <w:fldChar w:fldCharType="separate"/>
        </w:r>
        <w:r w:rsidR="00515B25">
          <w:rPr>
            <w:noProof/>
            <w:webHidden/>
          </w:rPr>
          <w:t>92</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19" w:history="1">
        <w:r w:rsidR="00E52A17" w:rsidRPr="002B6755">
          <w:rPr>
            <w:rStyle w:val="Lienhypertexte"/>
            <w:rFonts w:ascii="Times New Roman" w:hAnsi="Times New Roman"/>
            <w:b/>
            <w:bCs/>
            <w:noProof/>
          </w:rPr>
          <w:t>1.1. la définition doctrinale de l’étiquetage</w:t>
        </w:r>
        <w:r w:rsidR="00E52A17">
          <w:rPr>
            <w:noProof/>
            <w:webHidden/>
          </w:rPr>
          <w:tab/>
        </w:r>
        <w:r>
          <w:rPr>
            <w:noProof/>
            <w:webHidden/>
          </w:rPr>
          <w:fldChar w:fldCharType="begin"/>
        </w:r>
        <w:r w:rsidR="00E52A17">
          <w:rPr>
            <w:noProof/>
            <w:webHidden/>
          </w:rPr>
          <w:instrText xml:space="preserve"> PAGEREF _Toc230900319 \h </w:instrText>
        </w:r>
        <w:r>
          <w:rPr>
            <w:noProof/>
            <w:webHidden/>
          </w:rPr>
        </w:r>
        <w:r>
          <w:rPr>
            <w:noProof/>
            <w:webHidden/>
          </w:rPr>
          <w:fldChar w:fldCharType="separate"/>
        </w:r>
        <w:r w:rsidR="00515B25">
          <w:rPr>
            <w:noProof/>
            <w:webHidden/>
          </w:rPr>
          <w:t>92</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20" w:history="1">
        <w:r w:rsidR="00E52A17" w:rsidRPr="002B6755">
          <w:rPr>
            <w:rStyle w:val="Lienhypertexte"/>
            <w:rFonts w:ascii="Times New Roman" w:hAnsi="Times New Roman"/>
            <w:b/>
            <w:bCs/>
            <w:noProof/>
            <w:lang w:bidi="ar-DZ"/>
          </w:rPr>
          <w:t>1.2.</w:t>
        </w:r>
        <w:r w:rsidR="00E52A17" w:rsidRPr="002B6755">
          <w:rPr>
            <w:rStyle w:val="Lienhypertexte"/>
            <w:rFonts w:ascii="Times New Roman" w:hAnsi="Times New Roman"/>
            <w:b/>
            <w:bCs/>
            <w:noProof/>
          </w:rPr>
          <w:t>la définition légale de l’étiquetage</w:t>
        </w:r>
        <w:r w:rsidR="00E52A17">
          <w:rPr>
            <w:noProof/>
            <w:webHidden/>
          </w:rPr>
          <w:tab/>
        </w:r>
        <w:r>
          <w:rPr>
            <w:noProof/>
            <w:webHidden/>
          </w:rPr>
          <w:fldChar w:fldCharType="begin"/>
        </w:r>
        <w:r w:rsidR="00E52A17">
          <w:rPr>
            <w:noProof/>
            <w:webHidden/>
          </w:rPr>
          <w:instrText xml:space="preserve"> PAGEREF _Toc230900320 \h </w:instrText>
        </w:r>
        <w:r>
          <w:rPr>
            <w:noProof/>
            <w:webHidden/>
          </w:rPr>
        </w:r>
        <w:r>
          <w:rPr>
            <w:noProof/>
            <w:webHidden/>
          </w:rPr>
          <w:fldChar w:fldCharType="separate"/>
        </w:r>
        <w:r w:rsidR="00515B25">
          <w:rPr>
            <w:noProof/>
            <w:webHidden/>
          </w:rPr>
          <w:t>93</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21" w:history="1">
        <w:r w:rsidR="00E52A17" w:rsidRPr="002B6755">
          <w:rPr>
            <w:rStyle w:val="Lienhypertexte"/>
            <w:rFonts w:ascii="Times New Roman" w:hAnsi="Times New Roman"/>
            <w:b/>
            <w:bCs/>
            <w:noProof/>
          </w:rPr>
          <w:t>2. L’importance de l’étiquetage alimentaire pour le consommateur et le marché</w:t>
        </w:r>
        <w:r w:rsidR="00E52A17">
          <w:rPr>
            <w:noProof/>
            <w:webHidden/>
          </w:rPr>
          <w:tab/>
        </w:r>
        <w:r>
          <w:rPr>
            <w:noProof/>
            <w:webHidden/>
          </w:rPr>
          <w:fldChar w:fldCharType="begin"/>
        </w:r>
        <w:r w:rsidR="00E52A17">
          <w:rPr>
            <w:noProof/>
            <w:webHidden/>
          </w:rPr>
          <w:instrText xml:space="preserve"> PAGEREF _Toc230900321 \h </w:instrText>
        </w:r>
        <w:r>
          <w:rPr>
            <w:noProof/>
            <w:webHidden/>
          </w:rPr>
        </w:r>
        <w:r>
          <w:rPr>
            <w:noProof/>
            <w:webHidden/>
          </w:rPr>
          <w:fldChar w:fldCharType="separate"/>
        </w:r>
        <w:r w:rsidR="00515B25">
          <w:rPr>
            <w:noProof/>
            <w:webHidden/>
          </w:rPr>
          <w:t>93</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22" w:history="1">
        <w:r w:rsidR="00E52A17" w:rsidRPr="002B6755">
          <w:rPr>
            <w:rStyle w:val="Lienhypertexte"/>
            <w:rFonts w:ascii="Times New Roman" w:hAnsi="Times New Roman"/>
            <w:b/>
            <w:bCs/>
            <w:noProof/>
            <w:lang w:eastAsia="fr-FR"/>
          </w:rPr>
          <w:t>3.Les rôles des acteurs dans le système d’étiquetage alimentaire</w:t>
        </w:r>
        <w:r w:rsidR="00E52A17">
          <w:rPr>
            <w:noProof/>
            <w:webHidden/>
          </w:rPr>
          <w:tab/>
        </w:r>
        <w:r>
          <w:rPr>
            <w:noProof/>
            <w:webHidden/>
          </w:rPr>
          <w:fldChar w:fldCharType="begin"/>
        </w:r>
        <w:r w:rsidR="00E52A17">
          <w:rPr>
            <w:noProof/>
            <w:webHidden/>
          </w:rPr>
          <w:instrText xml:space="preserve"> PAGEREF _Toc230900322 \h </w:instrText>
        </w:r>
        <w:r>
          <w:rPr>
            <w:noProof/>
            <w:webHidden/>
          </w:rPr>
        </w:r>
        <w:r>
          <w:rPr>
            <w:noProof/>
            <w:webHidden/>
          </w:rPr>
          <w:fldChar w:fldCharType="separate"/>
        </w:r>
        <w:r w:rsidR="00515B25">
          <w:rPr>
            <w:noProof/>
            <w:webHidden/>
          </w:rPr>
          <w:t>94</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23" w:history="1">
        <w:r w:rsidR="00E52A17" w:rsidRPr="002B6755">
          <w:rPr>
            <w:rStyle w:val="Lienhypertexte"/>
            <w:rFonts w:ascii="Times New Roman" w:hAnsi="Times New Roman"/>
            <w:b/>
            <w:bCs/>
            <w:noProof/>
          </w:rPr>
          <w:t>3.1.Le rôle des gouvernements nationaux :</w:t>
        </w:r>
        <w:r w:rsidR="00E52A17">
          <w:rPr>
            <w:noProof/>
            <w:webHidden/>
          </w:rPr>
          <w:tab/>
        </w:r>
        <w:r>
          <w:rPr>
            <w:noProof/>
            <w:webHidden/>
          </w:rPr>
          <w:fldChar w:fldCharType="begin"/>
        </w:r>
        <w:r w:rsidR="00E52A17">
          <w:rPr>
            <w:noProof/>
            <w:webHidden/>
          </w:rPr>
          <w:instrText xml:space="preserve"> PAGEREF _Toc230900323 \h </w:instrText>
        </w:r>
        <w:r>
          <w:rPr>
            <w:noProof/>
            <w:webHidden/>
          </w:rPr>
        </w:r>
        <w:r>
          <w:rPr>
            <w:noProof/>
            <w:webHidden/>
          </w:rPr>
          <w:fldChar w:fldCharType="separate"/>
        </w:r>
        <w:r w:rsidR="00515B25">
          <w:rPr>
            <w:noProof/>
            <w:webHidden/>
          </w:rPr>
          <w:t>94</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24" w:history="1">
        <w:r w:rsidR="00E52A17" w:rsidRPr="002B6755">
          <w:rPr>
            <w:rStyle w:val="Lienhypertexte"/>
            <w:rFonts w:ascii="Times New Roman" w:hAnsi="Times New Roman"/>
            <w:b/>
            <w:bCs/>
            <w:noProof/>
          </w:rPr>
          <w:t>3.2.Le rôle de l’industrie alimentaire :</w:t>
        </w:r>
        <w:r w:rsidR="00E52A17">
          <w:rPr>
            <w:noProof/>
            <w:webHidden/>
          </w:rPr>
          <w:tab/>
        </w:r>
        <w:r>
          <w:rPr>
            <w:noProof/>
            <w:webHidden/>
          </w:rPr>
          <w:fldChar w:fldCharType="begin"/>
        </w:r>
        <w:r w:rsidR="00E52A17">
          <w:rPr>
            <w:noProof/>
            <w:webHidden/>
          </w:rPr>
          <w:instrText xml:space="preserve"> PAGEREF _Toc230900324 \h </w:instrText>
        </w:r>
        <w:r>
          <w:rPr>
            <w:noProof/>
            <w:webHidden/>
          </w:rPr>
        </w:r>
        <w:r>
          <w:rPr>
            <w:noProof/>
            <w:webHidden/>
          </w:rPr>
          <w:fldChar w:fldCharType="separate"/>
        </w:r>
        <w:r w:rsidR="00515B25">
          <w:rPr>
            <w:noProof/>
            <w:webHidden/>
          </w:rPr>
          <w:t>95</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25" w:history="1">
        <w:r w:rsidR="00E52A17" w:rsidRPr="002B6755">
          <w:rPr>
            <w:rStyle w:val="Lienhypertexte"/>
            <w:rFonts w:ascii="Times New Roman" w:hAnsi="Times New Roman"/>
            <w:b/>
            <w:bCs/>
            <w:noProof/>
          </w:rPr>
          <w:t>3.3.Le rôle des consommateurs :</w:t>
        </w:r>
        <w:r w:rsidR="00E52A17">
          <w:rPr>
            <w:noProof/>
            <w:webHidden/>
          </w:rPr>
          <w:tab/>
        </w:r>
        <w:r>
          <w:rPr>
            <w:noProof/>
            <w:webHidden/>
          </w:rPr>
          <w:fldChar w:fldCharType="begin"/>
        </w:r>
        <w:r w:rsidR="00E52A17">
          <w:rPr>
            <w:noProof/>
            <w:webHidden/>
          </w:rPr>
          <w:instrText xml:space="preserve"> PAGEREF _Toc230900325 \h </w:instrText>
        </w:r>
        <w:r>
          <w:rPr>
            <w:noProof/>
            <w:webHidden/>
          </w:rPr>
        </w:r>
        <w:r>
          <w:rPr>
            <w:noProof/>
            <w:webHidden/>
          </w:rPr>
          <w:fldChar w:fldCharType="separate"/>
        </w:r>
        <w:r w:rsidR="00515B25">
          <w:rPr>
            <w:noProof/>
            <w:webHidden/>
          </w:rPr>
          <w:t>95</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26" w:history="1">
        <w:r w:rsidR="00E52A17" w:rsidRPr="002B6755">
          <w:rPr>
            <w:rStyle w:val="Lienhypertexte"/>
            <w:rFonts w:asciiTheme="majorBidi" w:hAnsiTheme="majorBidi" w:cstheme="majorBidi"/>
            <w:noProof/>
          </w:rPr>
          <w:t>Rôle des gouvernements nationaux</w:t>
        </w:r>
        <w:r w:rsidR="00E52A17">
          <w:rPr>
            <w:noProof/>
            <w:webHidden/>
          </w:rPr>
          <w:tab/>
        </w:r>
        <w:r>
          <w:rPr>
            <w:noProof/>
            <w:webHidden/>
          </w:rPr>
          <w:fldChar w:fldCharType="begin"/>
        </w:r>
        <w:r w:rsidR="00E52A17">
          <w:rPr>
            <w:noProof/>
            <w:webHidden/>
          </w:rPr>
          <w:instrText xml:space="preserve"> PAGEREF _Toc230900326 \h </w:instrText>
        </w:r>
        <w:r>
          <w:rPr>
            <w:noProof/>
            <w:webHidden/>
          </w:rPr>
        </w:r>
        <w:r>
          <w:rPr>
            <w:noProof/>
            <w:webHidden/>
          </w:rPr>
          <w:fldChar w:fldCharType="separate"/>
        </w:r>
        <w:r w:rsidR="00515B25">
          <w:rPr>
            <w:noProof/>
            <w:webHidden/>
          </w:rPr>
          <w:t>96</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27" w:history="1">
        <w:r w:rsidR="00E52A17" w:rsidRPr="002B6755">
          <w:rPr>
            <w:rStyle w:val="Lienhypertexte"/>
            <w:rFonts w:asciiTheme="majorBidi" w:hAnsiTheme="majorBidi" w:cstheme="majorBidi"/>
            <w:noProof/>
          </w:rPr>
          <w:t>Rôle de l’industrie alimentaire</w:t>
        </w:r>
        <w:r w:rsidR="00E52A17">
          <w:rPr>
            <w:noProof/>
            <w:webHidden/>
          </w:rPr>
          <w:tab/>
        </w:r>
        <w:r>
          <w:rPr>
            <w:noProof/>
            <w:webHidden/>
          </w:rPr>
          <w:fldChar w:fldCharType="begin"/>
        </w:r>
        <w:r w:rsidR="00E52A17">
          <w:rPr>
            <w:noProof/>
            <w:webHidden/>
          </w:rPr>
          <w:instrText xml:space="preserve"> PAGEREF _Toc230900327 \h </w:instrText>
        </w:r>
        <w:r>
          <w:rPr>
            <w:noProof/>
            <w:webHidden/>
          </w:rPr>
        </w:r>
        <w:r>
          <w:rPr>
            <w:noProof/>
            <w:webHidden/>
          </w:rPr>
          <w:fldChar w:fldCharType="separate"/>
        </w:r>
        <w:r w:rsidR="00515B25">
          <w:rPr>
            <w:noProof/>
            <w:webHidden/>
          </w:rPr>
          <w:t>96</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28" w:history="1">
        <w:r w:rsidR="00E52A17" w:rsidRPr="002B6755">
          <w:rPr>
            <w:rStyle w:val="Lienhypertexte"/>
            <w:rFonts w:asciiTheme="majorBidi" w:hAnsiTheme="majorBidi" w:cstheme="majorBidi"/>
            <w:noProof/>
          </w:rPr>
          <w:t>Rôle des consommateurs</w:t>
        </w:r>
        <w:r w:rsidR="00E52A17">
          <w:rPr>
            <w:noProof/>
            <w:webHidden/>
          </w:rPr>
          <w:tab/>
        </w:r>
        <w:r>
          <w:rPr>
            <w:noProof/>
            <w:webHidden/>
          </w:rPr>
          <w:fldChar w:fldCharType="begin"/>
        </w:r>
        <w:r w:rsidR="00E52A17">
          <w:rPr>
            <w:noProof/>
            <w:webHidden/>
          </w:rPr>
          <w:instrText xml:space="preserve"> PAGEREF _Toc230900328 \h </w:instrText>
        </w:r>
        <w:r>
          <w:rPr>
            <w:noProof/>
            <w:webHidden/>
          </w:rPr>
        </w:r>
        <w:r>
          <w:rPr>
            <w:noProof/>
            <w:webHidden/>
          </w:rPr>
          <w:fldChar w:fldCharType="separate"/>
        </w:r>
        <w:r w:rsidR="00515B25">
          <w:rPr>
            <w:noProof/>
            <w:webHidden/>
          </w:rPr>
          <w:t>96</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29" w:history="1">
        <w:r w:rsidR="00E52A17" w:rsidRPr="002B6755">
          <w:rPr>
            <w:rStyle w:val="Lienhypertexte"/>
            <w:rFonts w:ascii="Times New Roman" w:eastAsiaTheme="minorHAnsi" w:hAnsi="Times New Roman"/>
            <w:b/>
            <w:bCs/>
            <w:noProof/>
            <w:lang w:bidi="ar-DZ"/>
          </w:rPr>
          <w:t>4.</w:t>
        </w:r>
        <w:r w:rsidR="00E52A17" w:rsidRPr="002B6755">
          <w:rPr>
            <w:rStyle w:val="Lienhypertexte"/>
            <w:rFonts w:ascii="Times New Roman" w:hAnsi="Times New Roman"/>
            <w:b/>
            <w:bCs/>
            <w:noProof/>
            <w:lang w:bidi="ar-DZ"/>
          </w:rPr>
          <w:t>l’avantage de l’etiquitage :</w:t>
        </w:r>
        <w:r w:rsidR="00E52A17">
          <w:rPr>
            <w:noProof/>
            <w:webHidden/>
          </w:rPr>
          <w:tab/>
        </w:r>
        <w:r>
          <w:rPr>
            <w:noProof/>
            <w:webHidden/>
          </w:rPr>
          <w:fldChar w:fldCharType="begin"/>
        </w:r>
        <w:r w:rsidR="00E52A17">
          <w:rPr>
            <w:noProof/>
            <w:webHidden/>
          </w:rPr>
          <w:instrText xml:space="preserve"> PAGEREF _Toc230900329 \h </w:instrText>
        </w:r>
        <w:r>
          <w:rPr>
            <w:noProof/>
            <w:webHidden/>
          </w:rPr>
        </w:r>
        <w:r>
          <w:rPr>
            <w:noProof/>
            <w:webHidden/>
          </w:rPr>
          <w:fldChar w:fldCharType="separate"/>
        </w:r>
        <w:r w:rsidR="00515B25">
          <w:rPr>
            <w:noProof/>
            <w:webHidden/>
          </w:rPr>
          <w:t>96</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0" w:history="1">
        <w:r w:rsidR="00E52A17" w:rsidRPr="002B6755">
          <w:rPr>
            <w:rStyle w:val="Lienhypertexte"/>
            <w:rFonts w:asciiTheme="majorBidi" w:hAnsiTheme="majorBidi" w:cstheme="majorBidi"/>
            <w:noProof/>
          </w:rPr>
          <w:t>Entreprises</w:t>
        </w:r>
        <w:r w:rsidR="00E52A17">
          <w:rPr>
            <w:noProof/>
            <w:webHidden/>
          </w:rPr>
          <w:tab/>
        </w:r>
        <w:r>
          <w:rPr>
            <w:noProof/>
            <w:webHidden/>
          </w:rPr>
          <w:fldChar w:fldCharType="begin"/>
        </w:r>
        <w:r w:rsidR="00E52A17">
          <w:rPr>
            <w:noProof/>
            <w:webHidden/>
          </w:rPr>
          <w:instrText xml:space="preserve"> PAGEREF _Toc230900330 \h </w:instrText>
        </w:r>
        <w:r>
          <w:rPr>
            <w:noProof/>
            <w:webHidden/>
          </w:rPr>
        </w:r>
        <w:r>
          <w:rPr>
            <w:noProof/>
            <w:webHidden/>
          </w:rPr>
          <w:fldChar w:fldCharType="separate"/>
        </w:r>
        <w:r w:rsidR="00515B25">
          <w:rPr>
            <w:noProof/>
            <w:webHidden/>
          </w:rPr>
          <w:t>97</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1" w:history="1">
        <w:r w:rsidR="00E52A17" w:rsidRPr="002B6755">
          <w:rPr>
            <w:rStyle w:val="Lienhypertexte"/>
            <w:rFonts w:asciiTheme="majorBidi" w:hAnsiTheme="majorBidi" w:cstheme="majorBidi"/>
            <w:noProof/>
          </w:rPr>
          <w:t>Gouvernements</w:t>
        </w:r>
        <w:r w:rsidR="00E52A17">
          <w:rPr>
            <w:noProof/>
            <w:webHidden/>
          </w:rPr>
          <w:tab/>
        </w:r>
        <w:r>
          <w:rPr>
            <w:noProof/>
            <w:webHidden/>
          </w:rPr>
          <w:fldChar w:fldCharType="begin"/>
        </w:r>
        <w:r w:rsidR="00E52A17">
          <w:rPr>
            <w:noProof/>
            <w:webHidden/>
          </w:rPr>
          <w:instrText xml:space="preserve"> PAGEREF _Toc230900331 \h </w:instrText>
        </w:r>
        <w:r>
          <w:rPr>
            <w:noProof/>
            <w:webHidden/>
          </w:rPr>
        </w:r>
        <w:r>
          <w:rPr>
            <w:noProof/>
            <w:webHidden/>
          </w:rPr>
          <w:fldChar w:fldCharType="separate"/>
        </w:r>
        <w:r w:rsidR="00515B25">
          <w:rPr>
            <w:noProof/>
            <w:webHidden/>
          </w:rPr>
          <w:t>97</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2" w:history="1">
        <w:r w:rsidR="00E52A17" w:rsidRPr="002B6755">
          <w:rPr>
            <w:rStyle w:val="Lienhypertexte"/>
            <w:rFonts w:asciiTheme="majorBidi" w:hAnsiTheme="majorBidi" w:cstheme="majorBidi"/>
            <w:noProof/>
          </w:rPr>
          <w:t>Consommateurs</w:t>
        </w:r>
        <w:r w:rsidR="00E52A17">
          <w:rPr>
            <w:noProof/>
            <w:webHidden/>
          </w:rPr>
          <w:tab/>
        </w:r>
        <w:r>
          <w:rPr>
            <w:noProof/>
            <w:webHidden/>
          </w:rPr>
          <w:fldChar w:fldCharType="begin"/>
        </w:r>
        <w:r w:rsidR="00E52A17">
          <w:rPr>
            <w:noProof/>
            <w:webHidden/>
          </w:rPr>
          <w:instrText xml:space="preserve"> PAGEREF _Toc230900332 \h </w:instrText>
        </w:r>
        <w:r>
          <w:rPr>
            <w:noProof/>
            <w:webHidden/>
          </w:rPr>
        </w:r>
        <w:r>
          <w:rPr>
            <w:noProof/>
            <w:webHidden/>
          </w:rPr>
          <w:fldChar w:fldCharType="separate"/>
        </w:r>
        <w:r w:rsidR="00515B25">
          <w:rPr>
            <w:noProof/>
            <w:webHidden/>
          </w:rPr>
          <w:t>97</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3" w:history="1">
        <w:r w:rsidR="00E52A17" w:rsidRPr="002B6755">
          <w:rPr>
            <w:rStyle w:val="Lienhypertexte"/>
            <w:rFonts w:ascii="Times New Roman" w:hAnsi="Times New Roman"/>
            <w:b/>
            <w:bCs/>
            <w:noProof/>
          </w:rPr>
          <w:t>5. Prévenir l’étiquetage trompeur</w:t>
        </w:r>
        <w:r w:rsidR="00E52A17">
          <w:rPr>
            <w:noProof/>
            <w:webHidden/>
          </w:rPr>
          <w:tab/>
        </w:r>
        <w:r>
          <w:rPr>
            <w:noProof/>
            <w:webHidden/>
          </w:rPr>
          <w:fldChar w:fldCharType="begin"/>
        </w:r>
        <w:r w:rsidR="00E52A17">
          <w:rPr>
            <w:noProof/>
            <w:webHidden/>
          </w:rPr>
          <w:instrText xml:space="preserve"> PAGEREF _Toc230900333 \h </w:instrText>
        </w:r>
        <w:r>
          <w:rPr>
            <w:noProof/>
            <w:webHidden/>
          </w:rPr>
        </w:r>
        <w:r>
          <w:rPr>
            <w:noProof/>
            <w:webHidden/>
          </w:rPr>
          <w:fldChar w:fldCharType="separate"/>
        </w:r>
        <w:r w:rsidR="00515B25">
          <w:rPr>
            <w:noProof/>
            <w:webHidden/>
          </w:rPr>
          <w:t>98</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4" w:history="1">
        <w:r w:rsidR="00E52A17" w:rsidRPr="002B6755">
          <w:rPr>
            <w:rStyle w:val="Lienhypertexte"/>
            <w:rFonts w:ascii="Times New Roman" w:eastAsiaTheme="minorHAnsi" w:hAnsi="Times New Roman"/>
            <w:noProof/>
          </w:rPr>
          <w:t>6. </w:t>
        </w:r>
        <w:r w:rsidR="00E52A17" w:rsidRPr="002B6755">
          <w:rPr>
            <w:rStyle w:val="Lienhypertexte"/>
            <w:rFonts w:ascii="Times New Roman" w:hAnsi="Times New Roman"/>
            <w:b/>
            <w:bCs/>
            <w:noProof/>
          </w:rPr>
          <w:t>La transparence informationnelle de l’étiquetage au service de la compréhension du consommateur</w:t>
        </w:r>
        <w:r w:rsidR="00E52A17">
          <w:rPr>
            <w:noProof/>
            <w:webHidden/>
          </w:rPr>
          <w:tab/>
        </w:r>
        <w:r>
          <w:rPr>
            <w:noProof/>
            <w:webHidden/>
          </w:rPr>
          <w:fldChar w:fldCharType="begin"/>
        </w:r>
        <w:r w:rsidR="00E52A17">
          <w:rPr>
            <w:noProof/>
            <w:webHidden/>
          </w:rPr>
          <w:instrText xml:space="preserve"> PAGEREF _Toc230900334 \h </w:instrText>
        </w:r>
        <w:r>
          <w:rPr>
            <w:noProof/>
            <w:webHidden/>
          </w:rPr>
        </w:r>
        <w:r>
          <w:rPr>
            <w:noProof/>
            <w:webHidden/>
          </w:rPr>
          <w:fldChar w:fldCharType="separate"/>
        </w:r>
        <w:r w:rsidR="00515B25">
          <w:rPr>
            <w:noProof/>
            <w:webHidden/>
          </w:rPr>
          <w:t>98</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5" w:history="1">
        <w:r w:rsidR="00E52A17" w:rsidRPr="002B6755">
          <w:rPr>
            <w:rStyle w:val="Lienhypertexte"/>
            <w:rFonts w:ascii="Times New Roman" w:eastAsiaTheme="minorHAnsi" w:hAnsi="Times New Roman"/>
            <w:noProof/>
          </w:rPr>
          <w:t>7. </w:t>
        </w:r>
        <w:r w:rsidR="00E52A17" w:rsidRPr="002B6755">
          <w:rPr>
            <w:rStyle w:val="Lienhypertexte"/>
            <w:rFonts w:ascii="Times New Roman" w:hAnsi="Times New Roman"/>
            <w:b/>
            <w:bCs/>
            <w:noProof/>
          </w:rPr>
          <w:t>Principes de présentation, langue et lisibilité</w:t>
        </w:r>
        <w:r w:rsidR="00E52A17">
          <w:rPr>
            <w:noProof/>
            <w:webHidden/>
          </w:rPr>
          <w:tab/>
        </w:r>
        <w:r>
          <w:rPr>
            <w:noProof/>
            <w:webHidden/>
          </w:rPr>
          <w:fldChar w:fldCharType="begin"/>
        </w:r>
        <w:r w:rsidR="00E52A17">
          <w:rPr>
            <w:noProof/>
            <w:webHidden/>
          </w:rPr>
          <w:instrText xml:space="preserve"> PAGEREF _Toc230900335 \h </w:instrText>
        </w:r>
        <w:r>
          <w:rPr>
            <w:noProof/>
            <w:webHidden/>
          </w:rPr>
        </w:r>
        <w:r>
          <w:rPr>
            <w:noProof/>
            <w:webHidden/>
          </w:rPr>
          <w:fldChar w:fldCharType="separate"/>
        </w:r>
        <w:r w:rsidR="00515B25">
          <w:rPr>
            <w:noProof/>
            <w:webHidden/>
          </w:rPr>
          <w:t>99</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6" w:history="1">
        <w:r w:rsidR="00E52A17" w:rsidRPr="002B6755">
          <w:rPr>
            <w:rStyle w:val="Lienhypertexte"/>
            <w:rFonts w:ascii="Segoe UI" w:hAnsi="Segoe UI" w:cs="Segoe UI"/>
            <w:noProof/>
          </w:rPr>
          <w:t>8.</w:t>
        </w:r>
        <w:r w:rsidR="00E52A17" w:rsidRPr="002B6755">
          <w:rPr>
            <w:rStyle w:val="Lienhypertexte"/>
            <w:rFonts w:asciiTheme="majorBidi" w:hAnsiTheme="majorBidi"/>
            <w:b/>
            <w:bCs/>
            <w:noProof/>
          </w:rPr>
          <w:t>Le cadre juridique garantissant la transparence et la sécurité</w:t>
        </w:r>
        <w:r w:rsidR="00E52A17">
          <w:rPr>
            <w:noProof/>
            <w:webHidden/>
          </w:rPr>
          <w:tab/>
        </w:r>
        <w:r>
          <w:rPr>
            <w:noProof/>
            <w:webHidden/>
          </w:rPr>
          <w:fldChar w:fldCharType="begin"/>
        </w:r>
        <w:r w:rsidR="00E52A17">
          <w:rPr>
            <w:noProof/>
            <w:webHidden/>
          </w:rPr>
          <w:instrText xml:space="preserve"> PAGEREF _Toc230900336 \h </w:instrText>
        </w:r>
        <w:r>
          <w:rPr>
            <w:noProof/>
            <w:webHidden/>
          </w:rPr>
        </w:r>
        <w:r>
          <w:rPr>
            <w:noProof/>
            <w:webHidden/>
          </w:rPr>
          <w:fldChar w:fldCharType="separate"/>
        </w:r>
        <w:r w:rsidR="00515B25">
          <w:rPr>
            <w:noProof/>
            <w:webHidden/>
          </w:rPr>
          <w:t>99</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37" w:history="1">
        <w:r w:rsidR="00E52A17" w:rsidRPr="002B6755">
          <w:rPr>
            <w:rStyle w:val="Lienhypertexte"/>
            <w:noProof/>
          </w:rPr>
          <w:t>8.1.</w:t>
        </w:r>
        <w:r w:rsidR="00E52A17" w:rsidRPr="002B6755">
          <w:rPr>
            <w:rStyle w:val="Lienhypertexte"/>
            <w:rFonts w:asciiTheme="majorBidi" w:hAnsiTheme="majorBidi" w:cstheme="majorBidi"/>
            <w:b/>
            <w:bCs/>
            <w:noProof/>
          </w:rPr>
          <w:t xml:space="preserve"> Réglementations et lois en matière d’étiquetage</w:t>
        </w:r>
        <w:r w:rsidR="00E52A17">
          <w:rPr>
            <w:noProof/>
            <w:webHidden/>
          </w:rPr>
          <w:tab/>
        </w:r>
        <w:r>
          <w:rPr>
            <w:noProof/>
            <w:webHidden/>
          </w:rPr>
          <w:fldChar w:fldCharType="begin"/>
        </w:r>
        <w:r w:rsidR="00E52A17">
          <w:rPr>
            <w:noProof/>
            <w:webHidden/>
          </w:rPr>
          <w:instrText xml:space="preserve"> PAGEREF _Toc230900337 \h </w:instrText>
        </w:r>
        <w:r>
          <w:rPr>
            <w:noProof/>
            <w:webHidden/>
          </w:rPr>
        </w:r>
        <w:r>
          <w:rPr>
            <w:noProof/>
            <w:webHidden/>
          </w:rPr>
          <w:fldChar w:fldCharType="separate"/>
        </w:r>
        <w:r w:rsidR="00515B25">
          <w:rPr>
            <w:noProof/>
            <w:webHidden/>
          </w:rPr>
          <w:t>99</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38" w:history="1">
        <w:r w:rsidR="00E52A17" w:rsidRPr="002B6755">
          <w:rPr>
            <w:rStyle w:val="Lienhypertexte"/>
            <w:rFonts w:ascii="Times New Roman" w:hAnsi="Times New Roman"/>
            <w:b/>
            <w:bCs/>
            <w:noProof/>
          </w:rPr>
          <w:t>8.2. Textes relatifs à l’étiquetage des produits alimentaires</w:t>
        </w:r>
        <w:r w:rsidR="00E52A17">
          <w:rPr>
            <w:noProof/>
            <w:webHidden/>
          </w:rPr>
          <w:tab/>
        </w:r>
        <w:r>
          <w:rPr>
            <w:noProof/>
            <w:webHidden/>
          </w:rPr>
          <w:fldChar w:fldCharType="begin"/>
        </w:r>
        <w:r w:rsidR="00E52A17">
          <w:rPr>
            <w:noProof/>
            <w:webHidden/>
          </w:rPr>
          <w:instrText xml:space="preserve"> PAGEREF _Toc230900338 \h </w:instrText>
        </w:r>
        <w:r>
          <w:rPr>
            <w:noProof/>
            <w:webHidden/>
          </w:rPr>
        </w:r>
        <w:r>
          <w:rPr>
            <w:noProof/>
            <w:webHidden/>
          </w:rPr>
          <w:fldChar w:fldCharType="separate"/>
        </w:r>
        <w:r w:rsidR="00515B25">
          <w:rPr>
            <w:noProof/>
            <w:webHidden/>
          </w:rPr>
          <w:t>100</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39" w:history="1">
        <w:r w:rsidR="00E52A17" w:rsidRPr="002B6755">
          <w:rPr>
            <w:rStyle w:val="Lienhypertexte"/>
            <w:rFonts w:ascii="Times New Roman" w:hAnsi="Times New Roman"/>
            <w:b/>
            <w:bCs/>
            <w:noProof/>
          </w:rPr>
          <w:t>9. La notion de traçabilité dans le domaine alimentaire</w:t>
        </w:r>
        <w:r w:rsidR="00E52A17">
          <w:rPr>
            <w:noProof/>
            <w:webHidden/>
          </w:rPr>
          <w:tab/>
        </w:r>
        <w:r>
          <w:rPr>
            <w:noProof/>
            <w:webHidden/>
          </w:rPr>
          <w:fldChar w:fldCharType="begin"/>
        </w:r>
        <w:r w:rsidR="00E52A17">
          <w:rPr>
            <w:noProof/>
            <w:webHidden/>
          </w:rPr>
          <w:instrText xml:space="preserve"> PAGEREF _Toc230900339 \h </w:instrText>
        </w:r>
        <w:r>
          <w:rPr>
            <w:noProof/>
            <w:webHidden/>
          </w:rPr>
        </w:r>
        <w:r>
          <w:rPr>
            <w:noProof/>
            <w:webHidden/>
          </w:rPr>
          <w:fldChar w:fldCharType="separate"/>
        </w:r>
        <w:r w:rsidR="00515B25">
          <w:rPr>
            <w:noProof/>
            <w:webHidden/>
          </w:rPr>
          <w:t>100</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40" w:history="1">
        <w:r w:rsidR="00E52A17" w:rsidRPr="002B6755">
          <w:rPr>
            <w:rStyle w:val="Lienhypertexte"/>
            <w:rFonts w:ascii="Times New Roman" w:hAnsi="Times New Roman"/>
            <w:b/>
            <w:bCs/>
            <w:noProof/>
            <w:lang w:eastAsia="fr-FR"/>
          </w:rPr>
          <w:t>10.Les aspects de la traçabilité</w:t>
        </w:r>
        <w:r w:rsidR="00E52A17">
          <w:rPr>
            <w:noProof/>
            <w:webHidden/>
          </w:rPr>
          <w:tab/>
        </w:r>
        <w:r>
          <w:rPr>
            <w:noProof/>
            <w:webHidden/>
          </w:rPr>
          <w:fldChar w:fldCharType="begin"/>
        </w:r>
        <w:r w:rsidR="00E52A17">
          <w:rPr>
            <w:noProof/>
            <w:webHidden/>
          </w:rPr>
          <w:instrText xml:space="preserve"> PAGEREF _Toc230900340 \h </w:instrText>
        </w:r>
        <w:r>
          <w:rPr>
            <w:noProof/>
            <w:webHidden/>
          </w:rPr>
        </w:r>
        <w:r>
          <w:rPr>
            <w:noProof/>
            <w:webHidden/>
          </w:rPr>
          <w:fldChar w:fldCharType="separate"/>
        </w:r>
        <w:r w:rsidR="00515B25">
          <w:rPr>
            <w:noProof/>
            <w:webHidden/>
          </w:rPr>
          <w:t>101</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41" w:history="1">
        <w:r w:rsidR="00E52A17" w:rsidRPr="002B6755">
          <w:rPr>
            <w:rStyle w:val="Lienhypertexte"/>
            <w:rFonts w:ascii="Times New Roman" w:hAnsi="Times New Roman"/>
            <w:b/>
            <w:bCs/>
            <w:noProof/>
            <w:lang w:eastAsia="fr-FR"/>
          </w:rPr>
          <w:t>11.Les types de traçabilité</w:t>
        </w:r>
        <w:r w:rsidR="00E52A17">
          <w:rPr>
            <w:noProof/>
            <w:webHidden/>
          </w:rPr>
          <w:tab/>
        </w:r>
        <w:r>
          <w:rPr>
            <w:noProof/>
            <w:webHidden/>
          </w:rPr>
          <w:fldChar w:fldCharType="begin"/>
        </w:r>
        <w:r w:rsidR="00E52A17">
          <w:rPr>
            <w:noProof/>
            <w:webHidden/>
          </w:rPr>
          <w:instrText xml:space="preserve"> PAGEREF _Toc230900341 \h </w:instrText>
        </w:r>
        <w:r>
          <w:rPr>
            <w:noProof/>
            <w:webHidden/>
          </w:rPr>
        </w:r>
        <w:r>
          <w:rPr>
            <w:noProof/>
            <w:webHidden/>
          </w:rPr>
          <w:fldChar w:fldCharType="separate"/>
        </w:r>
        <w:r w:rsidR="00515B25">
          <w:rPr>
            <w:noProof/>
            <w:webHidden/>
          </w:rPr>
          <w:t>102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42" w:history="1">
        <w:r w:rsidR="00E52A17" w:rsidRPr="002B6755">
          <w:rPr>
            <w:rStyle w:val="Lienhypertexte"/>
            <w:rFonts w:ascii="Times New Roman" w:hAnsi="Times New Roman"/>
            <w:b/>
            <w:bCs/>
            <w:noProof/>
            <w:lang w:eastAsia="fr-FR"/>
          </w:rPr>
          <w:t>12. Les avantages de la traçabilité</w:t>
        </w:r>
        <w:r w:rsidR="00E52A17">
          <w:rPr>
            <w:noProof/>
            <w:webHidden/>
          </w:rPr>
          <w:tab/>
        </w:r>
        <w:r>
          <w:rPr>
            <w:noProof/>
            <w:webHidden/>
          </w:rPr>
          <w:fldChar w:fldCharType="begin"/>
        </w:r>
        <w:r w:rsidR="00E52A17">
          <w:rPr>
            <w:noProof/>
            <w:webHidden/>
          </w:rPr>
          <w:instrText xml:space="preserve"> PAGEREF _Toc230900342 \h </w:instrText>
        </w:r>
        <w:r>
          <w:rPr>
            <w:noProof/>
            <w:webHidden/>
          </w:rPr>
        </w:r>
        <w:r>
          <w:rPr>
            <w:noProof/>
            <w:webHidden/>
          </w:rPr>
          <w:fldChar w:fldCharType="separate"/>
        </w:r>
        <w:r w:rsidR="00515B25">
          <w:rPr>
            <w:noProof/>
            <w:webHidden/>
          </w:rPr>
          <w:t>102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43" w:history="1">
        <w:r w:rsidR="00E52A17" w:rsidRPr="002B6755">
          <w:rPr>
            <w:rStyle w:val="Lienhypertexte"/>
            <w:rFonts w:ascii="Times New Roman" w:hAnsi="Times New Roman"/>
            <w:b/>
            <w:bCs/>
            <w:noProof/>
            <w:lang w:eastAsia="fr-FR"/>
          </w:rPr>
          <w:t>13.Les limites de la traçabilité</w:t>
        </w:r>
        <w:r w:rsidR="00E52A17">
          <w:rPr>
            <w:noProof/>
            <w:webHidden/>
          </w:rPr>
          <w:tab/>
        </w:r>
        <w:r>
          <w:rPr>
            <w:noProof/>
            <w:webHidden/>
          </w:rPr>
          <w:fldChar w:fldCharType="begin"/>
        </w:r>
        <w:r w:rsidR="00E52A17">
          <w:rPr>
            <w:noProof/>
            <w:webHidden/>
          </w:rPr>
          <w:instrText xml:space="preserve"> PAGEREF _Toc230900343 \h </w:instrText>
        </w:r>
        <w:r>
          <w:rPr>
            <w:noProof/>
            <w:webHidden/>
          </w:rPr>
        </w:r>
        <w:r>
          <w:rPr>
            <w:noProof/>
            <w:webHidden/>
          </w:rPr>
          <w:fldChar w:fldCharType="separate"/>
        </w:r>
        <w:r w:rsidR="00515B25">
          <w:rPr>
            <w:noProof/>
            <w:webHidden/>
          </w:rPr>
          <w:t>103</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44" w:history="1">
        <w:r w:rsidR="00E52A17" w:rsidRPr="002B6755">
          <w:rPr>
            <w:rStyle w:val="Lienhypertexte"/>
            <w:rFonts w:ascii="Times New Roman" w:hAnsi="Times New Roman"/>
            <w:b/>
            <w:bCs/>
            <w:noProof/>
            <w:lang w:eastAsia="fr-FR"/>
          </w:rPr>
          <w:t>14. La traçabilité et le renforcement de la sécurité sanitaire</w:t>
        </w:r>
        <w:r w:rsidR="00E52A17">
          <w:rPr>
            <w:noProof/>
            <w:webHidden/>
          </w:rPr>
          <w:tab/>
        </w:r>
        <w:r>
          <w:rPr>
            <w:noProof/>
            <w:webHidden/>
          </w:rPr>
          <w:fldChar w:fldCharType="begin"/>
        </w:r>
        <w:r w:rsidR="00E52A17">
          <w:rPr>
            <w:noProof/>
            <w:webHidden/>
          </w:rPr>
          <w:instrText xml:space="preserve"> PAGEREF _Toc230900344 \h </w:instrText>
        </w:r>
        <w:r>
          <w:rPr>
            <w:noProof/>
            <w:webHidden/>
          </w:rPr>
        </w:r>
        <w:r>
          <w:rPr>
            <w:noProof/>
            <w:webHidden/>
          </w:rPr>
          <w:fldChar w:fldCharType="separate"/>
        </w:r>
        <w:r w:rsidR="00515B25">
          <w:rPr>
            <w:noProof/>
            <w:webHidden/>
          </w:rPr>
          <w:t>103</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45" w:history="1">
        <w:r w:rsidR="00E52A17" w:rsidRPr="002B6755">
          <w:rPr>
            <w:rStyle w:val="Lienhypertexte"/>
            <w:rFonts w:ascii="Times New Roman" w:hAnsi="Times New Roman"/>
            <w:b/>
            <w:bCs/>
            <w:noProof/>
            <w:lang w:eastAsia="fr-FR"/>
          </w:rPr>
          <w:t>15. Rôle de la communication marketing dans la sensibilisation sanitaire et la gestion des crises alimentaires</w:t>
        </w:r>
        <w:r w:rsidR="00E52A17">
          <w:rPr>
            <w:noProof/>
            <w:webHidden/>
          </w:rPr>
          <w:tab/>
        </w:r>
        <w:r>
          <w:rPr>
            <w:noProof/>
            <w:webHidden/>
          </w:rPr>
          <w:fldChar w:fldCharType="begin"/>
        </w:r>
        <w:r w:rsidR="00E52A17">
          <w:rPr>
            <w:noProof/>
            <w:webHidden/>
          </w:rPr>
          <w:instrText xml:space="preserve"> PAGEREF _Toc230900345 \h </w:instrText>
        </w:r>
        <w:r>
          <w:rPr>
            <w:noProof/>
            <w:webHidden/>
          </w:rPr>
        </w:r>
        <w:r>
          <w:rPr>
            <w:noProof/>
            <w:webHidden/>
          </w:rPr>
          <w:fldChar w:fldCharType="separate"/>
        </w:r>
        <w:r w:rsidR="00515B25">
          <w:rPr>
            <w:noProof/>
            <w:webHidden/>
          </w:rPr>
          <w:t>106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46" w:history="1">
        <w:r w:rsidR="00E52A17" w:rsidRPr="002B6755">
          <w:rPr>
            <w:rStyle w:val="Lienhypertexte"/>
            <w:rFonts w:ascii="Times New Roman" w:hAnsi="Times New Roman"/>
            <w:noProof/>
          </w:rPr>
          <w:t>15.1.</w:t>
        </w:r>
        <w:r w:rsidR="00E52A17" w:rsidRPr="002B6755">
          <w:rPr>
            <w:rStyle w:val="Lienhypertexte"/>
            <w:rFonts w:ascii="Times New Roman" w:hAnsi="Times New Roman"/>
            <w:b/>
            <w:bCs/>
            <w:noProof/>
          </w:rPr>
          <w:t>Définition de la communication marketing</w:t>
        </w:r>
        <w:r w:rsidR="00E52A17">
          <w:rPr>
            <w:noProof/>
            <w:webHidden/>
          </w:rPr>
          <w:tab/>
        </w:r>
        <w:r>
          <w:rPr>
            <w:noProof/>
            <w:webHidden/>
          </w:rPr>
          <w:fldChar w:fldCharType="begin"/>
        </w:r>
        <w:r w:rsidR="00E52A17">
          <w:rPr>
            <w:noProof/>
            <w:webHidden/>
          </w:rPr>
          <w:instrText xml:space="preserve"> PAGEREF _Toc230900346 \h </w:instrText>
        </w:r>
        <w:r>
          <w:rPr>
            <w:noProof/>
            <w:webHidden/>
          </w:rPr>
        </w:r>
        <w:r>
          <w:rPr>
            <w:noProof/>
            <w:webHidden/>
          </w:rPr>
          <w:fldChar w:fldCharType="separate"/>
        </w:r>
        <w:r w:rsidR="00515B25">
          <w:rPr>
            <w:noProof/>
            <w:webHidden/>
          </w:rPr>
          <w:t>106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47" w:history="1">
        <w:r w:rsidR="00E52A17" w:rsidRPr="002B6755">
          <w:rPr>
            <w:rStyle w:val="Lienhypertexte"/>
            <w:noProof/>
          </w:rPr>
          <w:t xml:space="preserve">15.2. </w:t>
        </w:r>
        <w:r w:rsidR="00E52A17" w:rsidRPr="002B6755">
          <w:rPr>
            <w:rStyle w:val="Lienhypertexte"/>
            <w:rFonts w:asciiTheme="majorBidi" w:hAnsiTheme="majorBidi" w:cstheme="majorBidi"/>
            <w:b/>
            <w:bCs/>
            <w:noProof/>
          </w:rPr>
          <w:t>Définition de la sensibilisation à la sante</w:t>
        </w:r>
        <w:r w:rsidR="00E52A17">
          <w:rPr>
            <w:noProof/>
            <w:webHidden/>
          </w:rPr>
          <w:tab/>
        </w:r>
        <w:r>
          <w:rPr>
            <w:noProof/>
            <w:webHidden/>
          </w:rPr>
          <w:fldChar w:fldCharType="begin"/>
        </w:r>
        <w:r w:rsidR="00E52A17">
          <w:rPr>
            <w:noProof/>
            <w:webHidden/>
          </w:rPr>
          <w:instrText xml:space="preserve"> PAGEREF _Toc230900347 \h </w:instrText>
        </w:r>
        <w:r>
          <w:rPr>
            <w:noProof/>
            <w:webHidden/>
          </w:rPr>
        </w:r>
        <w:r>
          <w:rPr>
            <w:noProof/>
            <w:webHidden/>
          </w:rPr>
          <w:fldChar w:fldCharType="separate"/>
        </w:r>
        <w:r w:rsidR="00515B25">
          <w:rPr>
            <w:noProof/>
            <w:webHidden/>
          </w:rPr>
          <w:t>106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48" w:history="1">
        <w:r w:rsidR="00E52A17" w:rsidRPr="002B6755">
          <w:rPr>
            <w:rStyle w:val="Lienhypertexte"/>
            <w:rFonts w:ascii="Times New Roman" w:hAnsi="Times New Roman"/>
            <w:b/>
            <w:bCs/>
            <w:noProof/>
            <w:lang w:eastAsia="fr-FR"/>
          </w:rPr>
          <w:t>15.3. Rôle du marketing social dans la sensibilisation sanitaire</w:t>
        </w:r>
        <w:r w:rsidR="00E52A17">
          <w:rPr>
            <w:noProof/>
            <w:webHidden/>
          </w:rPr>
          <w:tab/>
        </w:r>
        <w:r>
          <w:rPr>
            <w:noProof/>
            <w:webHidden/>
          </w:rPr>
          <w:fldChar w:fldCharType="begin"/>
        </w:r>
        <w:r w:rsidR="00E52A17">
          <w:rPr>
            <w:noProof/>
            <w:webHidden/>
          </w:rPr>
          <w:instrText xml:space="preserve"> PAGEREF _Toc230900348 \h </w:instrText>
        </w:r>
        <w:r>
          <w:rPr>
            <w:noProof/>
            <w:webHidden/>
          </w:rPr>
        </w:r>
        <w:r>
          <w:rPr>
            <w:noProof/>
            <w:webHidden/>
          </w:rPr>
          <w:fldChar w:fldCharType="separate"/>
        </w:r>
        <w:r w:rsidR="00515B25">
          <w:rPr>
            <w:noProof/>
            <w:webHidden/>
          </w:rPr>
          <w:t>107</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49" w:history="1">
        <w:r w:rsidR="00E52A17" w:rsidRPr="002B6755">
          <w:rPr>
            <w:rStyle w:val="Lienhypertexte"/>
            <w:rFonts w:ascii="Times New Roman" w:hAnsi="Times New Roman"/>
            <w:b/>
            <w:bCs/>
            <w:noProof/>
            <w:lang w:eastAsia="fr-FR"/>
          </w:rPr>
          <w:t>15.4. Influence de la communication marketing sur le comportement du consommateur</w:t>
        </w:r>
        <w:r w:rsidR="00E52A17">
          <w:rPr>
            <w:noProof/>
            <w:webHidden/>
          </w:rPr>
          <w:tab/>
        </w:r>
        <w:r>
          <w:rPr>
            <w:noProof/>
            <w:webHidden/>
          </w:rPr>
          <w:fldChar w:fldCharType="begin"/>
        </w:r>
        <w:r w:rsidR="00E52A17">
          <w:rPr>
            <w:noProof/>
            <w:webHidden/>
          </w:rPr>
          <w:instrText xml:space="preserve"> PAGEREF _Toc230900349 \h </w:instrText>
        </w:r>
        <w:r>
          <w:rPr>
            <w:noProof/>
            <w:webHidden/>
          </w:rPr>
        </w:r>
        <w:r>
          <w:rPr>
            <w:noProof/>
            <w:webHidden/>
          </w:rPr>
          <w:fldChar w:fldCharType="separate"/>
        </w:r>
        <w:r w:rsidR="00515B25">
          <w:rPr>
            <w:noProof/>
            <w:webHidden/>
          </w:rPr>
          <w:t>107</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50" w:history="1">
        <w:r w:rsidR="00E52A17" w:rsidRPr="002B6755">
          <w:rPr>
            <w:rStyle w:val="Lienhypertexte"/>
            <w:rFonts w:ascii="Times New Roman" w:hAnsi="Times New Roman"/>
            <w:b/>
            <w:bCs/>
            <w:noProof/>
            <w:lang w:eastAsia="fr-FR"/>
          </w:rPr>
          <w:t>15.5.Définition d’une crise alimentaire</w:t>
        </w:r>
        <w:r w:rsidR="00E52A17">
          <w:rPr>
            <w:noProof/>
            <w:webHidden/>
          </w:rPr>
          <w:tab/>
        </w:r>
        <w:r>
          <w:rPr>
            <w:noProof/>
            <w:webHidden/>
          </w:rPr>
          <w:fldChar w:fldCharType="begin"/>
        </w:r>
        <w:r w:rsidR="00E52A17">
          <w:rPr>
            <w:noProof/>
            <w:webHidden/>
          </w:rPr>
          <w:instrText xml:space="preserve"> PAGEREF _Toc230900350 \h </w:instrText>
        </w:r>
        <w:r>
          <w:rPr>
            <w:noProof/>
            <w:webHidden/>
          </w:rPr>
        </w:r>
        <w:r>
          <w:rPr>
            <w:noProof/>
            <w:webHidden/>
          </w:rPr>
          <w:fldChar w:fldCharType="separate"/>
        </w:r>
        <w:r w:rsidR="00515B25">
          <w:rPr>
            <w:noProof/>
            <w:webHidden/>
          </w:rPr>
          <w:t>108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51" w:history="1">
        <w:r w:rsidR="00E52A17" w:rsidRPr="002B6755">
          <w:rPr>
            <w:rStyle w:val="Lienhypertexte"/>
            <w:rFonts w:ascii="Times New Roman" w:hAnsi="Times New Roman"/>
            <w:b/>
            <w:bCs/>
            <w:noProof/>
            <w:lang w:eastAsia="fr-FR"/>
          </w:rPr>
          <w:t>15.6.Rôle de la communication marketing dans la gestion des crises alimentaires</w:t>
        </w:r>
        <w:r w:rsidR="00E52A17">
          <w:rPr>
            <w:noProof/>
            <w:webHidden/>
          </w:rPr>
          <w:tab/>
        </w:r>
        <w:r>
          <w:rPr>
            <w:noProof/>
            <w:webHidden/>
          </w:rPr>
          <w:fldChar w:fldCharType="begin"/>
        </w:r>
        <w:r w:rsidR="00E52A17">
          <w:rPr>
            <w:noProof/>
            <w:webHidden/>
          </w:rPr>
          <w:instrText xml:space="preserve"> PAGEREF _Toc230900351 \h </w:instrText>
        </w:r>
        <w:r>
          <w:rPr>
            <w:noProof/>
            <w:webHidden/>
          </w:rPr>
        </w:r>
        <w:r>
          <w:rPr>
            <w:noProof/>
            <w:webHidden/>
          </w:rPr>
          <w:fldChar w:fldCharType="separate"/>
        </w:r>
        <w:r w:rsidR="00515B25">
          <w:rPr>
            <w:noProof/>
            <w:webHidden/>
          </w:rPr>
          <w:t>108</w:t>
        </w:r>
        <w:r>
          <w:rPr>
            <w:noProof/>
            <w:webHidden/>
          </w:rPr>
          <w:fldChar w:fldCharType="end"/>
        </w:r>
      </w:hyperlink>
    </w:p>
    <w:p w:rsidR="00E52A17" w:rsidRDefault="007B5998" w:rsidP="002D5A00">
      <w:pPr>
        <w:pStyle w:val="TM1"/>
        <w:rPr>
          <w:rFonts w:asciiTheme="minorHAnsi" w:eastAsiaTheme="minorEastAsia" w:hAnsiTheme="minorHAnsi" w:cstheme="minorBidi"/>
          <w:noProof/>
          <w:kern w:val="2"/>
          <w:lang w:eastAsia="fr-FR"/>
        </w:rPr>
      </w:pPr>
      <w:hyperlink w:anchor="_Toc230900352" w:history="1">
        <w:r w:rsidR="00E52A17" w:rsidRPr="002B6755">
          <w:rPr>
            <w:rStyle w:val="Lienhypertexte"/>
            <w:b/>
            <w:bCs/>
            <w:noProof/>
          </w:rPr>
          <w:t>Chapitre III : Étude de terrain : marketing biologique et sécurité sanitaire – Cas Dahbia</w:t>
        </w:r>
        <w:r w:rsidR="00E52A17">
          <w:rPr>
            <w:noProof/>
            <w:webHidden/>
          </w:rPr>
          <w:tab/>
        </w:r>
        <w:r>
          <w:rPr>
            <w:noProof/>
            <w:webHidden/>
          </w:rPr>
          <w:fldChar w:fldCharType="begin"/>
        </w:r>
        <w:r w:rsidR="00E52A17">
          <w:rPr>
            <w:noProof/>
            <w:webHidden/>
          </w:rPr>
          <w:instrText xml:space="preserve"> PAGEREF _Toc230900352 \h </w:instrText>
        </w:r>
        <w:r>
          <w:rPr>
            <w:noProof/>
            <w:webHidden/>
          </w:rPr>
        </w:r>
        <w:r>
          <w:rPr>
            <w:noProof/>
            <w:webHidden/>
          </w:rPr>
          <w:fldChar w:fldCharType="separate"/>
        </w:r>
        <w:r w:rsidR="00515B25">
          <w:rPr>
            <w:noProof/>
            <w:webHidden/>
          </w:rPr>
          <w:t>112</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53" w:history="1">
        <w:r w:rsidR="00E52A17" w:rsidRPr="002B6755">
          <w:rPr>
            <w:rStyle w:val="Lienhypertexte"/>
            <w:rFonts w:asciiTheme="majorBidi" w:hAnsiTheme="majorBidi" w:cstheme="majorBidi"/>
            <w:b/>
            <w:bCs/>
            <w:noProof/>
          </w:rPr>
          <w:t>Section1: Cadre méthodologique de l’étude et présentation de l’entrepriseIntroduction</w:t>
        </w:r>
        <w:r w:rsidR="00E52A17">
          <w:rPr>
            <w:noProof/>
            <w:webHidden/>
          </w:rPr>
          <w:tab/>
        </w:r>
        <w:r>
          <w:rPr>
            <w:noProof/>
            <w:webHidden/>
          </w:rPr>
          <w:fldChar w:fldCharType="begin"/>
        </w:r>
        <w:r w:rsidR="00E52A17">
          <w:rPr>
            <w:noProof/>
            <w:webHidden/>
          </w:rPr>
          <w:instrText xml:space="preserve"> PAGEREF _Toc230900353 \h </w:instrText>
        </w:r>
        <w:r>
          <w:rPr>
            <w:noProof/>
            <w:webHidden/>
          </w:rPr>
        </w:r>
        <w:r>
          <w:rPr>
            <w:noProof/>
            <w:webHidden/>
          </w:rPr>
          <w:fldChar w:fldCharType="separate"/>
        </w:r>
        <w:r w:rsidR="00515B25">
          <w:rPr>
            <w:noProof/>
            <w:webHidden/>
          </w:rPr>
          <w:t>114</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54" w:history="1">
        <w:r w:rsidR="00E52A17" w:rsidRPr="002B6755">
          <w:rPr>
            <w:rStyle w:val="Lienhypertexte"/>
            <w:rFonts w:ascii="Times New Roman" w:hAnsi="Times New Roman"/>
            <w:b/>
            <w:bCs/>
            <w:noProof/>
          </w:rPr>
          <w:t>1.Approche méthodologique et outils de l’étude</w:t>
        </w:r>
        <w:r w:rsidR="00E52A17">
          <w:rPr>
            <w:noProof/>
            <w:webHidden/>
          </w:rPr>
          <w:tab/>
        </w:r>
        <w:r>
          <w:rPr>
            <w:noProof/>
            <w:webHidden/>
          </w:rPr>
          <w:fldChar w:fldCharType="begin"/>
        </w:r>
        <w:r w:rsidR="00E52A17">
          <w:rPr>
            <w:noProof/>
            <w:webHidden/>
          </w:rPr>
          <w:instrText xml:space="preserve"> PAGEREF _Toc230900354 \h </w:instrText>
        </w:r>
        <w:r>
          <w:rPr>
            <w:noProof/>
            <w:webHidden/>
          </w:rPr>
        </w:r>
        <w:r>
          <w:rPr>
            <w:noProof/>
            <w:webHidden/>
          </w:rPr>
          <w:fldChar w:fldCharType="separate"/>
        </w:r>
        <w:r w:rsidR="00515B25">
          <w:rPr>
            <w:noProof/>
            <w:webHidden/>
          </w:rPr>
          <w:t>114</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55" w:history="1">
        <w:r w:rsidR="00E52A17" w:rsidRPr="002B6755">
          <w:rPr>
            <w:rStyle w:val="Lienhypertexte"/>
            <w:rFonts w:ascii="Times New Roman" w:hAnsi="Times New Roman"/>
            <w:b/>
            <w:bCs/>
            <w:noProof/>
          </w:rPr>
          <w:t>1.1.Méthodologie adoptée :</w:t>
        </w:r>
        <w:r w:rsidR="00E52A17">
          <w:rPr>
            <w:noProof/>
            <w:webHidden/>
          </w:rPr>
          <w:tab/>
        </w:r>
        <w:r>
          <w:rPr>
            <w:noProof/>
            <w:webHidden/>
          </w:rPr>
          <w:fldChar w:fldCharType="begin"/>
        </w:r>
        <w:r w:rsidR="00E52A17">
          <w:rPr>
            <w:noProof/>
            <w:webHidden/>
          </w:rPr>
          <w:instrText xml:space="preserve"> PAGEREF _Toc230900355 \h </w:instrText>
        </w:r>
        <w:r>
          <w:rPr>
            <w:noProof/>
            <w:webHidden/>
          </w:rPr>
        </w:r>
        <w:r>
          <w:rPr>
            <w:noProof/>
            <w:webHidden/>
          </w:rPr>
          <w:fldChar w:fldCharType="separate"/>
        </w:r>
        <w:r w:rsidR="00515B25">
          <w:rPr>
            <w:noProof/>
            <w:webHidden/>
          </w:rPr>
          <w:t>114</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56" w:history="1">
        <w:r w:rsidR="00E52A17" w:rsidRPr="002B6755">
          <w:rPr>
            <w:rStyle w:val="Lienhypertexte"/>
            <w:rFonts w:ascii="Times New Roman" w:hAnsi="Times New Roman"/>
            <w:b/>
            <w:bCs/>
            <w:noProof/>
          </w:rPr>
          <w:t xml:space="preserve">1.2.  </w:t>
        </w:r>
        <w:r w:rsidR="00E52A17" w:rsidRPr="002B6755">
          <w:rPr>
            <w:rStyle w:val="Lienhypertexte"/>
            <w:rFonts w:ascii="Times New Roman" w:hAnsi="Times New Roman"/>
            <w:b/>
            <w:bCs/>
            <w:noProof/>
            <w:lang w:eastAsia="fr-FR"/>
          </w:rPr>
          <w:t>Outils de collecte de données :</w:t>
        </w:r>
        <w:r w:rsidR="00E52A17">
          <w:rPr>
            <w:noProof/>
            <w:webHidden/>
          </w:rPr>
          <w:tab/>
        </w:r>
        <w:r>
          <w:rPr>
            <w:noProof/>
            <w:webHidden/>
          </w:rPr>
          <w:fldChar w:fldCharType="begin"/>
        </w:r>
        <w:r w:rsidR="00E52A17">
          <w:rPr>
            <w:noProof/>
            <w:webHidden/>
          </w:rPr>
          <w:instrText xml:space="preserve"> PAGEREF _Toc230900356 \h </w:instrText>
        </w:r>
        <w:r>
          <w:rPr>
            <w:noProof/>
            <w:webHidden/>
          </w:rPr>
        </w:r>
        <w:r>
          <w:rPr>
            <w:noProof/>
            <w:webHidden/>
          </w:rPr>
          <w:fldChar w:fldCharType="separate"/>
        </w:r>
        <w:r w:rsidR="00515B25">
          <w:rPr>
            <w:noProof/>
            <w:webHidden/>
          </w:rPr>
          <w:t>116</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57" w:history="1">
        <w:r w:rsidR="00E52A17" w:rsidRPr="002B6755">
          <w:rPr>
            <w:rStyle w:val="Lienhypertexte"/>
            <w:rFonts w:ascii="Times New Roman" w:hAnsi="Times New Roman"/>
            <w:b/>
            <w:bCs/>
            <w:noProof/>
          </w:rPr>
          <w:t xml:space="preserve">2.Présentation générale de l'entreprise </w:t>
        </w:r>
        <w:r w:rsidR="00E52A17" w:rsidRPr="002B6755">
          <w:rPr>
            <w:rStyle w:val="Lienhypertexte"/>
            <w:rFonts w:ascii="Times New Roman" w:hAnsi="Times New Roman"/>
            <w:b/>
            <w:bCs/>
            <w:noProof/>
            <w:lang w:eastAsia="fr-FR"/>
          </w:rPr>
          <w:t>Dahbia Huile et son organigramme</w:t>
        </w:r>
        <w:r w:rsidR="00E52A17">
          <w:rPr>
            <w:noProof/>
            <w:webHidden/>
          </w:rPr>
          <w:tab/>
        </w:r>
        <w:r>
          <w:rPr>
            <w:noProof/>
            <w:webHidden/>
          </w:rPr>
          <w:fldChar w:fldCharType="begin"/>
        </w:r>
        <w:r w:rsidR="00E52A17">
          <w:rPr>
            <w:noProof/>
            <w:webHidden/>
          </w:rPr>
          <w:instrText xml:space="preserve"> PAGEREF _Toc230900357 \h </w:instrText>
        </w:r>
        <w:r>
          <w:rPr>
            <w:noProof/>
            <w:webHidden/>
          </w:rPr>
        </w:r>
        <w:r>
          <w:rPr>
            <w:noProof/>
            <w:webHidden/>
          </w:rPr>
          <w:fldChar w:fldCharType="separate"/>
        </w:r>
        <w:r w:rsidR="00515B25">
          <w:rPr>
            <w:noProof/>
            <w:webHidden/>
          </w:rPr>
          <w:t>119</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58" w:history="1">
        <w:r w:rsidR="00E52A17" w:rsidRPr="002B6755">
          <w:rPr>
            <w:rStyle w:val="Lienhypertexte"/>
            <w:rFonts w:ascii="Times New Roman" w:hAnsi="Times New Roman"/>
            <w:b/>
            <w:bCs/>
            <w:noProof/>
          </w:rPr>
          <w:t xml:space="preserve">2.1.Présentation générale de l'entreprise </w:t>
        </w:r>
        <w:r w:rsidR="00E52A17" w:rsidRPr="002B6755">
          <w:rPr>
            <w:rStyle w:val="Lienhypertexte"/>
            <w:rFonts w:ascii="Times New Roman" w:hAnsi="Times New Roman"/>
            <w:b/>
            <w:bCs/>
            <w:noProof/>
            <w:lang w:eastAsia="fr-FR"/>
          </w:rPr>
          <w:t>Dahbia Huile</w:t>
        </w:r>
        <w:r w:rsidR="00E52A17">
          <w:rPr>
            <w:noProof/>
            <w:webHidden/>
          </w:rPr>
          <w:tab/>
        </w:r>
        <w:r>
          <w:rPr>
            <w:noProof/>
            <w:webHidden/>
          </w:rPr>
          <w:fldChar w:fldCharType="begin"/>
        </w:r>
        <w:r w:rsidR="00E52A17">
          <w:rPr>
            <w:noProof/>
            <w:webHidden/>
          </w:rPr>
          <w:instrText xml:space="preserve"> PAGEREF _Toc230900358 \h </w:instrText>
        </w:r>
        <w:r>
          <w:rPr>
            <w:noProof/>
            <w:webHidden/>
          </w:rPr>
        </w:r>
        <w:r>
          <w:rPr>
            <w:noProof/>
            <w:webHidden/>
          </w:rPr>
          <w:fldChar w:fldCharType="separate"/>
        </w:r>
        <w:r w:rsidR="00515B25">
          <w:rPr>
            <w:noProof/>
            <w:webHidden/>
          </w:rPr>
          <w:t>119</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59" w:history="1">
        <w:r w:rsidR="00E52A17" w:rsidRPr="002B6755">
          <w:rPr>
            <w:rStyle w:val="Lienhypertexte"/>
            <w:rFonts w:ascii="Times New Roman" w:hAnsi="Times New Roman"/>
            <w:b/>
            <w:bCs/>
            <w:noProof/>
          </w:rPr>
          <w:t>2.2Organigramme de l’entreprise Dahbia</w:t>
        </w:r>
        <w:r w:rsidR="00E52A17">
          <w:rPr>
            <w:noProof/>
            <w:webHidden/>
          </w:rPr>
          <w:tab/>
        </w:r>
        <w:r>
          <w:rPr>
            <w:noProof/>
            <w:webHidden/>
          </w:rPr>
          <w:fldChar w:fldCharType="begin"/>
        </w:r>
        <w:r w:rsidR="00E52A17">
          <w:rPr>
            <w:noProof/>
            <w:webHidden/>
          </w:rPr>
          <w:instrText xml:space="preserve"> PAGEREF _Toc230900359 \h </w:instrText>
        </w:r>
        <w:r>
          <w:rPr>
            <w:noProof/>
            <w:webHidden/>
          </w:rPr>
        </w:r>
        <w:r>
          <w:rPr>
            <w:noProof/>
            <w:webHidden/>
          </w:rPr>
          <w:fldChar w:fldCharType="separate"/>
        </w:r>
        <w:r w:rsidR="00515B25">
          <w:rPr>
            <w:noProof/>
            <w:webHidden/>
          </w:rPr>
          <w:t>120</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60" w:history="1">
        <w:r w:rsidR="00E52A17" w:rsidRPr="002B6755">
          <w:rPr>
            <w:rStyle w:val="Lienhypertexte"/>
            <w:rFonts w:asciiTheme="majorBidi" w:hAnsiTheme="majorBidi" w:cstheme="majorBidi"/>
            <w:b/>
            <w:bCs/>
            <w:noProof/>
          </w:rPr>
          <w:t xml:space="preserve">Section 2 : </w:t>
        </w:r>
        <w:r w:rsidR="00E52A17" w:rsidRPr="002B6755">
          <w:rPr>
            <w:rStyle w:val="Lienhypertexte"/>
            <w:rFonts w:asciiTheme="majorBidi" w:hAnsiTheme="majorBidi" w:cstheme="majorBidi"/>
            <w:noProof/>
          </w:rPr>
          <w:t>Analyse des résultats de terrain et présentation de l’étude de cas.</w:t>
        </w:r>
        <w:r w:rsidR="00E52A17">
          <w:rPr>
            <w:noProof/>
            <w:webHidden/>
          </w:rPr>
          <w:tab/>
        </w:r>
        <w:r>
          <w:rPr>
            <w:noProof/>
            <w:webHidden/>
          </w:rPr>
          <w:fldChar w:fldCharType="begin"/>
        </w:r>
        <w:r w:rsidR="00E52A17">
          <w:rPr>
            <w:noProof/>
            <w:webHidden/>
          </w:rPr>
          <w:instrText xml:space="preserve"> PAGEREF _Toc230900360 \h </w:instrText>
        </w:r>
        <w:r>
          <w:rPr>
            <w:noProof/>
            <w:webHidden/>
          </w:rPr>
        </w:r>
        <w:r>
          <w:rPr>
            <w:noProof/>
            <w:webHidden/>
          </w:rPr>
          <w:fldChar w:fldCharType="separate"/>
        </w:r>
        <w:r w:rsidR="00515B25">
          <w:rPr>
            <w:noProof/>
            <w:webHidden/>
          </w:rPr>
          <w:t>122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61" w:history="1">
        <w:r w:rsidR="00E52A17" w:rsidRPr="002B6755">
          <w:rPr>
            <w:rStyle w:val="Lienhypertexte"/>
            <w:rFonts w:ascii="Times New Roman" w:hAnsi="Times New Roman"/>
            <w:b/>
            <w:bCs/>
            <w:noProof/>
            <w:lang w:eastAsia="fr-FR"/>
          </w:rPr>
          <w:t>1.Analyse et discussion des résultats des entretiens et de l’observation de terrain</w:t>
        </w:r>
        <w:r w:rsidR="00E52A17">
          <w:rPr>
            <w:noProof/>
            <w:webHidden/>
          </w:rPr>
          <w:tab/>
        </w:r>
        <w:r>
          <w:rPr>
            <w:noProof/>
            <w:webHidden/>
          </w:rPr>
          <w:fldChar w:fldCharType="begin"/>
        </w:r>
        <w:r w:rsidR="00E52A17">
          <w:rPr>
            <w:noProof/>
            <w:webHidden/>
          </w:rPr>
          <w:instrText xml:space="preserve"> PAGEREF _Toc230900361 \h </w:instrText>
        </w:r>
        <w:r>
          <w:rPr>
            <w:noProof/>
            <w:webHidden/>
          </w:rPr>
        </w:r>
        <w:r>
          <w:rPr>
            <w:noProof/>
            <w:webHidden/>
          </w:rPr>
          <w:fldChar w:fldCharType="separate"/>
        </w:r>
        <w:r w:rsidR="00515B25">
          <w:rPr>
            <w:noProof/>
            <w:webHidden/>
          </w:rPr>
          <w:t>122</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2" w:history="1">
        <w:r w:rsidR="00E52A17" w:rsidRPr="002B6755">
          <w:rPr>
            <w:rStyle w:val="Lienhypertexte"/>
            <w:rFonts w:ascii="Times New Roman" w:hAnsi="Times New Roman"/>
            <w:b/>
            <w:bCs/>
            <w:noProof/>
          </w:rPr>
          <w:t>1.1.Les entretiens :</w:t>
        </w:r>
        <w:r w:rsidR="00E52A17">
          <w:rPr>
            <w:noProof/>
            <w:webHidden/>
          </w:rPr>
          <w:tab/>
        </w:r>
        <w:r>
          <w:rPr>
            <w:noProof/>
            <w:webHidden/>
          </w:rPr>
          <w:fldChar w:fldCharType="begin"/>
        </w:r>
        <w:r w:rsidR="00E52A17">
          <w:rPr>
            <w:noProof/>
            <w:webHidden/>
          </w:rPr>
          <w:instrText xml:space="preserve"> PAGEREF _Toc230900362 \h </w:instrText>
        </w:r>
        <w:r>
          <w:rPr>
            <w:noProof/>
            <w:webHidden/>
          </w:rPr>
        </w:r>
        <w:r>
          <w:rPr>
            <w:noProof/>
            <w:webHidden/>
          </w:rPr>
          <w:fldChar w:fldCharType="separate"/>
        </w:r>
        <w:r w:rsidR="00515B25">
          <w:rPr>
            <w:noProof/>
            <w:webHidden/>
          </w:rPr>
          <w:t>123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3" w:history="1">
        <w:r w:rsidR="00E52A17" w:rsidRPr="002B6755">
          <w:rPr>
            <w:rStyle w:val="Lienhypertexte"/>
            <w:rFonts w:ascii="Times New Roman" w:hAnsi="Times New Roman"/>
            <w:b/>
            <w:bCs/>
            <w:noProof/>
          </w:rPr>
          <w:t>1.2. Production biologique et respect des normes</w:t>
        </w:r>
        <w:r w:rsidR="00E52A17">
          <w:rPr>
            <w:noProof/>
            <w:webHidden/>
          </w:rPr>
          <w:tab/>
        </w:r>
        <w:r>
          <w:rPr>
            <w:noProof/>
            <w:webHidden/>
          </w:rPr>
          <w:fldChar w:fldCharType="begin"/>
        </w:r>
        <w:r w:rsidR="00E52A17">
          <w:rPr>
            <w:noProof/>
            <w:webHidden/>
          </w:rPr>
          <w:instrText xml:space="preserve"> PAGEREF _Toc230900363 \h </w:instrText>
        </w:r>
        <w:r>
          <w:rPr>
            <w:noProof/>
            <w:webHidden/>
          </w:rPr>
        </w:r>
        <w:r>
          <w:rPr>
            <w:noProof/>
            <w:webHidden/>
          </w:rPr>
          <w:fldChar w:fldCharType="separate"/>
        </w:r>
        <w:r w:rsidR="00515B25">
          <w:rPr>
            <w:noProof/>
            <w:webHidden/>
          </w:rPr>
          <w:t>124</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4" w:history="1">
        <w:r w:rsidR="00E52A17" w:rsidRPr="002B6755">
          <w:rPr>
            <w:rStyle w:val="Lienhypertexte"/>
            <w:rFonts w:ascii="Times New Roman" w:hAnsi="Times New Roman"/>
            <w:b/>
            <w:bCs/>
            <w:noProof/>
          </w:rPr>
          <w:t>1.3. Certifications et conformité aux normes internationales</w:t>
        </w:r>
        <w:r w:rsidR="00E52A17">
          <w:rPr>
            <w:noProof/>
            <w:webHidden/>
          </w:rPr>
          <w:tab/>
        </w:r>
        <w:r>
          <w:rPr>
            <w:noProof/>
            <w:webHidden/>
          </w:rPr>
          <w:fldChar w:fldCharType="begin"/>
        </w:r>
        <w:r w:rsidR="00E52A17">
          <w:rPr>
            <w:noProof/>
            <w:webHidden/>
          </w:rPr>
          <w:instrText xml:space="preserve"> PAGEREF _Toc230900364 \h </w:instrText>
        </w:r>
        <w:r>
          <w:rPr>
            <w:noProof/>
            <w:webHidden/>
          </w:rPr>
        </w:r>
        <w:r>
          <w:rPr>
            <w:noProof/>
            <w:webHidden/>
          </w:rPr>
          <w:fldChar w:fldCharType="separate"/>
        </w:r>
        <w:r w:rsidR="00515B25">
          <w:rPr>
            <w:noProof/>
            <w:webHidden/>
          </w:rPr>
          <w:t>127</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5" w:history="1">
        <w:r w:rsidR="00E52A17" w:rsidRPr="002B6755">
          <w:rPr>
            <w:rStyle w:val="Lienhypertexte"/>
            <w:rFonts w:ascii="Times New Roman" w:hAnsi="Times New Roman"/>
            <w:b/>
            <w:bCs/>
            <w:noProof/>
          </w:rPr>
          <w:t>1.4.Processus de production et conservation</w:t>
        </w:r>
        <w:r w:rsidR="00E52A17">
          <w:rPr>
            <w:noProof/>
            <w:webHidden/>
          </w:rPr>
          <w:tab/>
        </w:r>
        <w:r>
          <w:rPr>
            <w:noProof/>
            <w:webHidden/>
          </w:rPr>
          <w:fldChar w:fldCharType="begin"/>
        </w:r>
        <w:r w:rsidR="00E52A17">
          <w:rPr>
            <w:noProof/>
            <w:webHidden/>
          </w:rPr>
          <w:instrText xml:space="preserve"> PAGEREF _Toc230900365 \h </w:instrText>
        </w:r>
        <w:r>
          <w:rPr>
            <w:noProof/>
            <w:webHidden/>
          </w:rPr>
        </w:r>
        <w:r>
          <w:rPr>
            <w:noProof/>
            <w:webHidden/>
          </w:rPr>
          <w:fldChar w:fldCharType="separate"/>
        </w:r>
        <w:r w:rsidR="00515B25">
          <w:rPr>
            <w:noProof/>
            <w:webHidden/>
          </w:rPr>
          <w:t>128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6" w:history="1">
        <w:r w:rsidR="00E52A17" w:rsidRPr="002B6755">
          <w:rPr>
            <w:rStyle w:val="Lienhypertexte"/>
            <w:rFonts w:ascii="Times New Roman" w:hAnsi="Times New Roman"/>
            <w:b/>
            <w:bCs/>
            <w:noProof/>
          </w:rPr>
          <w:t>1.5. Système de qualité et performance</w:t>
        </w:r>
        <w:r w:rsidR="00E52A17">
          <w:rPr>
            <w:noProof/>
            <w:webHidden/>
          </w:rPr>
          <w:tab/>
        </w:r>
        <w:r>
          <w:rPr>
            <w:noProof/>
            <w:webHidden/>
          </w:rPr>
          <w:fldChar w:fldCharType="begin"/>
        </w:r>
        <w:r w:rsidR="00E52A17">
          <w:rPr>
            <w:noProof/>
            <w:webHidden/>
          </w:rPr>
          <w:instrText xml:space="preserve"> PAGEREF _Toc230900366 \h </w:instrText>
        </w:r>
        <w:r>
          <w:rPr>
            <w:noProof/>
            <w:webHidden/>
          </w:rPr>
        </w:r>
        <w:r>
          <w:rPr>
            <w:noProof/>
            <w:webHidden/>
          </w:rPr>
          <w:fldChar w:fldCharType="separate"/>
        </w:r>
        <w:r w:rsidR="00515B25">
          <w:rPr>
            <w:noProof/>
            <w:webHidden/>
          </w:rPr>
          <w:t>131</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7" w:history="1">
        <w:r w:rsidR="00E52A17" w:rsidRPr="002B6755">
          <w:rPr>
            <w:rStyle w:val="Lienhypertexte"/>
            <w:rFonts w:ascii="Times New Roman" w:hAnsi="Times New Roman"/>
            <w:b/>
            <w:bCs/>
            <w:noProof/>
          </w:rPr>
          <w:t>1.6. Récompenses et reconnaissance internationale</w:t>
        </w:r>
        <w:r w:rsidR="00E52A17">
          <w:rPr>
            <w:noProof/>
            <w:webHidden/>
          </w:rPr>
          <w:tab/>
        </w:r>
        <w:r>
          <w:rPr>
            <w:noProof/>
            <w:webHidden/>
          </w:rPr>
          <w:fldChar w:fldCharType="begin"/>
        </w:r>
        <w:r w:rsidR="00E52A17">
          <w:rPr>
            <w:noProof/>
            <w:webHidden/>
          </w:rPr>
          <w:instrText xml:space="preserve"> PAGEREF _Toc230900367 \h </w:instrText>
        </w:r>
        <w:r>
          <w:rPr>
            <w:noProof/>
            <w:webHidden/>
          </w:rPr>
        </w:r>
        <w:r>
          <w:rPr>
            <w:noProof/>
            <w:webHidden/>
          </w:rPr>
          <w:fldChar w:fldCharType="separate"/>
        </w:r>
        <w:r w:rsidR="00515B25">
          <w:rPr>
            <w:noProof/>
            <w:webHidden/>
          </w:rPr>
          <w:t>133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8" w:history="1">
        <w:r w:rsidR="00E52A17" w:rsidRPr="002B6755">
          <w:rPr>
            <w:rStyle w:val="Lienhypertexte"/>
            <w:rFonts w:ascii="Times New Roman" w:hAnsi="Times New Roman"/>
            <w:b/>
            <w:bCs/>
            <w:noProof/>
          </w:rPr>
          <w:t>1.7.Stratégie marketing et positionnement premium</w:t>
        </w:r>
        <w:r w:rsidR="00E52A17">
          <w:rPr>
            <w:noProof/>
            <w:webHidden/>
          </w:rPr>
          <w:tab/>
        </w:r>
        <w:r>
          <w:rPr>
            <w:noProof/>
            <w:webHidden/>
          </w:rPr>
          <w:fldChar w:fldCharType="begin"/>
        </w:r>
        <w:r w:rsidR="00E52A17">
          <w:rPr>
            <w:noProof/>
            <w:webHidden/>
          </w:rPr>
          <w:instrText xml:space="preserve"> PAGEREF _Toc230900368 \h </w:instrText>
        </w:r>
        <w:r>
          <w:rPr>
            <w:noProof/>
            <w:webHidden/>
          </w:rPr>
        </w:r>
        <w:r>
          <w:rPr>
            <w:noProof/>
            <w:webHidden/>
          </w:rPr>
          <w:fldChar w:fldCharType="separate"/>
        </w:r>
        <w:r w:rsidR="00515B25">
          <w:rPr>
            <w:noProof/>
            <w:webHidden/>
          </w:rPr>
          <w:t>134</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69" w:history="1">
        <w:r w:rsidR="00E52A17" w:rsidRPr="002B6755">
          <w:rPr>
            <w:rStyle w:val="Lienhypertexte"/>
            <w:rFonts w:ascii="Times New Roman" w:hAnsi="Times New Roman"/>
            <w:b/>
            <w:bCs/>
            <w:noProof/>
          </w:rPr>
          <w:t>1.8. Contraintes et difficultés</w:t>
        </w:r>
        <w:r w:rsidR="00E52A17">
          <w:rPr>
            <w:noProof/>
            <w:webHidden/>
          </w:rPr>
          <w:tab/>
        </w:r>
        <w:r>
          <w:rPr>
            <w:noProof/>
            <w:webHidden/>
          </w:rPr>
          <w:fldChar w:fldCharType="begin"/>
        </w:r>
        <w:r w:rsidR="00E52A17">
          <w:rPr>
            <w:noProof/>
            <w:webHidden/>
          </w:rPr>
          <w:instrText xml:space="preserve"> PAGEREF _Toc230900369 \h </w:instrText>
        </w:r>
        <w:r>
          <w:rPr>
            <w:noProof/>
            <w:webHidden/>
          </w:rPr>
        </w:r>
        <w:r>
          <w:rPr>
            <w:noProof/>
            <w:webHidden/>
          </w:rPr>
          <w:fldChar w:fldCharType="separate"/>
        </w:r>
        <w:r w:rsidR="00515B25">
          <w:rPr>
            <w:noProof/>
            <w:webHidden/>
          </w:rPr>
          <w:t>138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70" w:history="1">
        <w:r w:rsidR="00E52A17" w:rsidRPr="002B6755">
          <w:rPr>
            <w:rStyle w:val="Lienhypertexte"/>
            <w:rFonts w:ascii="Times New Roman" w:hAnsi="Times New Roman"/>
            <w:b/>
            <w:bCs/>
            <w:noProof/>
          </w:rPr>
          <w:t>1.9.Perspectives et développement futur</w:t>
        </w:r>
        <w:r w:rsidR="00E52A17">
          <w:rPr>
            <w:noProof/>
            <w:webHidden/>
          </w:rPr>
          <w:tab/>
        </w:r>
        <w:r>
          <w:rPr>
            <w:noProof/>
            <w:webHidden/>
          </w:rPr>
          <w:fldChar w:fldCharType="begin"/>
        </w:r>
        <w:r w:rsidR="00E52A17">
          <w:rPr>
            <w:noProof/>
            <w:webHidden/>
          </w:rPr>
          <w:instrText xml:space="preserve"> PAGEREF _Toc230900370 \h </w:instrText>
        </w:r>
        <w:r>
          <w:rPr>
            <w:noProof/>
            <w:webHidden/>
          </w:rPr>
        </w:r>
        <w:r>
          <w:rPr>
            <w:noProof/>
            <w:webHidden/>
          </w:rPr>
          <w:fldChar w:fldCharType="separate"/>
        </w:r>
        <w:r w:rsidR="00515B25">
          <w:rPr>
            <w:noProof/>
            <w:webHidden/>
          </w:rPr>
          <w:t>139</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71" w:history="1">
        <w:r w:rsidR="00E52A17" w:rsidRPr="002B6755">
          <w:rPr>
            <w:rStyle w:val="Lienhypertexte"/>
            <w:rFonts w:ascii="Times New Roman" w:hAnsi="Times New Roman"/>
            <w:b/>
            <w:bCs/>
            <w:noProof/>
            <w:lang w:eastAsia="fr-FR" w:bidi="ar-DZ"/>
          </w:rPr>
          <w:t>1.10.Conclusion analytique de l’étude de cas de l’entreprise Dahbia</w:t>
        </w:r>
        <w:r w:rsidR="00E52A17">
          <w:rPr>
            <w:noProof/>
            <w:webHidden/>
          </w:rPr>
          <w:tab/>
        </w:r>
        <w:r>
          <w:rPr>
            <w:noProof/>
            <w:webHidden/>
          </w:rPr>
          <w:fldChar w:fldCharType="begin"/>
        </w:r>
        <w:r w:rsidR="00E52A17">
          <w:rPr>
            <w:noProof/>
            <w:webHidden/>
          </w:rPr>
          <w:instrText xml:space="preserve"> PAGEREF _Toc230900371 \h </w:instrText>
        </w:r>
        <w:r>
          <w:rPr>
            <w:noProof/>
            <w:webHidden/>
          </w:rPr>
        </w:r>
        <w:r>
          <w:rPr>
            <w:noProof/>
            <w:webHidden/>
          </w:rPr>
          <w:fldChar w:fldCharType="separate"/>
        </w:r>
        <w:r w:rsidR="00515B25">
          <w:rPr>
            <w:noProof/>
            <w:webHidden/>
          </w:rPr>
          <w:t>141</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72" w:history="1">
        <w:r w:rsidR="00E52A17" w:rsidRPr="002B6755">
          <w:rPr>
            <w:rStyle w:val="Lienhypertexte"/>
            <w:rFonts w:ascii="Times New Roman" w:hAnsi="Times New Roman"/>
            <w:b/>
            <w:bCs/>
            <w:noProof/>
            <w:lang w:eastAsia="fr-FR" w:bidi="ar-DZ"/>
          </w:rPr>
          <w:t>Section 03 :</w:t>
        </w:r>
        <w:r w:rsidR="00E52A17" w:rsidRPr="002B6755">
          <w:rPr>
            <w:rStyle w:val="Lienhypertexte"/>
            <w:rFonts w:ascii="Times New Roman" w:hAnsi="Times New Roman"/>
            <w:noProof/>
            <w:lang w:eastAsia="fr-FR" w:bidi="ar-DZ"/>
          </w:rPr>
          <w:t xml:space="preserve"> le cadre méthodologique et analyse de résultats de l’ étude</w:t>
        </w:r>
        <w:r w:rsidR="00E52A17">
          <w:rPr>
            <w:noProof/>
            <w:webHidden/>
          </w:rPr>
          <w:tab/>
        </w:r>
        <w:r>
          <w:rPr>
            <w:noProof/>
            <w:webHidden/>
          </w:rPr>
          <w:fldChar w:fldCharType="begin"/>
        </w:r>
        <w:r w:rsidR="00E52A17">
          <w:rPr>
            <w:noProof/>
            <w:webHidden/>
          </w:rPr>
          <w:instrText xml:space="preserve"> PAGEREF _Toc230900372 \h </w:instrText>
        </w:r>
        <w:r>
          <w:rPr>
            <w:noProof/>
            <w:webHidden/>
          </w:rPr>
        </w:r>
        <w:r>
          <w:rPr>
            <w:noProof/>
            <w:webHidden/>
          </w:rPr>
          <w:fldChar w:fldCharType="separate"/>
        </w:r>
        <w:r w:rsidR="00515B25">
          <w:rPr>
            <w:noProof/>
            <w:webHidden/>
          </w:rPr>
          <w:t>142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73" w:history="1">
        <w:r w:rsidR="00E52A17" w:rsidRPr="002B6755">
          <w:rPr>
            <w:rStyle w:val="Lienhypertexte"/>
            <w:rFonts w:ascii="Times New Roman" w:hAnsi="Times New Roman"/>
            <w:b/>
            <w:bCs/>
            <w:noProof/>
            <w:lang w:eastAsia="fr-FR" w:bidi="ar-DZ"/>
          </w:rPr>
          <w:t>1.La démarche méthodologique :</w:t>
        </w:r>
        <w:r w:rsidR="00E52A17">
          <w:rPr>
            <w:noProof/>
            <w:webHidden/>
          </w:rPr>
          <w:tab/>
        </w:r>
        <w:r>
          <w:rPr>
            <w:noProof/>
            <w:webHidden/>
          </w:rPr>
          <w:fldChar w:fldCharType="begin"/>
        </w:r>
        <w:r w:rsidR="00E52A17">
          <w:rPr>
            <w:noProof/>
            <w:webHidden/>
          </w:rPr>
          <w:instrText xml:space="preserve"> PAGEREF _Toc230900373 \h </w:instrText>
        </w:r>
        <w:r>
          <w:rPr>
            <w:noProof/>
            <w:webHidden/>
          </w:rPr>
        </w:r>
        <w:r>
          <w:rPr>
            <w:noProof/>
            <w:webHidden/>
          </w:rPr>
          <w:fldChar w:fldCharType="separate"/>
        </w:r>
        <w:r w:rsidR="00515B25">
          <w:rPr>
            <w:noProof/>
            <w:webHidden/>
          </w:rPr>
          <w:t>142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74" w:history="1">
        <w:r w:rsidR="00E52A17" w:rsidRPr="002B6755">
          <w:rPr>
            <w:rStyle w:val="Lienhypertexte"/>
            <w:rFonts w:ascii="Times New Roman" w:hAnsi="Times New Roman"/>
            <w:b/>
            <w:bCs/>
            <w:noProof/>
            <w:lang w:eastAsia="fr-FR" w:bidi="ar-DZ"/>
          </w:rPr>
          <w:t>2.Les différentes parties du questionnaire :</w:t>
        </w:r>
        <w:r w:rsidR="00E52A17">
          <w:rPr>
            <w:noProof/>
            <w:webHidden/>
          </w:rPr>
          <w:tab/>
        </w:r>
        <w:r>
          <w:rPr>
            <w:noProof/>
            <w:webHidden/>
          </w:rPr>
          <w:fldChar w:fldCharType="begin"/>
        </w:r>
        <w:r w:rsidR="00E52A17">
          <w:rPr>
            <w:noProof/>
            <w:webHidden/>
          </w:rPr>
          <w:instrText xml:space="preserve"> PAGEREF _Toc230900374 \h </w:instrText>
        </w:r>
        <w:r>
          <w:rPr>
            <w:noProof/>
            <w:webHidden/>
          </w:rPr>
        </w:r>
        <w:r>
          <w:rPr>
            <w:noProof/>
            <w:webHidden/>
          </w:rPr>
          <w:fldChar w:fldCharType="separate"/>
        </w:r>
        <w:r w:rsidR="00515B25">
          <w:rPr>
            <w:noProof/>
            <w:webHidden/>
          </w:rPr>
          <w:t>142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75" w:history="1">
        <w:r w:rsidR="00E52A17" w:rsidRPr="002B6755">
          <w:rPr>
            <w:rStyle w:val="Lienhypertexte"/>
            <w:rFonts w:ascii="Times New Roman" w:hAnsi="Times New Roman"/>
            <w:b/>
            <w:bCs/>
            <w:noProof/>
            <w:lang w:eastAsia="fr-FR" w:bidi="ar-DZ"/>
          </w:rPr>
          <w:t>3.L’échantillonnage adopté</w:t>
        </w:r>
        <w:r w:rsidR="00E52A17">
          <w:rPr>
            <w:noProof/>
            <w:webHidden/>
          </w:rPr>
          <w:tab/>
        </w:r>
        <w:r>
          <w:rPr>
            <w:noProof/>
            <w:webHidden/>
          </w:rPr>
          <w:fldChar w:fldCharType="begin"/>
        </w:r>
        <w:r w:rsidR="00E52A17">
          <w:rPr>
            <w:noProof/>
            <w:webHidden/>
          </w:rPr>
          <w:instrText xml:space="preserve"> PAGEREF _Toc230900375 \h </w:instrText>
        </w:r>
        <w:r>
          <w:rPr>
            <w:noProof/>
            <w:webHidden/>
          </w:rPr>
        </w:r>
        <w:r>
          <w:rPr>
            <w:noProof/>
            <w:webHidden/>
          </w:rPr>
          <w:fldChar w:fldCharType="separate"/>
        </w:r>
        <w:r w:rsidR="00515B25">
          <w:rPr>
            <w:noProof/>
            <w:webHidden/>
          </w:rPr>
          <w:t>143</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76" w:history="1">
        <w:r w:rsidR="00E52A17" w:rsidRPr="002B6755">
          <w:rPr>
            <w:rStyle w:val="Lienhypertexte"/>
            <w:rFonts w:ascii="Times New Roman" w:hAnsi="Times New Roman"/>
            <w:b/>
            <w:bCs/>
            <w:noProof/>
            <w:lang w:eastAsia="fr-FR" w:bidi="ar-DZ"/>
          </w:rPr>
          <w:t>4.Outils statistiques utilisés pour l’analyse du questionnaire :</w:t>
        </w:r>
        <w:r w:rsidR="00E52A17">
          <w:rPr>
            <w:noProof/>
            <w:webHidden/>
          </w:rPr>
          <w:tab/>
        </w:r>
        <w:r>
          <w:rPr>
            <w:noProof/>
            <w:webHidden/>
          </w:rPr>
          <w:fldChar w:fldCharType="begin"/>
        </w:r>
        <w:r w:rsidR="00E52A17">
          <w:rPr>
            <w:noProof/>
            <w:webHidden/>
          </w:rPr>
          <w:instrText xml:space="preserve"> PAGEREF _Toc230900376 \h </w:instrText>
        </w:r>
        <w:r>
          <w:rPr>
            <w:noProof/>
            <w:webHidden/>
          </w:rPr>
        </w:r>
        <w:r>
          <w:rPr>
            <w:noProof/>
            <w:webHidden/>
          </w:rPr>
          <w:fldChar w:fldCharType="separate"/>
        </w:r>
        <w:r w:rsidR="00515B25">
          <w:rPr>
            <w:noProof/>
            <w:webHidden/>
          </w:rPr>
          <w:t>144</w:t>
        </w:r>
        <w:r>
          <w:rPr>
            <w:noProof/>
            <w:webHidden/>
          </w:rPr>
          <w:fldChar w:fldCharType="end"/>
        </w:r>
      </w:hyperlink>
    </w:p>
    <w:p w:rsidR="00E52A17" w:rsidRDefault="007B5998">
      <w:pPr>
        <w:pStyle w:val="TM3"/>
        <w:tabs>
          <w:tab w:val="left" w:pos="880"/>
          <w:tab w:val="right" w:leader="dot" w:pos="9062"/>
        </w:tabs>
        <w:rPr>
          <w:rFonts w:asciiTheme="minorHAnsi" w:eastAsiaTheme="minorEastAsia" w:hAnsiTheme="minorHAnsi" w:cstheme="minorBidi"/>
          <w:noProof/>
          <w:kern w:val="2"/>
          <w:sz w:val="24"/>
          <w:szCs w:val="24"/>
          <w:lang w:eastAsia="fr-FR"/>
        </w:rPr>
      </w:pPr>
      <w:hyperlink w:anchor="_Toc230900377" w:history="1">
        <w:r w:rsidR="00E52A17" w:rsidRPr="002B6755">
          <w:rPr>
            <w:rStyle w:val="Lienhypertexte"/>
            <w:noProof/>
            <w:lang w:eastAsia="fr-FR" w:bidi="ar-DZ"/>
          </w:rPr>
          <w:t>1.</w:t>
        </w:r>
        <w:r w:rsidR="00E52A17">
          <w:rPr>
            <w:rFonts w:asciiTheme="minorHAnsi" w:eastAsiaTheme="minorEastAsia" w:hAnsiTheme="minorHAnsi" w:cstheme="minorBidi"/>
            <w:noProof/>
            <w:kern w:val="2"/>
            <w:sz w:val="24"/>
            <w:szCs w:val="24"/>
            <w:lang w:eastAsia="fr-FR"/>
          </w:rPr>
          <w:tab/>
        </w:r>
        <w:r w:rsidR="00E52A17" w:rsidRPr="002B6755">
          <w:rPr>
            <w:rStyle w:val="Lienhypertexte"/>
            <w:rFonts w:ascii="Times New Roman" w:hAnsi="Times New Roman"/>
            <w:b/>
            <w:bCs/>
            <w:noProof/>
            <w:lang w:eastAsia="fr-FR" w:bidi="ar-DZ"/>
          </w:rPr>
          <w:t>Analyse univariée :</w:t>
        </w:r>
        <w:r w:rsidR="00E52A17">
          <w:rPr>
            <w:noProof/>
            <w:webHidden/>
          </w:rPr>
          <w:tab/>
        </w:r>
        <w:r>
          <w:rPr>
            <w:noProof/>
            <w:webHidden/>
          </w:rPr>
          <w:fldChar w:fldCharType="begin"/>
        </w:r>
        <w:r w:rsidR="00E52A17">
          <w:rPr>
            <w:noProof/>
            <w:webHidden/>
          </w:rPr>
          <w:instrText xml:space="preserve"> PAGEREF _Toc230900377 \h </w:instrText>
        </w:r>
        <w:r>
          <w:rPr>
            <w:noProof/>
            <w:webHidden/>
          </w:rPr>
        </w:r>
        <w:r>
          <w:rPr>
            <w:noProof/>
            <w:webHidden/>
          </w:rPr>
          <w:fldChar w:fldCharType="separate"/>
        </w:r>
        <w:r w:rsidR="00515B25">
          <w:rPr>
            <w:noProof/>
            <w:webHidden/>
          </w:rPr>
          <w:t>144</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78" w:history="1">
        <w:r w:rsidR="00E52A17" w:rsidRPr="002B6755">
          <w:rPr>
            <w:rStyle w:val="Lienhypertexte"/>
            <w:rFonts w:ascii="Times New Roman" w:hAnsi="Times New Roman"/>
            <w:b/>
            <w:bCs/>
            <w:noProof/>
          </w:rPr>
          <w:t>2. l’analyse des données de la variable indépendante : « le marketing des produits biologiques ».</w:t>
        </w:r>
        <w:r w:rsidR="00E52A17">
          <w:rPr>
            <w:noProof/>
            <w:webHidden/>
          </w:rPr>
          <w:tab/>
        </w:r>
        <w:r>
          <w:rPr>
            <w:noProof/>
            <w:webHidden/>
          </w:rPr>
          <w:fldChar w:fldCharType="begin"/>
        </w:r>
        <w:r w:rsidR="00E52A17">
          <w:rPr>
            <w:noProof/>
            <w:webHidden/>
          </w:rPr>
          <w:instrText xml:space="preserve"> PAGEREF _Toc230900378 \h </w:instrText>
        </w:r>
        <w:r>
          <w:rPr>
            <w:noProof/>
            <w:webHidden/>
          </w:rPr>
        </w:r>
        <w:r>
          <w:rPr>
            <w:noProof/>
            <w:webHidden/>
          </w:rPr>
          <w:fldChar w:fldCharType="separate"/>
        </w:r>
        <w:r w:rsidR="00515B25">
          <w:rPr>
            <w:noProof/>
            <w:webHidden/>
          </w:rPr>
          <w:t>148</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79" w:history="1">
        <w:r w:rsidR="00E52A17" w:rsidRPr="002B6755">
          <w:rPr>
            <w:rStyle w:val="Lienhypertexte"/>
            <w:rFonts w:ascii="Times New Roman" w:hAnsi="Times New Roman"/>
            <w:b/>
            <w:bCs/>
            <w:noProof/>
          </w:rPr>
          <w:t>3.  l’analyse des données de la variable dépendante : «la sécurité sanitaire des aliments ».</w:t>
        </w:r>
        <w:r w:rsidR="00E52A17">
          <w:rPr>
            <w:noProof/>
            <w:webHidden/>
          </w:rPr>
          <w:tab/>
        </w:r>
        <w:r>
          <w:rPr>
            <w:noProof/>
            <w:webHidden/>
          </w:rPr>
          <w:fldChar w:fldCharType="begin"/>
        </w:r>
        <w:r w:rsidR="00E52A17">
          <w:rPr>
            <w:noProof/>
            <w:webHidden/>
          </w:rPr>
          <w:instrText xml:space="preserve"> PAGEREF _Toc230900379 \h </w:instrText>
        </w:r>
        <w:r>
          <w:rPr>
            <w:noProof/>
            <w:webHidden/>
          </w:rPr>
        </w:r>
        <w:r>
          <w:rPr>
            <w:noProof/>
            <w:webHidden/>
          </w:rPr>
          <w:fldChar w:fldCharType="separate"/>
        </w:r>
        <w:r w:rsidR="00515B25">
          <w:rPr>
            <w:noProof/>
            <w:webHidden/>
          </w:rPr>
          <w:t>155</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80" w:history="1">
        <w:r w:rsidR="00E52A17" w:rsidRPr="002B6755">
          <w:rPr>
            <w:rStyle w:val="Lienhypertexte"/>
            <w:rFonts w:ascii="Times New Roman" w:hAnsi="Times New Roman"/>
            <w:b/>
            <w:bCs/>
            <w:noProof/>
          </w:rPr>
          <w:t>4.Tester les hypothèses :</w:t>
        </w:r>
        <w:r w:rsidR="00E52A17">
          <w:rPr>
            <w:noProof/>
            <w:webHidden/>
          </w:rPr>
          <w:tab/>
        </w:r>
        <w:r>
          <w:rPr>
            <w:noProof/>
            <w:webHidden/>
          </w:rPr>
          <w:fldChar w:fldCharType="begin"/>
        </w:r>
        <w:r w:rsidR="00E52A17">
          <w:rPr>
            <w:noProof/>
            <w:webHidden/>
          </w:rPr>
          <w:instrText xml:space="preserve"> PAGEREF _Toc230900380 \h </w:instrText>
        </w:r>
        <w:r>
          <w:rPr>
            <w:noProof/>
            <w:webHidden/>
          </w:rPr>
        </w:r>
        <w:r>
          <w:rPr>
            <w:noProof/>
            <w:webHidden/>
          </w:rPr>
          <w:fldChar w:fldCharType="separate"/>
        </w:r>
        <w:r w:rsidR="00515B25">
          <w:rPr>
            <w:noProof/>
            <w:webHidden/>
          </w:rPr>
          <w:t>160</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81" w:history="1">
        <w:r w:rsidR="00E52A17" w:rsidRPr="002B6755">
          <w:rPr>
            <w:rStyle w:val="Lienhypertexte"/>
            <w:rFonts w:ascii="Times New Roman" w:hAnsi="Times New Roman"/>
            <w:b/>
            <w:bCs/>
            <w:noProof/>
          </w:rPr>
          <w:t>4.1. L’hypothèse principale :</w:t>
        </w:r>
        <w:r w:rsidR="00E52A17">
          <w:rPr>
            <w:noProof/>
            <w:webHidden/>
          </w:rPr>
          <w:tab/>
        </w:r>
        <w:r>
          <w:rPr>
            <w:noProof/>
            <w:webHidden/>
          </w:rPr>
          <w:fldChar w:fldCharType="begin"/>
        </w:r>
        <w:r w:rsidR="00E52A17">
          <w:rPr>
            <w:noProof/>
            <w:webHidden/>
          </w:rPr>
          <w:instrText xml:space="preserve"> PAGEREF _Toc230900381 \h </w:instrText>
        </w:r>
        <w:r>
          <w:rPr>
            <w:noProof/>
            <w:webHidden/>
          </w:rPr>
        </w:r>
        <w:r>
          <w:rPr>
            <w:noProof/>
            <w:webHidden/>
          </w:rPr>
          <w:fldChar w:fldCharType="separate"/>
        </w:r>
        <w:r w:rsidR="00515B25">
          <w:rPr>
            <w:noProof/>
            <w:webHidden/>
          </w:rPr>
          <w:t>160</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82" w:history="1">
        <w:r w:rsidR="00E52A17" w:rsidRPr="002B6755">
          <w:rPr>
            <w:rStyle w:val="Lienhypertexte"/>
            <w:rFonts w:ascii="Times New Roman" w:eastAsia="Times New Roman" w:hAnsi="Times New Roman" w:cs="Times New Roman"/>
            <w:b/>
            <w:bCs/>
            <w:noProof/>
            <w:lang w:eastAsia="fr-FR"/>
          </w:rPr>
          <w:t>Analyse des Coefficients de Régression</w:t>
        </w:r>
        <w:r w:rsidR="00E52A17">
          <w:rPr>
            <w:noProof/>
            <w:webHidden/>
          </w:rPr>
          <w:tab/>
        </w:r>
        <w:r>
          <w:rPr>
            <w:noProof/>
            <w:webHidden/>
          </w:rPr>
          <w:fldChar w:fldCharType="begin"/>
        </w:r>
        <w:r w:rsidR="00E52A17">
          <w:rPr>
            <w:noProof/>
            <w:webHidden/>
          </w:rPr>
          <w:instrText xml:space="preserve"> PAGEREF _Toc230900382 \h </w:instrText>
        </w:r>
        <w:r>
          <w:rPr>
            <w:noProof/>
            <w:webHidden/>
          </w:rPr>
        </w:r>
        <w:r>
          <w:rPr>
            <w:noProof/>
            <w:webHidden/>
          </w:rPr>
          <w:fldChar w:fldCharType="separate"/>
        </w:r>
        <w:r w:rsidR="00515B25">
          <w:rPr>
            <w:noProof/>
            <w:webHidden/>
          </w:rPr>
          <w:t>162</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83" w:history="1">
        <w:r w:rsidR="00E52A17" w:rsidRPr="002B6755">
          <w:rPr>
            <w:rStyle w:val="Lienhypertexte"/>
            <w:rFonts w:asciiTheme="majorBidi" w:hAnsiTheme="majorBidi"/>
            <w:b/>
            <w:bCs/>
            <w:noProof/>
          </w:rPr>
          <w:t>Analyse du Graphique de Régression</w:t>
        </w:r>
        <w:r w:rsidR="00E52A17">
          <w:rPr>
            <w:noProof/>
            <w:webHidden/>
          </w:rPr>
          <w:tab/>
        </w:r>
        <w:r>
          <w:rPr>
            <w:noProof/>
            <w:webHidden/>
          </w:rPr>
          <w:fldChar w:fldCharType="begin"/>
        </w:r>
        <w:r w:rsidR="00E52A17">
          <w:rPr>
            <w:noProof/>
            <w:webHidden/>
          </w:rPr>
          <w:instrText xml:space="preserve"> PAGEREF _Toc230900383 \h </w:instrText>
        </w:r>
        <w:r>
          <w:rPr>
            <w:noProof/>
            <w:webHidden/>
          </w:rPr>
        </w:r>
        <w:r>
          <w:rPr>
            <w:noProof/>
            <w:webHidden/>
          </w:rPr>
          <w:fldChar w:fldCharType="separate"/>
        </w:r>
        <w:r w:rsidR="00515B25">
          <w:rPr>
            <w:noProof/>
            <w:webHidden/>
          </w:rPr>
          <w:t>163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84" w:history="1">
        <w:r w:rsidR="00E52A17" w:rsidRPr="002B6755">
          <w:rPr>
            <w:rStyle w:val="Lienhypertexte"/>
            <w:rFonts w:ascii="Times New Roman" w:hAnsi="Times New Roman"/>
            <w:b/>
            <w:bCs/>
            <w:noProof/>
          </w:rPr>
          <w:t>4.2. La première sous hypothèse (H1(a)) :</w:t>
        </w:r>
        <w:r w:rsidR="00E52A17">
          <w:rPr>
            <w:noProof/>
            <w:webHidden/>
          </w:rPr>
          <w:tab/>
        </w:r>
        <w:r>
          <w:rPr>
            <w:noProof/>
            <w:webHidden/>
          </w:rPr>
          <w:fldChar w:fldCharType="begin"/>
        </w:r>
        <w:r w:rsidR="00E52A17">
          <w:rPr>
            <w:noProof/>
            <w:webHidden/>
          </w:rPr>
          <w:instrText xml:space="preserve"> PAGEREF _Toc230900384 \h </w:instrText>
        </w:r>
        <w:r>
          <w:rPr>
            <w:noProof/>
            <w:webHidden/>
          </w:rPr>
        </w:r>
        <w:r>
          <w:rPr>
            <w:noProof/>
            <w:webHidden/>
          </w:rPr>
          <w:fldChar w:fldCharType="separate"/>
        </w:r>
        <w:r w:rsidR="00515B25">
          <w:rPr>
            <w:noProof/>
            <w:webHidden/>
          </w:rPr>
          <w:t>163</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85" w:history="1">
        <w:r w:rsidR="00E52A17" w:rsidRPr="002B6755">
          <w:rPr>
            <w:rStyle w:val="Lienhypertexte"/>
            <w:rFonts w:ascii="Times New Roman" w:hAnsi="Times New Roman"/>
            <w:b/>
            <w:bCs/>
            <w:noProof/>
          </w:rPr>
          <w:t>4.3.La deuxième sous hypothèse (H1(b)) :</w:t>
        </w:r>
        <w:r w:rsidR="00E52A17">
          <w:rPr>
            <w:noProof/>
            <w:webHidden/>
          </w:rPr>
          <w:tab/>
        </w:r>
        <w:r>
          <w:rPr>
            <w:noProof/>
            <w:webHidden/>
          </w:rPr>
          <w:fldChar w:fldCharType="begin"/>
        </w:r>
        <w:r w:rsidR="00E52A17">
          <w:rPr>
            <w:noProof/>
            <w:webHidden/>
          </w:rPr>
          <w:instrText xml:space="preserve"> PAGEREF _Toc230900385 \h </w:instrText>
        </w:r>
        <w:r>
          <w:rPr>
            <w:noProof/>
            <w:webHidden/>
          </w:rPr>
        </w:r>
        <w:r>
          <w:rPr>
            <w:noProof/>
            <w:webHidden/>
          </w:rPr>
          <w:fldChar w:fldCharType="separate"/>
        </w:r>
        <w:r w:rsidR="00515B25">
          <w:rPr>
            <w:noProof/>
            <w:webHidden/>
          </w:rPr>
          <w:t>166</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86" w:history="1">
        <w:r w:rsidR="00E52A17" w:rsidRPr="002B6755">
          <w:rPr>
            <w:rStyle w:val="Lienhypertexte"/>
            <w:rFonts w:ascii="Times New Roman" w:hAnsi="Times New Roman"/>
            <w:b/>
            <w:bCs/>
            <w:noProof/>
          </w:rPr>
          <w:t>4.4.La troisième sous hypothèse (H1(c)) :</w:t>
        </w:r>
        <w:r w:rsidR="00E52A17">
          <w:rPr>
            <w:noProof/>
            <w:webHidden/>
          </w:rPr>
          <w:tab/>
        </w:r>
        <w:r>
          <w:rPr>
            <w:noProof/>
            <w:webHidden/>
          </w:rPr>
          <w:fldChar w:fldCharType="begin"/>
        </w:r>
        <w:r w:rsidR="00E52A17">
          <w:rPr>
            <w:noProof/>
            <w:webHidden/>
          </w:rPr>
          <w:instrText xml:space="preserve"> PAGEREF _Toc230900386 \h </w:instrText>
        </w:r>
        <w:r>
          <w:rPr>
            <w:noProof/>
            <w:webHidden/>
          </w:rPr>
        </w:r>
        <w:r>
          <w:rPr>
            <w:noProof/>
            <w:webHidden/>
          </w:rPr>
          <w:fldChar w:fldCharType="separate"/>
        </w:r>
        <w:r w:rsidR="00515B25">
          <w:rPr>
            <w:noProof/>
            <w:webHidden/>
          </w:rPr>
          <w:t>168</w:t>
        </w:r>
        <w:r>
          <w:rPr>
            <w:noProof/>
            <w:webHidden/>
          </w:rPr>
          <w:fldChar w:fldCharType="end"/>
        </w:r>
      </w:hyperlink>
    </w:p>
    <w:p w:rsidR="00E52A17" w:rsidRDefault="007B5998">
      <w:pPr>
        <w:pStyle w:val="TM4"/>
        <w:tabs>
          <w:tab w:val="right" w:leader="dot" w:pos="9062"/>
        </w:tabs>
        <w:rPr>
          <w:rFonts w:asciiTheme="minorHAnsi" w:eastAsiaTheme="minorEastAsia" w:hAnsiTheme="minorHAnsi" w:cstheme="minorBidi"/>
          <w:noProof/>
          <w:kern w:val="2"/>
          <w:sz w:val="24"/>
          <w:szCs w:val="24"/>
          <w:lang w:eastAsia="fr-FR"/>
        </w:rPr>
      </w:pPr>
      <w:hyperlink w:anchor="_Toc230900387" w:history="1">
        <w:r w:rsidR="00E52A17" w:rsidRPr="002B6755">
          <w:rPr>
            <w:rStyle w:val="Lienhypertexte"/>
            <w:rFonts w:ascii="Times New Roman" w:hAnsi="Times New Roman"/>
            <w:b/>
            <w:bCs/>
            <w:noProof/>
            <w:lang w:eastAsia="fr-FR"/>
          </w:rPr>
          <w:t>4.5. La quatriéme sous hypothèse (H1(d)) :</w:t>
        </w:r>
        <w:r w:rsidR="00E52A17">
          <w:rPr>
            <w:noProof/>
            <w:webHidden/>
          </w:rPr>
          <w:tab/>
        </w:r>
        <w:r>
          <w:rPr>
            <w:noProof/>
            <w:webHidden/>
          </w:rPr>
          <w:fldChar w:fldCharType="begin"/>
        </w:r>
        <w:r w:rsidR="00E52A17">
          <w:rPr>
            <w:noProof/>
            <w:webHidden/>
          </w:rPr>
          <w:instrText xml:space="preserve"> PAGEREF _Toc230900387 \h </w:instrText>
        </w:r>
        <w:r>
          <w:rPr>
            <w:noProof/>
            <w:webHidden/>
          </w:rPr>
        </w:r>
        <w:r>
          <w:rPr>
            <w:noProof/>
            <w:webHidden/>
          </w:rPr>
          <w:fldChar w:fldCharType="separate"/>
        </w:r>
        <w:r w:rsidR="00515B25">
          <w:rPr>
            <w:noProof/>
            <w:webHidden/>
          </w:rPr>
          <w:t>171</w:t>
        </w:r>
        <w:r>
          <w:rPr>
            <w:noProof/>
            <w:webHidden/>
          </w:rPr>
          <w:fldChar w:fldCharType="end"/>
        </w:r>
      </w:hyperlink>
    </w:p>
    <w:p w:rsidR="00E52A17" w:rsidRDefault="007B5998">
      <w:pPr>
        <w:pStyle w:val="TM3"/>
        <w:tabs>
          <w:tab w:val="right" w:leader="dot" w:pos="9062"/>
        </w:tabs>
        <w:rPr>
          <w:rFonts w:asciiTheme="minorHAnsi" w:eastAsiaTheme="minorEastAsia" w:hAnsiTheme="minorHAnsi" w:cstheme="minorBidi"/>
          <w:noProof/>
          <w:kern w:val="2"/>
          <w:sz w:val="24"/>
          <w:szCs w:val="24"/>
          <w:lang w:eastAsia="fr-FR"/>
        </w:rPr>
      </w:pPr>
      <w:hyperlink w:anchor="_Toc230900388" w:history="1">
        <w:r w:rsidR="00E52A17" w:rsidRPr="002B6755">
          <w:rPr>
            <w:rStyle w:val="Lienhypertexte"/>
            <w:rFonts w:ascii="Times New Roman" w:hAnsi="Times New Roman"/>
            <w:b/>
            <w:bCs/>
            <w:noProof/>
          </w:rPr>
          <w:t>5.Discuter les résultats d’étude :</w:t>
        </w:r>
        <w:r w:rsidR="00E52A17">
          <w:rPr>
            <w:noProof/>
            <w:webHidden/>
          </w:rPr>
          <w:tab/>
        </w:r>
        <w:r>
          <w:rPr>
            <w:noProof/>
            <w:webHidden/>
          </w:rPr>
          <w:fldChar w:fldCharType="begin"/>
        </w:r>
        <w:r w:rsidR="00E52A17">
          <w:rPr>
            <w:noProof/>
            <w:webHidden/>
          </w:rPr>
          <w:instrText xml:space="preserve"> PAGEREF _Toc230900388 \h </w:instrText>
        </w:r>
        <w:r>
          <w:rPr>
            <w:noProof/>
            <w:webHidden/>
          </w:rPr>
        </w:r>
        <w:r>
          <w:rPr>
            <w:noProof/>
            <w:webHidden/>
          </w:rPr>
          <w:fldChar w:fldCharType="separate"/>
        </w:r>
        <w:r w:rsidR="00515B25">
          <w:rPr>
            <w:noProof/>
            <w:webHidden/>
          </w:rPr>
          <w:t>173</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89" w:history="1">
        <w:r w:rsidR="00E52A17" w:rsidRPr="002B6755">
          <w:rPr>
            <w:rStyle w:val="Lienhypertexte"/>
            <w:rFonts w:asciiTheme="majorBidi" w:hAnsiTheme="majorBidi" w:cstheme="majorBidi"/>
            <w:b/>
            <w:bCs/>
            <w:noProof/>
            <w:lang w:eastAsia="fr-FR"/>
          </w:rPr>
          <w:t>Conclusion :</w:t>
        </w:r>
        <w:r w:rsidR="00E52A17">
          <w:rPr>
            <w:noProof/>
            <w:webHidden/>
          </w:rPr>
          <w:tab/>
        </w:r>
        <w:r>
          <w:rPr>
            <w:noProof/>
            <w:webHidden/>
          </w:rPr>
          <w:fldChar w:fldCharType="begin"/>
        </w:r>
        <w:r w:rsidR="00E52A17">
          <w:rPr>
            <w:noProof/>
            <w:webHidden/>
          </w:rPr>
          <w:instrText xml:space="preserve"> PAGEREF _Toc230900389 \h </w:instrText>
        </w:r>
        <w:r>
          <w:rPr>
            <w:noProof/>
            <w:webHidden/>
          </w:rPr>
        </w:r>
        <w:r>
          <w:rPr>
            <w:noProof/>
            <w:webHidden/>
          </w:rPr>
          <w:fldChar w:fldCharType="separate"/>
        </w:r>
        <w:r w:rsidR="00515B25">
          <w:rPr>
            <w:noProof/>
            <w:webHidden/>
          </w:rPr>
          <w:t>177</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90" w:history="1">
        <w:r w:rsidR="00E52A17" w:rsidRPr="002B6755">
          <w:rPr>
            <w:rStyle w:val="Lienhypertexte"/>
            <w:rFonts w:asciiTheme="majorBidi" w:eastAsiaTheme="minorHAnsi" w:hAnsiTheme="majorBidi" w:cstheme="majorBidi"/>
            <w:b/>
            <w:bCs/>
            <w:noProof/>
          </w:rPr>
          <w:t>Résultats généraux de l’étude</w:t>
        </w:r>
        <w:r w:rsidR="00E52A17">
          <w:rPr>
            <w:noProof/>
            <w:webHidden/>
          </w:rPr>
          <w:tab/>
        </w:r>
        <w:r>
          <w:rPr>
            <w:noProof/>
            <w:webHidden/>
          </w:rPr>
          <w:fldChar w:fldCharType="begin"/>
        </w:r>
        <w:r w:rsidR="00E52A17">
          <w:rPr>
            <w:noProof/>
            <w:webHidden/>
          </w:rPr>
          <w:instrText xml:space="preserve"> PAGEREF _Toc230900390 \h </w:instrText>
        </w:r>
        <w:r>
          <w:rPr>
            <w:noProof/>
            <w:webHidden/>
          </w:rPr>
        </w:r>
        <w:r>
          <w:rPr>
            <w:noProof/>
            <w:webHidden/>
          </w:rPr>
          <w:fldChar w:fldCharType="separate"/>
        </w:r>
        <w:r w:rsidR="00515B25">
          <w:rPr>
            <w:noProof/>
            <w:webHidden/>
          </w:rPr>
          <w:t>178</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91" w:history="1">
        <w:r w:rsidR="00E52A17" w:rsidRPr="002B6755">
          <w:rPr>
            <w:rStyle w:val="Lienhypertexte"/>
            <w:rFonts w:asciiTheme="majorBidi" w:eastAsiaTheme="minorHAnsi" w:hAnsiTheme="majorBidi" w:cstheme="majorBidi"/>
            <w:b/>
            <w:bCs/>
            <w:noProof/>
          </w:rPr>
          <w:t>Recommandations et suggestions</w:t>
        </w:r>
        <w:r w:rsidR="00E52A17">
          <w:rPr>
            <w:noProof/>
            <w:webHidden/>
          </w:rPr>
          <w:tab/>
        </w:r>
        <w:r>
          <w:rPr>
            <w:noProof/>
            <w:webHidden/>
          </w:rPr>
          <w:fldChar w:fldCharType="begin"/>
        </w:r>
        <w:r w:rsidR="00E52A17">
          <w:rPr>
            <w:noProof/>
            <w:webHidden/>
          </w:rPr>
          <w:instrText xml:space="preserve"> PAGEREF _Toc230900391 \h </w:instrText>
        </w:r>
        <w:r>
          <w:rPr>
            <w:noProof/>
            <w:webHidden/>
          </w:rPr>
        </w:r>
        <w:r>
          <w:rPr>
            <w:noProof/>
            <w:webHidden/>
          </w:rPr>
          <w:fldChar w:fldCharType="separate"/>
        </w:r>
        <w:r w:rsidR="00515B25">
          <w:rPr>
            <w:noProof/>
            <w:webHidden/>
          </w:rPr>
          <w:t>181</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92" w:history="1">
        <w:r w:rsidR="00E52A17" w:rsidRPr="002B6755">
          <w:rPr>
            <w:rStyle w:val="Lienhypertexte"/>
            <w:rFonts w:asciiTheme="majorBidi" w:eastAsiaTheme="minorHAnsi" w:hAnsiTheme="majorBidi" w:cstheme="majorBidi"/>
            <w:b/>
            <w:bCs/>
            <w:noProof/>
          </w:rPr>
          <w:t>Limites de l’étude</w:t>
        </w:r>
        <w:r w:rsidR="00E52A17">
          <w:rPr>
            <w:noProof/>
            <w:webHidden/>
          </w:rPr>
          <w:tab/>
        </w:r>
        <w:r>
          <w:rPr>
            <w:noProof/>
            <w:webHidden/>
          </w:rPr>
          <w:fldChar w:fldCharType="begin"/>
        </w:r>
        <w:r w:rsidR="00E52A17">
          <w:rPr>
            <w:noProof/>
            <w:webHidden/>
          </w:rPr>
          <w:instrText xml:space="preserve"> PAGEREF _Toc230900392 \h </w:instrText>
        </w:r>
        <w:r>
          <w:rPr>
            <w:noProof/>
            <w:webHidden/>
          </w:rPr>
        </w:r>
        <w:r>
          <w:rPr>
            <w:noProof/>
            <w:webHidden/>
          </w:rPr>
          <w:fldChar w:fldCharType="separate"/>
        </w:r>
        <w:r w:rsidR="00515B25">
          <w:rPr>
            <w:noProof/>
            <w:webHidden/>
          </w:rPr>
          <w:t>5</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93" w:history="1">
        <w:r w:rsidR="00E52A17" w:rsidRPr="002B6755">
          <w:rPr>
            <w:rStyle w:val="Lienhypertexte"/>
            <w:rFonts w:asciiTheme="majorBidi" w:eastAsiaTheme="minorHAnsi" w:hAnsiTheme="majorBidi" w:cstheme="majorBidi"/>
            <w:b/>
            <w:bCs/>
            <w:noProof/>
          </w:rPr>
          <w:t>Perspectives de recherche futures</w:t>
        </w:r>
        <w:r w:rsidR="00E52A17">
          <w:rPr>
            <w:noProof/>
            <w:webHidden/>
          </w:rPr>
          <w:tab/>
        </w:r>
        <w:r>
          <w:rPr>
            <w:noProof/>
            <w:webHidden/>
          </w:rPr>
          <w:fldChar w:fldCharType="begin"/>
        </w:r>
        <w:r w:rsidR="00E52A17">
          <w:rPr>
            <w:noProof/>
            <w:webHidden/>
          </w:rPr>
          <w:instrText xml:space="preserve"> PAGEREF _Toc230900393 \h </w:instrText>
        </w:r>
        <w:r>
          <w:rPr>
            <w:noProof/>
            <w:webHidden/>
          </w:rPr>
        </w:r>
        <w:r>
          <w:rPr>
            <w:noProof/>
            <w:webHidden/>
          </w:rPr>
          <w:fldChar w:fldCharType="separate"/>
        </w:r>
        <w:r w:rsidR="00515B25">
          <w:rPr>
            <w:noProof/>
            <w:webHidden/>
          </w:rPr>
          <w:t>183</w:t>
        </w:r>
        <w:r>
          <w:rPr>
            <w:noProof/>
            <w:webHidden/>
          </w:rPr>
          <w:fldChar w:fldCharType="end"/>
        </w:r>
      </w:hyperlink>
    </w:p>
    <w:p w:rsidR="00E52A17" w:rsidRDefault="007B5998">
      <w:pPr>
        <w:pStyle w:val="TM2"/>
        <w:tabs>
          <w:tab w:val="right" w:leader="dot" w:pos="9062"/>
        </w:tabs>
        <w:rPr>
          <w:rFonts w:asciiTheme="minorHAnsi" w:eastAsiaTheme="minorEastAsia" w:hAnsiTheme="minorHAnsi" w:cstheme="minorBidi"/>
          <w:noProof/>
          <w:kern w:val="2"/>
          <w:sz w:val="24"/>
          <w:szCs w:val="24"/>
          <w:lang w:eastAsia="fr-FR"/>
        </w:rPr>
      </w:pPr>
      <w:hyperlink w:anchor="_Toc230900394" w:history="1">
        <w:r w:rsidR="00E52A17" w:rsidRPr="002B6755">
          <w:rPr>
            <w:rStyle w:val="Lienhypertexte"/>
            <w:rFonts w:asciiTheme="majorBidi" w:eastAsiaTheme="minorHAnsi" w:hAnsiTheme="majorBidi" w:cstheme="majorBidi"/>
            <w:b/>
            <w:bCs/>
            <w:noProof/>
          </w:rPr>
          <w:t>Conclusion générale</w:t>
        </w:r>
        <w:r w:rsidR="00E52A17">
          <w:rPr>
            <w:noProof/>
            <w:webHidden/>
          </w:rPr>
          <w:tab/>
        </w:r>
        <w:r>
          <w:rPr>
            <w:noProof/>
            <w:webHidden/>
          </w:rPr>
          <w:fldChar w:fldCharType="begin"/>
        </w:r>
        <w:r w:rsidR="00E52A17">
          <w:rPr>
            <w:noProof/>
            <w:webHidden/>
          </w:rPr>
          <w:instrText xml:space="preserve"> PAGEREF _Toc230900394 \h </w:instrText>
        </w:r>
        <w:r>
          <w:rPr>
            <w:noProof/>
            <w:webHidden/>
          </w:rPr>
        </w:r>
        <w:r>
          <w:rPr>
            <w:noProof/>
            <w:webHidden/>
          </w:rPr>
          <w:fldChar w:fldCharType="separate"/>
        </w:r>
        <w:r w:rsidR="00515B25">
          <w:rPr>
            <w:noProof/>
            <w:webHidden/>
          </w:rPr>
          <w:t>179</w:t>
        </w:r>
        <w:r>
          <w:rPr>
            <w:noProof/>
            <w:webHidden/>
          </w:rPr>
          <w:fldChar w:fldCharType="end"/>
        </w:r>
      </w:hyperlink>
    </w:p>
    <w:p w:rsidR="009766E9" w:rsidRDefault="007B5998" w:rsidP="00F7493D">
      <w:pPr>
        <w:pStyle w:val="NormalWeb"/>
        <w:spacing w:line="360" w:lineRule="auto"/>
        <w:rPr>
          <w:rStyle w:val="lev"/>
          <w:rFonts w:asciiTheme="majorBidi" w:hAnsiTheme="majorBidi" w:cstheme="majorBidi"/>
        </w:rPr>
      </w:pPr>
      <w:r>
        <w:rPr>
          <w:rStyle w:val="lev"/>
          <w:rFonts w:asciiTheme="majorBidi" w:hAnsiTheme="majorBidi" w:cstheme="majorBidi"/>
        </w:rPr>
        <w:fldChar w:fldCharType="end"/>
      </w: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9766E9" w:rsidRDefault="009766E9" w:rsidP="00F7493D">
      <w:pPr>
        <w:pStyle w:val="NormalWeb"/>
        <w:spacing w:line="360" w:lineRule="auto"/>
        <w:rPr>
          <w:rStyle w:val="lev"/>
          <w:rFonts w:asciiTheme="majorBidi" w:hAnsiTheme="majorBidi" w:cstheme="majorBidi"/>
        </w:rPr>
      </w:pPr>
    </w:p>
    <w:p w:rsidR="00E43EEF" w:rsidRPr="00F7493D" w:rsidRDefault="00E43EEF" w:rsidP="00E43EEF">
      <w:pPr>
        <w:tabs>
          <w:tab w:val="left" w:pos="1457"/>
        </w:tabs>
        <w:rPr>
          <w:rFonts w:ascii="Times New Roman" w:hAnsi="Times New Roman" w:cs="Times New Roman"/>
          <w:b/>
          <w:bCs/>
          <w:sz w:val="24"/>
          <w:szCs w:val="24"/>
        </w:rPr>
      </w:pPr>
    </w:p>
    <w:sectPr w:rsidR="00E43EEF" w:rsidRPr="00F7493D" w:rsidSect="004B52FF">
      <w:headerReference w:type="default" r:id="rId77"/>
      <w:headerReference w:type="first" r:id="rId78"/>
      <w:footerReference w:type="first" r:id="rId79"/>
      <w:footnotePr>
        <w:numRestart w:val="eachPage"/>
      </w:footnotePr>
      <w:pgSz w:w="11906" w:h="16838"/>
      <w:pgMar w:top="1418" w:right="1418" w:bottom="1418" w:left="1418" w:header="737"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953" w:rsidRDefault="00181953">
      <w:pPr>
        <w:spacing w:after="0" w:line="240" w:lineRule="auto"/>
      </w:pPr>
      <w:r>
        <w:separator/>
      </w:r>
    </w:p>
  </w:endnote>
  <w:endnote w:type="continuationSeparator" w:id="1">
    <w:p w:rsidR="00181953" w:rsidRDefault="001819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kup-bold">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altName w:val="Times New Roman"/>
    <w:charset w:val="00"/>
    <w:family w:val="auto"/>
    <w:pitch w:val="variable"/>
    <w:sig w:usb0="00000001" w:usb1="00000003" w:usb2="00000000" w:usb3="00000000" w:csb0="00000197" w:csb1="00000000"/>
  </w:font>
  <w:font w:name="markup-quote">
    <w:altName w:val="Times New Roman"/>
    <w:charset w:val="00"/>
    <w:family w:val="roman"/>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rsidP="00147113">
    <w:pPr>
      <w:pStyle w:val="Pieddepage"/>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0074541"/>
      <w:docPartObj>
        <w:docPartGallery w:val="Page Numbers (Bottom of Page)"/>
        <w:docPartUnique/>
      </w:docPartObj>
    </w:sdtPr>
    <w:sdtContent>
      <w:p w:rsidR="00B54D3C" w:rsidRDefault="00B54D3C" w:rsidP="00147113">
        <w:pPr>
          <w:pStyle w:val="Pieddepage"/>
          <w:jc w:val="center"/>
        </w:pPr>
        <w:fldSimple w:instr="PAGE   \* MERGEFORMAT">
          <w:r w:rsidR="005D1B1C">
            <w:rPr>
              <w:noProof/>
            </w:rPr>
            <w:t>III</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5340738"/>
      <w:docPartObj>
        <w:docPartGallery w:val="Page Numbers (Bottom of Page)"/>
        <w:docPartUnique/>
      </w:docPartObj>
    </w:sdtPr>
    <w:sdtContent>
      <w:p w:rsidR="00B54D3C" w:rsidRDefault="00B54D3C" w:rsidP="00147113">
        <w:pPr>
          <w:pStyle w:val="Pieddepage"/>
          <w:jc w:val="center"/>
        </w:pP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0187474"/>
      <w:docPartObj>
        <w:docPartGallery w:val="Page Numbers (Bottom of Page)"/>
        <w:docPartUnique/>
      </w:docPartObj>
    </w:sdtPr>
    <w:sdtContent>
      <w:p w:rsidR="00B54D3C" w:rsidRDefault="00B54D3C" w:rsidP="00147113">
        <w:pPr>
          <w:pStyle w:val="Pieddepage"/>
          <w:jc w:val="center"/>
        </w:pPr>
        <w:fldSimple w:instr="PAGE   \* MERGEFORMAT">
          <w:r w:rsidR="005D1B1C">
            <w:rPr>
              <w:noProof/>
            </w:rPr>
            <w:t>V</w:t>
          </w:r>
        </w:fldSimple>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rsidP="00650768">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0617284"/>
      <w:docPartObj>
        <w:docPartGallery w:val="Page Numbers (Bottom of Page)"/>
        <w:docPartUnique/>
      </w:docPartObj>
    </w:sdtPr>
    <w:sdtContent>
      <w:p w:rsidR="00B54D3C" w:rsidRDefault="00B54D3C" w:rsidP="00650768">
        <w:pPr>
          <w:pStyle w:val="Pieddepage"/>
          <w:jc w:val="center"/>
        </w:pPr>
        <w:fldSimple w:instr="PAGE   \* MERGEFORMAT">
          <w:r w:rsidR="005D1B1C">
            <w:rPr>
              <w:noProof/>
            </w:rPr>
            <w:t>VIII</w:t>
          </w:r>
        </w:fldSimple>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2600799"/>
      <w:docPartObj>
        <w:docPartGallery w:val="Page Numbers (Bottom of Page)"/>
        <w:docPartUnique/>
      </w:docPartObj>
    </w:sdtPr>
    <w:sdtContent>
      <w:p w:rsidR="00B54D3C" w:rsidRDefault="00B54D3C" w:rsidP="00650768">
        <w:pPr>
          <w:pStyle w:val="Pieddepage"/>
          <w:jc w:val="center"/>
        </w:pP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876229"/>
      <w:docPartObj>
        <w:docPartGallery w:val="Page Numbers (Bottom of Page)"/>
        <w:docPartUnique/>
      </w:docPartObj>
    </w:sdtPr>
    <w:sdtContent>
      <w:p w:rsidR="00B54D3C" w:rsidRDefault="00B54D3C" w:rsidP="00650768">
        <w:pPr>
          <w:pStyle w:val="Pieddepage"/>
          <w:jc w:val="center"/>
        </w:pPr>
        <w:fldSimple w:instr="PAGE   \* MERGEFORMAT">
          <w:r w:rsidR="005D1B1C">
            <w:rPr>
              <w:noProof/>
            </w:rPr>
            <w:t>X</w:t>
          </w:r>
        </w:fldSimple>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rsidP="00650768">
    <w:pPr>
      <w:pStyle w:val="Pieddepage"/>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6138122"/>
      <w:docPartObj>
        <w:docPartGallery w:val="Page Numbers (Bottom of Page)"/>
        <w:docPartUnique/>
      </w:docPartObj>
    </w:sdtPr>
    <w:sdtContent>
      <w:p w:rsidR="00B54D3C" w:rsidRDefault="00B54D3C" w:rsidP="00650768">
        <w:pPr>
          <w:pStyle w:val="Pieddepage"/>
          <w:jc w:val="center"/>
        </w:pPr>
        <w:fldSimple w:instr="PAGE   \* MERGEFORMAT">
          <w:r w:rsidR="005D1B1C">
            <w:rPr>
              <w:noProof/>
            </w:rPr>
            <w:t>XIV</w:t>
          </w:r>
        </w:fldSimple>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rsidP="00016D60">
    <w:pPr>
      <w:pStyle w:val="Pieddepage"/>
      <w:jc w:val="center"/>
    </w:pPr>
  </w:p>
  <w:p w:rsidR="00B54D3C" w:rsidRDefault="00B54D3C" w:rsidP="00650768">
    <w:pPr>
      <w:pStyle w:val="Pieddepage"/>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9889073"/>
      <w:docPartObj>
        <w:docPartGallery w:val="Page Numbers (Bottom of Page)"/>
        <w:docPartUnique/>
      </w:docPartObj>
    </w:sdtPr>
    <w:sdtContent>
      <w:p w:rsidR="00B54D3C" w:rsidRDefault="00B54D3C" w:rsidP="00650768">
        <w:pPr>
          <w:pStyle w:val="Pieddepage"/>
          <w:jc w:val="center"/>
        </w:pPr>
        <w:fldSimple w:instr="PAGE   \* MERGEFORMAT">
          <w:r w:rsidR="005D1B1C">
            <w:rPr>
              <w:noProof/>
            </w:rPr>
            <w:t>XVII</w:t>
          </w:r>
        </w:fldSimple>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0933106"/>
      <w:docPartObj>
        <w:docPartGallery w:val="Page Numbers (Bottom of Page)"/>
        <w:docPartUnique/>
      </w:docPartObj>
    </w:sdtPr>
    <w:sdtContent>
      <w:p w:rsidR="00B54D3C" w:rsidRDefault="00B54D3C" w:rsidP="000B478A">
        <w:pPr>
          <w:pStyle w:val="Pieddepage"/>
          <w:jc w:val="center"/>
        </w:pPr>
        <w:fldSimple w:instr="PAGE   \* MERGEFORMAT">
          <w:r w:rsidR="005D1B1C">
            <w:rPr>
              <w:noProof/>
            </w:rPr>
            <w:t>13</w:t>
          </w:r>
        </w:fldSimple>
      </w:p>
    </w:sdtContent>
  </w:sdt>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13355"/>
      <w:docPartObj>
        <w:docPartGallery w:val="Page Numbers (Bottom of Page)"/>
        <w:docPartUnique/>
      </w:docPartObj>
    </w:sdtPr>
    <w:sdtContent>
      <w:p w:rsidR="00B54D3C" w:rsidRDefault="00B54D3C" w:rsidP="0056423F">
        <w:pPr>
          <w:pStyle w:val="Pieddepage"/>
          <w:jc w:val="center"/>
        </w:pPr>
        <w:fldSimple w:instr="PAGE   \* MERGEFORMAT">
          <w:r w:rsidR="005D1B1C">
            <w:rPr>
              <w:noProof/>
            </w:rPr>
            <w:t>1</w:t>
          </w:r>
        </w:fldSimple>
      </w:p>
    </w:sdtContent>
  </w:sdt>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78805"/>
      <w:docPartObj>
        <w:docPartGallery w:val="Page Numbers (Bottom of Page)"/>
        <w:docPartUnique/>
      </w:docPartObj>
    </w:sdtPr>
    <w:sdtContent>
      <w:p w:rsidR="00B54D3C" w:rsidRDefault="00B54D3C" w:rsidP="000B478A">
        <w:pPr>
          <w:pStyle w:val="Pieddepage"/>
          <w:jc w:val="center"/>
        </w:pPr>
        <w:fldSimple w:instr="PAGE   \* MERGEFORMAT">
          <w:r w:rsidR="005D1B1C">
            <w:rPr>
              <w:noProof/>
            </w:rPr>
            <w:t>208</w:t>
          </w:r>
        </w:fldSimple>
      </w:p>
    </w:sdtContent>
  </w:sdt>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78804"/>
      <w:docPartObj>
        <w:docPartGallery w:val="Page Numbers (Bottom of Page)"/>
        <w:docPartUnique/>
      </w:docPartObj>
    </w:sdtPr>
    <w:sdtContent>
      <w:p w:rsidR="00B54D3C" w:rsidRDefault="00B54D3C">
        <w:pPr>
          <w:pStyle w:val="Pieddepage"/>
          <w:jc w:val="center"/>
        </w:pPr>
        <w:fldSimple w:instr=" PAGE   \* MERGEFORMAT ">
          <w:r w:rsidR="005D1B1C">
            <w:rPr>
              <w:noProof/>
            </w:rPr>
            <w:t>192</w:t>
          </w:r>
        </w:fldSimple>
      </w:p>
    </w:sdtContent>
  </w:sdt>
  <w:p w:rsidR="00B54D3C" w:rsidRDefault="00B54D3C">
    <w:pPr>
      <w:pStyle w:val="Pieddepage"/>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pPr>
      <w:pStyle w:val="Pieddepage"/>
      <w:jc w:val="center"/>
    </w:pPr>
    <w:fldSimple w:instr=" PAGE   \* MERGEFORMAT ">
      <w:r w:rsidR="005D1B1C">
        <w:rPr>
          <w:noProof/>
        </w:rPr>
        <w:t>204</w:t>
      </w:r>
    </w:fldSimple>
  </w:p>
  <w:p w:rsidR="00B54D3C" w:rsidRDefault="00B54D3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953" w:rsidRDefault="00181953">
      <w:pPr>
        <w:spacing w:after="0" w:line="240" w:lineRule="auto"/>
      </w:pPr>
      <w:r>
        <w:rPr>
          <w:color w:val="000000"/>
        </w:rPr>
        <w:separator/>
      </w:r>
    </w:p>
  </w:footnote>
  <w:footnote w:type="continuationSeparator" w:id="1">
    <w:p w:rsidR="00181953" w:rsidRDefault="00181953">
      <w:pPr>
        <w:spacing w:after="0" w:line="240" w:lineRule="auto"/>
      </w:pPr>
      <w:r>
        <w:continuationSeparator/>
      </w:r>
    </w:p>
  </w:footnote>
  <w:footnote w:id="2">
    <w:p w:rsidR="00B54D3C" w:rsidRPr="001C3AC4" w:rsidRDefault="00B54D3C" w:rsidP="001C3AC4">
      <w:pPr>
        <w:pStyle w:val="Notedebasdepage"/>
        <w:rPr>
          <w:rFonts w:asciiTheme="majorBidi" w:hAnsiTheme="majorBidi" w:cstheme="majorBidi"/>
          <w:lang w:val="en-GB"/>
        </w:rPr>
      </w:pPr>
      <w:r w:rsidRPr="001C3AC4">
        <w:rPr>
          <w:rStyle w:val="Appelnotedebasdep"/>
          <w:rFonts w:asciiTheme="majorBidi" w:hAnsiTheme="majorBidi" w:cstheme="majorBidi"/>
        </w:rPr>
        <w:footnoteRef/>
      </w:r>
      <w:r w:rsidR="001C3AC4" w:rsidRPr="001C3AC4">
        <w:rPr>
          <w:rFonts w:asciiTheme="majorBidi" w:hAnsiTheme="majorBidi" w:cstheme="majorBidi"/>
          <w:lang w:val="en-GB"/>
        </w:rPr>
        <w:t xml:space="preserve">Kotler, Philip &amp; Armstrong, Gary, </w:t>
      </w:r>
      <w:r w:rsidR="001C3AC4" w:rsidRPr="001C3AC4">
        <w:rPr>
          <w:rStyle w:val="Accentuation"/>
          <w:rFonts w:asciiTheme="majorBidi" w:hAnsiTheme="majorBidi" w:cstheme="majorBidi"/>
          <w:lang w:val="en-GB"/>
        </w:rPr>
        <w:t>Principles of Marketing</w:t>
      </w:r>
      <w:r w:rsidR="001C3AC4" w:rsidRPr="001C3AC4">
        <w:rPr>
          <w:rFonts w:asciiTheme="majorBidi" w:hAnsiTheme="majorBidi" w:cstheme="majorBidi"/>
          <w:lang w:val="en-GB"/>
        </w:rPr>
        <w:t xml:space="preserve">, 18th Edition, Pearson Education, Harlow (United Kingdom), 2021, p. </w:t>
      </w:r>
      <w:r w:rsidR="001C3AC4">
        <w:rPr>
          <w:rFonts w:asciiTheme="majorBidi" w:hAnsiTheme="majorBidi" w:cstheme="majorBidi"/>
          <w:lang w:val="en-GB"/>
        </w:rPr>
        <w:t>108</w:t>
      </w:r>
      <w:r w:rsidR="001C3AC4" w:rsidRPr="001C3AC4">
        <w:rPr>
          <w:rFonts w:asciiTheme="majorBidi" w:hAnsiTheme="majorBidi" w:cstheme="majorBidi"/>
          <w:lang w:val="en-GB"/>
        </w:rPr>
        <w:t>.</w:t>
      </w:r>
      <w:r w:rsidRPr="001C3AC4">
        <w:rPr>
          <w:rFonts w:asciiTheme="majorBidi" w:hAnsiTheme="majorBidi" w:cstheme="majorBidi"/>
          <w:lang w:val="en-GB"/>
        </w:rPr>
        <w:t>.</w:t>
      </w:r>
    </w:p>
  </w:footnote>
  <w:footnote w:id="3">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BGHACHA (Hadjer), « Le marketing mix des produits biologiques en Algérie », Revue des études financières et comptables, numéro 8, Université Chahid Hama Lakhdar, El Oued, 2017, pp 240-250.</w:t>
      </w:r>
    </w:p>
  </w:footnote>
  <w:footnote w:id="4">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HERVIEU (Bertrand) et CIHEAM, [Chapitre 3 - La sécurité sanitaire : une exigence du marché], In : Mediterra 2007, Presses de Sciences Po, Paris, 2007, pp 93-112.</w:t>
      </w:r>
    </w:p>
  </w:footnote>
  <w:footnote w:id="5">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HERVIEU (Bertrand) et CIHEAM, [Chapitre 3 - La sécurité sanitaire : une exigence du marché], In : Mediterra 2007, Presses de Sciences Po, Paris, 2007, pp 93-112.</w:t>
      </w:r>
    </w:p>
  </w:footnote>
  <w:footnote w:id="6">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BGHACHA (Hadjer), « Le marketing mix des produits biologiques en Algérie », Revue des études financières et comptables, numéro 8, Université Chahid Hama Lakhdar, El Oued, 2017, pp 240-250.</w:t>
      </w:r>
    </w:p>
  </w:footnote>
  <w:footnote w:id="7">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GALANOU (Timokleia), PALIOURA (Eleni) et CHOULIARAS (Vassilios), </w:t>
      </w:r>
      <w:r w:rsidRPr="00AD764A">
        <w:rPr>
          <w:rFonts w:asciiTheme="majorBidi" w:hAnsiTheme="majorBidi" w:cstheme="majorBidi"/>
          <w:i/>
          <w:iCs/>
          <w:lang w:val="en-US"/>
        </w:rPr>
        <w:t>Marketing of Biological Products</w:t>
      </w:r>
      <w:r w:rsidRPr="00AD764A">
        <w:rPr>
          <w:rFonts w:asciiTheme="majorBidi" w:hAnsiTheme="majorBidi" w:cstheme="majorBidi"/>
          <w:lang w:val="en-US"/>
        </w:rPr>
        <w:t>, TEl of Epirus, ARTA Greece, 2005,pp 1-7 .</w:t>
      </w:r>
    </w:p>
  </w:footnote>
  <w:footnote w:id="8">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Communication of food</w:t>
      </w:r>
      <w:r w:rsidRPr="00AD764A">
        <w:rPr>
          <w:rFonts w:asciiTheme="majorBidi" w:hAnsiTheme="majorBidi" w:cstheme="majorBidi"/>
          <w:lang w:val="en-US"/>
        </w:rPr>
        <w:noBreakHyphen/>
        <w:t>related health risks and benefits – a systematic review (2018</w:t>
      </w:r>
      <w:r w:rsidRPr="00AD764A">
        <w:rPr>
          <w:rFonts w:asciiTheme="majorBidi" w:hAnsiTheme="majorBidi" w:cstheme="majorBidi"/>
          <w:lang w:val="en-US"/>
        </w:rPr>
        <w:noBreakHyphen/>
        <w:t>2022), European Food Safety Authority (EFSA) et ICF, EFSA Supporting Publications N° 20(7) 8203E, Bruxelles, 2023.</w:t>
      </w:r>
    </w:p>
  </w:footnote>
  <w:footnote w:id="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BGHACHA (Hadjer), « Le marketing mix des produits biologiques en Algérie », Revue des études financières et comptables, numéro 8, Université Chahid Hama Lakhdar, El Oued, 2017, pp 240-250.</w:t>
      </w:r>
    </w:p>
  </w:footnote>
  <w:footnote w:id="10">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Style w:val="Accentuation"/>
          <w:rFonts w:asciiTheme="majorBidi" w:hAnsiTheme="majorBidi" w:cstheme="majorBidi"/>
          <w:i w:val="0"/>
          <w:iCs w:val="0"/>
          <w:color w:val="0F1115"/>
          <w:shd w:val="clear" w:color="auto" w:fill="FFFFFF"/>
          <w:lang w:val="en-GB"/>
        </w:rPr>
        <w:t>Communication of food</w:t>
      </w:r>
      <w:r w:rsidRPr="00AD764A">
        <w:rPr>
          <w:rStyle w:val="Accentuation"/>
          <w:rFonts w:asciiTheme="majorBidi" w:hAnsiTheme="majorBidi" w:cstheme="majorBidi"/>
          <w:i w:val="0"/>
          <w:iCs w:val="0"/>
          <w:color w:val="0F1115"/>
          <w:shd w:val="clear" w:color="auto" w:fill="FFFFFF"/>
          <w:lang w:val="en-GB"/>
        </w:rPr>
        <w:noBreakHyphen/>
        <w:t>related health risks and benefits – a systematic review (2018</w:t>
      </w:r>
      <w:r w:rsidRPr="00AD764A">
        <w:rPr>
          <w:rStyle w:val="Accentuation"/>
          <w:rFonts w:asciiTheme="majorBidi" w:hAnsiTheme="majorBidi" w:cstheme="majorBidi"/>
          <w:i w:val="0"/>
          <w:iCs w:val="0"/>
          <w:color w:val="0F1115"/>
          <w:shd w:val="clear" w:color="auto" w:fill="FFFFFF"/>
          <w:lang w:val="en-GB"/>
        </w:rPr>
        <w:noBreakHyphen/>
        <w:t>2022)</w:t>
      </w:r>
      <w:r w:rsidRPr="00AD764A">
        <w:rPr>
          <w:rFonts w:asciiTheme="majorBidi" w:hAnsiTheme="majorBidi" w:cstheme="majorBidi"/>
          <w:color w:val="0F1115"/>
          <w:shd w:val="clear" w:color="auto" w:fill="FFFFFF"/>
          <w:lang w:val="en-GB"/>
        </w:rPr>
        <w:t>, op. cit., p. 15.</w:t>
      </w:r>
    </w:p>
  </w:footnote>
  <w:footnote w:id="11">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color w:val="0F1115"/>
          <w:shd w:val="clear" w:color="auto" w:fill="FFFFFF"/>
        </w:rPr>
        <w:t>BGHACHA (Hadjer), op. cit., p. 245.</w:t>
      </w:r>
    </w:p>
  </w:footnote>
  <w:footnote w:id="12">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color w:val="0F1115"/>
          <w:shd w:val="clear" w:color="auto" w:fill="FFFFFF"/>
        </w:rPr>
        <w:t>GALANOU (Timokleia), PALIOURA (Eleni) et CHOULIARAS (Vassilios), op. cit., p. 5.</w:t>
      </w:r>
    </w:p>
  </w:footnote>
  <w:footnote w:id="13">
    <w:p w:rsidR="00834775" w:rsidRPr="0095532C" w:rsidRDefault="00834775" w:rsidP="00834775">
      <w:pPr>
        <w:rPr>
          <w:rFonts w:asciiTheme="majorBidi" w:eastAsia="Times New Roman" w:hAnsiTheme="majorBidi" w:cstheme="majorBidi"/>
          <w:kern w:val="0"/>
          <w:sz w:val="20"/>
          <w:szCs w:val="20"/>
          <w:lang w:val="en-GB" w:eastAsia="fr-FR"/>
        </w:rPr>
      </w:pPr>
      <w:r>
        <w:rPr>
          <w:rStyle w:val="Appelnotedebasdep"/>
        </w:rPr>
        <w:footnoteRef/>
      </w:r>
      <w:r w:rsidRPr="00834775">
        <w:rPr>
          <w:lang w:val="en-GB"/>
        </w:rPr>
        <w:t xml:space="preserve"> </w:t>
      </w:r>
      <w:r w:rsidRPr="0095532C">
        <w:rPr>
          <w:rFonts w:asciiTheme="majorBidi" w:eastAsia="Times New Roman" w:hAnsiTheme="majorBidi" w:cstheme="majorBidi"/>
          <w:kern w:val="0"/>
          <w:sz w:val="20"/>
          <w:szCs w:val="20"/>
          <w:lang w:val="en-GB" w:eastAsia="fr-FR"/>
        </w:rPr>
        <w:t>Al Raish S., Al Dhaheri A. S., Alhaji J. H., Al Marzooqi H., AlBlooshi S., Alaryani F., Cheikh Ismail L., &amp; Al Sabbah H., « Understanding drivers and barriers of organic vegetable consumption among adult residents in the United Arab Emirates: insights from knowledge, attitudes, and practices analysis », *Frontiers in Sustainable Food Systems*, Vol. 10, 2026, p. 1707020.</w:t>
      </w:r>
    </w:p>
    <w:p w:rsidR="00834775" w:rsidRPr="0095532C" w:rsidRDefault="00834775">
      <w:pPr>
        <w:pStyle w:val="Notedebasdepage"/>
        <w:rPr>
          <w:rFonts w:asciiTheme="majorBidi" w:hAnsiTheme="majorBidi" w:cstheme="majorBidi"/>
          <w:lang w:val="en-GB"/>
        </w:rPr>
      </w:pPr>
    </w:p>
  </w:footnote>
  <w:footnote w:id="14">
    <w:p w:rsidR="00834775" w:rsidRPr="0095532C" w:rsidRDefault="00834775" w:rsidP="00834775">
      <w:pPr>
        <w:rPr>
          <w:rFonts w:asciiTheme="majorBidi" w:eastAsia="Times New Roman" w:hAnsiTheme="majorBidi" w:cstheme="majorBidi"/>
          <w:kern w:val="0"/>
          <w:sz w:val="20"/>
          <w:szCs w:val="20"/>
          <w:lang w:eastAsia="fr-FR"/>
        </w:rPr>
      </w:pPr>
      <w:r w:rsidRPr="0095532C">
        <w:rPr>
          <w:rStyle w:val="Appelnotedebasdep"/>
          <w:rFonts w:asciiTheme="majorBidi" w:hAnsiTheme="majorBidi" w:cstheme="majorBidi"/>
          <w:sz w:val="20"/>
          <w:szCs w:val="20"/>
        </w:rPr>
        <w:footnoteRef/>
      </w:r>
      <w:r w:rsidRPr="0095532C">
        <w:rPr>
          <w:rFonts w:asciiTheme="majorBidi" w:hAnsiTheme="majorBidi" w:cstheme="majorBidi"/>
          <w:sz w:val="20"/>
          <w:szCs w:val="20"/>
        </w:rPr>
        <w:t xml:space="preserve"> </w:t>
      </w:r>
      <w:r w:rsidRPr="0095532C">
        <w:rPr>
          <w:rFonts w:asciiTheme="majorBidi" w:eastAsia="Times New Roman" w:hAnsiTheme="majorBidi" w:cstheme="majorBidi"/>
          <w:kern w:val="0"/>
          <w:sz w:val="20"/>
          <w:szCs w:val="20"/>
          <w:lang w:eastAsia="fr-FR"/>
        </w:rPr>
        <w:t>Saad H. &amp; Malainine C., « La filière biologique au Maroc : état des lieux, enjeux et perspectives de développement », *Revue Internationale de la Recherche Scientifique (Revue-IRS)*, Vol. 3, n° 6, 2025, pp. 6043-6055.</w:t>
      </w:r>
    </w:p>
    <w:p w:rsidR="00834775" w:rsidRPr="0095532C" w:rsidRDefault="00834775">
      <w:pPr>
        <w:pStyle w:val="Notedebasdepage"/>
        <w:rPr>
          <w:rFonts w:asciiTheme="majorBidi" w:hAnsiTheme="majorBidi" w:cstheme="majorBidi"/>
        </w:rPr>
      </w:pPr>
    </w:p>
  </w:footnote>
  <w:footnote w:id="15">
    <w:p w:rsidR="0095532C" w:rsidRPr="005D1B1C" w:rsidRDefault="0095532C" w:rsidP="005D1B1C">
      <w:pPr>
        <w:rPr>
          <w:rFonts w:asciiTheme="majorBidi" w:hAnsiTheme="majorBidi" w:cstheme="majorBidi"/>
          <w:sz w:val="20"/>
          <w:szCs w:val="20"/>
        </w:rPr>
      </w:pPr>
      <w:r w:rsidRPr="005D1B1C">
        <w:rPr>
          <w:rStyle w:val="Appelnotedebasdep"/>
          <w:rFonts w:asciiTheme="majorBidi" w:hAnsiTheme="majorBidi" w:cstheme="majorBidi"/>
          <w:sz w:val="20"/>
          <w:szCs w:val="20"/>
        </w:rPr>
        <w:footnoteRef/>
      </w:r>
      <w:r w:rsidRPr="005D1B1C">
        <w:rPr>
          <w:rFonts w:asciiTheme="majorBidi" w:hAnsiTheme="majorBidi" w:cstheme="majorBidi"/>
          <w:sz w:val="20"/>
          <w:szCs w:val="20"/>
        </w:rPr>
        <w:t xml:space="preserve"> Willis S., « Food Marketing and Its Influence on Peoples' Perception of Health », [Document en ligne], 2022, disponible sur : \&lt;</w:t>
      </w:r>
      <w:hyperlink r:id="rId1" w:tgtFrame="_blank" w:history="1">
        <w:r w:rsidRPr="005D1B1C">
          <w:rPr>
            <w:rStyle w:val="Lienhypertexte"/>
            <w:rFonts w:asciiTheme="majorBidi" w:hAnsiTheme="majorBidi" w:cstheme="majorBidi"/>
            <w:sz w:val="20"/>
            <w:szCs w:val="20"/>
          </w:rPr>
          <w:t>https://en.ppt-online.org/1263294\</w:t>
        </w:r>
      </w:hyperlink>
      <w:r w:rsidRPr="005D1B1C">
        <w:rPr>
          <w:rFonts w:asciiTheme="majorBidi" w:hAnsiTheme="majorBidi" w:cstheme="majorBidi"/>
          <w:sz w:val="20"/>
          <w:szCs w:val="20"/>
        </w:rPr>
        <w:t>&gt; (Consulté le [date de consultation]).</w:t>
      </w:r>
    </w:p>
    <w:p w:rsidR="0095532C" w:rsidRPr="005D1B1C" w:rsidRDefault="0095532C">
      <w:pPr>
        <w:pStyle w:val="Notedebasdepage"/>
        <w:rPr>
          <w:rFonts w:asciiTheme="majorBidi" w:hAnsiTheme="majorBidi" w:cstheme="majorBidi"/>
        </w:rPr>
      </w:pPr>
    </w:p>
  </w:footnote>
  <w:footnote w:id="16">
    <w:p w:rsidR="0095532C" w:rsidRPr="005D1B1C" w:rsidRDefault="0095532C" w:rsidP="0095532C">
      <w:pPr>
        <w:rPr>
          <w:rFonts w:asciiTheme="majorBidi" w:hAnsiTheme="majorBidi" w:cstheme="majorBidi"/>
          <w:sz w:val="20"/>
          <w:szCs w:val="20"/>
        </w:rPr>
      </w:pPr>
      <w:r w:rsidRPr="005D1B1C">
        <w:rPr>
          <w:rStyle w:val="Appelnotedebasdep"/>
          <w:rFonts w:asciiTheme="majorBidi" w:hAnsiTheme="majorBidi" w:cstheme="majorBidi"/>
          <w:sz w:val="20"/>
          <w:szCs w:val="20"/>
        </w:rPr>
        <w:footnoteRef/>
      </w:r>
      <w:r w:rsidRPr="005D1B1C">
        <w:rPr>
          <w:rFonts w:asciiTheme="majorBidi" w:hAnsiTheme="majorBidi" w:cstheme="majorBidi"/>
          <w:sz w:val="20"/>
          <w:szCs w:val="20"/>
        </w:rPr>
        <w:t xml:space="preserve"> Wolley F., « L'intention d'achat des produits biologiques dans un marché en voie de développement : le cas du Liban », Thèse de doctorat en Sciences de gestion, Université de Bretagne Occidentale - Brest, 2015, 259 p. [En ligne], disponible sur : &lt;</w:t>
      </w:r>
      <w:hyperlink r:id="rId2" w:tgtFrame="_blank" w:history="1">
        <w:r w:rsidRPr="005D1B1C">
          <w:rPr>
            <w:rStyle w:val="Lienhypertexte"/>
            <w:rFonts w:asciiTheme="majorBidi" w:hAnsiTheme="majorBidi" w:cstheme="majorBidi"/>
            <w:sz w:val="20"/>
            <w:szCs w:val="20"/>
          </w:rPr>
          <w:t>https://tel.archives-ouvertes.fr/tel-01357344/document</w:t>
        </w:r>
      </w:hyperlink>
      <w:r w:rsidRPr="005D1B1C">
        <w:rPr>
          <w:rFonts w:asciiTheme="majorBidi" w:hAnsiTheme="majorBidi" w:cstheme="majorBidi"/>
          <w:sz w:val="20"/>
          <w:szCs w:val="20"/>
        </w:rPr>
        <w:t>&gt; (Consulté le [date de consultation]).</w:t>
      </w:r>
    </w:p>
    <w:p w:rsidR="0095532C" w:rsidRPr="005D1B1C" w:rsidRDefault="0095532C">
      <w:pPr>
        <w:pStyle w:val="Notedebasdepage"/>
        <w:rPr>
          <w:rFonts w:asciiTheme="majorBidi" w:hAnsiTheme="majorBidi" w:cstheme="majorBidi"/>
        </w:rPr>
      </w:pPr>
    </w:p>
  </w:footnote>
  <w:footnote w:id="17">
    <w:p w:rsidR="005D1B1C" w:rsidRPr="005D1B1C" w:rsidRDefault="005D1B1C" w:rsidP="005D1B1C">
      <w:pPr>
        <w:rPr>
          <w:rFonts w:asciiTheme="majorBidi" w:hAnsiTheme="majorBidi" w:cstheme="majorBidi"/>
          <w:sz w:val="20"/>
          <w:szCs w:val="20"/>
        </w:rPr>
      </w:pPr>
      <w:r w:rsidRPr="005D1B1C">
        <w:rPr>
          <w:rStyle w:val="Appelnotedebasdep"/>
          <w:rFonts w:asciiTheme="majorBidi" w:hAnsiTheme="majorBidi" w:cstheme="majorBidi"/>
          <w:sz w:val="20"/>
          <w:szCs w:val="20"/>
        </w:rPr>
        <w:footnoteRef/>
      </w:r>
      <w:r w:rsidRPr="005D1B1C">
        <w:rPr>
          <w:rFonts w:asciiTheme="majorBidi" w:hAnsiTheme="majorBidi" w:cstheme="majorBidi"/>
          <w:sz w:val="20"/>
          <w:szCs w:val="20"/>
        </w:rPr>
        <w:t xml:space="preserve"> FAO &amp; OMS, *Garantir la sécurité sanitaire et la qualité des aliments : Directives pour le renforcement des systèmes nationaux de contrôle alimentaire*, Collection FAO : Alimentation et nutrition, n° 76, Rome, FAO, 2003, 73 p. [En ligne], disponible sur : &lt;</w:t>
      </w:r>
      <w:hyperlink r:id="rId3" w:tgtFrame="_blank" w:history="1">
        <w:r w:rsidRPr="005D1B1C">
          <w:rPr>
            <w:rStyle w:val="Lienhypertexte"/>
            <w:rFonts w:asciiTheme="majorBidi" w:hAnsiTheme="majorBidi" w:cstheme="majorBidi"/>
            <w:sz w:val="20"/>
            <w:szCs w:val="20"/>
          </w:rPr>
          <w:t>https://www.fao.org/4/Y8705E/y8705e00.htm</w:t>
        </w:r>
      </w:hyperlink>
      <w:r w:rsidRPr="005D1B1C">
        <w:rPr>
          <w:rFonts w:asciiTheme="majorBidi" w:hAnsiTheme="majorBidi" w:cstheme="majorBidi"/>
          <w:sz w:val="20"/>
          <w:szCs w:val="20"/>
        </w:rPr>
        <w:t>&gt; (Consulté le [date de consultation]).</w:t>
      </w:r>
    </w:p>
    <w:p w:rsidR="005D1B1C" w:rsidRPr="005D1B1C" w:rsidRDefault="005D1B1C">
      <w:pPr>
        <w:pStyle w:val="Notedebasdepage"/>
        <w:rPr>
          <w:rFonts w:asciiTheme="majorBidi" w:hAnsiTheme="majorBidi" w:cstheme="majorBidi"/>
        </w:rPr>
      </w:pPr>
    </w:p>
  </w:footnote>
  <w:footnote w:id="18">
    <w:p w:rsidR="005D1B1C" w:rsidRPr="005D1B1C" w:rsidRDefault="005D1B1C" w:rsidP="005D1B1C">
      <w:pPr>
        <w:rPr>
          <w:rFonts w:asciiTheme="majorBidi" w:hAnsiTheme="majorBidi" w:cstheme="majorBidi"/>
          <w:sz w:val="20"/>
          <w:szCs w:val="20"/>
          <w:lang w:val="en-GB"/>
        </w:rPr>
      </w:pPr>
      <w:r w:rsidRPr="005D1B1C">
        <w:rPr>
          <w:rStyle w:val="Appelnotedebasdep"/>
          <w:rFonts w:asciiTheme="majorBidi" w:hAnsiTheme="majorBidi" w:cstheme="majorBidi"/>
          <w:sz w:val="20"/>
          <w:szCs w:val="20"/>
        </w:rPr>
        <w:footnoteRef/>
      </w:r>
      <w:r w:rsidRPr="005D1B1C">
        <w:rPr>
          <w:rFonts w:asciiTheme="majorBidi" w:hAnsiTheme="majorBidi" w:cstheme="majorBidi"/>
          <w:sz w:val="20"/>
          <w:szCs w:val="20"/>
          <w:lang w:val="en-GB"/>
        </w:rPr>
        <w:t xml:space="preserve"> UNIDO (United Nations Industrial Development Organization), *Food Safety – a driver for human and economic development / UNIDO's Food Safety Approach – Safer Food for Sustainable and Resilient Businesses*, Vienne, UNIDO, 2020, 24 p. [En ligne], disponible sur : &lt;</w:t>
      </w:r>
      <w:hyperlink r:id="rId4" w:tgtFrame="_blank" w:history="1">
        <w:r w:rsidRPr="005D1B1C">
          <w:rPr>
            <w:rStyle w:val="Lienhypertexte"/>
            <w:rFonts w:asciiTheme="majorBidi" w:hAnsiTheme="majorBidi" w:cstheme="majorBidi"/>
            <w:sz w:val="20"/>
            <w:szCs w:val="20"/>
            <w:lang w:val="en-GB"/>
          </w:rPr>
          <w:t>https://www.unido.org/sites/default/files/files/2020-02/UNIDO%20FSA_brochure_EN_FINAL.pdf</w:t>
        </w:r>
      </w:hyperlink>
      <w:r w:rsidRPr="005D1B1C">
        <w:rPr>
          <w:rFonts w:asciiTheme="majorBidi" w:hAnsiTheme="majorBidi" w:cstheme="majorBidi"/>
          <w:sz w:val="20"/>
          <w:szCs w:val="20"/>
          <w:lang w:val="en-GB"/>
        </w:rPr>
        <w:t>&gt; (Consulté le [date de consultation]).</w:t>
      </w:r>
    </w:p>
    <w:p w:rsidR="005D1B1C" w:rsidRPr="005D1B1C" w:rsidRDefault="005D1B1C">
      <w:pPr>
        <w:pStyle w:val="Notedebasdepage"/>
        <w:rPr>
          <w:lang w:val="en-GB"/>
        </w:rPr>
      </w:pPr>
    </w:p>
  </w:footnote>
  <w:footnote w:id="19">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KOTLER Philip, LEVY Sidney J., « Broadening the concept of marketing », </w:t>
      </w:r>
      <w:r w:rsidRPr="00AD764A">
        <w:rPr>
          <w:rFonts w:asciiTheme="majorBidi" w:hAnsiTheme="majorBidi" w:cstheme="majorBidi"/>
          <w:i/>
          <w:iCs/>
          <w:lang w:val="en-US"/>
        </w:rPr>
        <w:t>Journal of Marketing</w:t>
      </w:r>
      <w:r w:rsidRPr="00AD764A">
        <w:rPr>
          <w:rFonts w:asciiTheme="majorBidi" w:hAnsiTheme="majorBidi" w:cstheme="majorBidi"/>
          <w:lang w:val="en-US"/>
        </w:rPr>
        <w:t>, Vol. 33, n° 1, American Marketing Association, Chicago, 1969, pp. 10-15.</w:t>
      </w:r>
    </w:p>
  </w:footnote>
  <w:footnote w:id="20">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KOTLER Philip, Marketing Management : Analysis, Planning, Implementation, and Control, 7e éd., Prentice-Hall, Englewood Cliffs, 1991, p. 4.</w:t>
      </w:r>
    </w:p>
  </w:footnote>
  <w:footnote w:id="21">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American Marketing Association, « Definitions of Marketing », </w:t>
      </w:r>
      <w:r w:rsidRPr="00AD764A">
        <w:rPr>
          <w:rFonts w:asciiTheme="majorBidi" w:hAnsiTheme="majorBidi" w:cstheme="majorBidi"/>
          <w:i/>
          <w:iCs/>
        </w:rPr>
        <w:t>site web de l'AMA</w:t>
      </w:r>
      <w:r w:rsidRPr="00AD764A">
        <w:rPr>
          <w:rFonts w:asciiTheme="majorBidi" w:hAnsiTheme="majorBidi" w:cstheme="majorBidi"/>
        </w:rPr>
        <w:t> [en ligne]. 2017, Disponible sur : </w:t>
      </w:r>
      <w:hyperlink r:id="rId5" w:tgtFrame="_blank" w:history="1">
        <w:r w:rsidRPr="00AD764A">
          <w:rPr>
            <w:rStyle w:val="Lienhypertexte"/>
            <w:rFonts w:asciiTheme="majorBidi" w:hAnsiTheme="majorBidi" w:cstheme="majorBidi"/>
          </w:rPr>
          <w:t>https://www.ama.org/the-definition-of-marketing-what-is-marketing/</w:t>
        </w:r>
      </w:hyperlink>
      <w:r w:rsidRPr="00AD764A">
        <w:rPr>
          <w:rFonts w:asciiTheme="majorBidi" w:hAnsiTheme="majorBidi" w:cstheme="majorBidi"/>
        </w:rPr>
        <w:t> (Consulté le 10 avril 2026).</w:t>
      </w:r>
    </w:p>
  </w:footnote>
  <w:footnote w:id="22">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lang w:val="en-US"/>
        </w:rPr>
        <w:t>Product Marketing Alliance, « The 4 Ps of marketing: Your guide to the marketing mix », </w:t>
      </w:r>
      <w:r w:rsidRPr="00AD764A">
        <w:rPr>
          <w:rFonts w:asciiTheme="majorBidi" w:hAnsiTheme="majorBidi" w:cstheme="majorBidi"/>
          <w:i/>
          <w:iCs/>
          <w:lang w:val="en-US"/>
        </w:rPr>
        <w:t>blog Product Marketing Alliance</w:t>
      </w:r>
      <w:r w:rsidRPr="00AD764A">
        <w:rPr>
          <w:rFonts w:asciiTheme="majorBidi" w:hAnsiTheme="majorBidi" w:cstheme="majorBidi"/>
          <w:lang w:val="en-US"/>
        </w:rPr>
        <w:t xml:space="preserve"> [en ligne]. </w:t>
      </w:r>
      <w:r w:rsidRPr="00AD764A">
        <w:rPr>
          <w:rFonts w:asciiTheme="majorBidi" w:hAnsiTheme="majorBidi" w:cstheme="majorBidi"/>
        </w:rPr>
        <w:t>2024, Disponible sur : </w:t>
      </w:r>
      <w:hyperlink r:id="rId6" w:tgtFrame="_blank" w:history="1">
        <w:r w:rsidRPr="00AD764A">
          <w:rPr>
            <w:rStyle w:val="Lienhypertexte"/>
            <w:rFonts w:asciiTheme="majorBidi" w:hAnsiTheme="majorBidi" w:cstheme="majorBidi"/>
          </w:rPr>
          <w:t>https://www.productmarketingalliance.com/the-4-ps-of-marketing-and-the-marketing-mix/</w:t>
        </w:r>
      </w:hyperlink>
      <w:r w:rsidRPr="00AD764A">
        <w:rPr>
          <w:rFonts w:asciiTheme="majorBidi" w:hAnsiTheme="majorBidi" w:cstheme="majorBidi"/>
        </w:rPr>
        <w:t> (Consulté le 30 avril 2026).</w:t>
      </w:r>
    </w:p>
  </w:footnote>
  <w:footnote w:id="23">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POLONSKY Michael Jay, « An introduction to green marketing », Electronic Green Journal, n° 2, University of Idaho Library, Moscow, 1994.</w:t>
      </w:r>
    </w:p>
  </w:footnote>
  <w:footnote w:id="24">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lang w:val="en-US"/>
        </w:rPr>
        <w:t>JENKINS A., KÄHLER K. N., « Green Marketing », </w:t>
      </w:r>
      <w:r w:rsidRPr="00AD764A">
        <w:rPr>
          <w:rFonts w:asciiTheme="majorBidi" w:hAnsiTheme="majorBidi" w:cstheme="majorBidi"/>
          <w:i/>
          <w:iCs/>
          <w:lang w:val="en-US"/>
        </w:rPr>
        <w:t>EBSCO Research Starters</w:t>
      </w:r>
      <w:r w:rsidRPr="00AD764A">
        <w:rPr>
          <w:rFonts w:asciiTheme="majorBidi" w:hAnsiTheme="majorBidi" w:cstheme="majorBidi"/>
          <w:lang w:val="en-US"/>
        </w:rPr>
        <w:t xml:space="preserve"> [en ligne]. </w:t>
      </w:r>
      <w:r w:rsidRPr="00AD764A">
        <w:rPr>
          <w:rFonts w:asciiTheme="majorBidi" w:hAnsiTheme="majorBidi" w:cstheme="majorBidi"/>
        </w:rPr>
        <w:t>2025, Disponible sur : </w:t>
      </w:r>
      <w:hyperlink r:id="rId7" w:tgtFrame="_blank" w:history="1">
        <w:r w:rsidRPr="00AD764A">
          <w:rPr>
            <w:rStyle w:val="Lienhypertexte"/>
            <w:rFonts w:asciiTheme="majorBidi" w:hAnsiTheme="majorBidi" w:cstheme="majorBidi"/>
          </w:rPr>
          <w:t>https://www.ebsco.com/research-starters/marketing/green-marketing</w:t>
        </w:r>
      </w:hyperlink>
      <w:r w:rsidRPr="00AD764A">
        <w:rPr>
          <w:rFonts w:asciiTheme="majorBidi" w:hAnsiTheme="majorBidi" w:cstheme="majorBidi"/>
        </w:rPr>
        <w:t> (Consulté le 30 avril 2026).</w:t>
      </w:r>
    </w:p>
  </w:footnote>
  <w:footnote w:id="25">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NEMES Noémi et al., « An Integrated Framework to Assess Greenwashing », </w:t>
      </w:r>
      <w:r w:rsidRPr="00AD764A">
        <w:rPr>
          <w:rFonts w:asciiTheme="majorBidi" w:hAnsiTheme="majorBidi" w:cstheme="majorBidi"/>
          <w:i/>
          <w:iCs/>
          <w:lang w:val="en-US"/>
        </w:rPr>
        <w:t>Sustainability</w:t>
      </w:r>
      <w:r w:rsidRPr="00AD764A">
        <w:rPr>
          <w:rFonts w:asciiTheme="majorBidi" w:hAnsiTheme="majorBidi" w:cstheme="majorBidi"/>
          <w:lang w:val="en-US"/>
        </w:rPr>
        <w:t>, Vol. 14, n° 8, MDPI AG, Bâle, 2022, pp. 1-13.</w:t>
      </w:r>
    </w:p>
  </w:footnote>
  <w:footnote w:id="26">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Cue For Good, « Sustainable vs. Green Marketing », </w:t>
      </w:r>
      <w:r w:rsidRPr="00AD764A">
        <w:rPr>
          <w:rFonts w:asciiTheme="majorBidi" w:hAnsiTheme="majorBidi" w:cstheme="majorBidi"/>
          <w:i/>
          <w:iCs/>
          <w:lang w:val="en-US"/>
        </w:rPr>
        <w:t>blog Cue For Good</w:t>
      </w:r>
      <w:r w:rsidRPr="00AD764A">
        <w:rPr>
          <w:rFonts w:asciiTheme="majorBidi" w:hAnsiTheme="majorBidi" w:cstheme="majorBidi"/>
          <w:lang w:val="en-US"/>
        </w:rPr>
        <w:t> [en ligne]. s.d., Disponible sur : </w:t>
      </w:r>
      <w:hyperlink r:id="rId8" w:tgtFrame="_blank" w:history="1">
        <w:r w:rsidRPr="00AD764A">
          <w:rPr>
            <w:rStyle w:val="Lienhypertexte"/>
            <w:rFonts w:asciiTheme="majorBidi" w:hAnsiTheme="majorBidi" w:cstheme="majorBidi"/>
            <w:lang w:val="en-US"/>
          </w:rPr>
          <w:t>https://www.cueforgood.com/blog/sustainable-vs-green-marketing/</w:t>
        </w:r>
      </w:hyperlink>
      <w:r w:rsidRPr="00AD764A">
        <w:rPr>
          <w:rFonts w:asciiTheme="majorBidi" w:hAnsiTheme="majorBidi" w:cstheme="majorBidi"/>
          <w:lang w:val="en-US"/>
        </w:rPr>
        <w:t> (Consulté le 30 avril 2026).</w:t>
      </w:r>
    </w:p>
    <w:p w:rsidR="00B54D3C" w:rsidRPr="00AD764A" w:rsidRDefault="00B54D3C" w:rsidP="007A677E">
      <w:pPr>
        <w:pStyle w:val="Notedebasdepage"/>
        <w:rPr>
          <w:rFonts w:asciiTheme="majorBidi" w:hAnsiTheme="majorBidi" w:cstheme="majorBidi"/>
          <w:lang w:val="en-US"/>
        </w:rPr>
      </w:pPr>
    </w:p>
  </w:footnote>
  <w:footnote w:id="27">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DYCK Bruno et al., « Sustainable marketing: An exploratory study of a sustain-centric, versus profit-centric, approach », Business and Society Review, Vol. 128, n° 2, Wiley, Boston, 2023, pp. 195-216.</w:t>
      </w:r>
    </w:p>
  </w:footnote>
  <w:footnote w:id="28">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ȘTECȚA Gheorghe, MOREA Adriana, « Marketing of bio products », </w:t>
      </w:r>
      <w:r w:rsidRPr="00AD764A">
        <w:rPr>
          <w:rFonts w:asciiTheme="majorBidi" w:hAnsiTheme="majorBidi" w:cstheme="majorBidi"/>
          <w:i/>
          <w:iCs/>
          <w:lang w:val="en-US"/>
        </w:rPr>
        <w:t>Agricultura</w:t>
      </w:r>
      <w:r w:rsidRPr="00AD764A">
        <w:rPr>
          <w:rFonts w:asciiTheme="majorBidi" w:hAnsiTheme="majorBidi" w:cstheme="majorBidi"/>
          <w:lang w:val="en-US"/>
        </w:rPr>
        <w:t>, Vol. 103-104, n° 3-4, AcademicPres, Cluj-Napoca, 2017, pp. 1-5</w:t>
      </w:r>
      <w:r w:rsidRPr="00AD764A">
        <w:rPr>
          <w:rFonts w:asciiTheme="majorBidi" w:hAnsiTheme="majorBidi" w:cstheme="majorBidi"/>
          <w:rtl/>
        </w:rPr>
        <w:t>.</w:t>
      </w:r>
    </w:p>
  </w:footnote>
  <w:footnote w:id="29">
    <w:p w:rsidR="00B54D3C" w:rsidRPr="00AD764A" w:rsidRDefault="00B54D3C" w:rsidP="007A677E">
      <w:pPr>
        <w:pStyle w:val="Notedebasdepage"/>
        <w:rPr>
          <w:rFonts w:asciiTheme="majorBidi" w:hAnsiTheme="majorBidi" w:cstheme="majorBidi"/>
          <w:rtl/>
          <w:lang w:val="en-US"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KOTLER Philip, LEVY Sidney J., « Broadening the concept of marketing », </w:t>
      </w:r>
      <w:r w:rsidRPr="00AD764A">
        <w:rPr>
          <w:rFonts w:asciiTheme="majorBidi" w:hAnsiTheme="majorBidi" w:cstheme="majorBidi"/>
          <w:i/>
          <w:iCs/>
          <w:lang w:val="en-US"/>
        </w:rPr>
        <w:t>Journal of Marketing</w:t>
      </w:r>
      <w:r w:rsidRPr="00AD764A">
        <w:rPr>
          <w:rFonts w:asciiTheme="majorBidi" w:hAnsiTheme="majorBidi" w:cstheme="majorBidi"/>
          <w:lang w:val="en-US"/>
        </w:rPr>
        <w:t>, Vol. 33, n° 1, American Marketing Association, Chicago, 1969, pp. 10-15.</w:t>
      </w:r>
    </w:p>
  </w:footnote>
  <w:footnote w:id="30">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KOTLER Philip, Marketing Management : Analysis, Planning, Implementation, and Control, 7e éd., Prentice-Hall, Englewood Cliffs, 1991, p. 4.</w:t>
      </w:r>
    </w:p>
  </w:footnote>
  <w:footnote w:id="31">
    <w:p w:rsidR="00B54D3C" w:rsidRPr="00AD764A" w:rsidRDefault="00B54D3C" w:rsidP="007A677E">
      <w:pPr>
        <w:pStyle w:val="Notedebasdepage"/>
        <w:rPr>
          <w:rFonts w:asciiTheme="majorBidi" w:hAnsiTheme="majorBidi" w:cstheme="majorBidi"/>
          <w:rtl/>
          <w:lang w:val="en-US"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POLONSKY Michael Jay, « An introduction to green marketing », Electronic Green Journal, n° 2, University of Idaho Library, Moscow, 1994.</w:t>
      </w:r>
    </w:p>
  </w:footnote>
  <w:footnote w:id="32">
    <w:p w:rsidR="00B54D3C" w:rsidRPr="00AD764A" w:rsidRDefault="00B54D3C" w:rsidP="007A677E">
      <w:pPr>
        <w:pStyle w:val="Notedebasdepage"/>
        <w:rPr>
          <w:rFonts w:asciiTheme="majorBidi" w:hAnsiTheme="majorBidi" w:cstheme="majorBidi"/>
          <w:rtl/>
          <w:lang w:val="en-US"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NEMES Noémi et al., « An Integrated Framework to Assess Greenwashing », </w:t>
      </w:r>
      <w:r w:rsidRPr="00AD764A">
        <w:rPr>
          <w:rFonts w:asciiTheme="majorBidi" w:hAnsiTheme="majorBidi" w:cstheme="majorBidi"/>
          <w:i/>
          <w:iCs/>
          <w:lang w:val="en-US"/>
        </w:rPr>
        <w:t>Sustainability</w:t>
      </w:r>
      <w:r w:rsidRPr="00AD764A">
        <w:rPr>
          <w:rFonts w:asciiTheme="majorBidi" w:hAnsiTheme="majorBidi" w:cstheme="majorBidi"/>
          <w:lang w:val="en-US"/>
        </w:rPr>
        <w:t>, Vol. 14, n° 8, MDPI AG, Bâle, 2022, pp. 1-13.</w:t>
      </w:r>
    </w:p>
  </w:footnote>
  <w:footnote w:id="33">
    <w:p w:rsidR="00B54D3C" w:rsidRPr="00AD764A" w:rsidRDefault="00B54D3C" w:rsidP="007A677E">
      <w:pPr>
        <w:pStyle w:val="Notedebasdepage"/>
        <w:rPr>
          <w:rFonts w:asciiTheme="majorBidi" w:hAnsiTheme="majorBidi" w:cstheme="majorBidi"/>
          <w:rtl/>
          <w:lang w:val="en-US"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DYCK Bruno et al., « Sustainable marketing: An exploratory study of a sustain-centric, versus profit-centric, approach », Business and Society Review, Vol. 128, n° 2, Wiley, Boston, 2023, pp. 195-216.</w:t>
      </w:r>
    </w:p>
  </w:footnote>
  <w:footnote w:id="34">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ȘTECȚA Gheorghe, MOREA Adriana, « Marketing of bio products », </w:t>
      </w:r>
      <w:r w:rsidRPr="00AD764A">
        <w:rPr>
          <w:rFonts w:asciiTheme="majorBidi" w:hAnsiTheme="majorBidi" w:cstheme="majorBidi"/>
          <w:i/>
          <w:iCs/>
          <w:lang w:val="en-US"/>
        </w:rPr>
        <w:t>Agricultura</w:t>
      </w:r>
      <w:r w:rsidRPr="00AD764A">
        <w:rPr>
          <w:rFonts w:asciiTheme="majorBidi" w:hAnsiTheme="majorBidi" w:cstheme="majorBidi"/>
          <w:lang w:val="en-US"/>
        </w:rPr>
        <w:t>, Vol. 103-104, n° 3-4, AcademicPres, Cluj-Napoca, 2017, pp. 1-5</w:t>
      </w:r>
      <w:r w:rsidRPr="00AD764A">
        <w:rPr>
          <w:rFonts w:asciiTheme="majorBidi" w:hAnsiTheme="majorBidi" w:cstheme="majorBidi"/>
          <w:rtl/>
        </w:rPr>
        <w:t>.</w:t>
      </w:r>
    </w:p>
  </w:footnote>
  <w:footnote w:id="35">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Fernando (J.), « Green Marketing », Investopedia, 8 mars 2021, disponible sur </w:t>
      </w:r>
      <w:hyperlink r:id="rId9" w:tgtFrame="_blank" w:history="1">
        <w:r w:rsidRPr="00AD764A">
          <w:rPr>
            <w:rStyle w:val="Lienhypertexte"/>
            <w:rFonts w:asciiTheme="majorBidi" w:hAnsiTheme="majorBidi" w:cstheme="majorBidi"/>
          </w:rPr>
          <w:t>https://www.investopedia.com/terms/g/green-marketing.asp</w:t>
        </w:r>
      </w:hyperlink>
      <w:r w:rsidRPr="00AD764A">
        <w:rPr>
          <w:rFonts w:asciiTheme="majorBidi" w:hAnsiTheme="majorBidi" w:cstheme="majorBidi"/>
        </w:rPr>
        <w:t> (consulté le 10 janvier 2022).</w:t>
      </w:r>
    </w:p>
  </w:footnote>
  <w:footnote w:id="36">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Stetca (G.) et Morea (A.), « Marketing of bio products », Agriculture - Science and Practice, vol. 3-4, n° 103-104, sans éd., s.l., 2017, pp. 1-5.</w:t>
      </w:r>
    </w:p>
  </w:footnote>
  <w:footnote w:id="37">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Singh (R.), « Exploring Green Marketing: Past, Present, and Prospective Directions », Green Marketing Perspectives, Emerald Publishing, s.l., 2025, pp. 243-259.</w:t>
      </w:r>
    </w:p>
  </w:footnote>
  <w:footnote w:id="38">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xml:space="preserve">Al-Ittihad, « Les produits biologiques… une alimentation de la mondialisation ! », Journal Al-Ittihad, 26 janvier 2006, s.p., disponible sur : </w:t>
      </w:r>
      <w:hyperlink r:id="rId10" w:tgtFrame="_new" w:history="1">
        <w:r w:rsidRPr="00AD764A">
          <w:rPr>
            <w:rStyle w:val="Lienhypertexte"/>
            <w:rFonts w:asciiTheme="majorBidi" w:hAnsiTheme="majorBidi" w:cstheme="majorBidi"/>
          </w:rPr>
          <w:t>https://www.aletihad.ae/article/46919/2006</w:t>
        </w:r>
      </w:hyperlink>
      <w:r w:rsidRPr="00AD764A">
        <w:rPr>
          <w:rFonts w:asciiTheme="majorBidi" w:hAnsiTheme="majorBidi" w:cstheme="majorBidi"/>
        </w:rPr>
        <w:t xml:space="preserve"> (consulté le 12 janvier 2026).</w:t>
      </w:r>
      <w:r w:rsidRPr="00AD764A">
        <w:rPr>
          <w:rFonts w:asciiTheme="majorBidi" w:hAnsiTheme="majorBidi" w:cstheme="majorBidi"/>
        </w:rPr>
        <w:br/>
      </w:r>
    </w:p>
  </w:footnote>
  <w:footnote w:id="39">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Kotler (P.) et Armstrong (G.), </w:t>
      </w:r>
      <w:r w:rsidRPr="00AD764A">
        <w:rPr>
          <w:rFonts w:asciiTheme="majorBidi" w:hAnsiTheme="majorBidi" w:cstheme="majorBidi"/>
          <w:i/>
          <w:iCs/>
          <w:lang w:val="en-US"/>
        </w:rPr>
        <w:t>Principles of Marketing</w:t>
      </w:r>
      <w:r w:rsidRPr="00AD764A">
        <w:rPr>
          <w:rFonts w:asciiTheme="majorBidi" w:hAnsiTheme="majorBidi" w:cstheme="majorBidi"/>
          <w:lang w:val="en-US"/>
        </w:rPr>
        <w:t>, 14e éd., Pearson, s.l., 2012, p. 248.</w:t>
      </w:r>
    </w:p>
  </w:footnote>
  <w:footnote w:id="4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Bousena, Abdelghani et Ibn Haffaf, Mohamed El Amine, « Le marketing mix des produits biologiques en Algérie », Revue des études financières et comptables, vol. 8, n° 1, s. éd., s. l., 2017, pp. 421-438.</w:t>
      </w:r>
    </w:p>
  </w:footnote>
  <w:footnote w:id="41">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Tolušić (Z.), Zmaić (K.) et Deže (J.), « Marketing-mix in the function of the organic food », </w:t>
      </w:r>
      <w:r w:rsidRPr="00AD764A">
        <w:rPr>
          <w:rFonts w:asciiTheme="majorBidi" w:hAnsiTheme="majorBidi" w:cstheme="majorBidi"/>
          <w:i/>
          <w:iCs/>
          <w:lang w:val="en-US"/>
        </w:rPr>
        <w:t xml:space="preserve">Ekonomski </w:t>
      </w:r>
      <w:r w:rsidRPr="00AD764A">
        <w:rPr>
          <w:rFonts w:asciiTheme="majorBidi" w:hAnsiTheme="majorBidi" w:cstheme="majorBidi"/>
          <w:lang w:val="en-US"/>
        </w:rPr>
        <w:t>Pregled, vol. 53, n° 7-8, sans éd., s.l., 2002, pp. 782-794.</w:t>
      </w:r>
    </w:p>
  </w:footnote>
  <w:footnote w:id="42">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Atanasoaie (G.), « Price on the organic food market », Annals of the University of Petroşani, Economics, vol. 12, n° 4, sans éd., s.l., 2012, pp. 5-16.</w:t>
      </w:r>
    </w:p>
  </w:footnote>
  <w:footnote w:id="43">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United States Department of Agriculture, *7 CFR § 205.272(b) - Facilities and equipment : Storage and transportation*, Journal officiel (Code of Federal Régulations), Washington D.C., 2024.</w:t>
      </w:r>
    </w:p>
  </w:footnote>
  <w:footnote w:id="44">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European Commission, *Commission Delegated Regulation (EU) .../... amending Annex III to Regulation (EU) 2018/848 as regards certain information to be provided on the labelling of organic products* (C (2020) 4029578 final), Journal officiel de l'Union européenne, Brussels, 2020</w:t>
      </w:r>
    </w:p>
  </w:footnote>
  <w:footnote w:id="45">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Petljak (K.), « Distribution channels of organic food in the Republic of Croatia », </w:t>
      </w:r>
      <w:r w:rsidRPr="00AD764A">
        <w:rPr>
          <w:rFonts w:asciiTheme="majorBidi" w:hAnsiTheme="majorBidi" w:cstheme="majorBidi"/>
          <w:i/>
          <w:iCs/>
          <w:lang w:val="en-US"/>
        </w:rPr>
        <w:t>Poslovna izvrsnost - Business Excellence</w:t>
      </w:r>
      <w:r w:rsidRPr="00AD764A">
        <w:rPr>
          <w:rFonts w:asciiTheme="majorBidi" w:hAnsiTheme="majorBidi" w:cstheme="majorBidi"/>
          <w:lang w:val="en-US"/>
        </w:rPr>
        <w:t>, vol. 7, n° 1, sans éd., s.l., 2013, pp. 73-96.</w:t>
      </w:r>
    </w:p>
  </w:footnote>
  <w:footnote w:id="46">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Petljak (K.), « Distribution channels of organic food in the Republic of Croatia », </w:t>
      </w:r>
      <w:r w:rsidRPr="00AD764A">
        <w:rPr>
          <w:rFonts w:asciiTheme="majorBidi" w:hAnsiTheme="majorBidi" w:cstheme="majorBidi"/>
          <w:i/>
          <w:iCs/>
          <w:lang w:val="en-US"/>
        </w:rPr>
        <w:t>Poslovna izvrsnost - Business Excellence</w:t>
      </w:r>
      <w:r w:rsidRPr="00AD764A">
        <w:rPr>
          <w:rFonts w:asciiTheme="majorBidi" w:hAnsiTheme="majorBidi" w:cstheme="majorBidi"/>
          <w:lang w:val="en-US"/>
        </w:rPr>
        <w:t>, vol. 7, n° 1, sans éd., s.l., 2013, pp. 73-96.</w:t>
      </w:r>
    </w:p>
  </w:footnote>
  <w:footnote w:id="47">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OpenStax, « Understanding promotion and the role of advertising in marketing », in </w:t>
      </w:r>
      <w:r w:rsidRPr="00AD764A">
        <w:rPr>
          <w:rFonts w:asciiTheme="majorBidi" w:hAnsiTheme="majorBidi" w:cstheme="majorBidi"/>
          <w:i/>
          <w:iCs/>
          <w:lang w:val="en-US"/>
        </w:rPr>
        <w:t>Principles of Marketing</w:t>
      </w:r>
      <w:r w:rsidRPr="00AD764A">
        <w:rPr>
          <w:rFonts w:asciiTheme="majorBidi" w:hAnsiTheme="majorBidi" w:cstheme="majorBidi"/>
          <w:lang w:val="en-US"/>
        </w:rPr>
        <w:t>, agriculture.institute, 2025, disponible sur </w:t>
      </w:r>
      <w:hyperlink r:id="rId11" w:tgtFrame="_blank" w:history="1">
        <w:r w:rsidRPr="00AD764A">
          <w:rPr>
            <w:rStyle w:val="Lienhypertexte"/>
            <w:rFonts w:asciiTheme="majorBidi" w:hAnsiTheme="majorBidi" w:cstheme="majorBidi"/>
            <w:lang w:val="en-US"/>
          </w:rPr>
          <w:t>https://agriculture.institute/entrepreneurship-and-marketing/promotion-role-advertising-marketing/</w:t>
        </w:r>
      </w:hyperlink>
      <w:r w:rsidRPr="00AD764A">
        <w:rPr>
          <w:rFonts w:asciiTheme="majorBidi" w:hAnsiTheme="majorBidi" w:cstheme="majorBidi"/>
          <w:lang w:val="en-US"/>
        </w:rPr>
        <w:t> (consulté le 26 avril 2026).</w:t>
      </w:r>
    </w:p>
  </w:footnote>
  <w:footnote w:id="48">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Bousena, Abdelghani et Ibn Haffaf, Mohamed El Amine, « Le marketing mix des produits biologiques en Algérie », Revue des études financières et comptables, vol. 8, n° 1, s. éd., s. l., 2017, pp. 421-438.</w:t>
      </w:r>
    </w:p>
  </w:footnote>
  <w:footnote w:id="49">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Style w:val="Accentuation"/>
          <w:rFonts w:asciiTheme="majorBidi" w:hAnsiTheme="majorBidi" w:cstheme="majorBidi"/>
          <w:color w:val="0F1115"/>
          <w:shd w:val="clear" w:color="auto" w:fill="FFFFFF"/>
          <w:lang w:val="en-GB"/>
        </w:rPr>
        <w:t>Ibid.</w:t>
      </w:r>
      <w:r w:rsidRPr="00AD764A">
        <w:rPr>
          <w:rFonts w:asciiTheme="majorBidi" w:hAnsiTheme="majorBidi" w:cstheme="majorBidi"/>
          <w:color w:val="0F1115"/>
          <w:shd w:val="clear" w:color="auto" w:fill="FFFFFF"/>
          <w:lang w:val="en-GB"/>
        </w:rPr>
        <w:t>, p. 425.</w:t>
      </w:r>
    </w:p>
  </w:footnote>
  <w:footnote w:id="50">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Style w:val="Accentuation"/>
          <w:rFonts w:asciiTheme="majorBidi" w:hAnsiTheme="majorBidi" w:cstheme="majorBidi"/>
          <w:color w:val="0F1115"/>
          <w:shd w:val="clear" w:color="auto" w:fill="FFFFFF"/>
          <w:lang w:val="en-GB"/>
        </w:rPr>
        <w:t>Ibid.</w:t>
      </w:r>
      <w:r w:rsidRPr="00AD764A">
        <w:rPr>
          <w:rFonts w:asciiTheme="majorBidi" w:hAnsiTheme="majorBidi" w:cstheme="majorBidi"/>
          <w:color w:val="0F1115"/>
          <w:shd w:val="clear" w:color="auto" w:fill="FFFFFF"/>
          <w:lang w:val="en-GB"/>
        </w:rPr>
        <w:t>, p. 430</w:t>
      </w:r>
      <w:r w:rsidRPr="00AD764A">
        <w:rPr>
          <w:rFonts w:asciiTheme="majorBidi" w:hAnsiTheme="majorBidi" w:cstheme="majorBidi"/>
          <w:lang w:val="en-GB"/>
        </w:rPr>
        <w:t>.</w:t>
      </w:r>
    </w:p>
    <w:p w:rsidR="00B54D3C" w:rsidRPr="00AD764A" w:rsidRDefault="00B54D3C" w:rsidP="007A677E">
      <w:pPr>
        <w:pStyle w:val="Notedebasdepage"/>
        <w:rPr>
          <w:rFonts w:asciiTheme="majorBidi" w:hAnsiTheme="majorBidi" w:cstheme="majorBidi"/>
          <w:lang w:val="en-GB"/>
        </w:rPr>
      </w:pPr>
    </w:p>
  </w:footnote>
  <w:footnote w:id="51">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Fonts w:asciiTheme="majorBidi" w:hAnsiTheme="majorBidi" w:cstheme="majorBidi"/>
          <w:color w:val="0F1115"/>
          <w:shd w:val="clear" w:color="auto" w:fill="FFFFFF"/>
          <w:lang w:val="en-GB"/>
        </w:rPr>
        <w:t>BOUSENA (Abdelghani) et IBN HAFFAF (Mohamed El Amine), op. cit., p. 432</w:t>
      </w:r>
      <w:r w:rsidRPr="00AD764A">
        <w:rPr>
          <w:rFonts w:asciiTheme="majorBidi" w:hAnsiTheme="majorBidi" w:cstheme="majorBidi"/>
          <w:lang w:val="en-GB"/>
        </w:rPr>
        <w:t>.</w:t>
      </w:r>
    </w:p>
  </w:footnote>
  <w:footnote w:id="52">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Fonts w:asciiTheme="majorBidi" w:hAnsiTheme="majorBidi" w:cstheme="majorBidi"/>
          <w:color w:val="0F1115"/>
          <w:shd w:val="clear" w:color="auto" w:fill="FFFFFF"/>
          <w:lang w:val="en-GB"/>
        </w:rPr>
        <w:t>BOUSENA (Abdelghani) et IBN HAFFAF (Mohamed El Amine), op. cit., p. 434</w:t>
      </w:r>
      <w:r w:rsidRPr="00AD764A">
        <w:rPr>
          <w:rFonts w:asciiTheme="majorBidi" w:hAnsiTheme="majorBidi" w:cstheme="majorBidi"/>
          <w:lang w:val="en-GB"/>
        </w:rPr>
        <w:t>.</w:t>
      </w:r>
    </w:p>
    <w:p w:rsidR="00B54D3C" w:rsidRPr="00AD764A" w:rsidRDefault="00B54D3C" w:rsidP="007A677E">
      <w:pPr>
        <w:pStyle w:val="Notedebasdepage"/>
        <w:rPr>
          <w:rFonts w:asciiTheme="majorBidi" w:hAnsiTheme="majorBidi" w:cstheme="majorBidi"/>
          <w:lang w:val="en-GB"/>
        </w:rPr>
      </w:pPr>
      <w:r w:rsidRPr="00AD764A">
        <w:rPr>
          <w:rFonts w:asciiTheme="majorBidi" w:hAnsiTheme="majorBidi" w:cstheme="majorBidi"/>
          <w:lang w:val="en-GB"/>
        </w:rPr>
        <w:t>.</w:t>
      </w:r>
    </w:p>
  </w:footnote>
  <w:footnote w:id="53">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GALANOU T., PALIOURA  E., CHOULIARAS V., « Marketing of Biological Products », AgroThesis, vol. 3, n°1, 2005, pp. 3-10.</w:t>
      </w:r>
    </w:p>
    <w:p w:rsidR="00B54D3C" w:rsidRPr="00AD764A" w:rsidRDefault="00B54D3C" w:rsidP="007A677E">
      <w:pPr>
        <w:pStyle w:val="Notedebasdepage"/>
        <w:rPr>
          <w:rFonts w:asciiTheme="majorBidi" w:hAnsiTheme="majorBidi" w:cstheme="majorBidi"/>
          <w:rtl/>
          <w:lang w:bidi="ar-DZ"/>
        </w:rPr>
      </w:pPr>
    </w:p>
  </w:footnote>
  <w:footnote w:id="54">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Commission du Codex Alimentarius, Directives concernant la production, la transformation, l’étiquetage et la commercialisation des aliments issus de l’agriculture biologique (CAC/GL 32-1999), Programme mixte FAO/OMS sur les normes alimentaires, Rome, 1999.</w:t>
      </w:r>
    </w:p>
  </w:footnote>
  <w:footnote w:id="55">
    <w:p w:rsidR="00B54D3C" w:rsidRPr="00AD764A" w:rsidRDefault="00B54D3C" w:rsidP="007A677E">
      <w:pPr>
        <w:pStyle w:val="Notedebasdepage"/>
        <w:rPr>
          <w:rFonts w:asciiTheme="majorBidi" w:hAnsiTheme="majorBidi" w:cstheme="majorBidi"/>
          <w:rtl/>
          <w:lang w:val="en-US" w:bidi="ar-DZ"/>
        </w:rPr>
      </w:pPr>
      <w:r w:rsidRPr="00AD764A">
        <w:rPr>
          <w:rStyle w:val="Appelnotedebasdep"/>
          <w:rFonts w:asciiTheme="majorBidi" w:hAnsiTheme="majorBidi" w:cstheme="majorBidi"/>
        </w:rPr>
        <w:footnoteRef/>
      </w:r>
      <w:r w:rsidRPr="00AD764A">
        <w:rPr>
          <w:rFonts w:asciiTheme="majorBidi" w:hAnsiTheme="majorBidi" w:cstheme="majorBidi"/>
          <w:lang w:val="en-US" w:bidi="ar-DZ"/>
        </w:rPr>
        <w:t>CHOPRA A., Rao N. C., Gupta N., Vashisth S., « Come sunshine or rain; organic foods always on tract: A futurist perspective », International Journal of Nutrition, Pharmacology, Neurological Diseases, vol. 3, n°3, 2013, p. 202.</w:t>
      </w:r>
    </w:p>
  </w:footnote>
  <w:footnote w:id="56">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RELACS, Policy brief explaining the organic approach to inputs, Food and Agriculture Organization of the United Nations (FAO), Rome, 2019, pp. 1-2.</w:t>
      </w:r>
    </w:p>
    <w:p w:rsidR="00B54D3C" w:rsidRPr="00AD764A" w:rsidRDefault="00B54D3C" w:rsidP="007A677E">
      <w:pPr>
        <w:pStyle w:val="Notedebasdepage"/>
        <w:rPr>
          <w:rFonts w:asciiTheme="majorBidi" w:hAnsiTheme="majorBidi" w:cstheme="majorBidi"/>
          <w:rtl/>
          <w:lang w:bidi="ar-DZ"/>
        </w:rPr>
      </w:pPr>
    </w:p>
  </w:footnote>
  <w:footnote w:id="57">
    <w:p w:rsidR="00B54D3C" w:rsidRPr="00AD764A" w:rsidRDefault="00B54D3C" w:rsidP="007A677E">
      <w:pPr>
        <w:pStyle w:val="Notedebasdepage"/>
        <w:rPr>
          <w:rFonts w:asciiTheme="majorBidi" w:hAnsiTheme="majorBidi" w:cstheme="majorBidi"/>
          <w:rtl/>
          <w:lang w:val="en-US"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RIDDLE J. A., « Report on the Codex Alimentarius Committee on Food Labelling Meeting, Ottawa, Canada, 9–12 May 2000 », United States Delegation, s.l., 2000.</w:t>
      </w:r>
    </w:p>
  </w:footnote>
  <w:footnote w:id="58">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New Zealand Government, « Organic Standards Regulations 2025 », [en ligne], 2025, disponible sur : </w:t>
      </w:r>
      <w:hyperlink r:id="rId12" w:tgtFrame="_blank" w:history="1">
        <w:r w:rsidRPr="00AD764A">
          <w:rPr>
            <w:rStyle w:val="Lienhypertexte"/>
            <w:rFonts w:asciiTheme="majorBidi" w:hAnsiTheme="majorBidi" w:cstheme="majorBidi"/>
          </w:rPr>
          <w:t>https://www.legislation.govt.nz/</w:t>
        </w:r>
      </w:hyperlink>
      <w:r w:rsidRPr="00AD764A">
        <w:rPr>
          <w:rFonts w:asciiTheme="majorBidi" w:hAnsiTheme="majorBidi" w:cstheme="majorBidi"/>
        </w:rPr>
        <w:t> (consulté le 27 avril 2026).</w:t>
      </w:r>
    </w:p>
  </w:footnote>
  <w:footnote w:id="59">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Commission du Codex Alimentarius (FAO/OMS), « Guidelines for the Production, Processing, Labelling and Marketing of Organically Produced Foods (CAC/GL 32-1999) », 1999.</w:t>
      </w:r>
    </w:p>
    <w:p w:rsidR="00B54D3C" w:rsidRPr="00AD764A" w:rsidRDefault="00B54D3C" w:rsidP="007A677E">
      <w:pPr>
        <w:pStyle w:val="Notedebasdepage"/>
        <w:rPr>
          <w:rFonts w:asciiTheme="majorBidi" w:hAnsiTheme="majorBidi" w:cstheme="majorBidi"/>
          <w:rtl/>
          <w:lang w:bidi="ar-DZ"/>
        </w:rPr>
      </w:pPr>
    </w:p>
  </w:footnote>
  <w:footnote w:id="60">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ZORN A., « Economic analysis of organic certification systems: determinants of non-compliance and optimum control strategies », Thèse de doctorat, Universität Hohenheim, Fakultät Agrarwissenschaften, 2012, pp. ii–iii.</w:t>
      </w:r>
    </w:p>
    <w:p w:rsidR="00B54D3C" w:rsidRPr="00AD764A" w:rsidRDefault="00B54D3C" w:rsidP="007A677E">
      <w:pPr>
        <w:pStyle w:val="Notedebasdepage"/>
        <w:rPr>
          <w:rFonts w:asciiTheme="majorBidi" w:hAnsiTheme="majorBidi" w:cstheme="majorBidi"/>
          <w:rtl/>
          <w:lang w:bidi="ar-DZ"/>
        </w:rPr>
      </w:pPr>
    </w:p>
  </w:footnote>
  <w:footnote w:id="61">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Règlement (UE) 2018/848 du Parlement européen et du Conseil, relatif à la production biologique et à l'étiquetage des produits biologiques, Journal officiel de l'Union européenne, L 150, Bruxelles, 2018, pp. 1-92</w:t>
      </w:r>
      <w:r w:rsidRPr="00AD764A">
        <w:rPr>
          <w:rFonts w:asciiTheme="majorBidi" w:hAnsiTheme="majorBidi" w:cstheme="majorBidi"/>
          <w:b/>
          <w:bCs/>
        </w:rPr>
        <w:t>.</w:t>
      </w:r>
    </w:p>
    <w:p w:rsidR="00B54D3C" w:rsidRPr="00AD764A" w:rsidRDefault="00B54D3C" w:rsidP="007A677E">
      <w:pPr>
        <w:pStyle w:val="Notedebasdepage"/>
        <w:rPr>
          <w:rFonts w:asciiTheme="majorBidi" w:hAnsiTheme="majorBidi" w:cstheme="majorBidi"/>
        </w:rPr>
      </w:pPr>
    </w:p>
  </w:footnote>
  <w:footnote w:id="62">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7 CFR § 205.301 - Product composition*, National Organic Program (NOP), United States Department of Agriculture (USDA), disponible sur : </w:t>
      </w:r>
      <w:hyperlink r:id="rId13" w:tgtFrame="_blank" w:history="1">
        <w:r w:rsidRPr="00AD764A">
          <w:rPr>
            <w:rStyle w:val="Lienhypertexte"/>
            <w:rFonts w:asciiTheme="majorBidi" w:hAnsiTheme="majorBidi" w:cstheme="majorBidi"/>
          </w:rPr>
          <w:t>https://www.ecfr.gov/current/title-7/subtitle-B/chapter-I/subchapter-M/part-205/subpart-D/section-205.301</w:t>
        </w:r>
      </w:hyperlink>
      <w:r w:rsidRPr="00AD764A">
        <w:rPr>
          <w:rFonts w:asciiTheme="majorBidi" w:hAnsiTheme="majorBidi" w:cstheme="majorBidi"/>
        </w:rPr>
        <w:t>, consulté le 18 mai 2026.</w:t>
      </w:r>
    </w:p>
    <w:p w:rsidR="00B54D3C" w:rsidRPr="00AD764A" w:rsidRDefault="00B54D3C" w:rsidP="007A677E">
      <w:pPr>
        <w:pStyle w:val="Notedebasdepage"/>
        <w:rPr>
          <w:rFonts w:asciiTheme="majorBidi" w:hAnsiTheme="majorBidi" w:cstheme="majorBidi"/>
        </w:rPr>
      </w:pPr>
    </w:p>
  </w:footnote>
  <w:footnote w:id="63">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Règlement (UE) 2018/848 du Parlement européen et du Conseil, relatif à la production biologique et à l'étiquetage des produits biologiques, Journal officiel de l'Union européenne, L 150, Bruxelles, 2018, pp. 1-92</w:t>
      </w:r>
      <w:r w:rsidRPr="00AD764A">
        <w:rPr>
          <w:rFonts w:asciiTheme="majorBidi" w:hAnsiTheme="majorBidi" w:cstheme="majorBidi"/>
          <w:b/>
          <w:bCs/>
        </w:rPr>
        <w:t>.</w:t>
      </w:r>
    </w:p>
    <w:p w:rsidR="00B54D3C" w:rsidRPr="00AD764A" w:rsidRDefault="00B54D3C" w:rsidP="007A677E">
      <w:pPr>
        <w:pStyle w:val="Notedebasdepage"/>
        <w:rPr>
          <w:rFonts w:asciiTheme="majorBidi" w:hAnsiTheme="majorBidi" w:cstheme="majorBidi"/>
        </w:rPr>
      </w:pPr>
    </w:p>
  </w:footnote>
  <w:footnote w:id="64">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Règlement (UE) 2018/848 du Parlement européen et du Conseil, relatif à la production biologique et à l'étiquetage des produits biologiques, Journal officiel de l'Union européenne, L 150, Bruxelles, 2018, pp. 1-92</w:t>
      </w:r>
      <w:r w:rsidRPr="00AD764A">
        <w:rPr>
          <w:rFonts w:asciiTheme="majorBidi" w:hAnsiTheme="majorBidi" w:cstheme="majorBidi"/>
          <w:b/>
          <w:bCs/>
        </w:rPr>
        <w:t>.</w:t>
      </w:r>
    </w:p>
  </w:footnote>
  <w:footnote w:id="65">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ISO, « CASCO – Committee on Conformity Assessment », [en ligne], 7 février 2023, disponible sur : </w:t>
      </w:r>
      <w:hyperlink r:id="rId14" w:tgtFrame="_blank" w:history="1">
        <w:r w:rsidRPr="00AD764A">
          <w:rPr>
            <w:rStyle w:val="Lienhypertexte"/>
            <w:rFonts w:asciiTheme="majorBidi" w:hAnsiTheme="majorBidi" w:cstheme="majorBidi"/>
          </w:rPr>
          <w:t>https://www.iso.org/committee/54998.html</w:t>
        </w:r>
      </w:hyperlink>
      <w:r w:rsidRPr="00AD764A">
        <w:rPr>
          <w:rFonts w:asciiTheme="majorBidi" w:hAnsiTheme="majorBidi" w:cstheme="majorBidi"/>
        </w:rPr>
        <w:t> (consulté le 27/04/2026)</w:t>
      </w:r>
    </w:p>
  </w:footnote>
  <w:footnote w:id="66">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 xml:space="preserve">  APEDA, Government of India, « Certification bodies (CBs) », Organic APEDA, [en ligne], s.d., disponible sur : </w:t>
      </w:r>
      <w:hyperlink r:id="rId15" w:tgtFrame="_blank" w:history="1">
        <w:r w:rsidRPr="00AD764A">
          <w:rPr>
            <w:rStyle w:val="Lienhypertexte"/>
            <w:rFonts w:asciiTheme="majorBidi" w:hAnsiTheme="majorBidi" w:cstheme="majorBidi"/>
          </w:rPr>
          <w:t>https://organic.apeda.gov.in/Organic-Certification-Bodies</w:t>
        </w:r>
      </w:hyperlink>
      <w:r w:rsidRPr="00AD764A">
        <w:rPr>
          <w:rFonts w:asciiTheme="majorBidi" w:hAnsiTheme="majorBidi" w:cstheme="majorBidi"/>
        </w:rPr>
        <w:t> (consulté le 27 avril 2026).</w:t>
      </w:r>
    </w:p>
  </w:footnote>
  <w:footnote w:id="67">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ATASEVEN Yener, DEMİRDÖĞEN Alper, AKYÜZ Mustafa, « Building Trust from Farm to Fork in Organic Agriculture: A Closer Look at Inspection and Certification Systems », Turkish Journal of Agriculture - Food Science and Technology, vol. 12, n° 12, 2024, pp. 266</w:t>
      </w:r>
      <w:r w:rsidRPr="00AD764A">
        <w:rPr>
          <w:rFonts w:asciiTheme="majorBidi" w:hAnsiTheme="majorBidi" w:cstheme="majorBidi"/>
          <w:rtl/>
        </w:rPr>
        <w:t>6</w:t>
      </w:r>
      <w:r w:rsidRPr="00AD764A">
        <w:rPr>
          <w:rFonts w:asciiTheme="majorBidi" w:hAnsiTheme="majorBidi" w:cstheme="majorBidi"/>
          <w:lang w:val="en-US"/>
        </w:rPr>
        <w:t>-26</w:t>
      </w:r>
      <w:r w:rsidRPr="00AD764A">
        <w:rPr>
          <w:rFonts w:asciiTheme="majorBidi" w:hAnsiTheme="majorBidi" w:cstheme="majorBidi"/>
          <w:rtl/>
        </w:rPr>
        <w:t>67</w:t>
      </w:r>
      <w:r w:rsidRPr="00AD764A">
        <w:rPr>
          <w:rFonts w:asciiTheme="majorBidi" w:hAnsiTheme="majorBidi" w:cstheme="majorBidi"/>
          <w:lang w:val="en-US"/>
        </w:rPr>
        <w:t>.</w:t>
      </w:r>
    </w:p>
  </w:footnote>
  <w:footnote w:id="68">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xml:space="preserve"> USDA Agricultural Marketing Service, « Organic standards », [en ligne], s.d., disponible sur : </w:t>
      </w:r>
      <w:hyperlink r:id="rId16" w:tgtFrame="_blank" w:history="1">
        <w:r w:rsidRPr="00AD764A">
          <w:rPr>
            <w:rStyle w:val="Lienhypertexte"/>
            <w:rFonts w:asciiTheme="majorBidi" w:hAnsiTheme="majorBidi" w:cstheme="majorBidi"/>
          </w:rPr>
          <w:t>https://www.ams.usda.gov/grades-standards/organic-standards</w:t>
        </w:r>
      </w:hyperlink>
      <w:r w:rsidRPr="00AD764A">
        <w:rPr>
          <w:rFonts w:asciiTheme="majorBidi" w:hAnsiTheme="majorBidi" w:cstheme="majorBidi"/>
        </w:rPr>
        <w:t> (consulté le 28 avril 2026).</w:t>
      </w:r>
    </w:p>
  </w:footnote>
  <w:footnote w:id="6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xml:space="preserve"> Purdue University – Extension, Department of Agronomy, </w:t>
      </w:r>
      <w:r w:rsidRPr="00AD764A">
        <w:rPr>
          <w:rFonts w:asciiTheme="majorBidi" w:hAnsiTheme="majorBidi" w:cstheme="majorBidi"/>
          <w:i/>
          <w:iCs/>
        </w:rPr>
        <w:t>Transition and Certification</w:t>
      </w:r>
      <w:r w:rsidRPr="00AD764A">
        <w:rPr>
          <w:rFonts w:asciiTheme="majorBidi" w:hAnsiTheme="majorBidi" w:cstheme="majorBidi"/>
        </w:rPr>
        <w:t>, publié le 26 avril 2026, disponible sur : </w:t>
      </w:r>
      <w:hyperlink r:id="rId17" w:tgtFrame="_blank" w:history="1">
        <w:r w:rsidRPr="00AD764A">
          <w:rPr>
            <w:rStyle w:val="Lienhypertexte"/>
            <w:rFonts w:asciiTheme="majorBidi" w:hAnsiTheme="majorBidi" w:cstheme="majorBidi"/>
          </w:rPr>
          <w:t>https://www.extension.purdue.edu/anr/_teams/dffs/organic_ag/resources/organic-transition-and-certification-resources.html</w:t>
        </w:r>
      </w:hyperlink>
      <w:r w:rsidRPr="00AD764A">
        <w:rPr>
          <w:rFonts w:asciiTheme="majorBidi" w:hAnsiTheme="majorBidi" w:cstheme="majorBidi"/>
        </w:rPr>
        <w:t> (consulté le 28 avril 2026).</w:t>
      </w:r>
    </w:p>
  </w:footnote>
  <w:footnote w:id="7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xml:space="preserve"> BOUDREAU Nicole, Do Organic Soils Need Regeneration?, Organic Science Canada, Volume 4, Organic Federation of Canada, Montréal, 29 mars 2022, 40 pages, disponible sur : </w:t>
      </w:r>
      <w:hyperlink r:id="rId18" w:tgtFrame="_blank" w:history="1">
        <w:r w:rsidRPr="00AD764A">
          <w:rPr>
            <w:rStyle w:val="Lienhypertexte"/>
            <w:rFonts w:asciiTheme="majorBidi" w:hAnsiTheme="majorBidi" w:cstheme="majorBidi"/>
          </w:rPr>
          <w:t>http://organicfederation.ca/resource/organic-science-canada-spring-2022/do-organic-soils-need-regeneration/</w:t>
        </w:r>
      </w:hyperlink>
      <w:r w:rsidRPr="00AD764A">
        <w:rPr>
          <w:rFonts w:asciiTheme="majorBidi" w:hAnsiTheme="majorBidi" w:cstheme="majorBidi"/>
        </w:rPr>
        <w:t> (consulté le 28 avril 2026).</w:t>
      </w:r>
    </w:p>
  </w:footnote>
  <w:footnote w:id="71">
    <w:p w:rsidR="00B54D3C" w:rsidRPr="00AD764A" w:rsidRDefault="00B54D3C" w:rsidP="007A677E">
      <w:pPr>
        <w:pStyle w:val="Notedebasdepage"/>
        <w:rPr>
          <w:rFonts w:asciiTheme="majorBidi" w:hAnsiTheme="majorBidi" w:cstheme="majorBidi"/>
          <w:rtl/>
        </w:rPr>
      </w:pPr>
      <w:r w:rsidRPr="00AD764A">
        <w:rPr>
          <w:rStyle w:val="Appelnotedebasdep"/>
          <w:rFonts w:asciiTheme="majorBidi" w:hAnsiTheme="majorBidi" w:cstheme="majorBidi"/>
        </w:rPr>
        <w:footnoteRef/>
      </w:r>
      <w:r w:rsidRPr="00AD764A">
        <w:rPr>
          <w:rFonts w:asciiTheme="majorBidi" w:hAnsiTheme="majorBidi" w:cstheme="majorBidi"/>
        </w:rPr>
        <w:t>USDA Agricultural Marketing Service, « Organic standards », [en ligne], s.d., disponible sur : </w:t>
      </w:r>
      <w:hyperlink r:id="rId19" w:tgtFrame="_blank" w:history="1">
        <w:r w:rsidRPr="00AD764A">
          <w:rPr>
            <w:rStyle w:val="Lienhypertexte"/>
            <w:rFonts w:asciiTheme="majorBidi" w:hAnsiTheme="majorBidi" w:cstheme="majorBidi"/>
          </w:rPr>
          <w:t>https://www.ams.usda.gov/grades-standards/organic-standards</w:t>
        </w:r>
      </w:hyperlink>
      <w:r w:rsidRPr="00AD764A">
        <w:rPr>
          <w:rFonts w:asciiTheme="majorBidi" w:hAnsiTheme="majorBidi" w:cstheme="majorBidi"/>
        </w:rPr>
        <w:t> (consulté le 28 avril 2026).</w:t>
      </w:r>
    </w:p>
  </w:footnote>
  <w:footnote w:id="72">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USDA Agricultural Marketing Service, National Organic Program Handbook: Guidance 5029 – Seeds, Annual Seedlings, and Planting Stock in Organic Crop Production, disponible sur : </w:t>
      </w:r>
      <w:hyperlink r:id="rId20" w:tgtFrame="_blank" w:history="1">
        <w:r w:rsidRPr="00AD764A">
          <w:rPr>
            <w:rStyle w:val="Lienhypertexte"/>
            <w:rFonts w:asciiTheme="majorBidi" w:hAnsiTheme="majorBidi" w:cstheme="majorBidi"/>
            <w:lang w:val="en-US"/>
          </w:rPr>
          <w:t>https://www.ams.usda.gov/rules-regulations/organic/handbook/5029</w:t>
        </w:r>
      </w:hyperlink>
      <w:r w:rsidRPr="00AD764A">
        <w:rPr>
          <w:rFonts w:asciiTheme="majorBidi" w:hAnsiTheme="majorBidi" w:cstheme="majorBidi"/>
          <w:lang w:val="en-US"/>
        </w:rPr>
        <w:t> (consulté le 28 avril 2026).</w:t>
      </w:r>
    </w:p>
  </w:footnote>
  <w:footnote w:id="73">
    <w:p w:rsidR="00B54D3C" w:rsidRPr="00AD764A" w:rsidRDefault="00B54D3C" w:rsidP="007A677E">
      <w:pPr>
        <w:pStyle w:val="Notedebasdepage"/>
        <w:rPr>
          <w:rFonts w:asciiTheme="majorBidi" w:hAnsiTheme="majorBidi" w:cstheme="majorBidi"/>
          <w:rtl/>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Agricultural Marketing Service (AMS), USDA, National Organic Program; Origin of Livestock, Federal Register, Volume 87, Numéro 65, pages 19740-19777, 5 avril 2022, disponible sur : </w:t>
      </w:r>
      <w:hyperlink r:id="rId21" w:tgtFrame="_blank" w:history="1">
        <w:r w:rsidRPr="00AD764A">
          <w:rPr>
            <w:rStyle w:val="Lienhypertexte"/>
            <w:rFonts w:asciiTheme="majorBidi" w:hAnsiTheme="majorBidi" w:cstheme="majorBidi"/>
            <w:lang w:val="en-US"/>
          </w:rPr>
          <w:t>https://www.federalregister.gov/documents/2022/04/05/2022-06957/national-organic-program-origin-of-livestock</w:t>
        </w:r>
      </w:hyperlink>
      <w:r w:rsidRPr="00AD764A">
        <w:rPr>
          <w:rFonts w:asciiTheme="majorBidi" w:hAnsiTheme="majorBidi" w:cstheme="majorBidi"/>
          <w:lang w:val="en-US"/>
        </w:rPr>
        <w:t> (consulté le 28 avril 2026).</w:t>
      </w:r>
    </w:p>
  </w:footnote>
  <w:footnote w:id="74">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USDA-AMS (Agricultural Marketing Service - United States Department of Agriculture), 5030: Evaluating Allowed Ingredients and Sources of Vitamins and Minerals for Organic Livestock Feed, NOP Handbook, 2021, § 205.237(a), disponible sur : </w:t>
      </w:r>
      <w:hyperlink r:id="rId22" w:tgtFrame="_blank" w:history="1">
        <w:r w:rsidRPr="00AD764A">
          <w:rPr>
            <w:rStyle w:val="Lienhypertexte"/>
            <w:rFonts w:asciiTheme="majorBidi" w:hAnsiTheme="majorBidi" w:cstheme="majorBidi"/>
            <w:lang w:val="en-US"/>
          </w:rPr>
          <w:t>https://www.ams.usda.gov/rules-regulations/organic/handbook/5030</w:t>
        </w:r>
      </w:hyperlink>
      <w:r w:rsidRPr="00AD764A">
        <w:rPr>
          <w:rFonts w:asciiTheme="majorBidi" w:hAnsiTheme="majorBidi" w:cstheme="majorBidi"/>
          <w:lang w:val="en-US"/>
        </w:rPr>
        <w:t>, consulté le</w:t>
      </w:r>
      <w:r w:rsidRPr="00AD764A">
        <w:rPr>
          <w:rFonts w:asciiTheme="majorBidi" w:hAnsiTheme="majorBidi" w:cstheme="majorBidi"/>
          <w:lang w:val="en-US" w:bidi="ar-DZ"/>
        </w:rPr>
        <w:t> </w:t>
      </w:r>
    </w:p>
  </w:footnote>
  <w:footnote w:id="75">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USDA Agricultural Marketing Service, « Organic standards », [en ligne], s.d., disponible sur : </w:t>
      </w:r>
      <w:hyperlink r:id="rId23" w:tgtFrame="_blank" w:history="1">
        <w:r w:rsidRPr="00AD764A">
          <w:rPr>
            <w:rStyle w:val="Lienhypertexte"/>
            <w:rFonts w:asciiTheme="majorBidi" w:hAnsiTheme="majorBidi" w:cstheme="majorBidi"/>
          </w:rPr>
          <w:t>https://www.ams.usda.gov/grades-standards/organic-standards</w:t>
        </w:r>
      </w:hyperlink>
      <w:r w:rsidRPr="00AD764A">
        <w:rPr>
          <w:rFonts w:asciiTheme="majorBidi" w:hAnsiTheme="majorBidi" w:cstheme="majorBidi"/>
        </w:rPr>
        <w:t> (consulté le 28 avril 2026).</w:t>
      </w:r>
    </w:p>
    <w:p w:rsidR="00B54D3C" w:rsidRPr="00AD764A" w:rsidRDefault="00B54D3C" w:rsidP="007A677E">
      <w:pPr>
        <w:pStyle w:val="Notedebasdepage"/>
        <w:rPr>
          <w:rFonts w:asciiTheme="majorBidi" w:hAnsiTheme="majorBidi" w:cstheme="majorBidi"/>
        </w:rPr>
      </w:pPr>
    </w:p>
    <w:p w:rsidR="00B54D3C" w:rsidRPr="00AD764A" w:rsidRDefault="00B54D3C" w:rsidP="007A677E">
      <w:pPr>
        <w:pStyle w:val="Notedebasdepage"/>
        <w:rPr>
          <w:rFonts w:asciiTheme="majorBidi" w:hAnsiTheme="majorBidi" w:cstheme="majorBidi"/>
        </w:rPr>
      </w:pPr>
    </w:p>
  </w:footnote>
  <w:footnote w:id="76">
    <w:p w:rsidR="00B54D3C" w:rsidRPr="00AD764A" w:rsidRDefault="00B54D3C" w:rsidP="007A677E">
      <w:pPr>
        <w:spacing w:after="0" w:line="375" w:lineRule="atLeast"/>
        <w:rPr>
          <w:rFonts w:asciiTheme="majorBidi" w:hAnsiTheme="majorBidi" w:cstheme="majorBidi"/>
          <w:color w:val="0F1115"/>
          <w:sz w:val="20"/>
          <w:szCs w:val="20"/>
          <w:lang w:val="en-US"/>
        </w:rPr>
      </w:pPr>
      <w:r w:rsidRPr="00AD764A">
        <w:rPr>
          <w:rStyle w:val="Appelnotedebasdep"/>
          <w:rFonts w:asciiTheme="majorBidi" w:hAnsiTheme="majorBidi" w:cstheme="majorBidi"/>
          <w:sz w:val="20"/>
          <w:szCs w:val="20"/>
        </w:rPr>
        <w:footnoteRef/>
      </w:r>
      <w:r w:rsidRPr="00AD764A">
        <w:rPr>
          <w:rFonts w:asciiTheme="majorBidi" w:hAnsiTheme="majorBidi" w:cstheme="majorBidi"/>
          <w:sz w:val="20"/>
          <w:szCs w:val="20"/>
          <w:lang w:val="en-US"/>
        </w:rPr>
        <w:t xml:space="preserve"> TTB (Alcohol and Tobacco Tax and Trade Bureau), Organic Alcohol FAQs, U.S. Department of the Treasury, disponible sur : </w:t>
      </w:r>
      <w:hyperlink r:id="rId24" w:tgtFrame="_blank" w:history="1">
        <w:r w:rsidRPr="00AD764A">
          <w:rPr>
            <w:rStyle w:val="Lienhypertexte"/>
            <w:rFonts w:asciiTheme="majorBidi" w:hAnsiTheme="majorBidi" w:cstheme="majorBidi"/>
            <w:sz w:val="20"/>
            <w:szCs w:val="20"/>
            <w:lang w:val="en-US"/>
          </w:rPr>
          <w:t>https://www.ttb.gov/faqs/alcohol?keyword&amp;tid=10</w:t>
        </w:r>
      </w:hyperlink>
      <w:r w:rsidRPr="00AD764A">
        <w:rPr>
          <w:rFonts w:asciiTheme="majorBidi" w:hAnsiTheme="majorBidi" w:cstheme="majorBidi"/>
          <w:sz w:val="20"/>
          <w:szCs w:val="20"/>
          <w:lang w:val="en-US"/>
        </w:rPr>
        <w:t>, consulté le 16 mai 2026.</w:t>
      </w:r>
    </w:p>
    <w:p w:rsidR="00B54D3C" w:rsidRPr="00AD764A" w:rsidRDefault="00B54D3C" w:rsidP="007A677E">
      <w:pPr>
        <w:pStyle w:val="Notedebasdepage"/>
        <w:rPr>
          <w:rFonts w:asciiTheme="majorBidi" w:hAnsiTheme="majorBidi" w:cstheme="majorBidi"/>
          <w:lang w:val="en-US"/>
        </w:rPr>
      </w:pPr>
    </w:p>
  </w:footnote>
  <w:footnote w:id="77">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Natexpo, « Groupe Ecocert, 30 ans d'action pour un monde durable », [en ligne], 14 juin 2021, disponible sur : </w:t>
      </w:r>
      <w:hyperlink r:id="rId25" w:tgtFrame="_blank" w:history="1">
        <w:r w:rsidRPr="00AD764A">
          <w:rPr>
            <w:rStyle w:val="Lienhypertexte"/>
            <w:rFonts w:asciiTheme="majorBidi" w:hAnsiTheme="majorBidi" w:cstheme="majorBidi"/>
          </w:rPr>
          <w:t>https://natexpo.com/groupe-ecocert-30-ans-daction-pour-un-monde-durable/</w:t>
        </w:r>
      </w:hyperlink>
      <w:r w:rsidRPr="00AD764A">
        <w:rPr>
          <w:rFonts w:asciiTheme="majorBidi" w:hAnsiTheme="majorBidi" w:cstheme="majorBidi"/>
        </w:rPr>
        <w:t> (consulté le 29 avril 2026).</w:t>
      </w:r>
    </w:p>
  </w:footnote>
  <w:footnote w:id="78">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Ecocert, « Who issues organic labels? », [en ligne], 8 octobre 2024, disponible sur : </w:t>
      </w:r>
      <w:hyperlink r:id="rId26" w:tgtFrame="_blank" w:history="1">
        <w:r w:rsidRPr="00AD764A">
          <w:rPr>
            <w:rStyle w:val="Lienhypertexte"/>
            <w:rFonts w:asciiTheme="majorBidi" w:hAnsiTheme="majorBidi" w:cstheme="majorBidi"/>
          </w:rPr>
          <w:t>https://www.ecocert.com/en-US/article/who-issues-organic-labels-5092510</w:t>
        </w:r>
      </w:hyperlink>
      <w:r w:rsidRPr="00AD764A">
        <w:rPr>
          <w:rFonts w:asciiTheme="majorBidi" w:hAnsiTheme="majorBidi" w:cstheme="majorBidi"/>
        </w:rPr>
        <w:t> (consulté le 29 avril 2026).</w:t>
      </w:r>
    </w:p>
  </w:footnote>
  <w:footnote w:id="79">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USDA Agricultural Marketing Service, « Becoming a certified operation », [en ligne], s.d., disponible sur : </w:t>
      </w:r>
      <w:hyperlink r:id="rId27" w:tgtFrame="_blank" w:history="1">
        <w:r w:rsidRPr="00AD764A">
          <w:rPr>
            <w:rStyle w:val="Lienhypertexte"/>
            <w:rFonts w:asciiTheme="majorBidi" w:hAnsiTheme="majorBidi" w:cstheme="majorBidi"/>
          </w:rPr>
          <w:t>https://www.ams.usda.gov/services/organic-certification/becoming-certified</w:t>
        </w:r>
      </w:hyperlink>
      <w:r w:rsidRPr="00AD764A">
        <w:rPr>
          <w:rFonts w:asciiTheme="majorBidi" w:hAnsiTheme="majorBidi" w:cstheme="majorBidi"/>
        </w:rPr>
        <w:t> (consulté le 12 avril 2026).</w:t>
      </w:r>
    </w:p>
    <w:p w:rsidR="00B54D3C" w:rsidRPr="00AD764A" w:rsidRDefault="00B54D3C" w:rsidP="007A677E">
      <w:pPr>
        <w:pStyle w:val="Notedebasdepage"/>
        <w:rPr>
          <w:rFonts w:asciiTheme="majorBidi" w:hAnsiTheme="majorBidi" w:cstheme="majorBidi"/>
          <w:lang w:bidi="ar-DZ"/>
        </w:rPr>
      </w:pPr>
    </w:p>
  </w:footnote>
  <w:footnote w:id="80">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  Ben Othmen M.A., Pourquoi les labels « bio » ne se valent pas d’un pays à l’autre, The Conversation, 16 octobre 2025, disponible sur : </w:t>
      </w:r>
      <w:hyperlink r:id="rId28" w:tgtFrame="_blank" w:history="1">
        <w:r w:rsidRPr="00AD764A">
          <w:rPr>
            <w:rStyle w:val="Lienhypertexte"/>
            <w:rFonts w:asciiTheme="majorBidi" w:hAnsiTheme="majorBidi" w:cstheme="majorBidi"/>
          </w:rPr>
          <w:t>https://theconversation.com/pourquoi-les-labels-bio-ne-se-valent-pas-dun-pays-a-lautre-267037</w:t>
        </w:r>
      </w:hyperlink>
      <w:r w:rsidRPr="00AD764A">
        <w:rPr>
          <w:rFonts w:asciiTheme="majorBidi" w:hAnsiTheme="majorBidi" w:cstheme="majorBidi"/>
        </w:rPr>
        <w:t>, consulté le 18 mai 2026.</w:t>
      </w:r>
    </w:p>
  </w:footnote>
  <w:footnote w:id="81">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Department of Agriculture, Government of Meghalaya, « What is behind an organic label? », [en ligne], s.d., disponible sur : </w:t>
      </w:r>
      <w:hyperlink r:id="rId29" w:tgtFrame="_blank" w:history="1">
        <w:r w:rsidRPr="00AD764A">
          <w:rPr>
            <w:rStyle w:val="Lienhypertexte"/>
            <w:rFonts w:asciiTheme="majorBidi" w:hAnsiTheme="majorBidi" w:cstheme="majorBidi"/>
            <w:lang w:val="en-US"/>
          </w:rPr>
          <w:t>https://megagriculture.gov.in/public/organic_agriculture_behind_organic_label.aspx</w:t>
        </w:r>
      </w:hyperlink>
      <w:r w:rsidRPr="00AD764A">
        <w:rPr>
          <w:rFonts w:asciiTheme="majorBidi" w:hAnsiTheme="majorBidi" w:cstheme="majorBidi"/>
          <w:lang w:val="en-US"/>
        </w:rPr>
        <w:t> (consulté le 30 avril 2026).</w:t>
      </w:r>
    </w:p>
    <w:p w:rsidR="00B54D3C" w:rsidRPr="00AD764A" w:rsidRDefault="00B54D3C" w:rsidP="007A677E">
      <w:pPr>
        <w:pStyle w:val="Notedebasdepage"/>
        <w:rPr>
          <w:rFonts w:asciiTheme="majorBidi" w:hAnsiTheme="majorBidi" w:cstheme="majorBidi"/>
          <w:lang w:val="en-US" w:bidi="ar-DZ"/>
        </w:rPr>
      </w:pPr>
    </w:p>
  </w:footnote>
  <w:footnote w:id="82">
    <w:p w:rsidR="00B54D3C" w:rsidRPr="00AD764A" w:rsidRDefault="00B54D3C" w:rsidP="007A677E">
      <w:pPr>
        <w:pStyle w:val="Notedebasdepage"/>
        <w:rPr>
          <w:rFonts w:asciiTheme="majorBidi" w:hAnsiTheme="majorBidi" w:cstheme="majorBidi"/>
          <w:lang w:val="en-GB" w:bidi="ar-DZ"/>
        </w:rPr>
      </w:pPr>
      <w:r w:rsidRPr="00AD764A">
        <w:rPr>
          <w:rStyle w:val="Appelnotedebasdep"/>
          <w:rFonts w:asciiTheme="majorBidi" w:hAnsiTheme="majorBidi" w:cstheme="majorBidi"/>
        </w:rPr>
        <w:footnoteRef/>
      </w:r>
      <w:r w:rsidRPr="00AD764A">
        <w:rPr>
          <w:rFonts w:asciiTheme="majorBidi" w:hAnsiTheme="majorBidi" w:cstheme="majorBidi"/>
          <w:lang w:val="en-US"/>
        </w:rPr>
        <w:t>Department of Agriculture, Government of Meghalaya, « What is behind an organic label? », [en ligne], s.d., disponible sur : </w:t>
      </w:r>
      <w:hyperlink r:id="rId30" w:tgtFrame="_blank" w:history="1">
        <w:r w:rsidRPr="00AD764A">
          <w:rPr>
            <w:rStyle w:val="Lienhypertexte"/>
            <w:rFonts w:asciiTheme="majorBidi" w:hAnsiTheme="majorBidi" w:cstheme="majorBidi"/>
            <w:lang w:val="en-US"/>
          </w:rPr>
          <w:t>https://megagriculture.gov.in/public/organic_agriculture_behind_organic_label.aspx</w:t>
        </w:r>
      </w:hyperlink>
      <w:r w:rsidRPr="00AD764A">
        <w:rPr>
          <w:rFonts w:asciiTheme="majorBidi" w:hAnsiTheme="majorBidi" w:cstheme="majorBidi"/>
          <w:lang w:val="en-US"/>
        </w:rPr>
        <w:t> (consulté le 30 avril 2026).</w:t>
      </w:r>
    </w:p>
  </w:footnote>
  <w:footnote w:id="83">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xml:space="preserve"> NSF (National Sanitation Foundation), Organic Product Labels, 8 juillet 2021, disponible sur : </w:t>
      </w:r>
      <w:hyperlink r:id="rId31" w:tgtFrame="_blank" w:history="1">
        <w:r w:rsidRPr="00AD764A">
          <w:rPr>
            <w:rStyle w:val="Lienhypertexte"/>
            <w:rFonts w:asciiTheme="majorBidi" w:hAnsiTheme="majorBidi" w:cstheme="majorBidi"/>
          </w:rPr>
          <w:t>https://www.nsf.org/consumer-resources/articles/organic-product-labels</w:t>
        </w:r>
      </w:hyperlink>
      <w:r w:rsidRPr="00AD764A">
        <w:rPr>
          <w:rFonts w:asciiTheme="majorBidi" w:hAnsiTheme="majorBidi" w:cstheme="majorBidi"/>
        </w:rPr>
        <w:t>, consulté le 16 mai 2026.</w:t>
      </w:r>
    </w:p>
  </w:footnote>
  <w:footnote w:id="84">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NSF (National Sanitation Foundation), Organic Product Labels, 8 juillet 2021, disponible sur : </w:t>
      </w:r>
      <w:hyperlink r:id="rId32" w:tgtFrame="_blank" w:history="1">
        <w:r w:rsidRPr="00AD764A">
          <w:rPr>
            <w:rStyle w:val="Lienhypertexte"/>
            <w:rFonts w:asciiTheme="majorBidi" w:hAnsiTheme="majorBidi" w:cstheme="majorBidi"/>
          </w:rPr>
          <w:t>https://www.nsf.org/consumer-resources/articles/organic-product-labels</w:t>
        </w:r>
      </w:hyperlink>
      <w:r w:rsidRPr="00AD764A">
        <w:rPr>
          <w:rFonts w:asciiTheme="majorBidi" w:hAnsiTheme="majorBidi" w:cstheme="majorBidi"/>
        </w:rPr>
        <w:t>, consulté le 16 mai 2026.</w:t>
      </w:r>
    </w:p>
  </w:footnote>
  <w:footnote w:id="85">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Baker, K. A. &amp; Hoover, A., « Organic labeling of multi-ingredient food products », [en ligne], 22 juillet 2017, Clemson University, Home &amp; Garden Information Center (HGIC), disponible sur : </w:t>
      </w:r>
      <w:hyperlink r:id="rId33" w:tgtFrame="_blank" w:history="1">
        <w:r w:rsidRPr="00AD764A">
          <w:rPr>
            <w:rStyle w:val="Lienhypertexte"/>
            <w:rFonts w:asciiTheme="majorBidi" w:hAnsiTheme="majorBidi" w:cstheme="majorBidi"/>
          </w:rPr>
          <w:t>https://hgic.clemson.edu/factsheet/organic-labeling-of-multi-ingredient-food-products/</w:t>
        </w:r>
      </w:hyperlink>
      <w:r w:rsidRPr="00AD764A">
        <w:rPr>
          <w:rFonts w:asciiTheme="majorBidi" w:hAnsiTheme="majorBidi" w:cstheme="majorBidi"/>
        </w:rPr>
        <w:t> (consulté le 27 avril 2026).</w:t>
      </w:r>
    </w:p>
  </w:footnote>
  <w:footnote w:id="86">
    <w:p w:rsidR="00B54D3C" w:rsidRPr="00AD764A" w:rsidRDefault="00B54D3C" w:rsidP="007A677E">
      <w:pPr>
        <w:pStyle w:val="ds-markdown-paragraph"/>
        <w:shd w:val="clear" w:color="auto" w:fill="FFFFFF"/>
        <w:spacing w:before="0" w:beforeAutospacing="0" w:after="0" w:afterAutospacing="0" w:line="333" w:lineRule="atLeast"/>
        <w:rPr>
          <w:rFonts w:asciiTheme="majorBidi" w:hAnsiTheme="majorBidi" w:cstheme="majorBidi"/>
          <w:color w:val="0F1115"/>
          <w:sz w:val="20"/>
          <w:szCs w:val="20"/>
          <w:rtl/>
          <w:lang w:val="en-GB" w:bidi="ar-DZ"/>
        </w:rPr>
      </w:pPr>
      <w:r w:rsidRPr="00AD764A">
        <w:rPr>
          <w:rStyle w:val="Appelnotedebasdep"/>
          <w:rFonts w:asciiTheme="majorBidi" w:hAnsiTheme="majorBidi" w:cstheme="majorBidi"/>
          <w:sz w:val="20"/>
          <w:szCs w:val="20"/>
        </w:rPr>
        <w:footnoteRef/>
      </w:r>
      <w:r w:rsidRPr="00AD764A">
        <w:rPr>
          <w:rFonts w:asciiTheme="majorBidi" w:hAnsiTheme="majorBidi" w:cstheme="majorBidi"/>
          <w:color w:val="0F1115"/>
          <w:sz w:val="20"/>
          <w:szCs w:val="20"/>
          <w:lang w:val="en-GB"/>
        </w:rPr>
        <w:t>BAKER (K. A.) &amp; HOOVER (A.), op. cit.</w:t>
      </w:r>
    </w:p>
  </w:footnote>
  <w:footnote w:id="87">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National Organic Program (NOP), *7 CFR § 205.301 - Product composition*, Office of the Federal Register, disponible sur : </w:t>
      </w:r>
      <w:hyperlink r:id="rId34" w:tgtFrame="_blank" w:history="1">
        <w:r w:rsidRPr="00AD764A">
          <w:rPr>
            <w:rStyle w:val="Lienhypertexte"/>
            <w:rFonts w:asciiTheme="majorBidi" w:hAnsiTheme="majorBidi" w:cstheme="majorBidi"/>
          </w:rPr>
          <w:t>https://www.ecfr.gov/current/title-7/subtitle-B/chapter-I/subchapter-M/part-205/subpart-D/section-205.301</w:t>
        </w:r>
      </w:hyperlink>
      <w:r w:rsidRPr="00AD764A">
        <w:rPr>
          <w:rFonts w:asciiTheme="majorBidi" w:hAnsiTheme="majorBidi" w:cstheme="majorBidi"/>
        </w:rPr>
        <w:t>, consulté le 16 mai 2026.</w:t>
      </w:r>
    </w:p>
  </w:footnote>
  <w:footnote w:id="88">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USDA Agricultural Marketing Service, « USDA certified organic: Understanding the basics », [en ligne], s.d., disponible sur : </w:t>
      </w:r>
      <w:hyperlink r:id="rId35" w:tgtFrame="_blank" w:history="1">
        <w:r w:rsidRPr="00AD764A">
          <w:rPr>
            <w:rStyle w:val="Lienhypertexte"/>
            <w:rFonts w:asciiTheme="majorBidi" w:hAnsiTheme="majorBidi" w:cstheme="majorBidi"/>
          </w:rPr>
          <w:t>https://www.ams.usda.gov/services/organic-certification/organic-basics</w:t>
        </w:r>
      </w:hyperlink>
      <w:r w:rsidRPr="00AD764A">
        <w:rPr>
          <w:rFonts w:asciiTheme="majorBidi" w:hAnsiTheme="majorBidi" w:cstheme="majorBidi"/>
        </w:rPr>
        <w:t> (consulté le 30 avril 2026).</w:t>
      </w:r>
    </w:p>
  </w:footnote>
  <w:footnote w:id="8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USDA Agricultural Marketing Service, « USDA certified organic: Understanding the basics », [en ligne], s.d., disponible sur : </w:t>
      </w:r>
      <w:hyperlink r:id="rId36" w:tgtFrame="_blank" w:history="1">
        <w:r w:rsidRPr="00AD764A">
          <w:rPr>
            <w:rStyle w:val="Lienhypertexte"/>
            <w:rFonts w:asciiTheme="majorBidi" w:hAnsiTheme="majorBidi" w:cstheme="majorBidi"/>
          </w:rPr>
          <w:t>https://www.ams.usda.gov/services/organic-certification/organic-basics</w:t>
        </w:r>
      </w:hyperlink>
      <w:r w:rsidRPr="00AD764A">
        <w:rPr>
          <w:rFonts w:asciiTheme="majorBidi" w:hAnsiTheme="majorBidi" w:cstheme="majorBidi"/>
        </w:rPr>
        <w:t> (consulté le 30 avril 2026).</w:t>
      </w:r>
    </w:p>
  </w:footnote>
  <w:footnote w:id="9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European Commission, « Organic logo », [en ligne], s.d., disponible sur : </w:t>
      </w:r>
      <w:hyperlink r:id="rId37" w:tgtFrame="_blank" w:history="1">
        <w:r w:rsidRPr="00AD764A">
          <w:rPr>
            <w:rStyle w:val="Lienhypertexte"/>
            <w:rFonts w:asciiTheme="majorBidi" w:hAnsiTheme="majorBidi" w:cstheme="majorBidi"/>
          </w:rPr>
          <w:t>https://agriculture.ec.europa.eu/farming/organic-farming/organic-logo_en</w:t>
        </w:r>
      </w:hyperlink>
      <w:r w:rsidRPr="00AD764A">
        <w:rPr>
          <w:rFonts w:asciiTheme="majorBidi" w:hAnsiTheme="majorBidi" w:cstheme="majorBidi"/>
        </w:rPr>
        <w:t> (consulté le 30 avril 2026).</w:t>
      </w:r>
    </w:p>
  </w:footnote>
  <w:footnote w:id="91">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European Commission, « Organic logo », [en ligne], s.d., disponible sur : </w:t>
      </w:r>
      <w:hyperlink r:id="rId38" w:tgtFrame="_blank" w:history="1">
        <w:r w:rsidRPr="00AD764A">
          <w:rPr>
            <w:rStyle w:val="Lienhypertexte"/>
            <w:rFonts w:asciiTheme="majorBidi" w:hAnsiTheme="majorBidi" w:cstheme="majorBidi"/>
          </w:rPr>
          <w:t>https://agriculture.ec.europa.eu/farming/organic-farming/organic-logo_en</w:t>
        </w:r>
      </w:hyperlink>
      <w:r w:rsidRPr="00AD764A">
        <w:rPr>
          <w:rFonts w:asciiTheme="majorBidi" w:hAnsiTheme="majorBidi" w:cstheme="majorBidi"/>
        </w:rPr>
        <w:t> (consulté le 30 avril 2026).</w:t>
      </w:r>
    </w:p>
    <w:p w:rsidR="00B54D3C" w:rsidRPr="00AD764A" w:rsidRDefault="00B54D3C" w:rsidP="007A677E">
      <w:pPr>
        <w:pStyle w:val="Notedebasdepage"/>
        <w:rPr>
          <w:rFonts w:asciiTheme="majorBidi" w:hAnsiTheme="majorBidi" w:cstheme="majorBidi"/>
        </w:rPr>
      </w:pPr>
    </w:p>
  </w:footnote>
  <w:footnote w:id="92">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Ibid.</w:t>
      </w:r>
    </w:p>
    <w:p w:rsidR="00B54D3C" w:rsidRPr="00AD764A" w:rsidRDefault="00B54D3C" w:rsidP="007A677E">
      <w:pPr>
        <w:pStyle w:val="Notedebasdepage"/>
        <w:rPr>
          <w:rFonts w:asciiTheme="majorBidi" w:hAnsiTheme="majorBidi" w:cstheme="majorBidi"/>
        </w:rPr>
      </w:pPr>
    </w:p>
  </w:footnote>
  <w:footnote w:id="93">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color w:val="0F1115"/>
          <w:sz w:val="19"/>
          <w:szCs w:val="19"/>
          <w:shd w:val="clear" w:color="auto" w:fill="FFFFFF"/>
        </w:rPr>
        <w:t> </w:t>
      </w:r>
      <w:r w:rsidRPr="00AD764A">
        <w:rPr>
          <w:rStyle w:val="Accentuation"/>
          <w:rFonts w:asciiTheme="majorBidi" w:hAnsiTheme="majorBidi" w:cstheme="majorBidi"/>
          <w:color w:val="0F1115"/>
          <w:sz w:val="19"/>
          <w:szCs w:val="19"/>
          <w:shd w:val="clear" w:color="auto" w:fill="FFFFFF"/>
        </w:rPr>
        <w:t>Ibid.</w:t>
      </w:r>
    </w:p>
    <w:p w:rsidR="00B54D3C" w:rsidRPr="00AD764A" w:rsidRDefault="00B54D3C" w:rsidP="007A677E">
      <w:pPr>
        <w:pStyle w:val="Notedebasdepage"/>
        <w:rPr>
          <w:rFonts w:asciiTheme="majorBidi" w:hAnsiTheme="majorBidi" w:cstheme="majorBidi"/>
        </w:rPr>
      </w:pPr>
    </w:p>
  </w:footnote>
  <w:footnote w:id="94">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Agrocert, « AB ou Eurofeuille : Ce qui distingue vraiment le label Bio français du label européen », [en ligne], 30 avril 2025, disponible sur : </w:t>
      </w:r>
      <w:hyperlink r:id="rId39" w:tgtFrame="_blank" w:history="1">
        <w:r w:rsidRPr="00AD764A">
          <w:rPr>
            <w:rStyle w:val="Lienhypertexte"/>
            <w:rFonts w:asciiTheme="majorBidi" w:hAnsiTheme="majorBidi" w:cstheme="majorBidi"/>
          </w:rPr>
          <w:t>https://www.agrocert.fr/difference-label-agriculture-biologique-bio-europeen.html</w:t>
        </w:r>
      </w:hyperlink>
      <w:r w:rsidRPr="00AD764A">
        <w:rPr>
          <w:rFonts w:asciiTheme="majorBidi" w:hAnsiTheme="majorBidi" w:cstheme="majorBidi"/>
        </w:rPr>
        <w:t> (consulté le 30 avril 2026).</w:t>
      </w:r>
    </w:p>
  </w:footnote>
  <w:footnote w:id="95">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hyperlink r:id="rId40" w:tgtFrame="_blank" w:history="1">
        <w:r w:rsidRPr="00AD764A">
          <w:rPr>
            <w:rStyle w:val="Lienhypertexte"/>
            <w:rFonts w:asciiTheme="majorBidi" w:hAnsiTheme="majorBidi" w:cstheme="majorBidi"/>
            <w:b/>
            <w:bCs/>
            <w:lang w:val="en-US"/>
          </w:rPr>
          <w:t>ResearchAndMarkets.com</w:t>
        </w:r>
      </w:hyperlink>
      <w:r w:rsidRPr="00AD764A">
        <w:rPr>
          <w:rFonts w:asciiTheme="majorBidi" w:hAnsiTheme="majorBidi" w:cstheme="majorBidi"/>
          <w:lang w:val="en-US"/>
        </w:rPr>
        <w:t xml:space="preserve">, *Organic food market report 2025-2034: Global industry growth, competitive landscape, opportunities, and challenges* [en ligne]. </w:t>
      </w:r>
      <w:r w:rsidRPr="00AD764A">
        <w:rPr>
          <w:rFonts w:asciiTheme="majorBidi" w:hAnsiTheme="majorBidi" w:cstheme="majorBidi"/>
        </w:rPr>
        <w:t>(2025, 13 juin), Disponible sur : </w:t>
      </w:r>
      <w:hyperlink r:id="rId41" w:tgtFrame="_blank" w:history="1">
        <w:r w:rsidRPr="00AD764A">
          <w:rPr>
            <w:rStyle w:val="Lienhypertexte"/>
            <w:rFonts w:asciiTheme="majorBidi" w:hAnsiTheme="majorBidi" w:cstheme="majorBidi"/>
          </w:rPr>
          <w:t>https://uk.finance.yahoo.com/news/organic-food-market-report-2025-100800326.html</w:t>
        </w:r>
      </w:hyperlink>
      <w:r w:rsidRPr="00AD764A">
        <w:rPr>
          <w:rFonts w:asciiTheme="majorBidi" w:hAnsiTheme="majorBidi" w:cstheme="majorBidi"/>
        </w:rPr>
        <w:t> (Consulté le 30 avril 2026).</w:t>
      </w:r>
    </w:p>
  </w:footnote>
  <w:footnote w:id="96">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b/>
          <w:bCs/>
          <w:lang w:val="en-US"/>
        </w:rPr>
        <w:t>Fortune Business Insights</w:t>
      </w:r>
      <w:r w:rsidRPr="00AD764A">
        <w:rPr>
          <w:rFonts w:asciiTheme="majorBidi" w:hAnsiTheme="majorBidi" w:cstheme="majorBidi"/>
          <w:lang w:val="en-US"/>
        </w:rPr>
        <w:t xml:space="preserve">, Organic food market size, share, growth &amp; forecast, 2034 [en ligne]. </w:t>
      </w:r>
      <w:r w:rsidRPr="00AD764A">
        <w:rPr>
          <w:rFonts w:asciiTheme="majorBidi" w:hAnsiTheme="majorBidi" w:cstheme="majorBidi"/>
        </w:rPr>
        <w:t>(2026, 13 avril), Disponible sur : </w:t>
      </w:r>
      <w:hyperlink r:id="rId42" w:tgtFrame="_blank" w:history="1">
        <w:r w:rsidRPr="00AD764A">
          <w:rPr>
            <w:rStyle w:val="Lienhypertexte"/>
            <w:rFonts w:asciiTheme="majorBidi" w:hAnsiTheme="majorBidi" w:cstheme="majorBidi"/>
          </w:rPr>
          <w:t>https://www.fortunebusinessinsights.com/zh/industry-reports/organic-foods-market-101470</w:t>
        </w:r>
      </w:hyperlink>
      <w:r w:rsidRPr="00AD764A">
        <w:rPr>
          <w:rFonts w:asciiTheme="majorBidi" w:hAnsiTheme="majorBidi" w:cstheme="majorBidi"/>
        </w:rPr>
        <w:t> (Consulté le 01 mai 2026).</w:t>
      </w:r>
    </w:p>
  </w:footnote>
  <w:footnote w:id="97">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xml:space="preserve"> Organic Grower Magazine, U.S. organic sales hit $76.6B in 2025 – OTA report [en ligne], (5 mars 2026), Disponible sur : </w:t>
      </w:r>
      <w:hyperlink r:id="rId43" w:tgtFrame="_blank" w:history="1">
        <w:r w:rsidRPr="00AD764A">
          <w:rPr>
            <w:rStyle w:val="Lienhypertexte"/>
            <w:rFonts w:asciiTheme="majorBidi" w:hAnsiTheme="majorBidi" w:cstheme="majorBidi"/>
          </w:rPr>
          <w:t>https://organicgrower.info/news/us-organic-sales-2025-ota-report/</w:t>
        </w:r>
      </w:hyperlink>
      <w:r w:rsidRPr="00AD764A">
        <w:rPr>
          <w:rFonts w:asciiTheme="majorBidi" w:hAnsiTheme="majorBidi" w:cstheme="majorBidi"/>
        </w:rPr>
        <w:t> (consulté le 21 mai 2026).</w:t>
      </w:r>
    </w:p>
  </w:footnote>
  <w:footnote w:id="98">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Deep Market Insights, *Asia Pacific Organic Foods Market Size &amp; Outlook, 2026-2034* [en ligne], (25 mars 2026), Disponible sur : </w:t>
      </w:r>
      <w:hyperlink r:id="rId44" w:tgtFrame="_blank" w:history="1">
        <w:r w:rsidRPr="00AD764A">
          <w:rPr>
            <w:rStyle w:val="Lienhypertexte"/>
            <w:rFonts w:asciiTheme="majorBidi" w:hAnsiTheme="majorBidi" w:cstheme="majorBidi"/>
          </w:rPr>
          <w:t>https://deepmarketinsights.com/vista/insights/organic-foods-market/asia-pacific</w:t>
        </w:r>
      </w:hyperlink>
      <w:r w:rsidRPr="00AD764A">
        <w:rPr>
          <w:rFonts w:asciiTheme="majorBidi" w:hAnsiTheme="majorBidi" w:cstheme="majorBidi"/>
        </w:rPr>
        <w:t> (consulté le 21 mai 2026).</w:t>
      </w:r>
    </w:p>
  </w:footnote>
  <w:footnote w:id="9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lang w:val="en-US"/>
        </w:rPr>
        <w:t>Fortune Business Insights</w:t>
      </w:r>
      <w:r w:rsidRPr="00AD764A">
        <w:rPr>
          <w:rFonts w:asciiTheme="majorBidi" w:hAnsiTheme="majorBidi" w:cstheme="majorBidi"/>
          <w:lang w:val="en-US"/>
        </w:rPr>
        <w:t xml:space="preserve">, Organic food market size, share, growth &amp; forecast, 2034 [en ligne]. </w:t>
      </w:r>
      <w:r w:rsidRPr="00AD764A">
        <w:rPr>
          <w:rFonts w:asciiTheme="majorBidi" w:hAnsiTheme="majorBidi" w:cstheme="majorBidi"/>
        </w:rPr>
        <w:t>(2026, 13 avril), Disponible sur : </w:t>
      </w:r>
      <w:hyperlink r:id="rId45" w:tgtFrame="_blank" w:history="1">
        <w:r w:rsidRPr="00AD764A">
          <w:rPr>
            <w:rStyle w:val="Lienhypertexte"/>
            <w:rFonts w:asciiTheme="majorBidi" w:hAnsiTheme="majorBidi" w:cstheme="majorBidi"/>
          </w:rPr>
          <w:t>https://www.fortunebusinessinsights.com/zh/industry-reports/organic-foods-market-101470</w:t>
        </w:r>
      </w:hyperlink>
      <w:r w:rsidRPr="00AD764A">
        <w:rPr>
          <w:rFonts w:asciiTheme="majorBidi" w:hAnsiTheme="majorBidi" w:cstheme="majorBidi"/>
        </w:rPr>
        <w:t> (Consulté le 01 mai 2026).</w:t>
      </w:r>
    </w:p>
  </w:footnote>
  <w:footnote w:id="100">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b/>
          <w:bCs/>
          <w:lang w:val="en-US"/>
        </w:rPr>
        <w:t>Aydın Eryılmaz G.,</w:t>
      </w:r>
      <w:r w:rsidRPr="00AD764A">
        <w:rPr>
          <w:rFonts w:asciiTheme="majorBidi" w:hAnsiTheme="majorBidi" w:cstheme="majorBidi"/>
          <w:lang w:val="en-US"/>
        </w:rPr>
        <w:t xml:space="preserve"> « How Consumers' Motivations Influence Preferences for Organic Agricultural Products in Türkiye ? », Sustainability, Volume 17, Numéro 23, 2025, p. 4.</w:t>
      </w:r>
    </w:p>
  </w:footnote>
  <w:footnote w:id="101">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 xml:space="preserve"> </w:t>
      </w:r>
      <w:r w:rsidRPr="00AD764A">
        <w:rPr>
          <w:rFonts w:asciiTheme="majorBidi" w:hAnsiTheme="majorBidi" w:cstheme="majorBidi"/>
          <w:color w:val="0F1115"/>
          <w:shd w:val="clear" w:color="auto" w:fill="FFFFFF"/>
          <w:lang w:val="en-US"/>
        </w:rPr>
        <w:t>AYDIN ERYILMAZ (G.), </w:t>
      </w:r>
      <w:r w:rsidRPr="00AD764A">
        <w:rPr>
          <w:rStyle w:val="Accentuation"/>
          <w:rFonts w:asciiTheme="majorBidi" w:hAnsiTheme="majorBidi" w:cstheme="majorBidi"/>
          <w:color w:val="0F1115"/>
          <w:shd w:val="clear" w:color="auto" w:fill="FFFFFF"/>
          <w:lang w:val="en-US"/>
        </w:rPr>
        <w:t>op. cit.</w:t>
      </w:r>
      <w:r w:rsidRPr="00AD764A">
        <w:rPr>
          <w:rFonts w:asciiTheme="majorBidi" w:hAnsiTheme="majorBidi" w:cstheme="majorBidi"/>
          <w:color w:val="0F1115"/>
          <w:shd w:val="clear" w:color="auto" w:fill="FFFFFF"/>
          <w:lang w:val="en-US"/>
        </w:rPr>
        <w:t>, p. 4.</w:t>
      </w:r>
    </w:p>
  </w:footnote>
  <w:footnote w:id="102">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color w:val="0F1115"/>
          <w:shd w:val="clear" w:color="auto" w:fill="FFFFFF"/>
          <w:lang w:val="en-US"/>
        </w:rPr>
        <w:t>AYDIN ERYILMAZ (G.), </w:t>
      </w:r>
      <w:r w:rsidRPr="00AD764A">
        <w:rPr>
          <w:rStyle w:val="Accentuation"/>
          <w:rFonts w:asciiTheme="majorBidi" w:hAnsiTheme="majorBidi" w:cstheme="majorBidi"/>
          <w:color w:val="0F1115"/>
          <w:shd w:val="clear" w:color="auto" w:fill="FFFFFF"/>
          <w:lang w:val="en-US"/>
        </w:rPr>
        <w:t>op. cit.</w:t>
      </w:r>
      <w:r w:rsidRPr="00AD764A">
        <w:rPr>
          <w:rFonts w:asciiTheme="majorBidi" w:hAnsiTheme="majorBidi" w:cstheme="majorBidi"/>
          <w:color w:val="0F1115"/>
          <w:shd w:val="clear" w:color="auto" w:fill="FFFFFF"/>
          <w:lang w:val="en-US"/>
        </w:rPr>
        <w:t>, p. 5.</w:t>
      </w:r>
    </w:p>
  </w:footnote>
  <w:footnote w:id="103">
    <w:p w:rsidR="00B54D3C" w:rsidRPr="00AD764A" w:rsidRDefault="00B54D3C" w:rsidP="007A677E">
      <w:pPr>
        <w:pStyle w:val="Notedebasdepage"/>
        <w:rPr>
          <w:rFonts w:asciiTheme="majorBidi" w:hAnsiTheme="majorBidi" w:cstheme="majorBidi"/>
          <w:lang w:val="en-US"/>
        </w:rPr>
      </w:pPr>
      <w:r w:rsidRPr="00AD764A">
        <w:rPr>
          <w:rStyle w:val="Appelnotedebasdep"/>
          <w:rFonts w:asciiTheme="majorBidi" w:hAnsiTheme="majorBidi" w:cstheme="majorBidi"/>
        </w:rPr>
        <w:footnoteRef/>
      </w:r>
      <w:r w:rsidRPr="00AD764A">
        <w:rPr>
          <w:rFonts w:asciiTheme="majorBidi" w:hAnsiTheme="majorBidi" w:cstheme="majorBidi"/>
          <w:lang w:val="en-US"/>
        </w:rPr>
        <w:t>Aydın Eryılmaz G., « How Consumers' Motivations Influence Preferences for Organic Agricultural Products in Türkiye ? », Sustainability, Volume 17, Numéro 23, 2025, p. 4.</w:t>
      </w:r>
    </w:p>
  </w:footnote>
  <w:footnote w:id="104">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b/>
          <w:bCs/>
        </w:rPr>
        <w:t>Aïchoune Sabrina, Chélik Abdeljalil et Mohsen Zoubeida</w:t>
      </w:r>
      <w:r w:rsidRPr="00AD764A">
        <w:rPr>
          <w:rFonts w:asciiTheme="majorBidi" w:hAnsiTheme="majorBidi" w:cstheme="majorBidi"/>
        </w:rPr>
        <w:t>, « L'agriculture biologique comme outil pour une agriculture durable en Algérie », 7ème Colloque International : Économies de la production agricole dans lecontexte des spécificités des zones agricoles en Algérie et dans les pays arabes, Université Chahid Hama Lakhder, El Oued, Algérie, 2019, p. 647.</w:t>
      </w:r>
    </w:p>
  </w:footnote>
  <w:footnote w:id="105">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Béatrice de Reynal et Céleste Paris, Tendances des marchés alimentaires en Algérie 2025 [en ligne]. (2026, 8 janvier), Disponible sur : </w:t>
      </w:r>
      <w:hyperlink r:id="rId46" w:tgtFrame="_blank" w:history="1">
        <w:r w:rsidRPr="00AD764A">
          <w:rPr>
            <w:rStyle w:val="Lienhypertexte"/>
            <w:rFonts w:asciiTheme="majorBidi" w:hAnsiTheme="majorBidi" w:cstheme="majorBidi"/>
          </w:rPr>
          <w:t>https://www.djazagro.com/fr-FR/actualites-tendances/actualites/tendances-des-marches-alimentaires-en-algerie-2025</w:t>
        </w:r>
      </w:hyperlink>
      <w:r w:rsidRPr="00AD764A">
        <w:rPr>
          <w:rFonts w:asciiTheme="majorBidi" w:hAnsiTheme="majorBidi" w:cstheme="majorBidi"/>
        </w:rPr>
        <w:t> (Consulté le 30 avril 2026).</w:t>
      </w:r>
    </w:p>
  </w:footnote>
  <w:footnote w:id="106">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w:t>
      </w:r>
      <w:r w:rsidRPr="00AD764A">
        <w:rPr>
          <w:rStyle w:val="Accentuation"/>
          <w:rFonts w:asciiTheme="majorBidi" w:hAnsiTheme="majorBidi" w:cstheme="majorBidi"/>
          <w:color w:val="0F1115"/>
          <w:shd w:val="clear" w:color="auto" w:fill="FFFFFF"/>
        </w:rPr>
        <w:t>Ibid</w:t>
      </w:r>
      <w:r w:rsidRPr="00AD764A">
        <w:rPr>
          <w:rFonts w:asciiTheme="majorBidi" w:hAnsiTheme="majorBidi" w:cstheme="majorBidi"/>
        </w:rPr>
        <w:t>.</w:t>
      </w:r>
    </w:p>
  </w:footnote>
  <w:footnote w:id="107">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rPr>
        <w:t> </w:t>
      </w:r>
      <w:r w:rsidRPr="00AD764A">
        <w:rPr>
          <w:rFonts w:asciiTheme="majorBidi" w:hAnsiTheme="majorBidi" w:cstheme="majorBidi"/>
          <w:b/>
          <w:bCs/>
          <w:color w:val="0F1115"/>
          <w:shd w:val="clear" w:color="auto" w:fill="FFFFFF"/>
        </w:rPr>
        <w:t>BÉATRICE de Reynal et CÉLESTE Paris</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op. cit.</w:t>
      </w:r>
      <w:r w:rsidRPr="00AD764A">
        <w:rPr>
          <w:rFonts w:asciiTheme="majorBidi" w:hAnsiTheme="majorBidi" w:cstheme="majorBidi"/>
        </w:rPr>
        <w:t>.</w:t>
      </w:r>
    </w:p>
  </w:footnote>
  <w:footnote w:id="108">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rPr>
        <w:t>Hadjou, L., Cheriet, F. &amp; Djenane, A.</w:t>
      </w:r>
      <w:r w:rsidRPr="00AD764A">
        <w:rPr>
          <w:rFonts w:asciiTheme="majorBidi" w:hAnsiTheme="majorBidi" w:cstheme="majorBidi"/>
        </w:rPr>
        <w:t> (2013), "Agriculture biologique en Algérie : potentiel et perspectives de développement", </w:t>
      </w:r>
      <w:r w:rsidRPr="00AD764A">
        <w:rPr>
          <w:rFonts w:asciiTheme="majorBidi" w:hAnsiTheme="majorBidi" w:cstheme="majorBidi"/>
          <w:i/>
          <w:iCs/>
        </w:rPr>
        <w:t>Les cahiers du CREAD</w:t>
      </w:r>
      <w:r w:rsidRPr="00AD764A">
        <w:rPr>
          <w:rFonts w:asciiTheme="majorBidi" w:hAnsiTheme="majorBidi" w:cstheme="majorBidi"/>
        </w:rPr>
        <w:t>, n° 105/106, pp. 113-132.</w:t>
      </w:r>
    </w:p>
  </w:footnote>
  <w:footnote w:id="10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rPr>
        <w:t>DERRAR A. et BENBOUZIANE M.</w:t>
      </w:r>
      <w:r w:rsidRPr="00AD764A">
        <w:rPr>
          <w:rFonts w:asciiTheme="majorBidi" w:hAnsiTheme="majorBidi" w:cstheme="majorBidi"/>
        </w:rPr>
        <w:t>, « L'influence du marketing social sur les comportements de consommation des produits bio en Algérie : Étude de cas de la wilaya de Tlemcen », Revue MECAS, Vol. 21, n° 01, Université de Tlemcen, juin 2025, p.3</w:t>
      </w:r>
      <w:r w:rsidRPr="00AD764A">
        <w:rPr>
          <w:rFonts w:asciiTheme="majorBidi" w:hAnsiTheme="majorBidi" w:cstheme="majorBidi"/>
          <w:rtl/>
        </w:rPr>
        <w:t>87</w:t>
      </w:r>
      <w:r w:rsidRPr="00AD764A">
        <w:rPr>
          <w:rFonts w:asciiTheme="majorBidi" w:hAnsiTheme="majorBidi" w:cstheme="majorBidi"/>
        </w:rPr>
        <w:t>.</w:t>
      </w:r>
    </w:p>
    <w:p w:rsidR="00B54D3C" w:rsidRPr="00AD764A" w:rsidRDefault="00B54D3C" w:rsidP="007A677E">
      <w:pPr>
        <w:pStyle w:val="Notedebasdepage"/>
        <w:rPr>
          <w:rFonts w:asciiTheme="majorBidi" w:hAnsiTheme="majorBidi" w:cstheme="majorBidi"/>
        </w:rPr>
      </w:pPr>
    </w:p>
  </w:footnote>
  <w:footnote w:id="110">
    <w:p w:rsidR="00B54D3C" w:rsidRPr="00AD764A" w:rsidRDefault="00B54D3C" w:rsidP="007A677E">
      <w:pPr>
        <w:pStyle w:val="Notedebasdepage"/>
        <w:rPr>
          <w:rFonts w:asciiTheme="majorBidi" w:hAnsiTheme="majorBidi" w:cstheme="majorBidi"/>
          <w:lang w:bidi="ar-DZ"/>
        </w:rPr>
      </w:pPr>
      <w:r w:rsidRPr="00AD764A">
        <w:rPr>
          <w:rStyle w:val="Appelnotedebasdep"/>
          <w:rFonts w:asciiTheme="majorBidi" w:hAnsiTheme="majorBidi" w:cstheme="majorBidi"/>
        </w:rPr>
        <w:footnoteRef/>
      </w:r>
      <w:r w:rsidRPr="00AD764A">
        <w:rPr>
          <w:rFonts w:asciiTheme="majorBidi" w:hAnsiTheme="majorBidi" w:cstheme="majorBidi"/>
        </w:rPr>
        <w:t>DERRAR A. et BENBOUZIANE M., « L'influence du marketing social sur les comportements de consommation des produits bio en Algérie : Étude de cas de la wilaya de Tlemcen », </w:t>
      </w:r>
      <w:r w:rsidRPr="00AD764A">
        <w:rPr>
          <w:rFonts w:asciiTheme="majorBidi" w:hAnsiTheme="majorBidi" w:cstheme="majorBidi"/>
          <w:i/>
          <w:iCs/>
        </w:rPr>
        <w:t>Revue MECAS</w:t>
      </w:r>
      <w:r w:rsidRPr="00AD764A">
        <w:rPr>
          <w:rFonts w:asciiTheme="majorBidi" w:hAnsiTheme="majorBidi" w:cstheme="majorBidi"/>
        </w:rPr>
        <w:t>, Vol. 21, n° 01, Université de Tlemcen, juin 2025,pp.385-3</w:t>
      </w:r>
      <w:r w:rsidRPr="00AD764A">
        <w:rPr>
          <w:rFonts w:asciiTheme="majorBidi" w:hAnsiTheme="majorBidi" w:cstheme="majorBidi"/>
          <w:rtl/>
        </w:rPr>
        <w:t>8</w:t>
      </w:r>
      <w:r w:rsidRPr="00AD764A">
        <w:rPr>
          <w:rFonts w:asciiTheme="majorBidi" w:hAnsiTheme="majorBidi" w:cstheme="majorBidi"/>
        </w:rPr>
        <w:t>6.</w:t>
      </w:r>
    </w:p>
  </w:footnote>
  <w:footnote w:id="111">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Style w:val="Accentuation"/>
          <w:rFonts w:asciiTheme="majorBidi" w:hAnsiTheme="majorBidi" w:cstheme="majorBidi"/>
          <w:color w:val="0F1115"/>
          <w:shd w:val="clear" w:color="auto" w:fill="FFFFFF"/>
        </w:rPr>
        <w:t>Ibid.</w:t>
      </w:r>
      <w:r w:rsidRPr="00AD764A">
        <w:rPr>
          <w:rFonts w:asciiTheme="majorBidi" w:hAnsiTheme="majorBidi" w:cstheme="majorBidi"/>
          <w:color w:val="0F1115"/>
          <w:shd w:val="clear" w:color="auto" w:fill="FFFFFF"/>
        </w:rPr>
        <w:t>, p. 386.</w:t>
      </w:r>
    </w:p>
  </w:footnote>
  <w:footnote w:id="112">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Style w:val="Accentuation"/>
          <w:rFonts w:asciiTheme="majorBidi" w:hAnsiTheme="majorBidi" w:cstheme="majorBidi"/>
          <w:color w:val="0F1115"/>
          <w:shd w:val="clear" w:color="auto" w:fill="FFFFFF"/>
        </w:rPr>
        <w:t>Ibid.</w:t>
      </w:r>
      <w:r w:rsidRPr="00AD764A">
        <w:rPr>
          <w:rFonts w:asciiTheme="majorBidi" w:hAnsiTheme="majorBidi" w:cstheme="majorBidi"/>
          <w:color w:val="0F1115"/>
          <w:shd w:val="clear" w:color="auto" w:fill="FFFFFF"/>
        </w:rPr>
        <w:t>, p. 386.</w:t>
      </w:r>
    </w:p>
    <w:p w:rsidR="00B54D3C" w:rsidRPr="00AD764A" w:rsidRDefault="00B54D3C" w:rsidP="007A677E">
      <w:pPr>
        <w:pStyle w:val="Notedebasdepage"/>
        <w:rPr>
          <w:rFonts w:asciiTheme="majorBidi" w:hAnsiTheme="majorBidi" w:cstheme="majorBidi"/>
          <w:rtl/>
          <w:lang w:bidi="ar-DZ"/>
        </w:rPr>
      </w:pPr>
    </w:p>
  </w:footnote>
  <w:footnote w:id="113">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rPr>
        <w:t xml:space="preserve"> TOUAM Z., « Les défis de l'agriculture biologique en Algérie – une étude comparative avec l'Égypte », Revue Économie de l'Argent et des Affaires, Vol. 06, N° 01, Université Chahid Hama Lakhder – El Oued, juin 2021, p. </w:t>
      </w:r>
      <w:r w:rsidRPr="00AD764A">
        <w:rPr>
          <w:rFonts w:asciiTheme="majorBidi" w:hAnsiTheme="majorBidi" w:cstheme="majorBidi"/>
          <w:rtl/>
        </w:rPr>
        <w:t>302</w:t>
      </w:r>
      <w:r w:rsidRPr="00AD764A">
        <w:rPr>
          <w:rFonts w:asciiTheme="majorBidi" w:hAnsiTheme="majorBidi" w:cstheme="majorBidi"/>
        </w:rPr>
        <w:t>.</w:t>
      </w:r>
    </w:p>
  </w:footnote>
  <w:footnote w:id="114">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rPr>
        <w:t>Organisation des Nations Unies</w:t>
      </w:r>
      <w:r w:rsidRPr="00AD764A">
        <w:rPr>
          <w:rFonts w:asciiTheme="majorBidi" w:hAnsiTheme="majorBidi" w:cstheme="majorBidi"/>
          <w:color w:val="0F1115"/>
          <w:shd w:val="clear" w:color="auto" w:fill="FFFFFF"/>
        </w:rPr>
        <w:t>,  Rapport de la Conférence mondiale de l'alimentation, Rome, 5-16 novembre 1974, Nations Unies, New York, 1975.</w:t>
      </w:r>
    </w:p>
  </w:footnote>
  <w:footnote w:id="11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b/>
          <w:bCs/>
          <w:sz w:val="20"/>
          <w:szCs w:val="20"/>
        </w:rPr>
        <w:t>Food and Agriculture Organization</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Introduction à l’analyse des risques dans le domaine de la sécurité sanitaire des aliments</w:t>
      </w:r>
      <w:r w:rsidRPr="00AD764A">
        <w:rPr>
          <w:rFonts w:asciiTheme="majorBidi" w:hAnsiTheme="majorBidi" w:cstheme="majorBidi"/>
          <w:sz w:val="20"/>
          <w:szCs w:val="20"/>
        </w:rPr>
        <w:t xml:space="preserve">[en ligne]. (s.d.). Disponible sur : </w:t>
      </w:r>
      <w:hyperlink r:id="rId47" w:tgtFrame="_new" w:history="1">
        <w:r w:rsidRPr="00AD764A">
          <w:rPr>
            <w:rStyle w:val="Lienhypertexte"/>
            <w:rFonts w:asciiTheme="majorBidi" w:hAnsiTheme="majorBidi" w:cstheme="majorBidi"/>
            <w:sz w:val="20"/>
            <w:szCs w:val="20"/>
          </w:rPr>
          <w:t>https://www.fao.org/4/AB788F/ab788f07.htm</w:t>
        </w:r>
      </w:hyperlink>
      <w:r w:rsidRPr="00AD764A">
        <w:rPr>
          <w:rFonts w:asciiTheme="majorBidi" w:hAnsiTheme="majorBidi" w:cstheme="majorBidi"/>
          <w:sz w:val="20"/>
          <w:szCs w:val="20"/>
        </w:rPr>
        <w:t xml:space="preserve"> (Consulté le 16/03/2026).</w:t>
      </w:r>
    </w:p>
  </w:footnote>
  <w:footnote w:id="116">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shd w:val="clear" w:color="auto" w:fill="FFFFFF"/>
          <w:lang w:val="en-GB"/>
        </w:rPr>
        <w:t>SIAMWALLA A., VALDÉS A., « Food insecurity in developing countries »,</w:t>
      </w:r>
      <w:r w:rsidRPr="00AD764A">
        <w:rPr>
          <w:rFonts w:asciiTheme="majorBidi" w:hAnsiTheme="majorBidi" w:cstheme="majorBidi"/>
          <w:color w:val="0F1115"/>
          <w:sz w:val="20"/>
          <w:szCs w:val="20"/>
          <w:shd w:val="clear" w:color="auto" w:fill="FFFFFF"/>
          <w:lang w:val="en-GB"/>
        </w:rPr>
        <w:t> </w:t>
      </w:r>
      <w:r w:rsidRPr="00AD764A">
        <w:rPr>
          <w:rStyle w:val="Accentuation"/>
          <w:rFonts w:asciiTheme="majorBidi" w:hAnsiTheme="majorBidi" w:cstheme="majorBidi"/>
          <w:color w:val="0F1115"/>
          <w:sz w:val="20"/>
          <w:szCs w:val="20"/>
          <w:shd w:val="clear" w:color="auto" w:fill="FFFFFF"/>
          <w:lang w:val="en-GB"/>
        </w:rPr>
        <w:t>Food Policy</w:t>
      </w:r>
      <w:r w:rsidRPr="00AD764A">
        <w:rPr>
          <w:rFonts w:asciiTheme="majorBidi" w:hAnsiTheme="majorBidi" w:cstheme="majorBidi"/>
          <w:color w:val="0F1115"/>
          <w:sz w:val="20"/>
          <w:szCs w:val="20"/>
          <w:shd w:val="clear" w:color="auto" w:fill="FFFFFF"/>
          <w:lang w:val="en-GB"/>
        </w:rPr>
        <w:t>, vol. 5, n° 4, Elsevier, lieu non précisé, 1980, p. 258-272.</w:t>
      </w:r>
    </w:p>
  </w:footnote>
  <w:footnote w:id="11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b/>
          <w:bCs/>
          <w:sz w:val="20"/>
          <w:szCs w:val="20"/>
        </w:rPr>
        <w:t>Food and Agriculture Organization</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Introduction à l’analyse des risques dans le domaine de la sécurité sanitaire des aliments</w:t>
      </w:r>
      <w:r w:rsidRPr="00AD764A">
        <w:rPr>
          <w:rFonts w:asciiTheme="majorBidi" w:hAnsiTheme="majorBidi" w:cstheme="majorBidi"/>
          <w:sz w:val="20"/>
          <w:szCs w:val="20"/>
        </w:rPr>
        <w:t xml:space="preserve">[en ligne]. (s.d.). Disponible sur : </w:t>
      </w:r>
      <w:hyperlink r:id="rId48" w:tgtFrame="_new" w:history="1">
        <w:r w:rsidRPr="00AD764A">
          <w:rPr>
            <w:rStyle w:val="Lienhypertexte"/>
            <w:rFonts w:asciiTheme="majorBidi" w:hAnsiTheme="majorBidi" w:cstheme="majorBidi"/>
            <w:sz w:val="20"/>
            <w:szCs w:val="20"/>
          </w:rPr>
          <w:t>https://www.fao.org/4/AB788F/ab788f07.htm</w:t>
        </w:r>
      </w:hyperlink>
      <w:r w:rsidRPr="00AD764A">
        <w:rPr>
          <w:rFonts w:asciiTheme="majorBidi" w:hAnsiTheme="majorBidi" w:cstheme="majorBidi"/>
          <w:sz w:val="20"/>
          <w:szCs w:val="20"/>
        </w:rPr>
        <w:t xml:space="preserve"> (Consulté le 16/03/2026).</w:t>
      </w:r>
    </w:p>
  </w:footnote>
  <w:footnote w:id="118">
    <w:p w:rsidR="00B54D3C" w:rsidRPr="00AD764A" w:rsidRDefault="00B54D3C" w:rsidP="007A677E">
      <w:pPr>
        <w:spacing w:after="0"/>
        <w:rPr>
          <w:rFonts w:asciiTheme="majorBidi" w:hAnsiTheme="majorBidi" w:cstheme="majorBidi"/>
          <w:sz w:val="20"/>
          <w:szCs w:val="20"/>
          <w:rtl/>
          <w:lang w:bidi="ar-DZ"/>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 xml:space="preserve">Legal Doctrine Algérie, </w:t>
      </w:r>
      <w:r w:rsidRPr="00AD764A">
        <w:rPr>
          <w:rStyle w:val="Accentuation"/>
          <w:rFonts w:asciiTheme="majorBidi" w:hAnsiTheme="majorBidi" w:cstheme="majorBidi"/>
          <w:sz w:val="20"/>
          <w:szCs w:val="20"/>
        </w:rPr>
        <w:t>La sécurité alimentaire en Algérie</w:t>
      </w:r>
      <w:r w:rsidRPr="00AD764A">
        <w:rPr>
          <w:rStyle w:val="lev"/>
          <w:rFonts w:asciiTheme="majorBidi" w:hAnsiTheme="majorBidi" w:cstheme="majorBidi"/>
          <w:sz w:val="20"/>
          <w:szCs w:val="20"/>
        </w:rPr>
        <w:t xml:space="preserve"> [en ligne]. (s.d.). Disponible sur : </w:t>
      </w:r>
      <w:hyperlink r:id="rId49" w:tgtFrame="_new" w:history="1">
        <w:r w:rsidRPr="00AD764A">
          <w:rPr>
            <w:rStyle w:val="Lienhypertexte"/>
            <w:rFonts w:asciiTheme="majorBidi" w:hAnsiTheme="majorBidi" w:cstheme="majorBidi"/>
            <w:sz w:val="20"/>
            <w:szCs w:val="20"/>
          </w:rPr>
          <w:t>https://legal-doctrine.com/edition/La-sécurité-alimentaire-en-Algérie</w:t>
        </w:r>
      </w:hyperlink>
      <w:r w:rsidRPr="00AD764A">
        <w:rPr>
          <w:rStyle w:val="lev"/>
          <w:rFonts w:asciiTheme="majorBidi" w:hAnsiTheme="majorBidi" w:cstheme="majorBidi"/>
          <w:sz w:val="20"/>
          <w:szCs w:val="20"/>
        </w:rPr>
        <w:t xml:space="preserve"> (Consulté le 16/03/2026).</w:t>
      </w:r>
    </w:p>
  </w:footnote>
  <w:footnote w:id="119">
    <w:p w:rsidR="00B54D3C" w:rsidRPr="00AD764A" w:rsidRDefault="00B54D3C" w:rsidP="007A677E">
      <w:pPr>
        <w:pStyle w:val="ds-markdown-paragraph"/>
        <w:shd w:val="clear" w:color="auto" w:fill="FFFFFF"/>
        <w:spacing w:before="200" w:beforeAutospacing="0" w:after="0" w:afterAutospacing="0"/>
        <w:rPr>
          <w:rFonts w:asciiTheme="majorBidi" w:hAnsiTheme="majorBidi" w:cstheme="majorBidi"/>
          <w:color w:val="0F1115"/>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rPr>
        <w:t>Organisation des Nations Unies pour l'alimentation et l'agriculture (FAO)</w:t>
      </w:r>
      <w:r w:rsidRPr="00AD764A">
        <w:rPr>
          <w:rFonts w:asciiTheme="majorBidi" w:hAnsiTheme="majorBidi" w:cstheme="majorBidi"/>
          <w:color w:val="0F1115"/>
          <w:sz w:val="20"/>
          <w:szCs w:val="20"/>
        </w:rPr>
        <w:t>, </w:t>
      </w:r>
      <w:r w:rsidRPr="00AD764A">
        <w:rPr>
          <w:rStyle w:val="Accentuation"/>
          <w:rFonts w:asciiTheme="majorBidi" w:hAnsiTheme="majorBidi" w:cstheme="majorBidi"/>
          <w:color w:val="0F1115"/>
          <w:sz w:val="20"/>
          <w:szCs w:val="20"/>
        </w:rPr>
        <w:t>Déclaration de Rome sur la sécurité alimentaire mondiale et Sommet mondial de l'alimentation (1996)</w:t>
      </w:r>
      <w:r w:rsidRPr="00AD764A">
        <w:rPr>
          <w:rFonts w:asciiTheme="majorBidi" w:hAnsiTheme="majorBidi" w:cstheme="majorBidi"/>
          <w:color w:val="0F1115"/>
          <w:sz w:val="20"/>
          <w:szCs w:val="20"/>
        </w:rPr>
        <w:t>, FAO, Rome, 1996.</w:t>
      </w:r>
    </w:p>
  </w:footnote>
  <w:footnote w:id="120">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 xml:space="preserve">Nelinkia, </w:t>
      </w:r>
      <w:r w:rsidRPr="00AD764A">
        <w:rPr>
          <w:rStyle w:val="Accentuation"/>
          <w:rFonts w:asciiTheme="majorBidi" w:hAnsiTheme="majorBidi" w:cstheme="majorBidi"/>
          <w:sz w:val="20"/>
          <w:szCs w:val="20"/>
        </w:rPr>
        <w:t>Sécurité alimentaire et sécurité sanitaire : définition et organisations directrices</w:t>
      </w:r>
      <w:r w:rsidRPr="00AD764A">
        <w:rPr>
          <w:rStyle w:val="lev"/>
          <w:rFonts w:asciiTheme="majorBidi" w:hAnsiTheme="majorBidi" w:cstheme="majorBidi"/>
          <w:sz w:val="20"/>
          <w:szCs w:val="20"/>
        </w:rPr>
        <w:t xml:space="preserve"> [en ligne]. (s.d.). Disponible sur : </w:t>
      </w:r>
      <w:hyperlink r:id="rId50" w:tgtFrame="_new" w:history="1">
        <w:r w:rsidRPr="00AD764A">
          <w:rPr>
            <w:rStyle w:val="Lienhypertexte"/>
            <w:rFonts w:asciiTheme="majorBidi" w:hAnsiTheme="majorBidi" w:cstheme="majorBidi"/>
            <w:sz w:val="20"/>
            <w:szCs w:val="20"/>
          </w:rPr>
          <w:t>https://www.nelinkia.com/blog/normes/securite-alimentaire-et-securite-sanitaire.html</w:t>
        </w:r>
      </w:hyperlink>
      <w:r w:rsidRPr="00AD764A">
        <w:rPr>
          <w:rStyle w:val="lev"/>
          <w:rFonts w:asciiTheme="majorBidi" w:hAnsiTheme="majorBidi" w:cstheme="majorBidi"/>
          <w:sz w:val="20"/>
          <w:szCs w:val="20"/>
        </w:rPr>
        <w:t xml:space="preserve"> (Consulté le 16/03/2026).</w:t>
      </w:r>
    </w:p>
  </w:footnote>
  <w:footnote w:id="121">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lang w:val="en-GB"/>
        </w:rPr>
        <w:t>Saad Magdy Moheb El-Dien M.,</w:t>
      </w:r>
      <w:r w:rsidRPr="00AD764A">
        <w:rPr>
          <w:rFonts w:asciiTheme="majorBidi" w:hAnsiTheme="majorBidi" w:cstheme="majorBidi"/>
          <w:sz w:val="20"/>
          <w:szCs w:val="20"/>
          <w:lang w:val="en-GB"/>
        </w:rPr>
        <w:t xml:space="preserve"> « Food safety – Main concepts and mandatory requirements for management system and application (Desk study) », </w:t>
      </w:r>
      <w:r w:rsidRPr="00AD764A">
        <w:rPr>
          <w:rStyle w:val="Accentuation"/>
          <w:rFonts w:asciiTheme="majorBidi" w:hAnsiTheme="majorBidi" w:cstheme="majorBidi"/>
          <w:sz w:val="20"/>
          <w:szCs w:val="20"/>
          <w:lang w:val="en-GB"/>
        </w:rPr>
        <w:t>Asian Pacific Journal of Health Sciences</w:t>
      </w:r>
      <w:r w:rsidRPr="00AD764A">
        <w:rPr>
          <w:rFonts w:asciiTheme="majorBidi" w:hAnsiTheme="majorBidi" w:cstheme="majorBidi"/>
          <w:sz w:val="20"/>
          <w:szCs w:val="20"/>
          <w:lang w:val="en-GB"/>
        </w:rPr>
        <w:t>, Vol. 2, N°2, e-ISSN: 2349-0659, p-ISSN: 2350-0964, NRC (National Research Centre), Égypte, 2015, pp. 154–159.</w:t>
      </w:r>
    </w:p>
  </w:footnote>
  <w:footnote w:id="122">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sz w:val="20"/>
          <w:szCs w:val="20"/>
        </w:rPr>
        <w:t>Food and Agriculture Organization</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Sécurité sanitaire des aliments</w:t>
      </w:r>
      <w:r w:rsidRPr="00AD764A">
        <w:rPr>
          <w:rFonts w:asciiTheme="majorBidi" w:hAnsiTheme="majorBidi" w:cstheme="majorBidi"/>
          <w:sz w:val="20"/>
          <w:szCs w:val="20"/>
        </w:rPr>
        <w:t xml:space="preserve"> [en ligne]. (s.d.). Disponible sur : </w:t>
      </w:r>
      <w:hyperlink r:id="rId51" w:tgtFrame="_new" w:history="1">
        <w:r w:rsidRPr="00AD764A">
          <w:rPr>
            <w:rStyle w:val="Lienhypertexte"/>
            <w:rFonts w:asciiTheme="majorBidi" w:hAnsiTheme="majorBidi" w:cstheme="majorBidi"/>
            <w:sz w:val="20"/>
            <w:szCs w:val="20"/>
          </w:rPr>
          <w:t>https://www.fao.org/food-safety/fr</w:t>
        </w:r>
      </w:hyperlink>
      <w:r w:rsidRPr="00AD764A">
        <w:rPr>
          <w:rFonts w:asciiTheme="majorBidi" w:hAnsiTheme="majorBidi" w:cstheme="majorBidi"/>
          <w:sz w:val="20"/>
          <w:szCs w:val="20"/>
        </w:rPr>
        <w:t xml:space="preserve"> (Consulté le 16/03/2026).</w:t>
      </w:r>
    </w:p>
  </w:footnote>
  <w:footnote w:id="123">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sz w:val="20"/>
          <w:szCs w:val="20"/>
        </w:rPr>
        <w:t>Food and Agriculture Organization</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Introduction à l’analyse des risques dans le domaine de la sécurité sanitaire des aliments</w:t>
      </w:r>
      <w:r w:rsidRPr="00AD764A">
        <w:rPr>
          <w:rFonts w:asciiTheme="majorBidi" w:hAnsiTheme="majorBidi" w:cstheme="majorBidi"/>
          <w:sz w:val="20"/>
          <w:szCs w:val="20"/>
        </w:rPr>
        <w:t xml:space="preserve"> [en ligne]. (s.d.). Disponible sur : </w:t>
      </w:r>
      <w:hyperlink r:id="rId52" w:tgtFrame="_new" w:history="1">
        <w:r w:rsidRPr="00AD764A">
          <w:rPr>
            <w:rStyle w:val="Lienhypertexte"/>
            <w:rFonts w:asciiTheme="majorBidi" w:hAnsiTheme="majorBidi" w:cstheme="majorBidi"/>
            <w:sz w:val="20"/>
            <w:szCs w:val="20"/>
          </w:rPr>
          <w:t>https://www.fao.org/4/AB788F/ab788f07.htm</w:t>
        </w:r>
      </w:hyperlink>
      <w:r w:rsidRPr="00AD764A">
        <w:rPr>
          <w:rFonts w:asciiTheme="majorBidi" w:hAnsiTheme="majorBidi" w:cstheme="majorBidi"/>
          <w:sz w:val="20"/>
          <w:szCs w:val="20"/>
        </w:rPr>
        <w:t xml:space="preserve"> (Consulté le 16/03/2026).</w:t>
      </w:r>
    </w:p>
  </w:footnote>
  <w:footnote w:id="124">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rPr>
        <w:t xml:space="preserve"> Nelinkia</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Sécurité alimentaire et sécurité sanitaire : définition et organisations directrices</w:t>
      </w:r>
      <w:r w:rsidRPr="00AD764A">
        <w:rPr>
          <w:rFonts w:asciiTheme="majorBidi" w:hAnsiTheme="majorBidi" w:cstheme="majorBidi"/>
          <w:sz w:val="20"/>
          <w:szCs w:val="20"/>
        </w:rPr>
        <w:t xml:space="preserve"> [en ligne]. (s.d.). Disponible sur : </w:t>
      </w:r>
      <w:hyperlink r:id="rId53" w:tgtFrame="_new" w:history="1">
        <w:r w:rsidRPr="00AD764A">
          <w:rPr>
            <w:rStyle w:val="Lienhypertexte"/>
            <w:rFonts w:asciiTheme="majorBidi" w:hAnsiTheme="majorBidi" w:cstheme="majorBidi"/>
            <w:sz w:val="20"/>
            <w:szCs w:val="20"/>
          </w:rPr>
          <w:t>https://www.nelinkia.com/blog/normes/securite-alimentaire-et-securite-sanitaire.html</w:t>
        </w:r>
      </w:hyperlink>
      <w:r w:rsidRPr="00AD764A">
        <w:rPr>
          <w:rFonts w:asciiTheme="majorBidi" w:hAnsiTheme="majorBidi" w:cstheme="majorBidi"/>
          <w:sz w:val="20"/>
          <w:szCs w:val="20"/>
        </w:rPr>
        <w:t xml:space="preserve"> (Consulté le 16/03/2026).</w:t>
      </w:r>
    </w:p>
  </w:footnote>
  <w:footnote w:id="12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Style w:val="whitespace-normal"/>
          <w:rFonts w:asciiTheme="majorBidi" w:hAnsiTheme="majorBidi" w:cstheme="majorBidi"/>
          <w:b/>
          <w:bCs/>
          <w:sz w:val="20"/>
          <w:szCs w:val="20"/>
          <w:lang w:val="en-GB"/>
        </w:rPr>
        <w:t>World Health Organization</w:t>
      </w:r>
      <w:r w:rsidRPr="00AD764A">
        <w:rPr>
          <w:rFonts w:asciiTheme="majorBidi" w:hAnsiTheme="majorBidi" w:cstheme="majorBidi"/>
          <w:sz w:val="20"/>
          <w:szCs w:val="20"/>
          <w:lang w:val="en-GB"/>
        </w:rPr>
        <w:t xml:space="preserve">, </w:t>
      </w:r>
      <w:r w:rsidRPr="00AD764A">
        <w:rPr>
          <w:rStyle w:val="lev"/>
          <w:rFonts w:asciiTheme="majorBidi" w:hAnsiTheme="majorBidi" w:cstheme="majorBidi"/>
          <w:sz w:val="20"/>
          <w:szCs w:val="20"/>
          <w:lang w:val="en-GB"/>
        </w:rPr>
        <w:t>Food safety</w:t>
      </w:r>
      <w:r w:rsidRPr="00AD764A">
        <w:rPr>
          <w:rFonts w:asciiTheme="majorBidi" w:hAnsiTheme="majorBidi" w:cstheme="majorBidi"/>
          <w:sz w:val="20"/>
          <w:szCs w:val="20"/>
          <w:lang w:val="en-GB"/>
        </w:rPr>
        <w:t xml:space="preserve"> [en ligne]. </w:t>
      </w:r>
      <w:r w:rsidRPr="00AD764A">
        <w:rPr>
          <w:rFonts w:asciiTheme="majorBidi" w:hAnsiTheme="majorBidi" w:cstheme="majorBidi"/>
          <w:sz w:val="20"/>
          <w:szCs w:val="20"/>
        </w:rPr>
        <w:t xml:space="preserve">(s.d.). Disponible sur : </w:t>
      </w:r>
      <w:hyperlink r:id="rId54" w:tgtFrame="_new" w:history="1">
        <w:r w:rsidRPr="00AD764A">
          <w:rPr>
            <w:rStyle w:val="Lienhypertexte"/>
            <w:rFonts w:asciiTheme="majorBidi" w:hAnsiTheme="majorBidi" w:cstheme="majorBidi"/>
            <w:sz w:val="20"/>
            <w:szCs w:val="20"/>
          </w:rPr>
          <w:t>https://www.who.int/fr/news-room/fact-sheets/detail/food-safety</w:t>
        </w:r>
      </w:hyperlink>
      <w:r w:rsidRPr="00AD764A">
        <w:rPr>
          <w:rFonts w:asciiTheme="majorBidi" w:hAnsiTheme="majorBidi" w:cstheme="majorBidi"/>
          <w:sz w:val="20"/>
          <w:szCs w:val="20"/>
        </w:rPr>
        <w:t xml:space="preserve"> (Consulté le 16/03/2026).</w:t>
      </w:r>
    </w:p>
  </w:footnote>
  <w:footnote w:id="126">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b/>
          <w:bCs/>
          <w:sz w:val="20"/>
          <w:szCs w:val="20"/>
        </w:rPr>
        <w:t>Food and Agriculture Organization</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Introduction à l’analyse des risques dans le domaine de la sécurité sanitaire des aliments</w:t>
      </w:r>
      <w:r w:rsidRPr="00AD764A">
        <w:rPr>
          <w:rFonts w:asciiTheme="majorBidi" w:hAnsiTheme="majorBidi" w:cstheme="majorBidi"/>
          <w:sz w:val="20"/>
          <w:szCs w:val="20"/>
        </w:rPr>
        <w:t xml:space="preserve">[en ligne]. (s.d.). Disponible sur : </w:t>
      </w:r>
      <w:hyperlink r:id="rId55" w:tgtFrame="_new" w:history="1">
        <w:r w:rsidRPr="00AD764A">
          <w:rPr>
            <w:rStyle w:val="Lienhypertexte"/>
            <w:rFonts w:asciiTheme="majorBidi" w:hAnsiTheme="majorBidi" w:cstheme="majorBidi"/>
            <w:sz w:val="20"/>
            <w:szCs w:val="20"/>
          </w:rPr>
          <w:t>https://www.fao.org/4/AB788F/ab788f07.htm</w:t>
        </w:r>
      </w:hyperlink>
      <w:r w:rsidRPr="00AD764A">
        <w:rPr>
          <w:rFonts w:asciiTheme="majorBidi" w:hAnsiTheme="majorBidi" w:cstheme="majorBidi"/>
          <w:sz w:val="20"/>
          <w:szCs w:val="20"/>
        </w:rPr>
        <w:t xml:space="preserve"> (Consulté le 16/03/2026).</w:t>
      </w:r>
    </w:p>
  </w:footnote>
  <w:footnote w:id="12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Style w:val="lev"/>
          <w:rFonts w:asciiTheme="majorBidi" w:hAnsiTheme="majorBidi" w:cstheme="majorBidi"/>
          <w:sz w:val="20"/>
          <w:szCs w:val="20"/>
        </w:rPr>
        <w:t xml:space="preserve">Nelinkia, </w:t>
      </w:r>
      <w:r w:rsidRPr="00AD764A">
        <w:rPr>
          <w:rStyle w:val="Accentuation"/>
          <w:rFonts w:asciiTheme="majorBidi" w:hAnsiTheme="majorBidi" w:cstheme="majorBidi"/>
          <w:sz w:val="20"/>
          <w:szCs w:val="20"/>
        </w:rPr>
        <w:t>Sécurité alimentaire et sécurité sanitaire : définition et organisations directrices</w:t>
      </w:r>
      <w:r w:rsidRPr="00AD764A">
        <w:rPr>
          <w:rStyle w:val="lev"/>
          <w:rFonts w:asciiTheme="majorBidi" w:hAnsiTheme="majorBidi" w:cstheme="majorBidi"/>
          <w:sz w:val="20"/>
          <w:szCs w:val="20"/>
        </w:rPr>
        <w:t xml:space="preserve"> [en ligne]. (s.d.). Disponible sur : </w:t>
      </w:r>
      <w:hyperlink r:id="rId56" w:tgtFrame="_new" w:history="1">
        <w:r w:rsidRPr="00AD764A">
          <w:rPr>
            <w:rStyle w:val="Lienhypertexte"/>
            <w:rFonts w:asciiTheme="majorBidi" w:hAnsiTheme="majorBidi" w:cstheme="majorBidi"/>
            <w:sz w:val="20"/>
            <w:szCs w:val="20"/>
          </w:rPr>
          <w:t>https://www.nelinkia.com/blog/normes/securite-alimentaire-et-securite-sanitaire.html</w:t>
        </w:r>
      </w:hyperlink>
      <w:r w:rsidRPr="00AD764A">
        <w:rPr>
          <w:rStyle w:val="lev"/>
          <w:rFonts w:asciiTheme="majorBidi" w:hAnsiTheme="majorBidi" w:cstheme="majorBidi"/>
          <w:sz w:val="20"/>
          <w:szCs w:val="20"/>
        </w:rPr>
        <w:t xml:space="preserve"> (Consulté le 16/03/2026).</w:t>
      </w:r>
    </w:p>
  </w:footnote>
  <w:footnote w:id="128">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b/>
          <w:bCs/>
          <w:sz w:val="20"/>
          <w:szCs w:val="20"/>
          <w:lang w:val="en-GB"/>
        </w:rPr>
        <w:t>World Health Organization</w:t>
      </w:r>
      <w:r w:rsidRPr="00AD764A">
        <w:rPr>
          <w:rFonts w:asciiTheme="majorBidi" w:hAnsiTheme="majorBidi" w:cstheme="majorBidi"/>
          <w:sz w:val="20"/>
          <w:szCs w:val="20"/>
          <w:lang w:val="en-GB"/>
        </w:rPr>
        <w:t xml:space="preserve">, </w:t>
      </w:r>
      <w:r w:rsidRPr="00AD764A">
        <w:rPr>
          <w:rStyle w:val="lev"/>
          <w:rFonts w:asciiTheme="majorBidi" w:hAnsiTheme="majorBidi" w:cstheme="majorBidi"/>
          <w:sz w:val="20"/>
          <w:szCs w:val="20"/>
          <w:lang w:val="en-GB"/>
        </w:rPr>
        <w:t>Food safety</w:t>
      </w:r>
      <w:r w:rsidRPr="00AD764A">
        <w:rPr>
          <w:rFonts w:asciiTheme="majorBidi" w:hAnsiTheme="majorBidi" w:cstheme="majorBidi"/>
          <w:sz w:val="20"/>
          <w:szCs w:val="20"/>
          <w:lang w:val="en-GB"/>
        </w:rPr>
        <w:t xml:space="preserve"> [en ligne]. </w:t>
      </w:r>
      <w:r w:rsidRPr="00AD764A">
        <w:rPr>
          <w:rFonts w:asciiTheme="majorBidi" w:hAnsiTheme="majorBidi" w:cstheme="majorBidi"/>
          <w:sz w:val="20"/>
          <w:szCs w:val="20"/>
        </w:rPr>
        <w:t xml:space="preserve">(s.d.). Disponible sur : </w:t>
      </w:r>
      <w:hyperlink r:id="rId57" w:tgtFrame="_new" w:history="1">
        <w:r w:rsidRPr="00AD764A">
          <w:rPr>
            <w:rStyle w:val="Lienhypertexte"/>
            <w:rFonts w:asciiTheme="majorBidi" w:hAnsiTheme="majorBidi" w:cstheme="majorBidi"/>
            <w:sz w:val="20"/>
            <w:szCs w:val="20"/>
          </w:rPr>
          <w:t>https://www.who.int/fr/news-room/fact-sheets/detail/food-safety</w:t>
        </w:r>
      </w:hyperlink>
      <w:r w:rsidRPr="00AD764A">
        <w:rPr>
          <w:rFonts w:asciiTheme="majorBidi" w:hAnsiTheme="majorBidi" w:cstheme="majorBidi"/>
          <w:sz w:val="20"/>
          <w:szCs w:val="20"/>
        </w:rPr>
        <w:t xml:space="preserve"> (Consulté le 16/03/2026).</w:t>
      </w:r>
    </w:p>
  </w:footnote>
  <w:footnote w:id="129">
    <w:p w:rsidR="00B54D3C" w:rsidRPr="00AD764A" w:rsidRDefault="00B54D3C" w:rsidP="007A677E">
      <w:pPr>
        <w:spacing w:after="0"/>
        <w:rPr>
          <w:rFonts w:asciiTheme="majorBidi" w:hAnsiTheme="majorBidi" w:cstheme="majorBidi"/>
          <w:b/>
          <w:bCs/>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shd w:val="clear" w:color="auto" w:fill="FFFFFF"/>
        </w:rPr>
        <w:t>ATASEVER M., « Foodborne microbial diseases: pathogens, epidemiology, and prevention strategies », </w:t>
      </w:r>
      <w:r w:rsidRPr="00AD764A">
        <w:rPr>
          <w:rStyle w:val="Accentuation"/>
          <w:rFonts w:asciiTheme="majorBidi" w:hAnsiTheme="majorBidi" w:cstheme="majorBidi"/>
          <w:b/>
          <w:bCs/>
          <w:color w:val="0F1115"/>
          <w:sz w:val="20"/>
          <w:szCs w:val="20"/>
          <w:shd w:val="clear" w:color="auto" w:fill="FFFFFF"/>
        </w:rPr>
        <w:t>Asian-Australasian Journal of Food Safety and Security</w:t>
      </w:r>
      <w:r w:rsidRPr="00AD764A">
        <w:rPr>
          <w:rStyle w:val="lev"/>
          <w:rFonts w:asciiTheme="majorBidi" w:hAnsiTheme="majorBidi" w:cstheme="majorBidi"/>
          <w:color w:val="0F1115"/>
          <w:sz w:val="20"/>
          <w:szCs w:val="20"/>
          <w:shd w:val="clear" w:color="auto" w:fill="FFFFFF"/>
        </w:rPr>
        <w:t>, vol. 10, n° 1, éditeur non précisé, lieu non précisé, 2026, p. 20-42.</w:t>
      </w:r>
    </w:p>
  </w:footnote>
  <w:footnote w:id="130">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sz w:val="20"/>
          <w:szCs w:val="20"/>
        </w:rPr>
        <w:t>Food and Agriculture Organization</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Sécurité sanitaire et qualité des aliments – informations générales</w:t>
      </w:r>
      <w:r w:rsidRPr="00AD764A">
        <w:rPr>
          <w:rFonts w:asciiTheme="majorBidi" w:hAnsiTheme="majorBidi" w:cstheme="majorBidi"/>
          <w:sz w:val="20"/>
          <w:szCs w:val="20"/>
        </w:rPr>
        <w:t xml:space="preserve"> [en ligne]. (s.d.). Disponible sur : </w:t>
      </w:r>
      <w:hyperlink r:id="rId58" w:tgtFrame="_new" w:history="1">
        <w:r w:rsidRPr="00AD764A">
          <w:rPr>
            <w:rStyle w:val="Lienhypertexte"/>
            <w:rFonts w:asciiTheme="majorBidi" w:hAnsiTheme="majorBidi" w:cstheme="majorBidi"/>
            <w:sz w:val="20"/>
            <w:szCs w:val="20"/>
          </w:rPr>
          <w:t>https://www.fao.org/food-safety/about/fr</w:t>
        </w:r>
      </w:hyperlink>
      <w:r w:rsidRPr="00AD764A">
        <w:rPr>
          <w:rFonts w:asciiTheme="majorBidi" w:hAnsiTheme="majorBidi" w:cstheme="majorBidi"/>
          <w:sz w:val="20"/>
          <w:szCs w:val="20"/>
        </w:rPr>
        <w:t xml:space="preserve"> (Consulté le 16/03/2026).</w:t>
      </w:r>
    </w:p>
  </w:footnote>
  <w:footnote w:id="131">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sz w:val="20"/>
          <w:szCs w:val="20"/>
        </w:rPr>
        <w:t>Food and Agriculture Organization</w:t>
      </w:r>
      <w:r w:rsidRPr="00AD764A">
        <w:rPr>
          <w:rFonts w:asciiTheme="majorBidi" w:hAnsiTheme="majorBidi" w:cstheme="majorBidi"/>
          <w:sz w:val="20"/>
          <w:szCs w:val="20"/>
        </w:rPr>
        <w:t xml:space="preserve">, </w:t>
      </w:r>
      <w:r w:rsidRPr="00AD764A">
        <w:rPr>
          <w:rStyle w:val="lev"/>
          <w:rFonts w:asciiTheme="majorBidi" w:hAnsiTheme="majorBidi" w:cstheme="majorBidi"/>
          <w:sz w:val="20"/>
          <w:szCs w:val="20"/>
        </w:rPr>
        <w:t>Urgences en matière de sécurité sanitaire des aliments</w:t>
      </w:r>
      <w:r w:rsidRPr="00AD764A">
        <w:rPr>
          <w:rFonts w:asciiTheme="majorBidi" w:hAnsiTheme="majorBidi" w:cstheme="majorBidi"/>
          <w:sz w:val="20"/>
          <w:szCs w:val="20"/>
        </w:rPr>
        <w:t xml:space="preserve"> [en ligne]. (s.d.). Disponible sur : </w:t>
      </w:r>
      <w:hyperlink r:id="rId59" w:tgtFrame="_new" w:history="1">
        <w:r w:rsidRPr="00AD764A">
          <w:rPr>
            <w:rStyle w:val="Lienhypertexte"/>
            <w:rFonts w:asciiTheme="majorBidi" w:hAnsiTheme="majorBidi" w:cstheme="majorBidi"/>
            <w:sz w:val="20"/>
            <w:szCs w:val="20"/>
          </w:rPr>
          <w:t>https://www.fao.org/food-safety/emergencies/fr/</w:t>
        </w:r>
      </w:hyperlink>
      <w:r w:rsidRPr="00AD764A">
        <w:rPr>
          <w:rFonts w:asciiTheme="majorBidi" w:hAnsiTheme="majorBidi" w:cstheme="majorBidi"/>
          <w:sz w:val="20"/>
          <w:szCs w:val="20"/>
        </w:rPr>
        <w:t xml:space="preserve"> (Consulté le 16/03/2026).</w:t>
      </w:r>
    </w:p>
  </w:footnote>
  <w:footnote w:id="132">
    <w:p w:rsidR="00B54D3C" w:rsidRPr="00AD764A" w:rsidRDefault="00B54D3C" w:rsidP="007A677E">
      <w:pPr>
        <w:spacing w:after="0"/>
        <w:rPr>
          <w:rFonts w:asciiTheme="majorBidi" w:hAnsiTheme="majorBidi" w:cstheme="majorBidi"/>
          <w:sz w:val="20"/>
          <w:szCs w:val="20"/>
          <w:rtl/>
          <w:lang w:bidi="ar-DZ"/>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 xml:space="preserve">Université du Burundi, </w:t>
      </w:r>
      <w:r w:rsidRPr="00AD764A">
        <w:rPr>
          <w:rStyle w:val="Accentuation"/>
          <w:rFonts w:asciiTheme="majorBidi" w:hAnsiTheme="majorBidi" w:cstheme="majorBidi"/>
          <w:b/>
          <w:bCs/>
          <w:sz w:val="20"/>
          <w:szCs w:val="20"/>
        </w:rPr>
        <w:t>Sécurité sanitaire des aliments</w:t>
      </w:r>
      <w:r w:rsidRPr="00AD764A">
        <w:rPr>
          <w:rStyle w:val="lev"/>
          <w:rFonts w:asciiTheme="majorBidi" w:hAnsiTheme="majorBidi" w:cstheme="majorBidi"/>
          <w:sz w:val="20"/>
          <w:szCs w:val="20"/>
        </w:rPr>
        <w:t xml:space="preserve"> [en ligne]. (2026). Disponible sur : </w:t>
      </w:r>
      <w:hyperlink r:id="rId60" w:tgtFrame="_new" w:history="1">
        <w:r w:rsidRPr="00AD764A">
          <w:rPr>
            <w:rStyle w:val="Lienhypertexte"/>
            <w:rFonts w:asciiTheme="majorBidi" w:hAnsiTheme="majorBidi" w:cstheme="majorBidi"/>
            <w:b/>
            <w:bCs/>
            <w:sz w:val="20"/>
            <w:szCs w:val="20"/>
          </w:rPr>
          <w:t>https://www.ub.edu.bi/assets/syllabus/1764402951_S%C3%A9curit%C3%A9%20sanitaire%20des%20aliments.pdf</w:t>
        </w:r>
      </w:hyperlink>
      <w:r w:rsidRPr="00AD764A">
        <w:rPr>
          <w:rStyle w:val="lev"/>
          <w:rFonts w:asciiTheme="majorBidi" w:hAnsiTheme="majorBidi" w:cstheme="majorBidi"/>
          <w:sz w:val="20"/>
          <w:szCs w:val="20"/>
        </w:rPr>
        <w:t xml:space="preserve"> (Consulté le 16/03/2026).</w:t>
      </w:r>
    </w:p>
  </w:footnote>
  <w:footnote w:id="133">
    <w:p w:rsidR="00B54D3C" w:rsidRPr="00AD764A" w:rsidRDefault="00B54D3C" w:rsidP="007A677E">
      <w:pPr>
        <w:spacing w:after="0"/>
        <w:rPr>
          <w:rFonts w:asciiTheme="majorBidi" w:hAnsiTheme="majorBidi" w:cstheme="majorBidi"/>
          <w:sz w:val="20"/>
          <w:szCs w:val="20"/>
          <w:lang w:val="en-GB" w:bidi="ar-DZ"/>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lang w:val="en-GB"/>
        </w:rPr>
        <w:t>Smith-Spangler C., et al.</w:t>
      </w:r>
      <w:r w:rsidRPr="00AD764A">
        <w:rPr>
          <w:rFonts w:asciiTheme="majorBidi" w:hAnsiTheme="majorBidi" w:cstheme="majorBidi"/>
          <w:sz w:val="20"/>
          <w:szCs w:val="20"/>
          <w:lang w:val="en-GB"/>
        </w:rPr>
        <w:t xml:space="preserve"> (2012), </w:t>
      </w:r>
      <w:r w:rsidRPr="00AD764A">
        <w:rPr>
          <w:rStyle w:val="Accentuation"/>
          <w:rFonts w:asciiTheme="majorBidi" w:hAnsiTheme="majorBidi" w:cstheme="majorBidi"/>
          <w:sz w:val="20"/>
          <w:szCs w:val="20"/>
          <w:lang w:val="en-GB"/>
        </w:rPr>
        <w:t>Are Organic Foods Safer or Healthier Than Conventional Alternatives?</w:t>
      </w:r>
      <w:r w:rsidRPr="00AD764A">
        <w:rPr>
          <w:rFonts w:asciiTheme="majorBidi" w:hAnsiTheme="majorBidi" w:cstheme="majorBidi"/>
          <w:sz w:val="20"/>
          <w:szCs w:val="20"/>
          <w:lang w:val="en-GB"/>
        </w:rPr>
        <w:t xml:space="preserve">, </w:t>
      </w:r>
      <w:r w:rsidRPr="00AD764A">
        <w:rPr>
          <w:rStyle w:val="Accentuation"/>
          <w:rFonts w:asciiTheme="majorBidi" w:hAnsiTheme="majorBidi" w:cstheme="majorBidi"/>
          <w:sz w:val="20"/>
          <w:szCs w:val="20"/>
          <w:lang w:val="en-GB"/>
        </w:rPr>
        <w:t>Annals of Internal Medicine</w:t>
      </w:r>
      <w:r w:rsidRPr="00AD764A">
        <w:rPr>
          <w:rFonts w:asciiTheme="majorBidi" w:hAnsiTheme="majorBidi" w:cstheme="majorBidi"/>
          <w:sz w:val="20"/>
          <w:szCs w:val="20"/>
          <w:lang w:val="en-GB"/>
        </w:rPr>
        <w:t>, Vol. 157, pp. 348-366, p. 3.</w:t>
      </w:r>
    </w:p>
  </w:footnote>
  <w:footnote w:id="134">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lang w:val="en-GB"/>
        </w:rPr>
        <w:t xml:space="preserve">Orgprints, </w:t>
      </w:r>
      <w:r w:rsidRPr="00AD764A">
        <w:rPr>
          <w:rStyle w:val="Accentuation"/>
          <w:rFonts w:asciiTheme="majorBidi" w:hAnsiTheme="majorBidi" w:cstheme="majorBidi"/>
          <w:b/>
          <w:bCs/>
          <w:sz w:val="20"/>
          <w:szCs w:val="20"/>
          <w:lang w:val="en-GB"/>
        </w:rPr>
        <w:t>Organic food in Italy</w:t>
      </w:r>
      <w:r w:rsidRPr="00AD764A">
        <w:rPr>
          <w:rStyle w:val="Accentuation"/>
          <w:rFonts w:asciiTheme="majorBidi" w:hAnsiTheme="majorBidi" w:cstheme="majorBidi"/>
          <w:sz w:val="20"/>
          <w:szCs w:val="20"/>
          <w:lang w:val="en-GB"/>
        </w:rPr>
        <w:t>: Market and consumer perception</w:t>
      </w:r>
      <w:r w:rsidRPr="00AD764A">
        <w:rPr>
          <w:rFonts w:asciiTheme="majorBidi" w:hAnsiTheme="majorBidi" w:cstheme="majorBidi"/>
          <w:sz w:val="20"/>
          <w:szCs w:val="20"/>
          <w:lang w:val="en-GB"/>
        </w:rPr>
        <w:t xml:space="preserve">, 2006, pp. 5–7, disponible sur : </w:t>
      </w:r>
      <w:hyperlink r:id="rId61" w:history="1">
        <w:r w:rsidRPr="00AD764A">
          <w:rPr>
            <w:rStyle w:val="Lienhypertexte"/>
            <w:rFonts w:asciiTheme="majorBidi" w:hAnsiTheme="majorBidi" w:cstheme="majorBidi"/>
            <w:sz w:val="20"/>
            <w:szCs w:val="20"/>
            <w:lang w:val="en-GB"/>
          </w:rPr>
          <w:t>https://orgprints.org/id/eprint/25655/1/Italy_article_final_2006.pdf</w:t>
        </w:r>
      </w:hyperlink>
      <w:r w:rsidRPr="00AD764A">
        <w:rPr>
          <w:rFonts w:asciiTheme="majorBidi" w:hAnsiTheme="majorBidi" w:cstheme="majorBidi"/>
          <w:sz w:val="20"/>
          <w:szCs w:val="20"/>
          <w:lang w:val="en-GB"/>
        </w:rPr>
        <w:t>, consulté le 14 avril 2026.</w:t>
      </w:r>
    </w:p>
  </w:footnote>
  <w:footnote w:id="13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rPr>
        <w:t xml:space="preserve"> FAO</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Les risques liés aux produits alimentaires conventionnels</w:t>
      </w:r>
      <w:r w:rsidRPr="00AD764A">
        <w:rPr>
          <w:rFonts w:asciiTheme="majorBidi" w:hAnsiTheme="majorBidi" w:cstheme="majorBidi"/>
          <w:sz w:val="20"/>
          <w:szCs w:val="20"/>
        </w:rPr>
        <w:t xml:space="preserve">, Rome, 2001, pp. 2–4, disponible sur : </w:t>
      </w:r>
      <w:hyperlink r:id="rId62" w:history="1">
        <w:r w:rsidRPr="00AD764A">
          <w:rPr>
            <w:rStyle w:val="Lienhypertexte"/>
            <w:rFonts w:asciiTheme="majorBidi" w:hAnsiTheme="majorBidi" w:cstheme="majorBidi"/>
            <w:sz w:val="20"/>
            <w:szCs w:val="20"/>
          </w:rPr>
          <w:t>https://www.fao.org/4/a0822f/a0822f.pdf</w:t>
        </w:r>
      </w:hyperlink>
      <w:r w:rsidRPr="00AD764A">
        <w:rPr>
          <w:rFonts w:asciiTheme="majorBidi" w:hAnsiTheme="majorBidi" w:cstheme="majorBidi"/>
          <w:sz w:val="20"/>
          <w:szCs w:val="20"/>
        </w:rPr>
        <w:t>, consulté le 14 avril 2026.</w:t>
      </w:r>
    </w:p>
  </w:footnote>
  <w:footnote w:id="136">
    <w:p w:rsidR="00B54D3C" w:rsidRPr="00AD764A" w:rsidRDefault="00B54D3C" w:rsidP="007A677E">
      <w:pPr>
        <w:spacing w:after="0"/>
        <w:rPr>
          <w:rFonts w:asciiTheme="majorBidi" w:hAnsiTheme="majorBidi" w:cstheme="majorBidi"/>
          <w:sz w:val="20"/>
          <w:szCs w:val="20"/>
          <w:lang w:val="en-GB" w:bidi="ar-DZ"/>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lang w:val="en-GB"/>
        </w:rPr>
        <w:t>Smith-Spangler C., et al.</w:t>
      </w:r>
      <w:r w:rsidRPr="00AD764A">
        <w:rPr>
          <w:rFonts w:asciiTheme="majorBidi" w:hAnsiTheme="majorBidi" w:cstheme="majorBidi"/>
          <w:sz w:val="20"/>
          <w:szCs w:val="20"/>
          <w:lang w:val="en-GB"/>
        </w:rPr>
        <w:t xml:space="preserve"> (2012), </w:t>
      </w:r>
      <w:r w:rsidRPr="00AD764A">
        <w:rPr>
          <w:rStyle w:val="Accentuation"/>
          <w:rFonts w:asciiTheme="majorBidi" w:hAnsiTheme="majorBidi" w:cstheme="majorBidi"/>
          <w:sz w:val="20"/>
          <w:szCs w:val="20"/>
          <w:lang w:val="en-GB"/>
        </w:rPr>
        <w:t>Are Organic Foods Safer or Healthier Than Conventional Alternatives?</w:t>
      </w:r>
      <w:r w:rsidRPr="00AD764A">
        <w:rPr>
          <w:rFonts w:asciiTheme="majorBidi" w:hAnsiTheme="majorBidi" w:cstheme="majorBidi"/>
          <w:sz w:val="20"/>
          <w:szCs w:val="20"/>
          <w:lang w:val="en-GB"/>
        </w:rPr>
        <w:t xml:space="preserve">, </w:t>
      </w:r>
      <w:r w:rsidRPr="00AD764A">
        <w:rPr>
          <w:rStyle w:val="Accentuation"/>
          <w:rFonts w:asciiTheme="majorBidi" w:hAnsiTheme="majorBidi" w:cstheme="majorBidi"/>
          <w:sz w:val="20"/>
          <w:szCs w:val="20"/>
          <w:lang w:val="en-GB"/>
        </w:rPr>
        <w:t>Annals of Internal Medicine</w:t>
      </w:r>
      <w:r w:rsidRPr="00AD764A">
        <w:rPr>
          <w:rFonts w:asciiTheme="majorBidi" w:hAnsiTheme="majorBidi" w:cstheme="majorBidi"/>
          <w:sz w:val="20"/>
          <w:szCs w:val="20"/>
          <w:lang w:val="en-GB"/>
        </w:rPr>
        <w:t>, Vol. 157, pp. 348-366.</w:t>
      </w:r>
    </w:p>
  </w:footnote>
  <w:footnote w:id="137">
    <w:p w:rsidR="00B54D3C" w:rsidRPr="00AD764A" w:rsidRDefault="00B54D3C" w:rsidP="007A677E">
      <w:pPr>
        <w:spacing w:after="0"/>
        <w:rPr>
          <w:rFonts w:asciiTheme="majorBidi" w:hAnsiTheme="majorBidi" w:cstheme="majorBidi"/>
          <w:b/>
          <w:bCs/>
          <w:sz w:val="20"/>
          <w:szCs w:val="20"/>
        </w:rPr>
      </w:pPr>
      <w:r w:rsidRPr="00AD764A">
        <w:rPr>
          <w:rStyle w:val="Appelnotedebasdep"/>
          <w:rFonts w:asciiTheme="majorBidi" w:hAnsiTheme="majorBidi" w:cstheme="majorBidi"/>
          <w:b/>
          <w:bCs/>
          <w:sz w:val="20"/>
          <w:szCs w:val="20"/>
        </w:rPr>
        <w:footnoteRef/>
      </w:r>
      <w:r w:rsidRPr="00AD764A">
        <w:rPr>
          <w:rStyle w:val="lev"/>
          <w:rFonts w:asciiTheme="majorBidi" w:hAnsiTheme="majorBidi" w:cstheme="majorBidi"/>
          <w:color w:val="0F1115"/>
          <w:sz w:val="20"/>
          <w:szCs w:val="20"/>
          <w:shd w:val="clear" w:color="auto" w:fill="FFFFFF"/>
        </w:rPr>
        <w:t xml:space="preserve">FERRARI L., </w:t>
      </w:r>
      <w:r w:rsidRPr="00AD764A">
        <w:rPr>
          <w:rStyle w:val="lev"/>
          <w:rFonts w:asciiTheme="majorBidi" w:hAnsiTheme="majorBidi" w:cstheme="majorBidi"/>
          <w:b w:val="0"/>
          <w:bCs w:val="0"/>
          <w:color w:val="0F1115"/>
          <w:sz w:val="20"/>
          <w:szCs w:val="20"/>
          <w:shd w:val="clear" w:color="auto" w:fill="FFFFFF"/>
        </w:rPr>
        <w:t>CAVALCANTI M., ROSSI F., « Analyse comparative des différences de prix entre les fruits et légumes biologiques et conventionnels dans l'Espírito Santo, Brésil : implications pour l'accès des consommateurs et la croissance du marché », </w:t>
      </w:r>
      <w:r w:rsidRPr="00AD764A">
        <w:rPr>
          <w:rStyle w:val="Accentuation"/>
          <w:rFonts w:asciiTheme="majorBidi" w:hAnsiTheme="majorBidi" w:cstheme="majorBidi"/>
          <w:b/>
          <w:bCs/>
          <w:color w:val="0F1115"/>
          <w:sz w:val="20"/>
          <w:szCs w:val="20"/>
          <w:shd w:val="clear" w:color="auto" w:fill="FFFFFF"/>
        </w:rPr>
        <w:t>Agriculture et Sécurité Alimentaire</w:t>
      </w:r>
      <w:r w:rsidRPr="00AD764A">
        <w:rPr>
          <w:rStyle w:val="lev"/>
          <w:rFonts w:asciiTheme="majorBidi" w:hAnsiTheme="majorBidi" w:cstheme="majorBidi"/>
          <w:b w:val="0"/>
          <w:bCs w:val="0"/>
          <w:color w:val="0F1115"/>
          <w:sz w:val="20"/>
          <w:szCs w:val="20"/>
          <w:shd w:val="clear" w:color="auto" w:fill="FFFFFF"/>
        </w:rPr>
        <w:t>, vol. 14, article n° 33, Springer, lieu non précisé, 2025.</w:t>
      </w:r>
    </w:p>
  </w:footnote>
  <w:footnote w:id="138">
    <w:p w:rsidR="00B54D3C" w:rsidRPr="00AD764A" w:rsidRDefault="00B54D3C" w:rsidP="007A677E">
      <w:pPr>
        <w:spacing w:after="0"/>
        <w:rPr>
          <w:rFonts w:asciiTheme="majorBidi" w:hAnsiTheme="majorBidi" w:cstheme="majorBidi"/>
          <w:i/>
          <w:iCs/>
          <w:sz w:val="20"/>
          <w:szCs w:val="20"/>
          <w:lang w:val="en-GB" w:bidi="ar-DZ"/>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shd w:val="clear" w:color="auto" w:fill="FFFFFF"/>
          <w:lang w:val="en-GB"/>
        </w:rPr>
        <w:t>SMITH-SPANGLER (C.) et al., </w:t>
      </w:r>
      <w:r w:rsidRPr="00AD764A">
        <w:rPr>
          <w:rStyle w:val="Accentuation"/>
          <w:rFonts w:asciiTheme="majorBidi" w:hAnsiTheme="majorBidi" w:cstheme="majorBidi"/>
          <w:color w:val="0F1115"/>
          <w:sz w:val="20"/>
          <w:szCs w:val="20"/>
          <w:shd w:val="clear" w:color="auto" w:fill="FFFFFF"/>
          <w:lang w:val="en-GB"/>
        </w:rPr>
        <w:t>op. cit.</w:t>
      </w:r>
      <w:r w:rsidRPr="00AD764A">
        <w:rPr>
          <w:rFonts w:asciiTheme="majorBidi" w:hAnsiTheme="majorBidi" w:cstheme="majorBidi"/>
          <w:color w:val="0F1115"/>
          <w:sz w:val="20"/>
          <w:szCs w:val="20"/>
          <w:shd w:val="clear" w:color="auto" w:fill="FFFFFF"/>
          <w:lang w:val="en-GB"/>
        </w:rPr>
        <w:t>, p. 350.</w:t>
      </w:r>
    </w:p>
  </w:footnote>
  <w:footnote w:id="139">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shd w:val="clear" w:color="auto" w:fill="FFFFFF"/>
        </w:rPr>
        <w:t>CODEX ALIMENTARIUS, COMMISSION DU CODEX ALIMENTARIUS,</w:t>
      </w:r>
      <w:r w:rsidRPr="00AD764A">
        <w:rPr>
          <w:rFonts w:asciiTheme="majorBidi" w:hAnsiTheme="majorBidi" w:cstheme="majorBidi"/>
          <w:color w:val="0F1115"/>
          <w:sz w:val="20"/>
          <w:szCs w:val="20"/>
          <w:shd w:val="clear" w:color="auto" w:fill="FFFFFF"/>
        </w:rPr>
        <w:t> « Principes de travail pour l'analyse des risques en matière de sécurité sanitaire des aliments », </w:t>
      </w:r>
      <w:r w:rsidRPr="00AD764A">
        <w:rPr>
          <w:rStyle w:val="Accentuation"/>
          <w:rFonts w:asciiTheme="majorBidi" w:hAnsiTheme="majorBidi" w:cstheme="majorBidi"/>
          <w:color w:val="0F1115"/>
          <w:sz w:val="20"/>
          <w:szCs w:val="20"/>
          <w:shd w:val="clear" w:color="auto" w:fill="FFFFFF"/>
        </w:rPr>
        <w:t>Manuel de procédure de la Commission du Codex Alimentarius</w:t>
      </w:r>
      <w:r w:rsidRPr="00AD764A">
        <w:rPr>
          <w:rFonts w:asciiTheme="majorBidi" w:hAnsiTheme="majorBidi" w:cstheme="majorBidi"/>
          <w:color w:val="0F1115"/>
          <w:sz w:val="20"/>
          <w:szCs w:val="20"/>
          <w:shd w:val="clear" w:color="auto" w:fill="FFFFFF"/>
        </w:rPr>
        <w:t>, FAO/OMS, Rome, 2003.</w:t>
      </w:r>
    </w:p>
  </w:footnote>
  <w:footnote w:id="140">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rPr>
        <w:t xml:space="preserve"> Food and Agriculture Organization et World Health Organization,</w:t>
      </w:r>
      <w:r w:rsidRPr="00AD764A">
        <w:rPr>
          <w:rFonts w:asciiTheme="majorBidi" w:hAnsiTheme="majorBidi" w:cstheme="majorBidi"/>
          <w:sz w:val="20"/>
          <w:szCs w:val="20"/>
        </w:rPr>
        <w:t xml:space="preserve"> Analyse des risques relatifs à la sécurité sanitaire des aliments : Guide à l’usage des autorités nationales responsables de la sécurité sanitaire des aliments [en ligne]. Rome, 2007. Disponible sur : https://www.fao.org/4/a0822f/a0822f.pdf (Consulté le 16/03/2026).</w:t>
      </w:r>
    </w:p>
  </w:footnote>
  <w:footnote w:id="141">
    <w:p w:rsidR="00B54D3C" w:rsidRPr="00AD764A" w:rsidRDefault="00B54D3C" w:rsidP="007A677E">
      <w:pPr>
        <w:spacing w:after="0"/>
        <w:rPr>
          <w:rFonts w:asciiTheme="majorBidi" w:hAnsiTheme="majorBidi" w:cstheme="majorBidi"/>
          <w:color w:val="0F1115"/>
          <w:sz w:val="20"/>
          <w:szCs w:val="20"/>
          <w:shd w:val="clear" w:color="auto" w:fill="FFFFFF"/>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shd w:val="clear" w:color="auto" w:fill="FFFFFF"/>
        </w:rPr>
        <w:t xml:space="preserve">FAO/OMS, </w:t>
      </w:r>
      <w:r w:rsidRPr="00AD764A">
        <w:rPr>
          <w:rFonts w:asciiTheme="majorBidi" w:hAnsiTheme="majorBidi" w:cstheme="majorBidi"/>
          <w:color w:val="0F1115"/>
          <w:sz w:val="20"/>
          <w:szCs w:val="20"/>
          <w:shd w:val="clear" w:color="auto" w:fill="FFFFFF"/>
        </w:rPr>
        <w:t>« Application de l'analyse des risques dans le domaine des normes alimentaires. Rapport de la Consultation mixte d'experts FAO/OMS, Genève, Suisse, 13-17 mars 1995 », </w:t>
      </w:r>
      <w:r w:rsidRPr="00AD764A">
        <w:rPr>
          <w:rStyle w:val="Accentuation"/>
          <w:rFonts w:asciiTheme="majorBidi" w:hAnsiTheme="majorBidi" w:cstheme="majorBidi"/>
          <w:color w:val="0F1115"/>
          <w:sz w:val="20"/>
          <w:szCs w:val="20"/>
          <w:shd w:val="clear" w:color="auto" w:fill="FFFFFF"/>
        </w:rPr>
        <w:t>Sécurité sanitaire des aliments</w:t>
      </w:r>
      <w:r w:rsidRPr="00AD764A">
        <w:rPr>
          <w:rFonts w:asciiTheme="majorBidi" w:hAnsiTheme="majorBidi" w:cstheme="majorBidi"/>
          <w:color w:val="0F1115"/>
          <w:sz w:val="20"/>
          <w:szCs w:val="20"/>
          <w:shd w:val="clear" w:color="auto" w:fill="FFFFFF"/>
        </w:rPr>
        <w:t>, N° WHO/FNU/FOS/95.3, Ed Organisation mondiale de la Santé (OMS) et Organisation des Nations Unies pour l'alimentation et l'agriculture (FAO), Genève, 1995, pp 1-45.</w:t>
      </w:r>
    </w:p>
  </w:footnote>
  <w:footnote w:id="142">
    <w:p w:rsidR="00B54D3C" w:rsidRPr="00AD764A" w:rsidRDefault="00B54D3C" w:rsidP="007A677E">
      <w:pPr>
        <w:spacing w:after="0"/>
        <w:rPr>
          <w:rFonts w:asciiTheme="majorBidi" w:hAnsiTheme="majorBidi" w:cstheme="majorBidi"/>
          <w:color w:val="0F1115"/>
          <w:sz w:val="20"/>
          <w:szCs w:val="20"/>
          <w:shd w:val="clear" w:color="auto" w:fill="FFFFFF"/>
          <w:lang w:val="en-GB"/>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shd w:val="clear" w:color="auto" w:fill="FFFFFF"/>
          <w:lang w:val="en-GB"/>
        </w:rPr>
        <w:t>CODEX ALIMENTARIUS,</w:t>
      </w:r>
      <w:r w:rsidRPr="00AD764A">
        <w:rPr>
          <w:rFonts w:asciiTheme="majorBidi" w:hAnsiTheme="majorBidi" w:cstheme="majorBidi"/>
          <w:color w:val="0F1115"/>
          <w:sz w:val="20"/>
          <w:szCs w:val="20"/>
          <w:shd w:val="clear" w:color="auto" w:fill="FFFFFF"/>
          <w:lang w:val="en-GB"/>
        </w:rPr>
        <w:t xml:space="preserve"> « Working Principles for Risk Analysis for Application in the Framework of the Codex Alimentarius (CAC/GL 62-2007) », </w:t>
      </w:r>
      <w:r w:rsidRPr="00AD764A">
        <w:rPr>
          <w:rStyle w:val="Accentuation"/>
          <w:rFonts w:asciiTheme="majorBidi" w:hAnsiTheme="majorBidi" w:cstheme="majorBidi"/>
          <w:color w:val="0F1115"/>
          <w:sz w:val="20"/>
          <w:szCs w:val="20"/>
          <w:shd w:val="clear" w:color="auto" w:fill="FFFFFF"/>
          <w:lang w:val="en-GB"/>
        </w:rPr>
        <w:t>Codex Alimentarius Commission - FAO/WHO</w:t>
      </w:r>
      <w:r w:rsidRPr="00AD764A">
        <w:rPr>
          <w:rFonts w:asciiTheme="majorBidi" w:hAnsiTheme="majorBidi" w:cstheme="majorBidi"/>
          <w:color w:val="0F1115"/>
          <w:sz w:val="20"/>
          <w:szCs w:val="20"/>
          <w:shd w:val="clear" w:color="auto" w:fill="FFFFFF"/>
          <w:lang w:val="en-GB"/>
        </w:rPr>
        <w:t>, Ed FAO/WHO, Rome, 2007, pp 1-8.</w:t>
      </w:r>
    </w:p>
  </w:footnote>
  <w:footnote w:id="143">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lang w:val="en-GB"/>
        </w:rPr>
        <w:t>FAO/WHO,</w:t>
      </w:r>
      <w:r w:rsidRPr="00AD764A">
        <w:rPr>
          <w:rFonts w:asciiTheme="majorBidi" w:hAnsiTheme="majorBidi" w:cstheme="majorBidi"/>
          <w:color w:val="0F1115"/>
          <w:sz w:val="20"/>
          <w:szCs w:val="20"/>
          <w:shd w:val="clear" w:color="auto" w:fill="FFFFFF"/>
          <w:lang w:val="en-GB"/>
        </w:rPr>
        <w:t xml:space="preserve"> « Application of Risk Analysis to Food Safety Issues - Report of the Joint FAO/WHO Expert Consultation », </w:t>
      </w:r>
      <w:r w:rsidRPr="00AD764A">
        <w:rPr>
          <w:rStyle w:val="Accentuation"/>
          <w:rFonts w:asciiTheme="majorBidi" w:hAnsiTheme="majorBidi" w:cstheme="majorBidi"/>
          <w:color w:val="0F1115"/>
          <w:sz w:val="20"/>
          <w:szCs w:val="20"/>
          <w:shd w:val="clear" w:color="auto" w:fill="FFFFFF"/>
          <w:lang w:val="en-GB"/>
        </w:rPr>
        <w:t>Food Control</w:t>
      </w:r>
      <w:r w:rsidRPr="00AD764A">
        <w:rPr>
          <w:rFonts w:asciiTheme="majorBidi" w:hAnsiTheme="majorBidi" w:cstheme="majorBidi"/>
          <w:color w:val="0F1115"/>
          <w:sz w:val="20"/>
          <w:szCs w:val="20"/>
          <w:shd w:val="clear" w:color="auto" w:fill="FFFFFF"/>
          <w:lang w:val="en-GB"/>
        </w:rPr>
        <w:t>, N 01, Ed Elsevier Science, Genève, 1995, pp 8-15.</w:t>
      </w:r>
    </w:p>
  </w:footnote>
  <w:footnote w:id="144">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shd w:val="clear" w:color="auto" w:fill="FFFFFF"/>
        </w:rPr>
        <w:t>Organisation mondiale de la santé (OMS), « Sécurité sanitaire des aliments », </w:t>
      </w:r>
      <w:r w:rsidRPr="00AD764A">
        <w:rPr>
          <w:rStyle w:val="Accentuation"/>
          <w:rFonts w:asciiTheme="majorBidi" w:hAnsiTheme="majorBidi" w:cstheme="majorBidi"/>
          <w:color w:val="0F1115"/>
          <w:sz w:val="20"/>
          <w:szCs w:val="20"/>
          <w:shd w:val="clear" w:color="auto" w:fill="FFFFFF"/>
        </w:rPr>
        <w:t>Aide-mémoire</w:t>
      </w:r>
      <w:r w:rsidRPr="00AD764A">
        <w:rPr>
          <w:rStyle w:val="lev"/>
          <w:rFonts w:asciiTheme="majorBidi" w:hAnsiTheme="majorBidi" w:cstheme="majorBidi"/>
          <w:color w:val="0F1115"/>
          <w:sz w:val="20"/>
          <w:szCs w:val="20"/>
          <w:shd w:val="clear" w:color="auto" w:fill="FFFFFF"/>
        </w:rPr>
        <w:t>, 2024.</w:t>
      </w:r>
    </w:p>
  </w:footnote>
  <w:footnote w:id="14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shd w:val="clear" w:color="auto" w:fill="FFFFFF"/>
        </w:rPr>
        <w:t>Nations Unies, « Garantir la sécurité sanitaire des aliments, même dans des situations inattendues », </w:t>
      </w:r>
      <w:r w:rsidRPr="00AD764A">
        <w:rPr>
          <w:rStyle w:val="Accentuation"/>
          <w:rFonts w:asciiTheme="majorBidi" w:hAnsiTheme="majorBidi" w:cstheme="majorBidi"/>
          <w:i w:val="0"/>
          <w:iCs w:val="0"/>
          <w:color w:val="0F1115"/>
          <w:sz w:val="20"/>
          <w:szCs w:val="20"/>
          <w:shd w:val="clear" w:color="auto" w:fill="FFFFFF"/>
        </w:rPr>
        <w:t>Chronique ONU</w:t>
      </w:r>
      <w:r w:rsidRPr="00AD764A">
        <w:rPr>
          <w:rStyle w:val="lev"/>
          <w:rFonts w:asciiTheme="majorBidi" w:hAnsiTheme="majorBidi" w:cstheme="majorBidi"/>
          <w:color w:val="0F1115"/>
          <w:sz w:val="20"/>
          <w:szCs w:val="20"/>
          <w:shd w:val="clear" w:color="auto" w:fill="FFFFFF"/>
        </w:rPr>
        <w:t>, 7 juin 2024.</w:t>
      </w:r>
    </w:p>
  </w:footnote>
  <w:footnote w:id="146">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Style w:val="lev"/>
          <w:rFonts w:asciiTheme="majorBidi" w:hAnsiTheme="majorBidi" w:cstheme="majorBidi"/>
          <w:color w:val="0F1115"/>
          <w:sz w:val="20"/>
          <w:szCs w:val="20"/>
          <w:shd w:val="clear" w:color="auto" w:fill="FFFFFF"/>
        </w:rPr>
        <w:t>Organisation mondiale de la santé (OMS), « Principaux repères de l’OMS sur la sécurité sanitaire des aliments », </w:t>
      </w:r>
      <w:r w:rsidRPr="00AD764A">
        <w:rPr>
          <w:rStyle w:val="Accentuation"/>
          <w:rFonts w:asciiTheme="majorBidi" w:hAnsiTheme="majorBidi" w:cstheme="majorBidi"/>
          <w:color w:val="0F1115"/>
          <w:sz w:val="20"/>
          <w:szCs w:val="20"/>
          <w:shd w:val="clear" w:color="auto" w:fill="FFFFFF"/>
        </w:rPr>
        <w:t>Aide-mémoire</w:t>
      </w:r>
      <w:r w:rsidRPr="00AD764A">
        <w:rPr>
          <w:rStyle w:val="lev"/>
          <w:rFonts w:asciiTheme="majorBidi" w:hAnsiTheme="majorBidi" w:cstheme="majorBidi"/>
          <w:color w:val="0F1115"/>
          <w:sz w:val="20"/>
          <w:szCs w:val="20"/>
          <w:shd w:val="clear" w:color="auto" w:fill="FFFFFF"/>
        </w:rPr>
        <w:t>, 2024.</w:t>
      </w:r>
    </w:p>
  </w:footnote>
  <w:footnote w:id="14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shd w:val="clear" w:color="auto" w:fill="FFFFFF"/>
        </w:rPr>
        <w:t>ORGANISATION MONDIALE DE LA SANTÉ (OMS)</w:t>
      </w:r>
      <w:r w:rsidRPr="00AD764A">
        <w:rPr>
          <w:rFonts w:asciiTheme="majorBidi" w:hAnsiTheme="majorBidi" w:cstheme="majorBidi"/>
          <w:sz w:val="20"/>
          <w:szCs w:val="20"/>
          <w:shd w:val="clear" w:color="auto" w:fill="FFFFFF"/>
        </w:rPr>
        <w:t>, </w:t>
      </w:r>
      <w:r w:rsidRPr="00AD764A">
        <w:rPr>
          <w:rStyle w:val="Accentuation"/>
          <w:rFonts w:asciiTheme="majorBidi" w:hAnsiTheme="majorBidi" w:cstheme="majorBidi"/>
          <w:color w:val="0F1115"/>
          <w:sz w:val="20"/>
          <w:szCs w:val="20"/>
          <w:shd w:val="clear" w:color="auto" w:fill="FFFFFF"/>
        </w:rPr>
        <w:t>Sécurité sanitaire des aliments</w:t>
      </w:r>
      <w:r w:rsidRPr="00AD764A">
        <w:rPr>
          <w:rFonts w:asciiTheme="majorBidi" w:hAnsiTheme="majorBidi" w:cstheme="majorBidi"/>
          <w:sz w:val="20"/>
          <w:szCs w:val="20"/>
          <w:shd w:val="clear" w:color="auto" w:fill="FFFFFF"/>
        </w:rPr>
        <w:t> [en ligne]. (2024, 4 octobre). Disponible sur : </w:t>
      </w:r>
      <w:hyperlink r:id="rId63" w:tgtFrame="_blank" w:history="1">
        <w:r w:rsidRPr="00AD764A">
          <w:rPr>
            <w:rFonts w:asciiTheme="majorBidi" w:hAnsiTheme="majorBidi" w:cstheme="majorBidi"/>
            <w:sz w:val="20"/>
            <w:szCs w:val="20"/>
          </w:rPr>
          <w:t>https://www.who.int/fr/news-room/fact-sheets/detail/food-safety</w:t>
        </w:r>
      </w:hyperlink>
      <w:r w:rsidRPr="00AD764A">
        <w:rPr>
          <w:rFonts w:asciiTheme="majorBidi" w:hAnsiTheme="majorBidi" w:cstheme="majorBidi"/>
          <w:sz w:val="20"/>
          <w:szCs w:val="20"/>
        </w:rPr>
        <w:t> </w:t>
      </w:r>
      <w:r w:rsidRPr="00AD764A">
        <w:rPr>
          <w:rFonts w:asciiTheme="majorBidi" w:hAnsiTheme="majorBidi" w:cstheme="majorBidi"/>
          <w:sz w:val="20"/>
          <w:szCs w:val="20"/>
          <w:shd w:val="clear" w:color="auto" w:fill="FFFFFF"/>
        </w:rPr>
        <w:t>(consulté le 21 mai 2026).</w:t>
      </w:r>
    </w:p>
  </w:footnote>
  <w:footnote w:id="148">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Office fédéral de la sécurité sanitaire des aliments (BLV),</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Bactéries pathogènes dans les aliments</w:t>
      </w:r>
      <w:r w:rsidRPr="00AD764A">
        <w:rPr>
          <w:rFonts w:asciiTheme="majorBidi" w:hAnsiTheme="majorBidi" w:cstheme="majorBidi"/>
          <w:color w:val="0F1115"/>
          <w:shd w:val="clear" w:color="auto" w:fill="FFFFFF"/>
        </w:rPr>
        <w:t>, BLV, Berne, 2026.</w:t>
      </w:r>
    </w:p>
  </w:footnote>
  <w:footnote w:id="149">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rPr>
        <w:t>Organisation mondiale de la santé (OMS)</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Food safety</w:t>
      </w:r>
      <w:r w:rsidRPr="00AD764A">
        <w:rPr>
          <w:rFonts w:asciiTheme="majorBidi" w:hAnsiTheme="majorBidi" w:cstheme="majorBidi"/>
          <w:color w:val="0F1115"/>
          <w:shd w:val="clear" w:color="auto" w:fill="FFFFFF"/>
        </w:rPr>
        <w:t>, OMS, Genève, 2024.</w:t>
      </w:r>
    </w:p>
  </w:footnote>
  <w:footnote w:id="150">
    <w:p w:rsidR="00B54D3C" w:rsidRPr="00AD764A" w:rsidRDefault="00B54D3C" w:rsidP="007A677E">
      <w:pPr>
        <w:pStyle w:val="Notedebasdepage"/>
        <w:rPr>
          <w:rFonts w:asciiTheme="majorBidi" w:hAnsiTheme="majorBidi" w:cstheme="majorBidi"/>
          <w:rtl/>
          <w:lang w:bidi="ar-DZ"/>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Medscape, </w:t>
      </w:r>
      <w:r w:rsidRPr="00AD764A">
        <w:rPr>
          <w:rStyle w:val="Accentuation"/>
          <w:rFonts w:asciiTheme="majorBidi" w:hAnsiTheme="majorBidi" w:cstheme="majorBidi"/>
          <w:b/>
          <w:bCs/>
          <w:color w:val="0F1115"/>
          <w:shd w:val="clear" w:color="auto" w:fill="FFFFFF"/>
        </w:rPr>
        <w:t>Norovirus</w:t>
      </w:r>
      <w:r w:rsidRPr="00AD764A">
        <w:rPr>
          <w:rStyle w:val="Accentuation"/>
          <w:rFonts w:asciiTheme="majorBidi" w:hAnsiTheme="majorBidi" w:cstheme="majorBidi"/>
          <w:color w:val="0F1115"/>
          <w:shd w:val="clear" w:color="auto" w:fill="FFFFFF"/>
        </w:rPr>
        <w:t xml:space="preserve"> : généralités, contexte, physiopathologie</w:t>
      </w:r>
      <w:r w:rsidRPr="00AD764A">
        <w:rPr>
          <w:rFonts w:asciiTheme="majorBidi" w:hAnsiTheme="majorBidi" w:cstheme="majorBidi"/>
          <w:color w:val="0F1115"/>
          <w:shd w:val="clear" w:color="auto" w:fill="FFFFFF"/>
        </w:rPr>
        <w:t>, Medscape, New York, 2023.</w:t>
      </w:r>
    </w:p>
  </w:footnote>
  <w:footnote w:id="151">
    <w:p w:rsidR="00B54D3C" w:rsidRPr="00AD764A" w:rsidRDefault="00B54D3C" w:rsidP="007A677E">
      <w:pPr>
        <w:pStyle w:val="ds-markdown-paragraph"/>
        <w:shd w:val="clear" w:color="auto" w:fill="FFFFFF"/>
        <w:spacing w:before="0" w:beforeAutospacing="0" w:after="0" w:afterAutospacing="0"/>
        <w:rPr>
          <w:rFonts w:asciiTheme="majorBidi" w:hAnsiTheme="majorBidi" w:cstheme="majorBidi"/>
          <w:color w:val="0F1115"/>
          <w:sz w:val="20"/>
          <w:szCs w:val="20"/>
          <w:rtl/>
          <w:lang w:val="en-GB" w:bidi="ar-DZ"/>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lang w:val="en-GB"/>
        </w:rPr>
        <w:t>Texas DSHS, </w:t>
      </w:r>
      <w:r w:rsidRPr="00AD764A">
        <w:rPr>
          <w:rStyle w:val="Accentuation"/>
          <w:rFonts w:asciiTheme="majorBidi" w:hAnsiTheme="majorBidi" w:cstheme="majorBidi"/>
          <w:b/>
          <w:bCs/>
          <w:color w:val="0F1115"/>
          <w:sz w:val="20"/>
          <w:szCs w:val="20"/>
          <w:lang w:val="en-GB"/>
        </w:rPr>
        <w:t>Hepatitis A</w:t>
      </w:r>
      <w:r w:rsidRPr="00AD764A">
        <w:rPr>
          <w:rFonts w:asciiTheme="majorBidi" w:hAnsiTheme="majorBidi" w:cstheme="majorBidi"/>
          <w:b/>
          <w:bCs/>
          <w:color w:val="0F1115"/>
          <w:sz w:val="20"/>
          <w:szCs w:val="20"/>
          <w:lang w:val="en-GB"/>
        </w:rPr>
        <w:t xml:space="preserve">, </w:t>
      </w:r>
      <w:r w:rsidRPr="00AD764A">
        <w:rPr>
          <w:rFonts w:asciiTheme="majorBidi" w:hAnsiTheme="majorBidi" w:cstheme="majorBidi"/>
          <w:color w:val="0F1115"/>
          <w:sz w:val="20"/>
          <w:szCs w:val="20"/>
          <w:lang w:val="en-GB"/>
        </w:rPr>
        <w:t>Texas Department of State Health Services.</w:t>
      </w:r>
    </w:p>
  </w:footnote>
  <w:footnote w:id="152">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lang w:val="en-GB"/>
        </w:rPr>
        <w:t>EFSA Panel on Biological Hazards (BIOHAZ)</w:t>
      </w:r>
      <w:r w:rsidRPr="00AD764A">
        <w:rPr>
          <w:rFonts w:asciiTheme="majorBidi" w:hAnsiTheme="majorBidi" w:cstheme="majorBidi"/>
          <w:color w:val="0F1115"/>
          <w:shd w:val="clear" w:color="auto" w:fill="FFFFFF"/>
          <w:lang w:val="en-GB"/>
        </w:rPr>
        <w:t>, KOUTSOUMANIS Kostas, ALLENDE Ana, ALVAREZ-ORDÓÑEZ Avelino et al., </w:t>
      </w:r>
      <w:r w:rsidRPr="00AD764A">
        <w:rPr>
          <w:rStyle w:val="Accentuation"/>
          <w:rFonts w:asciiTheme="majorBidi" w:hAnsiTheme="majorBidi" w:cstheme="majorBidi"/>
          <w:color w:val="0F1115"/>
          <w:shd w:val="clear" w:color="auto" w:fill="FFFFFF"/>
          <w:lang w:val="en-GB"/>
        </w:rPr>
        <w:t>Public health risks associated with food</w:t>
      </w:r>
      <w:r w:rsidRPr="00AD764A">
        <w:rPr>
          <w:rStyle w:val="Accentuation"/>
          <w:rFonts w:asciiTheme="majorBidi" w:hAnsiTheme="majorBidi" w:cstheme="majorBidi"/>
          <w:color w:val="0F1115"/>
          <w:shd w:val="clear" w:color="auto" w:fill="FFFFFF"/>
          <w:lang w:val="en-GB"/>
        </w:rPr>
        <w:noBreakHyphen/>
        <w:t>borne parasites</w:t>
      </w:r>
      <w:r w:rsidRPr="00AD764A">
        <w:rPr>
          <w:rFonts w:asciiTheme="majorBidi" w:hAnsiTheme="majorBidi" w:cstheme="majorBidi"/>
          <w:color w:val="0F1115"/>
          <w:shd w:val="clear" w:color="auto" w:fill="FFFFFF"/>
          <w:lang w:val="en-GB"/>
        </w:rPr>
        <w:t>, EFSA/FAO AGRIS, 2024.</w:t>
      </w:r>
    </w:p>
  </w:footnote>
  <w:footnote w:id="153">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shd w:val="clear" w:color="auto" w:fill="FFFFFF"/>
        </w:rPr>
        <w:t>ORGANISATION MONDIALE DE LA SANTÉ (OMS)</w:t>
      </w:r>
      <w:r w:rsidRPr="00AD764A">
        <w:rPr>
          <w:rFonts w:asciiTheme="majorBidi" w:hAnsiTheme="majorBidi" w:cstheme="majorBidi"/>
          <w:sz w:val="20"/>
          <w:szCs w:val="20"/>
          <w:shd w:val="clear" w:color="auto" w:fill="FFFFFF"/>
        </w:rPr>
        <w:t>, </w:t>
      </w:r>
      <w:r w:rsidRPr="00AD764A">
        <w:rPr>
          <w:rStyle w:val="Accentuation"/>
          <w:rFonts w:asciiTheme="majorBidi" w:hAnsiTheme="majorBidi" w:cstheme="majorBidi"/>
          <w:color w:val="0F1115"/>
          <w:sz w:val="20"/>
          <w:szCs w:val="20"/>
          <w:shd w:val="clear" w:color="auto" w:fill="FFFFFF"/>
        </w:rPr>
        <w:t>Sécurité sanitaire des aliments</w:t>
      </w:r>
      <w:r w:rsidRPr="00AD764A">
        <w:rPr>
          <w:rFonts w:asciiTheme="majorBidi" w:hAnsiTheme="majorBidi" w:cstheme="majorBidi"/>
          <w:sz w:val="20"/>
          <w:szCs w:val="20"/>
          <w:shd w:val="clear" w:color="auto" w:fill="FFFFFF"/>
        </w:rPr>
        <w:t> [en ligne]. (2024, 4 octobre). Disponible sur : </w:t>
      </w:r>
      <w:hyperlink r:id="rId64" w:tgtFrame="_blank" w:history="1">
        <w:r w:rsidRPr="00AD764A">
          <w:rPr>
            <w:rFonts w:asciiTheme="majorBidi" w:hAnsiTheme="majorBidi" w:cstheme="majorBidi"/>
            <w:sz w:val="20"/>
            <w:szCs w:val="20"/>
          </w:rPr>
          <w:t>https://www.who.int/fr/news-room/fact-sheets/detail/food-safety</w:t>
        </w:r>
      </w:hyperlink>
      <w:r w:rsidRPr="00AD764A">
        <w:rPr>
          <w:rFonts w:asciiTheme="majorBidi" w:hAnsiTheme="majorBidi" w:cstheme="majorBidi"/>
          <w:sz w:val="20"/>
          <w:szCs w:val="20"/>
        </w:rPr>
        <w:t> </w:t>
      </w:r>
      <w:r w:rsidRPr="00AD764A">
        <w:rPr>
          <w:rFonts w:asciiTheme="majorBidi" w:hAnsiTheme="majorBidi" w:cstheme="majorBidi"/>
          <w:sz w:val="20"/>
          <w:szCs w:val="20"/>
          <w:shd w:val="clear" w:color="auto" w:fill="FFFFFF"/>
        </w:rPr>
        <w:t>(consulté le 21 mai 2026).</w:t>
      </w:r>
    </w:p>
  </w:footnote>
  <w:footnote w:id="154">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Autorité européenne de sécurité des aliments (EFSA)</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Les métaux en tant que contaminants dans les aliments</w:t>
      </w:r>
      <w:r w:rsidRPr="00AD764A">
        <w:rPr>
          <w:rFonts w:asciiTheme="majorBidi" w:hAnsiTheme="majorBidi" w:cstheme="majorBidi"/>
          <w:color w:val="0F1115"/>
          <w:shd w:val="clear" w:color="auto" w:fill="FFFFFF"/>
        </w:rPr>
        <w:t>, EFSA, Parme, 2024.</w:t>
      </w:r>
    </w:p>
  </w:footnote>
  <w:footnote w:id="155">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National Institutes of Health (NIH),</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Impacts des métaux lourds sur la santé publique</w:t>
      </w:r>
      <w:r w:rsidRPr="00AD764A">
        <w:rPr>
          <w:rFonts w:asciiTheme="majorBidi" w:hAnsiTheme="majorBidi" w:cstheme="majorBidi"/>
          <w:color w:val="0F1115"/>
          <w:shd w:val="clear" w:color="auto" w:fill="FFFFFF"/>
        </w:rPr>
        <w:t>, PMC, Bethesda, 2024.</w:t>
      </w:r>
    </w:p>
  </w:footnote>
  <w:footnote w:id="156">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rPr>
        <w:t>ORGANISATION MONDIALE DE LA SANTÉ (OMS)</w:t>
      </w:r>
      <w:r w:rsidRPr="00AD764A">
        <w:rPr>
          <w:rFonts w:asciiTheme="majorBidi" w:hAnsiTheme="majorBidi" w:cstheme="majorBidi"/>
          <w:color w:val="0F1115"/>
          <w:sz w:val="20"/>
          <w:szCs w:val="20"/>
          <w:shd w:val="clear" w:color="auto" w:fill="FFFFFF"/>
        </w:rPr>
        <w:t>, </w:t>
      </w:r>
      <w:r w:rsidRPr="00AD764A">
        <w:rPr>
          <w:rStyle w:val="Accentuation"/>
          <w:rFonts w:asciiTheme="majorBidi" w:hAnsiTheme="majorBidi" w:cstheme="majorBidi"/>
          <w:color w:val="0F1115"/>
          <w:sz w:val="20"/>
          <w:szCs w:val="20"/>
          <w:shd w:val="clear" w:color="auto" w:fill="FFFFFF"/>
        </w:rPr>
        <w:t>op. cit</w:t>
      </w:r>
      <w:r w:rsidRPr="00AD764A">
        <w:rPr>
          <w:rFonts w:asciiTheme="majorBidi" w:hAnsiTheme="majorBidi" w:cstheme="majorBidi"/>
          <w:sz w:val="20"/>
          <w:szCs w:val="20"/>
          <w:shd w:val="clear" w:color="auto" w:fill="FFFFFF"/>
        </w:rPr>
        <w:t>.</w:t>
      </w:r>
    </w:p>
  </w:footnote>
  <w:footnote w:id="15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lang w:val="en-GB"/>
        </w:rPr>
        <w:t xml:space="preserve"> National Center for Biotechnology Information</w:t>
      </w:r>
      <w:r w:rsidRPr="00AD764A">
        <w:rPr>
          <w:rFonts w:asciiTheme="majorBidi" w:hAnsiTheme="majorBidi" w:cstheme="majorBidi"/>
          <w:sz w:val="20"/>
          <w:szCs w:val="20"/>
          <w:lang w:val="en-GB"/>
        </w:rPr>
        <w:t xml:space="preserve">. (2019). Public health risks related to food safety issues in the food market. </w:t>
      </w:r>
      <w:r w:rsidRPr="00AD764A">
        <w:rPr>
          <w:rFonts w:asciiTheme="majorBidi" w:hAnsiTheme="majorBidi" w:cstheme="majorBidi"/>
          <w:sz w:val="20"/>
          <w:szCs w:val="20"/>
        </w:rPr>
        <w:t xml:space="preserve">Journal of Food Safety, pp. 1–10. Disponible sur : </w:t>
      </w:r>
      <w:hyperlink r:id="rId65" w:tgtFrame="_blank" w:history="1">
        <w:r w:rsidRPr="00AD764A">
          <w:rPr>
            <w:rFonts w:asciiTheme="majorBidi" w:hAnsiTheme="majorBidi" w:cstheme="majorBidi"/>
            <w:sz w:val="20"/>
            <w:szCs w:val="20"/>
          </w:rPr>
          <w:t>https://pmc.ncbi.nlm.nih.gov/articles/PMC6885314/</w:t>
        </w:r>
      </w:hyperlink>
      <w:r w:rsidRPr="00AD764A">
        <w:rPr>
          <w:rFonts w:asciiTheme="majorBidi" w:hAnsiTheme="majorBidi" w:cstheme="majorBidi"/>
          <w:sz w:val="20"/>
          <w:szCs w:val="20"/>
        </w:rPr>
        <w:t xml:space="preserve"> (consulté le 15 avril 2026).</w:t>
      </w:r>
    </w:p>
  </w:footnote>
  <w:footnote w:id="158">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shd w:val="clear" w:color="auto" w:fill="FFFFFF"/>
        </w:rPr>
        <w:t>ORGANISATION MONDIALE DE LA SANTÉ (OMS)</w:t>
      </w:r>
      <w:r w:rsidRPr="00AD764A">
        <w:rPr>
          <w:rFonts w:asciiTheme="majorBidi" w:hAnsiTheme="majorBidi" w:cstheme="majorBidi"/>
          <w:color w:val="0F1115"/>
          <w:sz w:val="20"/>
          <w:szCs w:val="20"/>
          <w:shd w:val="clear" w:color="auto" w:fill="FFFFFF"/>
        </w:rPr>
        <w:t>, « Food safety: Pesticide residue » [en ligne], </w:t>
      </w:r>
      <w:r w:rsidRPr="00AD764A">
        <w:rPr>
          <w:rStyle w:val="Accentuation"/>
          <w:rFonts w:asciiTheme="majorBidi" w:hAnsiTheme="majorBidi" w:cstheme="majorBidi"/>
          <w:color w:val="0F1115"/>
          <w:sz w:val="20"/>
          <w:szCs w:val="20"/>
          <w:shd w:val="clear" w:color="auto" w:fill="FFFFFF"/>
        </w:rPr>
        <w:t>WHO Questions &amp; Answers</w:t>
      </w:r>
      <w:r w:rsidRPr="00AD764A">
        <w:rPr>
          <w:rFonts w:asciiTheme="majorBidi" w:hAnsiTheme="majorBidi" w:cstheme="majorBidi"/>
          <w:color w:val="0F1115"/>
          <w:sz w:val="20"/>
          <w:szCs w:val="20"/>
          <w:shd w:val="clear" w:color="auto" w:fill="FFFFFF"/>
        </w:rPr>
        <w:t>, 16 mai 2016. Disponible sur : </w:t>
      </w:r>
      <w:hyperlink r:id="rId66" w:tgtFrame="_blank" w:history="1">
        <w:r w:rsidRPr="00AD764A">
          <w:rPr>
            <w:rFonts w:asciiTheme="majorBidi" w:hAnsiTheme="majorBidi" w:cstheme="majorBidi"/>
            <w:sz w:val="20"/>
            <w:szCs w:val="20"/>
          </w:rPr>
          <w:t>https://www.who.int/news-room/questions-and-answers/item/food-safety-pesticide-residue</w:t>
        </w:r>
      </w:hyperlink>
      <w:r w:rsidRPr="00AD764A">
        <w:rPr>
          <w:rFonts w:asciiTheme="majorBidi" w:hAnsiTheme="majorBidi" w:cstheme="majorBidi"/>
          <w:color w:val="0F1115"/>
          <w:sz w:val="20"/>
          <w:szCs w:val="20"/>
          <w:shd w:val="clear" w:color="auto" w:fill="FFFFFF"/>
        </w:rPr>
        <w:t> (consulté le 21 mai 2026).</w:t>
      </w:r>
    </w:p>
  </w:footnote>
  <w:footnote w:id="159">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lang w:val="en-GB"/>
        </w:rPr>
        <w:t>EUROPEAN FOOD SAFETY AUTHORITY (EFSA) - BELLISAI Giulia et al.</w:t>
      </w:r>
      <w:r w:rsidRPr="00AD764A">
        <w:rPr>
          <w:rFonts w:asciiTheme="majorBidi" w:hAnsiTheme="majorBidi" w:cstheme="majorBidi"/>
          <w:color w:val="0F1115"/>
          <w:sz w:val="20"/>
          <w:szCs w:val="20"/>
          <w:shd w:val="clear" w:color="auto" w:fill="FFFFFF"/>
          <w:lang w:val="en-GB"/>
        </w:rPr>
        <w:t>, « Review of the methodology used for the assessment of the short‐term (acute) dietary exposure to pesticide residues in food (IESTI methodology) » [en ligne], </w:t>
      </w:r>
      <w:r w:rsidRPr="00AD764A">
        <w:rPr>
          <w:rStyle w:val="Accentuation"/>
          <w:rFonts w:asciiTheme="majorBidi" w:hAnsiTheme="majorBidi" w:cstheme="majorBidi"/>
          <w:color w:val="0F1115"/>
          <w:sz w:val="20"/>
          <w:szCs w:val="20"/>
          <w:shd w:val="clear" w:color="auto" w:fill="FFFFFF"/>
          <w:lang w:val="en-GB"/>
        </w:rPr>
        <w:t>EFSA Journal</w:t>
      </w:r>
      <w:r w:rsidRPr="00AD764A">
        <w:rPr>
          <w:rFonts w:asciiTheme="majorBidi" w:hAnsiTheme="majorBidi" w:cstheme="majorBidi"/>
          <w:color w:val="0F1115"/>
          <w:sz w:val="20"/>
          <w:szCs w:val="20"/>
          <w:shd w:val="clear" w:color="auto" w:fill="FFFFFF"/>
          <w:lang w:val="en-GB"/>
        </w:rPr>
        <w:t xml:space="preserve">, Vol. 23, N° 2, février 2025. </w:t>
      </w:r>
      <w:r w:rsidRPr="00AD764A">
        <w:rPr>
          <w:rFonts w:asciiTheme="majorBidi" w:hAnsiTheme="majorBidi" w:cstheme="majorBidi"/>
          <w:color w:val="0F1115"/>
          <w:sz w:val="20"/>
          <w:szCs w:val="20"/>
          <w:shd w:val="clear" w:color="auto" w:fill="FFFFFF"/>
        </w:rPr>
        <w:t>Disponible sur : </w:t>
      </w:r>
      <w:hyperlink r:id="rId67" w:tgtFrame="_blank" w:history="1">
        <w:r w:rsidRPr="00AD764A">
          <w:rPr>
            <w:rFonts w:asciiTheme="majorBidi" w:hAnsiTheme="majorBidi" w:cstheme="majorBidi"/>
            <w:sz w:val="20"/>
            <w:szCs w:val="20"/>
          </w:rPr>
          <w:t>https://pmc.ncbi.nlm.nih.gov/articles/PMC11843168/</w:t>
        </w:r>
      </w:hyperlink>
      <w:r w:rsidRPr="00AD764A">
        <w:rPr>
          <w:rFonts w:asciiTheme="majorBidi" w:hAnsiTheme="majorBidi" w:cstheme="majorBidi"/>
          <w:color w:val="0F1115"/>
          <w:sz w:val="20"/>
          <w:szCs w:val="20"/>
          <w:shd w:val="clear" w:color="auto" w:fill="FFFFFF"/>
        </w:rPr>
        <w:t> (consulté le 21 mai 2026).</w:t>
      </w:r>
    </w:p>
  </w:footnote>
  <w:footnote w:id="160">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rPr>
        <w:t>CARMICHAEL Suzan et al.,</w:t>
      </w:r>
      <w:r w:rsidRPr="00AD764A">
        <w:rPr>
          <w:rFonts w:asciiTheme="majorBidi" w:hAnsiTheme="majorBidi" w:cstheme="majorBidi"/>
          <w:color w:val="0F1115"/>
          <w:sz w:val="20"/>
          <w:szCs w:val="20"/>
          <w:shd w:val="clear" w:color="auto" w:fill="FFFFFF"/>
        </w:rPr>
        <w:t xml:space="preserve"> « Lien faible entre l'exposition aux pesticides et une malformation congénitale chez le nourrisson de sexe masculin », </w:t>
      </w:r>
      <w:r w:rsidRPr="00AD764A">
        <w:rPr>
          <w:rStyle w:val="Accentuation"/>
          <w:rFonts w:asciiTheme="majorBidi" w:hAnsiTheme="majorBidi" w:cstheme="majorBidi"/>
          <w:color w:val="0F1115"/>
          <w:sz w:val="20"/>
          <w:szCs w:val="20"/>
          <w:shd w:val="clear" w:color="auto" w:fill="FFFFFF"/>
        </w:rPr>
        <w:t>Pediatrics</w:t>
      </w:r>
      <w:r w:rsidRPr="00AD764A">
        <w:rPr>
          <w:rFonts w:asciiTheme="majorBidi" w:hAnsiTheme="majorBidi" w:cstheme="majorBidi"/>
          <w:color w:val="0F1115"/>
          <w:sz w:val="20"/>
          <w:szCs w:val="20"/>
          <w:shd w:val="clear" w:color="auto" w:fill="FFFFFF"/>
        </w:rPr>
        <w:t>, Ed American Academy of Pediatrics, Stanford (Californie), 28 octobre 2013, pp 1-8.</w:t>
      </w:r>
    </w:p>
  </w:footnote>
  <w:footnote w:id="161">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lang w:val="en-GB"/>
        </w:rPr>
        <w:t xml:space="preserve">GIANNAKAS, Konstantinos et YIANNAKA, Amalia, </w:t>
      </w:r>
      <w:r w:rsidRPr="00AD764A">
        <w:rPr>
          <w:rFonts w:asciiTheme="majorBidi" w:hAnsiTheme="majorBidi" w:cstheme="majorBidi"/>
          <w:color w:val="0F1115"/>
          <w:sz w:val="20"/>
          <w:szCs w:val="20"/>
          <w:shd w:val="clear" w:color="auto" w:fill="FFFFFF"/>
          <w:lang w:val="en-GB"/>
        </w:rPr>
        <w:t>« Food Fraud: a persistent problem that demands a comprehensive approach », </w:t>
      </w:r>
      <w:r w:rsidRPr="00AD764A">
        <w:rPr>
          <w:rStyle w:val="Accentuation"/>
          <w:rFonts w:asciiTheme="majorBidi" w:hAnsiTheme="majorBidi" w:cstheme="majorBidi"/>
          <w:color w:val="0F1115"/>
          <w:sz w:val="20"/>
          <w:szCs w:val="20"/>
          <w:shd w:val="clear" w:color="auto" w:fill="FFFFFF"/>
          <w:lang w:val="en-GB"/>
        </w:rPr>
        <w:t>Journal of Consumer Protection and Food Safety</w:t>
      </w:r>
      <w:r w:rsidRPr="00AD764A">
        <w:rPr>
          <w:rFonts w:asciiTheme="majorBidi" w:hAnsiTheme="majorBidi" w:cstheme="majorBidi"/>
          <w:color w:val="0F1115"/>
          <w:sz w:val="20"/>
          <w:szCs w:val="20"/>
          <w:shd w:val="clear" w:color="auto" w:fill="FFFFFF"/>
          <w:lang w:val="en-GB"/>
        </w:rPr>
        <w:t>, Vol. 18, Ed Springer, Amsterdam, 2023, pp 359-360.</w:t>
      </w:r>
    </w:p>
  </w:footnote>
  <w:footnote w:id="162">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rPr>
        <w:t xml:space="preserve">AUTORITÉ DE SÉCURITÉ SANITAIRE DES ALIMENTS DE LA NOUVELLE-GALLES DU SUD (NSW FOOD AUTHORITY), </w:t>
      </w:r>
      <w:r w:rsidRPr="00AD764A">
        <w:rPr>
          <w:rFonts w:asciiTheme="majorBidi" w:hAnsiTheme="majorBidi" w:cstheme="majorBidi"/>
          <w:color w:val="0F1115"/>
          <w:sz w:val="20"/>
          <w:szCs w:val="20"/>
          <w:shd w:val="clear" w:color="auto" w:fill="FFFFFF"/>
        </w:rPr>
        <w:t>« Un fabricant de laits végétaux condamné à une amende de 120 000 dollars pour étiquetage incorrect », </w:t>
      </w:r>
      <w:r w:rsidRPr="00AD764A">
        <w:rPr>
          <w:rStyle w:val="Accentuation"/>
          <w:rFonts w:asciiTheme="majorBidi" w:hAnsiTheme="majorBidi" w:cstheme="majorBidi"/>
          <w:color w:val="0F1115"/>
          <w:sz w:val="20"/>
          <w:szCs w:val="20"/>
          <w:shd w:val="clear" w:color="auto" w:fill="FFFFFF"/>
        </w:rPr>
        <w:t>Actualités de la NSW Food Authority</w:t>
      </w:r>
      <w:r w:rsidRPr="00AD764A">
        <w:rPr>
          <w:rFonts w:asciiTheme="majorBidi" w:hAnsiTheme="majorBidi" w:cstheme="majorBidi"/>
          <w:color w:val="0F1115"/>
          <w:sz w:val="20"/>
          <w:szCs w:val="20"/>
          <w:shd w:val="clear" w:color="auto" w:fill="FFFFFF"/>
        </w:rPr>
        <w:t>, Ed Gouvernement de la Nouvelle-Galles du Sud, Sydney, 4 décembre 2025, pp 1-4.</w:t>
      </w:r>
    </w:p>
  </w:footnote>
  <w:footnote w:id="163">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Service Biosécurité et Biotechnologie (SBB)</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Évaluation des risques biologiques</w:t>
      </w:r>
      <w:r w:rsidRPr="00AD764A">
        <w:rPr>
          <w:rFonts w:asciiTheme="majorBidi" w:hAnsiTheme="majorBidi" w:cstheme="majorBidi"/>
          <w:sz w:val="20"/>
          <w:szCs w:val="20"/>
        </w:rPr>
        <w:t xml:space="preserve"> [en ligne]. (date de création non précisée, date de mise à jour non précisée) Disponible sur : </w:t>
      </w:r>
      <w:hyperlink r:id="rId68" w:tgtFrame="_new" w:history="1">
        <w:r w:rsidRPr="00AD764A">
          <w:rPr>
            <w:rStyle w:val="Lienhypertexte"/>
            <w:rFonts w:asciiTheme="majorBidi" w:hAnsiTheme="majorBidi" w:cstheme="majorBidi"/>
            <w:sz w:val="20"/>
            <w:szCs w:val="20"/>
          </w:rPr>
          <w:t>https://www.biosecurite.be/content/evaluation-des-risques-biologiques</w:t>
        </w:r>
      </w:hyperlink>
      <w:r w:rsidRPr="00AD764A">
        <w:rPr>
          <w:rFonts w:asciiTheme="majorBidi" w:hAnsiTheme="majorBidi" w:cstheme="majorBidi"/>
          <w:sz w:val="20"/>
          <w:szCs w:val="20"/>
        </w:rPr>
        <w:t xml:space="preserve"> (consulté le 01 mai 2026).</w:t>
      </w:r>
    </w:p>
  </w:footnote>
  <w:footnote w:id="164">
    <w:p w:rsidR="00B54D3C" w:rsidRPr="00AD764A" w:rsidRDefault="00B54D3C" w:rsidP="007A677E">
      <w:pPr>
        <w:spacing w:after="0"/>
        <w:rPr>
          <w:rFonts w:asciiTheme="majorBidi" w:eastAsia="Times New Roman" w:hAnsiTheme="majorBidi" w:cstheme="majorBidi"/>
          <w:sz w:val="20"/>
          <w:szCs w:val="20"/>
          <w:lang w:val="en-GB" w:eastAsia="fr-FR"/>
        </w:rPr>
      </w:pPr>
      <w:r w:rsidRPr="00AD764A">
        <w:rPr>
          <w:rStyle w:val="Appelnotedebasdep"/>
          <w:rFonts w:asciiTheme="majorBidi" w:hAnsiTheme="majorBidi" w:cstheme="majorBidi"/>
          <w:sz w:val="20"/>
          <w:szCs w:val="20"/>
        </w:rPr>
        <w:footnoteRef/>
      </w:r>
      <w:r w:rsidRPr="00AD764A">
        <w:rPr>
          <w:rFonts w:asciiTheme="majorBidi" w:eastAsia="Times New Roman" w:hAnsiTheme="majorBidi" w:cstheme="majorBidi"/>
          <w:b/>
          <w:bCs/>
          <w:sz w:val="20"/>
          <w:szCs w:val="20"/>
          <w:lang w:val="en-GB" w:eastAsia="fr-FR"/>
        </w:rPr>
        <w:t>Food and Agriculture Organization</w:t>
      </w:r>
      <w:r w:rsidRPr="00AD764A">
        <w:rPr>
          <w:rFonts w:asciiTheme="majorBidi" w:eastAsia="Times New Roman" w:hAnsiTheme="majorBidi" w:cstheme="majorBidi"/>
          <w:sz w:val="20"/>
          <w:szCs w:val="20"/>
          <w:lang w:val="en-GB" w:eastAsia="fr-FR"/>
        </w:rPr>
        <w:t>, Food safety risk management: Evidence-informed policies and decisions, considering multiple factors, 2017.</w:t>
      </w:r>
    </w:p>
  </w:footnote>
  <w:footnote w:id="165">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lang w:val="en-GB"/>
        </w:rPr>
        <w:t>European Food Safety Authority (EFSA)</w:t>
      </w:r>
      <w:r w:rsidRPr="00AD764A">
        <w:rPr>
          <w:rFonts w:asciiTheme="majorBidi" w:hAnsiTheme="majorBidi" w:cstheme="majorBidi"/>
          <w:color w:val="0F1115"/>
          <w:sz w:val="20"/>
          <w:szCs w:val="20"/>
          <w:shd w:val="clear" w:color="auto" w:fill="FFFFFF"/>
          <w:lang w:val="en-GB"/>
        </w:rPr>
        <w:t>, </w:t>
      </w:r>
      <w:r w:rsidRPr="00AD764A">
        <w:rPr>
          <w:rStyle w:val="Accentuation"/>
          <w:rFonts w:asciiTheme="majorBidi" w:hAnsiTheme="majorBidi" w:cstheme="majorBidi"/>
          <w:color w:val="0F1115"/>
          <w:sz w:val="20"/>
          <w:szCs w:val="20"/>
          <w:shd w:val="clear" w:color="auto" w:fill="FFFFFF"/>
          <w:lang w:val="en-GB"/>
        </w:rPr>
        <w:t>Chemical contaminants in food and feed</w:t>
      </w:r>
      <w:r w:rsidRPr="00AD764A">
        <w:rPr>
          <w:rFonts w:asciiTheme="majorBidi" w:hAnsiTheme="majorBidi" w:cstheme="majorBidi"/>
          <w:color w:val="0F1115"/>
          <w:sz w:val="20"/>
          <w:szCs w:val="20"/>
          <w:shd w:val="clear" w:color="auto" w:fill="FFFFFF"/>
          <w:lang w:val="en-GB"/>
        </w:rPr>
        <w:t>, EFSA, Parme, 2024.</w:t>
      </w:r>
    </w:p>
  </w:footnote>
  <w:footnote w:id="166">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lang w:val="en-GB"/>
        </w:rPr>
        <w:t xml:space="preserve">SOLIMAN Mustafa, AL-AKEEL Rasha, AL-GHAMDI Mariam et al., </w:t>
      </w:r>
      <w:r w:rsidRPr="00AD764A">
        <w:rPr>
          <w:rFonts w:asciiTheme="majorBidi" w:hAnsiTheme="majorBidi" w:cstheme="majorBidi"/>
          <w:color w:val="0F1115"/>
          <w:sz w:val="20"/>
          <w:szCs w:val="20"/>
          <w:shd w:val="clear" w:color="auto" w:fill="FFFFFF"/>
          <w:lang w:val="en-GB"/>
        </w:rPr>
        <w:t>« Trophic transfer of heavy metals across a food chain in a wastewater-irrigated agroecosystem », </w:t>
      </w:r>
      <w:r w:rsidRPr="00AD764A">
        <w:rPr>
          <w:rStyle w:val="Accentuation"/>
          <w:rFonts w:asciiTheme="majorBidi" w:hAnsiTheme="majorBidi" w:cstheme="majorBidi"/>
          <w:color w:val="0F1115"/>
          <w:sz w:val="20"/>
          <w:szCs w:val="20"/>
          <w:shd w:val="clear" w:color="auto" w:fill="FFFFFF"/>
          <w:lang w:val="en-GB"/>
        </w:rPr>
        <w:t>Environmental Monitoring &amp; Assessment</w:t>
      </w:r>
      <w:r w:rsidRPr="00AD764A">
        <w:rPr>
          <w:rFonts w:asciiTheme="majorBidi" w:hAnsiTheme="majorBidi" w:cstheme="majorBidi"/>
          <w:color w:val="0F1115"/>
          <w:sz w:val="20"/>
          <w:szCs w:val="20"/>
          <w:shd w:val="clear" w:color="auto" w:fill="FFFFFF"/>
          <w:lang w:val="en-GB"/>
        </w:rPr>
        <w:t>, vol. 196, n° 11, 2024, pp. 1-16.</w:t>
      </w:r>
    </w:p>
  </w:footnote>
  <w:footnote w:id="167">
    <w:p w:rsidR="00B54D3C" w:rsidRPr="00AD764A" w:rsidRDefault="00B54D3C" w:rsidP="007A677E">
      <w:pPr>
        <w:spacing w:after="0"/>
        <w:rPr>
          <w:rFonts w:asciiTheme="majorBidi" w:eastAsia="Times New Roman" w:hAnsiTheme="majorBidi" w:cstheme="majorBidi"/>
          <w:sz w:val="20"/>
          <w:szCs w:val="20"/>
          <w:lang w:val="en-GB" w:eastAsia="fr-FR"/>
        </w:rPr>
      </w:pPr>
      <w:r w:rsidRPr="00AD764A">
        <w:rPr>
          <w:rStyle w:val="Appelnotedebasdep"/>
          <w:rFonts w:asciiTheme="majorBidi" w:hAnsiTheme="majorBidi" w:cstheme="majorBidi"/>
          <w:sz w:val="20"/>
          <w:szCs w:val="20"/>
        </w:rPr>
        <w:footnoteRef/>
      </w:r>
      <w:r w:rsidRPr="00AD764A">
        <w:rPr>
          <w:rFonts w:asciiTheme="majorBidi" w:eastAsia="Times New Roman" w:hAnsiTheme="majorBidi" w:cstheme="majorBidi"/>
          <w:b/>
          <w:bCs/>
          <w:sz w:val="20"/>
          <w:szCs w:val="20"/>
          <w:lang w:val="en-GB" w:eastAsia="fr-FR"/>
        </w:rPr>
        <w:t>Food and Agriculture Organization</w:t>
      </w:r>
      <w:r w:rsidRPr="00AD764A">
        <w:rPr>
          <w:rFonts w:asciiTheme="majorBidi" w:eastAsia="Times New Roman" w:hAnsiTheme="majorBidi" w:cstheme="majorBidi"/>
          <w:sz w:val="20"/>
          <w:szCs w:val="20"/>
          <w:lang w:val="en-GB" w:eastAsia="fr-FR"/>
        </w:rPr>
        <w:t>, Food safety risk management: Evidence-informed policies and decisions, considering multiple factors, 2017.</w:t>
      </w:r>
    </w:p>
  </w:footnote>
  <w:footnote w:id="168">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shd w:val="clear" w:color="auto" w:fill="FFFFFF"/>
        </w:rPr>
        <w:t>GIAMPIERI F. et al.,</w:t>
      </w:r>
      <w:r w:rsidRPr="00AD764A">
        <w:rPr>
          <w:rFonts w:asciiTheme="majorBidi" w:hAnsiTheme="majorBidi" w:cstheme="majorBidi"/>
          <w:color w:val="0F1115"/>
          <w:sz w:val="20"/>
          <w:szCs w:val="20"/>
          <w:shd w:val="clear" w:color="auto" w:fill="FFFFFF"/>
        </w:rPr>
        <w:t xml:space="preserve"> « Aliments d'origine végétale biologiques vs conventionnels : une revue », </w:t>
      </w:r>
      <w:r w:rsidRPr="00AD764A">
        <w:rPr>
          <w:rStyle w:val="Accentuation"/>
          <w:rFonts w:asciiTheme="majorBidi" w:hAnsiTheme="majorBidi" w:cstheme="majorBidi"/>
          <w:color w:val="0F1115"/>
          <w:sz w:val="20"/>
          <w:szCs w:val="20"/>
          <w:shd w:val="clear" w:color="auto" w:fill="FFFFFF"/>
        </w:rPr>
        <w:t>Food Chemistry</w:t>
      </w:r>
      <w:r w:rsidRPr="00AD764A">
        <w:rPr>
          <w:rFonts w:asciiTheme="majorBidi" w:hAnsiTheme="majorBidi" w:cstheme="majorBidi"/>
          <w:color w:val="0F1115"/>
          <w:sz w:val="20"/>
          <w:szCs w:val="20"/>
          <w:shd w:val="clear" w:color="auto" w:fill="FFFFFF"/>
        </w:rPr>
        <w:t>, vol. 383, Elsevier, Amsterdam, 2022.</w:t>
      </w:r>
    </w:p>
  </w:footnote>
  <w:footnote w:id="16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rPr>
        <w:t>SI</w:t>
      </w:r>
      <w:r w:rsidRPr="00AD764A">
        <w:rPr>
          <w:rFonts w:asciiTheme="majorBidi" w:hAnsiTheme="majorBidi" w:cstheme="majorBidi"/>
          <w:b/>
          <w:bCs/>
          <w:i/>
          <w:iCs/>
          <w:color w:val="0F1115"/>
          <w:shd w:val="clear" w:color="auto" w:fill="FFFFFF"/>
        </w:rPr>
        <w:t xml:space="preserve">MRAN S., AMIN G. et KAUSAR F., </w:t>
      </w:r>
      <w:r w:rsidRPr="00AD764A">
        <w:rPr>
          <w:rFonts w:asciiTheme="majorBidi" w:hAnsiTheme="majorBidi" w:cstheme="majorBidi"/>
          <w:i/>
          <w:iCs/>
          <w:color w:val="0F1115"/>
          <w:shd w:val="clear" w:color="auto" w:fill="FFFFFF"/>
        </w:rPr>
        <w:t>« Le rôle des pratiques biologiques et conventionnelles dans la production de légumes », </w:t>
      </w:r>
      <w:r w:rsidRPr="00AD764A">
        <w:rPr>
          <w:rStyle w:val="Accentuation"/>
          <w:rFonts w:asciiTheme="majorBidi" w:hAnsiTheme="majorBidi" w:cstheme="majorBidi"/>
          <w:i w:val="0"/>
          <w:iCs w:val="0"/>
          <w:color w:val="0F1115"/>
          <w:shd w:val="clear" w:color="auto" w:fill="FFFFFF"/>
        </w:rPr>
        <w:t>Journal of Horticultural Science and Technology</w:t>
      </w:r>
      <w:r w:rsidRPr="00AD764A">
        <w:rPr>
          <w:rFonts w:asciiTheme="majorBidi" w:hAnsiTheme="majorBidi" w:cstheme="majorBidi"/>
          <w:i/>
          <w:iCs/>
          <w:color w:val="0F1115"/>
          <w:shd w:val="clear" w:color="auto" w:fill="FFFFFF"/>
        </w:rPr>
        <w:t>, Ed Société des sciences horticoles, 2026.</w:t>
      </w:r>
    </w:p>
  </w:footnote>
  <w:footnote w:id="17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JANKOWSKA Magdalena, KACZYŃSKI Piotr, HRYNKO Izabela et al</w:t>
      </w:r>
      <w:r w:rsidRPr="00AD764A">
        <w:rPr>
          <w:rFonts w:asciiTheme="majorBidi" w:hAnsiTheme="majorBidi" w:cstheme="majorBidi"/>
          <w:color w:val="0F1115"/>
          <w:shd w:val="clear" w:color="auto" w:fill="FFFFFF"/>
        </w:rPr>
        <w:t>., « Évaluation du risque alimentaire pour les enfants et les adultes consommant des fruits et légumes présentant de multiples résidus de pesticides », </w:t>
      </w:r>
      <w:r w:rsidRPr="00AD764A">
        <w:rPr>
          <w:rStyle w:val="Accentuation"/>
          <w:rFonts w:asciiTheme="majorBidi" w:hAnsiTheme="majorBidi" w:cstheme="majorBidi"/>
          <w:color w:val="0F1115"/>
          <w:shd w:val="clear" w:color="auto" w:fill="FFFFFF"/>
        </w:rPr>
        <w:t>Chemosphere</w:t>
      </w:r>
      <w:r w:rsidRPr="00AD764A">
        <w:rPr>
          <w:rFonts w:asciiTheme="majorBidi" w:hAnsiTheme="majorBidi" w:cstheme="majorBidi"/>
          <w:color w:val="0F1115"/>
          <w:shd w:val="clear" w:color="auto" w:fill="FFFFFF"/>
        </w:rPr>
        <w:t>, vol. 369, Ed Elsevier, Amsterdam, décembre 2024, article 143858.</w:t>
      </w:r>
    </w:p>
  </w:footnote>
  <w:footnote w:id="171">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b/>
          <w:bCs/>
          <w:sz w:val="20"/>
          <w:szCs w:val="20"/>
        </w:rPr>
        <w:t>Générations Futures</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Menu bio : faut-il avoir peur ?</w:t>
      </w:r>
      <w:r w:rsidRPr="00AD764A">
        <w:rPr>
          <w:rFonts w:asciiTheme="majorBidi" w:hAnsiTheme="majorBidi" w:cstheme="majorBidi"/>
          <w:sz w:val="20"/>
          <w:szCs w:val="20"/>
        </w:rPr>
        <w:t xml:space="preserve"> [en ligne]. (2011, mise à jour non précisée) Disponible sur : </w:t>
      </w:r>
      <w:hyperlink r:id="rId69" w:tgtFrame="_new" w:history="1">
        <w:r w:rsidRPr="00AD764A">
          <w:rPr>
            <w:rStyle w:val="Lienhypertexte"/>
            <w:rFonts w:asciiTheme="majorBidi" w:hAnsiTheme="majorBidi" w:cstheme="majorBidi"/>
            <w:sz w:val="20"/>
            <w:szCs w:val="20"/>
          </w:rPr>
          <w:t>https://www.generations-futures.fr/wp-content/uploads/2017/05/doc_menubio_151211.pdf</w:t>
        </w:r>
      </w:hyperlink>
      <w:r w:rsidRPr="00AD764A">
        <w:rPr>
          <w:rFonts w:asciiTheme="majorBidi" w:hAnsiTheme="majorBidi" w:cstheme="majorBidi"/>
          <w:sz w:val="20"/>
          <w:szCs w:val="20"/>
        </w:rPr>
        <w:t xml:space="preserve"> (consulté le 01 mai 2026). </w:t>
      </w:r>
    </w:p>
    <w:p w:rsidR="00B54D3C" w:rsidRPr="00AD764A" w:rsidRDefault="00B54D3C" w:rsidP="007A677E">
      <w:pPr>
        <w:spacing w:after="0"/>
        <w:rPr>
          <w:rFonts w:asciiTheme="majorBidi" w:hAnsiTheme="majorBidi" w:cstheme="majorBidi"/>
          <w:sz w:val="20"/>
          <w:szCs w:val="20"/>
        </w:rPr>
      </w:pPr>
    </w:p>
  </w:footnote>
  <w:footnote w:id="172">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Style w:val="lev"/>
          <w:rFonts w:asciiTheme="majorBidi" w:hAnsiTheme="majorBidi" w:cstheme="majorBidi"/>
          <w:sz w:val="20"/>
          <w:szCs w:val="20"/>
        </w:rPr>
        <w:t>FAO/OMS, Codex Alimentarius : Normes et lignes directrices pour la sécurité alimentaire [en ligne].</w:t>
      </w:r>
      <w:r w:rsidRPr="00AD764A">
        <w:rPr>
          <w:rFonts w:asciiTheme="majorBidi" w:hAnsiTheme="majorBidi" w:cstheme="majorBidi"/>
          <w:sz w:val="20"/>
          <w:szCs w:val="20"/>
        </w:rPr>
        <w:t xml:space="preserve"> (1963, mis à jour 2023) Disponible sur : </w:t>
      </w:r>
      <w:hyperlink r:id="rId70" w:tgtFrame="_new" w:history="1">
        <w:r w:rsidRPr="00AD764A">
          <w:rPr>
            <w:rStyle w:val="Lienhypertexte"/>
            <w:rFonts w:asciiTheme="majorBidi" w:hAnsiTheme="majorBidi" w:cstheme="majorBidi"/>
            <w:color w:val="auto"/>
            <w:sz w:val="20"/>
            <w:szCs w:val="20"/>
          </w:rPr>
          <w:t>https://www.fao.org/fao-who-codexalimentarius/fr/</w:t>
        </w:r>
      </w:hyperlink>
      <w:r w:rsidRPr="00AD764A">
        <w:rPr>
          <w:rFonts w:asciiTheme="majorBidi" w:hAnsiTheme="majorBidi" w:cstheme="majorBidi"/>
          <w:sz w:val="20"/>
          <w:szCs w:val="20"/>
        </w:rPr>
        <w:t xml:space="preserve"> (Consulté le 18/03/2026)</w:t>
      </w:r>
    </w:p>
  </w:footnote>
  <w:footnote w:id="173">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Style w:val="lev"/>
          <w:rFonts w:asciiTheme="majorBidi" w:hAnsiTheme="majorBidi" w:cstheme="majorBidi"/>
          <w:sz w:val="20"/>
          <w:szCs w:val="20"/>
        </w:rPr>
        <w:t>Union européenne, Règlement (CE) n° 178/2002 du Parlement européen et du Conseil du 28 janvier 2002 établissant les principes généraux et les prescriptions générales de la législation alimentaire [en ligne].</w:t>
      </w:r>
      <w:r w:rsidRPr="00AD764A">
        <w:rPr>
          <w:rFonts w:asciiTheme="majorBidi" w:hAnsiTheme="majorBidi" w:cstheme="majorBidi"/>
          <w:sz w:val="20"/>
          <w:szCs w:val="20"/>
        </w:rPr>
        <w:t xml:space="preserve"> (2002) Disponible sur : </w:t>
      </w:r>
      <w:hyperlink r:id="rId71" w:tgtFrame="_new" w:history="1">
        <w:r w:rsidRPr="00AD764A">
          <w:rPr>
            <w:rStyle w:val="Lienhypertexte"/>
            <w:rFonts w:asciiTheme="majorBidi" w:hAnsiTheme="majorBidi" w:cstheme="majorBidi"/>
            <w:sz w:val="20"/>
            <w:szCs w:val="20"/>
          </w:rPr>
          <w:t>https://eur-lex.europa.eu/legal-content/FR/TXT/?uri=CELEX%3A32002R0178</w:t>
        </w:r>
      </w:hyperlink>
      <w:r w:rsidRPr="00AD764A">
        <w:rPr>
          <w:rFonts w:asciiTheme="majorBidi" w:hAnsiTheme="majorBidi" w:cstheme="majorBidi"/>
          <w:sz w:val="20"/>
          <w:szCs w:val="20"/>
        </w:rPr>
        <w:t xml:space="preserve"> (Consulté le 19/03/2026)</w:t>
      </w:r>
    </w:p>
  </w:footnote>
  <w:footnote w:id="174">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Ministère de l’Agriculture et de la Souveraineté alimentaire, La réglementation sur l’hygiène des aliments [en ligne].</w:t>
      </w:r>
      <w:r w:rsidRPr="00AD764A">
        <w:rPr>
          <w:rFonts w:asciiTheme="majorBidi" w:hAnsiTheme="majorBidi" w:cstheme="majorBidi"/>
          <w:sz w:val="20"/>
          <w:szCs w:val="20"/>
        </w:rPr>
        <w:t xml:space="preserve"> (s.d) Disponible sur : </w:t>
      </w:r>
      <w:hyperlink r:id="rId72" w:tgtFrame="_new" w:history="1">
        <w:r w:rsidRPr="00AD764A">
          <w:rPr>
            <w:rStyle w:val="Lienhypertexte"/>
            <w:rFonts w:asciiTheme="majorBidi" w:hAnsiTheme="majorBidi" w:cstheme="majorBidi"/>
            <w:sz w:val="20"/>
            <w:szCs w:val="20"/>
          </w:rPr>
          <w:t>https://agriculture.gouv.fr/la-reglementation-sur-lhygiene-des-aliments</w:t>
        </w:r>
      </w:hyperlink>
      <w:r w:rsidRPr="00AD764A">
        <w:rPr>
          <w:rFonts w:asciiTheme="majorBidi" w:hAnsiTheme="majorBidi" w:cstheme="majorBidi"/>
          <w:sz w:val="20"/>
          <w:szCs w:val="20"/>
        </w:rPr>
        <w:t xml:space="preserve"> (Consulté le 19/03/2026)</w:t>
      </w:r>
    </w:p>
  </w:footnote>
  <w:footnote w:id="17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Bilal Arselane</w:t>
      </w:r>
      <w:r w:rsidRPr="00AD764A">
        <w:rPr>
          <w:rFonts w:asciiTheme="majorBidi" w:hAnsiTheme="majorBidi" w:cstheme="majorBidi"/>
          <w:sz w:val="20"/>
          <w:szCs w:val="20"/>
        </w:rPr>
        <w:t xml:space="preserve">, « Le cadre juridique et normatif de la sécurité alimentaire en Algérie », </w:t>
      </w:r>
      <w:r w:rsidRPr="00AD764A">
        <w:rPr>
          <w:rStyle w:val="Accentuation"/>
          <w:rFonts w:asciiTheme="majorBidi" w:hAnsiTheme="majorBidi" w:cstheme="majorBidi"/>
          <w:sz w:val="20"/>
          <w:szCs w:val="20"/>
        </w:rPr>
        <w:t>Revue du financement, de l’investissement et du développement durable</w:t>
      </w:r>
      <w:r w:rsidRPr="00AD764A">
        <w:rPr>
          <w:rFonts w:asciiTheme="majorBidi" w:hAnsiTheme="majorBidi" w:cstheme="majorBidi"/>
          <w:sz w:val="20"/>
          <w:szCs w:val="20"/>
        </w:rPr>
        <w:t>, vol. 9, n° 1, juin 2024, ISSN : 2507-7244, p. 736.</w:t>
      </w:r>
    </w:p>
  </w:footnote>
  <w:footnote w:id="176">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Ministère du Commerce et de la Promotion des Exportations</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Travail final relatif à la loi n°09-03</w:t>
      </w:r>
      <w:r w:rsidRPr="00AD764A">
        <w:rPr>
          <w:rFonts w:asciiTheme="majorBidi" w:hAnsiTheme="majorBidi" w:cstheme="majorBidi"/>
          <w:sz w:val="20"/>
          <w:szCs w:val="20"/>
        </w:rPr>
        <w:t xml:space="preserve"> [en ligne]. Disponible sur : </w:t>
      </w:r>
      <w:hyperlink r:id="rId73" w:tgtFrame="_blank" w:history="1">
        <w:r w:rsidRPr="00AD764A">
          <w:rPr>
            <w:rStyle w:val="Lienhypertexte"/>
            <w:rFonts w:asciiTheme="majorBidi" w:hAnsiTheme="majorBidi" w:cstheme="majorBidi"/>
            <w:sz w:val="20"/>
            <w:szCs w:val="20"/>
          </w:rPr>
          <w:t>Ministère du Commerce et de la Promotion des Exportations</w:t>
        </w:r>
      </w:hyperlink>
      <w:r w:rsidRPr="00AD764A">
        <w:rPr>
          <w:rFonts w:asciiTheme="majorBidi" w:hAnsiTheme="majorBidi" w:cstheme="majorBidi"/>
          <w:sz w:val="20"/>
          <w:szCs w:val="20"/>
        </w:rPr>
        <w:t xml:space="preserve"> (consulté le 16 mai 2026). </w:t>
      </w:r>
    </w:p>
  </w:footnote>
  <w:footnote w:id="17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u w:val="single"/>
        </w:rPr>
        <w:t>Arrêté interministériel du 1er décembre 2020 fixant les conditions et les modalités de mise en œuvre du système d’analyse des dangers et des points critiques pour leur maîtrise (HACCP)</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Journal officiel de la République algérienne démocratique et populaire</w:t>
      </w:r>
      <w:r w:rsidRPr="00AD764A">
        <w:rPr>
          <w:rFonts w:asciiTheme="majorBidi" w:hAnsiTheme="majorBidi" w:cstheme="majorBidi"/>
          <w:sz w:val="20"/>
          <w:szCs w:val="20"/>
        </w:rPr>
        <w:t>, n° 07, Alger, 31 janvier 2021, pp. 15-17.</w:t>
      </w:r>
    </w:p>
  </w:footnote>
  <w:footnote w:id="178">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u w:val="single"/>
        </w:rPr>
        <w:t>Décret exécutif n° 17-140 du 11 avril 2017 fixant les conditions d’hygiène et de salubrité lors du processus de mise à la consommation humaine des denrées alimentaires</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Journal officiel de la République algérienne démocratique et populaire</w:t>
      </w:r>
      <w:r w:rsidRPr="00AD764A">
        <w:rPr>
          <w:rFonts w:asciiTheme="majorBidi" w:hAnsiTheme="majorBidi" w:cstheme="majorBidi"/>
          <w:sz w:val="20"/>
          <w:szCs w:val="20"/>
        </w:rPr>
        <w:t>, n° 24, Alger, 23 avril 2017, pp. 12-19.</w:t>
      </w:r>
    </w:p>
  </w:footnote>
  <w:footnote w:id="17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u w:val="single"/>
        </w:rPr>
        <w:t>Décret exécutif n° 17-99 du 29 Joumada El Oula 1438 correspondant au 26 février 2017 fixant les caractéristiques du café ainsi que les conditions et les modalités de sa mise à la consommation</w:t>
      </w:r>
      <w:r w:rsidRPr="00AD764A">
        <w:rPr>
          <w:rFonts w:asciiTheme="majorBidi" w:hAnsiTheme="majorBidi" w:cstheme="majorBidi"/>
        </w:rPr>
        <w:t>, Journal officiel de la République algérienne n° 99, Alger, 2017.</w:t>
      </w:r>
    </w:p>
  </w:footnote>
  <w:footnote w:id="18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u w:val="single"/>
          <w:shd w:val="clear" w:color="auto" w:fill="FFFFFF"/>
        </w:rPr>
        <w:t>Décret exécutif n° 16-299 du 23 Safar 1438 correspondant au 23 novembre 2016 fixant les conditions d'utilisation des matériaux et équipements en contact avec les denrées alimentaires</w:t>
      </w:r>
      <w:r w:rsidRPr="00AD764A">
        <w:rPr>
          <w:rFonts w:asciiTheme="majorBidi" w:hAnsiTheme="majorBidi" w:cstheme="majorBidi"/>
          <w:color w:val="0F1115"/>
          <w:shd w:val="clear" w:color="auto" w:fill="FFFFFF"/>
        </w:rPr>
        <w:t>, Journal officiel de la République algérienne, Alger, 2016. </w:t>
      </w:r>
    </w:p>
  </w:footnote>
  <w:footnote w:id="181">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color w:val="0F1115"/>
          <w:u w:val="single"/>
          <w:shd w:val="clear" w:color="auto" w:fill="FFFFFF"/>
        </w:rPr>
        <w:t>Décret exécutif n° 13-298 du 11 Chaoual 1434 correspondant au 18 août 2013 complétant le décret exécutif n° 04-196 du 27 Joumada El Oula 1425 correspondant au 15 juillet 2004 relatif à l'exploitation et à la protection des eaux minérales naturelles et des eaux de source</w:t>
      </w:r>
      <w:r w:rsidRPr="00AD764A">
        <w:rPr>
          <w:rFonts w:asciiTheme="majorBidi" w:hAnsiTheme="majorBidi" w:cstheme="majorBidi"/>
          <w:color w:val="0F1115"/>
          <w:shd w:val="clear" w:color="auto" w:fill="FFFFFF"/>
        </w:rPr>
        <w:t>, Journal officiel de la République algérienne n° 43, Alger, 2013, p. 39.</w:t>
      </w:r>
    </w:p>
  </w:footnote>
  <w:footnote w:id="182">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color w:val="0F1115"/>
          <w:u w:val="single"/>
          <w:shd w:val="clear" w:color="auto" w:fill="FFFFFF"/>
        </w:rPr>
        <w:t>Décret exécutif n° 12-214 du 24 Joumada Ethania 1433 correspondant au 15 mai 2012 fixant les conditions d'utilisation des additifs alimentaires</w:t>
      </w:r>
      <w:r w:rsidRPr="00AD764A">
        <w:rPr>
          <w:rFonts w:asciiTheme="majorBidi" w:hAnsiTheme="majorBidi" w:cstheme="majorBidi"/>
          <w:color w:val="0F1115"/>
          <w:shd w:val="clear" w:color="auto" w:fill="FFFFFF"/>
        </w:rPr>
        <w:t>, Journal officiel de la République algérienne, Alger, 2012.</w:t>
      </w:r>
    </w:p>
  </w:footnote>
  <w:footnote w:id="183">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Bilal Arselane</w:t>
      </w:r>
      <w:r w:rsidRPr="00AD764A">
        <w:rPr>
          <w:rFonts w:asciiTheme="majorBidi" w:hAnsiTheme="majorBidi" w:cstheme="majorBidi"/>
          <w:sz w:val="20"/>
          <w:szCs w:val="20"/>
        </w:rPr>
        <w:t xml:space="preserve">, « Le cadre juridique et normatif de la sécurité alimentaire en Algérie », </w:t>
      </w:r>
      <w:r w:rsidRPr="00AD764A">
        <w:rPr>
          <w:rStyle w:val="Accentuation"/>
          <w:rFonts w:asciiTheme="majorBidi" w:hAnsiTheme="majorBidi" w:cstheme="majorBidi"/>
          <w:sz w:val="20"/>
          <w:szCs w:val="20"/>
        </w:rPr>
        <w:t>Revue du financement, de l’investissement et du développement durable</w:t>
      </w:r>
      <w:r w:rsidRPr="00AD764A">
        <w:rPr>
          <w:rFonts w:asciiTheme="majorBidi" w:hAnsiTheme="majorBidi" w:cstheme="majorBidi"/>
          <w:sz w:val="20"/>
          <w:szCs w:val="20"/>
        </w:rPr>
        <w:t>, vol. 9, n° 1, juin 2024, ISSN : 2507-7244, pp. 728-741.</w:t>
      </w:r>
    </w:p>
  </w:footnote>
  <w:footnote w:id="184">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ORGANISATION INTERNATIONALE DE NORMALISATION (ISO)</w:t>
      </w:r>
      <w:r w:rsidRPr="00AD764A">
        <w:rPr>
          <w:rFonts w:asciiTheme="majorBidi" w:hAnsiTheme="majorBidi" w:cstheme="majorBidi"/>
          <w:sz w:val="20"/>
          <w:szCs w:val="20"/>
        </w:rPr>
        <w:t>, ISO 22000:2018(fr) Systèmes de management de la sécurité des denrées alimentaires — Exigences pour tout organisme appartenant à la chaîne alimentaire [en ligne]. (création : 2018, mise à jour : non précisée) Disponible sur : </w:t>
      </w:r>
      <w:hyperlink r:id="rId74" w:anchor="iso:std:iso:22000:ed-2:v1:en" w:tgtFrame="_blank" w:history="1">
        <w:r w:rsidRPr="00AD764A">
          <w:rPr>
            <w:rFonts w:asciiTheme="majorBidi" w:hAnsiTheme="majorBidi" w:cstheme="majorBidi"/>
            <w:sz w:val="20"/>
            <w:szCs w:val="20"/>
          </w:rPr>
          <w:t>https://www.iso.org/obp/ui/en/#iso:std:iso:22000:ed-2:v1:en</w:t>
        </w:r>
      </w:hyperlink>
      <w:r w:rsidRPr="00AD764A">
        <w:rPr>
          <w:rFonts w:asciiTheme="majorBidi" w:hAnsiTheme="majorBidi" w:cstheme="majorBidi"/>
          <w:sz w:val="20"/>
          <w:szCs w:val="20"/>
        </w:rPr>
        <w:t> (consultée le 18 mai 2026).</w:t>
      </w:r>
    </w:p>
  </w:footnote>
  <w:footnote w:id="18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shd w:val="clear" w:color="auto" w:fill="FFFFFF"/>
        </w:rPr>
        <w:t>ORGANISATION INTERNATIONALE DE NORMALISATION (ISO),</w:t>
      </w:r>
      <w:r w:rsidRPr="00AD764A">
        <w:rPr>
          <w:rFonts w:asciiTheme="majorBidi" w:hAnsiTheme="majorBidi" w:cstheme="majorBidi"/>
          <w:color w:val="0F1115"/>
          <w:sz w:val="20"/>
          <w:szCs w:val="20"/>
          <w:shd w:val="clear" w:color="auto" w:fill="FFFFFF"/>
        </w:rPr>
        <w:t> </w:t>
      </w:r>
      <w:r w:rsidRPr="00AD764A">
        <w:rPr>
          <w:rStyle w:val="Accentuation"/>
          <w:rFonts w:asciiTheme="majorBidi" w:hAnsiTheme="majorBidi" w:cstheme="majorBidi"/>
          <w:color w:val="0F1115"/>
          <w:sz w:val="20"/>
          <w:szCs w:val="20"/>
          <w:shd w:val="clear" w:color="auto" w:fill="FFFFFF"/>
        </w:rPr>
        <w:t>ISO 22005:2007(fr) Traçabilité dans la chaîne alimentaire — Principes généraux et exigences fondamentales pour la conception et la mise en œuvre du système</w:t>
      </w:r>
      <w:r w:rsidRPr="00AD764A">
        <w:rPr>
          <w:rFonts w:asciiTheme="majorBidi" w:hAnsiTheme="majorBidi" w:cstheme="majorBidi"/>
          <w:color w:val="0F1115"/>
          <w:sz w:val="20"/>
          <w:szCs w:val="20"/>
          <w:shd w:val="clear" w:color="auto" w:fill="FFFFFF"/>
        </w:rPr>
        <w:t xml:space="preserve"> [en ligne]. (création : 2007, mise à jour : non précisée) Disponible sur </w:t>
      </w:r>
      <w:r w:rsidRPr="00AD764A">
        <w:rPr>
          <w:rFonts w:asciiTheme="majorBidi" w:hAnsiTheme="majorBidi" w:cstheme="majorBidi"/>
          <w:sz w:val="20"/>
          <w:szCs w:val="20"/>
        </w:rPr>
        <w:t>: </w:t>
      </w:r>
      <w:hyperlink r:id="rId75" w:anchor="iso:std:iso:22005:ed-1:v1:en" w:tgtFrame="_blank" w:history="1">
        <w:r w:rsidRPr="00AD764A">
          <w:rPr>
            <w:rFonts w:asciiTheme="majorBidi" w:hAnsiTheme="majorBidi" w:cstheme="majorBidi"/>
            <w:sz w:val="20"/>
            <w:szCs w:val="20"/>
          </w:rPr>
          <w:t>https://www.iso.org/obp/ui/en/#iso:std:iso:22005:ed-1:v1:en</w:t>
        </w:r>
      </w:hyperlink>
      <w:r w:rsidRPr="00AD764A">
        <w:rPr>
          <w:rFonts w:asciiTheme="majorBidi" w:hAnsiTheme="majorBidi" w:cstheme="majorBidi"/>
          <w:color w:val="0F1115"/>
          <w:sz w:val="20"/>
          <w:szCs w:val="20"/>
          <w:shd w:val="clear" w:color="auto" w:fill="FFFFFF"/>
        </w:rPr>
        <w:t> (consultée le 18 mai 2026).</w:t>
      </w:r>
    </w:p>
  </w:footnote>
  <w:footnote w:id="186">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STI GROUP</w:t>
      </w:r>
      <w:r w:rsidRPr="00AD764A">
        <w:rPr>
          <w:rFonts w:asciiTheme="majorBidi" w:hAnsiTheme="majorBidi" w:cstheme="majorBidi"/>
          <w:sz w:val="20"/>
          <w:szCs w:val="20"/>
        </w:rPr>
        <w:t>, Gestion de l'hygiène [en ligne]. (date de création : non précisée, date de mise à jour : non précisée) Disponible sur : </w:t>
      </w:r>
      <w:hyperlink r:id="rId76" w:tgtFrame="_blank" w:history="1">
        <w:r w:rsidRPr="00AD764A">
          <w:rPr>
            <w:rFonts w:asciiTheme="majorBidi" w:hAnsiTheme="majorBidi" w:cstheme="majorBidi"/>
            <w:sz w:val="20"/>
            <w:szCs w:val="20"/>
          </w:rPr>
          <w:t>https://www.sti-group.com/fr/sti-group/management-de-la-qualite/management-de-lhygiene.html</w:t>
        </w:r>
      </w:hyperlink>
      <w:r w:rsidRPr="00AD764A">
        <w:rPr>
          <w:rFonts w:asciiTheme="majorBidi" w:hAnsiTheme="majorBidi" w:cstheme="majorBidi"/>
          <w:sz w:val="20"/>
          <w:szCs w:val="20"/>
        </w:rPr>
        <w:t> (consultée le 18 mai 2026).</w:t>
      </w:r>
    </w:p>
  </w:footnote>
  <w:footnote w:id="18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Bilal Arselane</w:t>
      </w:r>
      <w:r w:rsidRPr="00AD764A">
        <w:rPr>
          <w:rFonts w:asciiTheme="majorBidi" w:hAnsiTheme="majorBidi" w:cstheme="majorBidi"/>
          <w:sz w:val="20"/>
          <w:szCs w:val="20"/>
        </w:rPr>
        <w:t xml:space="preserve">, « Le cadre juridique et normatif de la sécurité alimentaire en Algérie », </w:t>
      </w:r>
      <w:r w:rsidRPr="00AD764A">
        <w:rPr>
          <w:rStyle w:val="Accentuation"/>
          <w:rFonts w:asciiTheme="majorBidi" w:hAnsiTheme="majorBidi" w:cstheme="majorBidi"/>
          <w:sz w:val="20"/>
          <w:szCs w:val="20"/>
        </w:rPr>
        <w:t>Revue du financement, de l’investissement et du développement durable</w:t>
      </w:r>
      <w:r w:rsidRPr="00AD764A">
        <w:rPr>
          <w:rFonts w:asciiTheme="majorBidi" w:hAnsiTheme="majorBidi" w:cstheme="majorBidi"/>
          <w:sz w:val="20"/>
          <w:szCs w:val="20"/>
        </w:rPr>
        <w:t>, vol. 9, n° 1, juin 2024, ISSN : 2507-7244, pp. 728-741.</w:t>
      </w:r>
    </w:p>
  </w:footnote>
  <w:footnote w:id="188">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lang w:val="en-GB"/>
        </w:rPr>
        <w:t>SLOVENSKI INŠTITUT ZA STANDARDIZACIJO (SIST)</w:t>
      </w:r>
      <w:r w:rsidRPr="00AD764A">
        <w:rPr>
          <w:rFonts w:asciiTheme="majorBidi" w:hAnsiTheme="majorBidi" w:cstheme="majorBidi"/>
          <w:sz w:val="20"/>
          <w:szCs w:val="20"/>
          <w:lang w:val="en-GB"/>
        </w:rPr>
        <w:t xml:space="preserve">, *SIST EN 15593:2008 - Packaging - Management of hygiene in the production of packaging for foodstuffs - Requirements* [en ligne]. </w:t>
      </w:r>
      <w:r w:rsidRPr="00AD764A">
        <w:rPr>
          <w:rFonts w:asciiTheme="majorBidi" w:hAnsiTheme="majorBidi" w:cstheme="majorBidi"/>
          <w:sz w:val="20"/>
          <w:szCs w:val="20"/>
        </w:rPr>
        <w:t>(création : 2008, mise à jour : non précisée) Disponible sur : </w:t>
      </w:r>
      <w:hyperlink r:id="rId77" w:tgtFrame="_blank" w:history="1">
        <w:r w:rsidRPr="00AD764A">
          <w:rPr>
            <w:rFonts w:asciiTheme="majorBidi" w:hAnsiTheme="majorBidi" w:cstheme="majorBidi"/>
            <w:sz w:val="20"/>
            <w:szCs w:val="20"/>
          </w:rPr>
          <w:t>https://standards.iteh.ai/catalog/standards/sist/21259215-0754-42be-b207-226f72e07acc/sist-en-15593-2008</w:t>
        </w:r>
      </w:hyperlink>
      <w:r w:rsidRPr="00AD764A">
        <w:rPr>
          <w:rFonts w:asciiTheme="majorBidi" w:hAnsiTheme="majorBidi" w:cstheme="majorBidi"/>
          <w:sz w:val="20"/>
          <w:szCs w:val="20"/>
        </w:rPr>
        <w:t> (consultée le 18 mai 2026).</w:t>
      </w:r>
    </w:p>
  </w:footnote>
  <w:footnote w:id="189">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Accentuation"/>
          <w:rFonts w:asciiTheme="majorBidi" w:hAnsiTheme="majorBidi" w:cstheme="majorBidi"/>
          <w:b/>
          <w:bCs/>
          <w:i w:val="0"/>
          <w:iCs w:val="0"/>
          <w:color w:val="0F1115"/>
          <w:sz w:val="20"/>
          <w:szCs w:val="20"/>
          <w:shd w:val="clear" w:color="auto" w:fill="FFFFFF"/>
        </w:rPr>
        <w:t>CATALOGUE DES NORMES ALGÉRIENNES</w:t>
      </w:r>
      <w:r w:rsidRPr="00AD764A">
        <w:rPr>
          <w:rStyle w:val="Accentuation"/>
          <w:rFonts w:asciiTheme="majorBidi" w:hAnsiTheme="majorBidi" w:cstheme="majorBidi"/>
          <w:i w:val="0"/>
          <w:iCs w:val="0"/>
          <w:color w:val="0F1115"/>
          <w:sz w:val="20"/>
          <w:szCs w:val="20"/>
          <w:shd w:val="clear" w:color="auto" w:fill="FFFFFF"/>
        </w:rPr>
        <w:t xml:space="preserve"> – 31 DÉCEMBRE 2025</w:t>
      </w:r>
      <w:r w:rsidRPr="00AD764A">
        <w:rPr>
          <w:rFonts w:asciiTheme="majorBidi" w:hAnsiTheme="majorBidi" w:cstheme="majorBidi"/>
          <w:i/>
          <w:iCs/>
          <w:color w:val="0F1115"/>
          <w:sz w:val="20"/>
          <w:szCs w:val="20"/>
          <w:shd w:val="clear" w:color="auto" w:fill="FFFFFF"/>
        </w:rPr>
        <w:t>, IANOR (Institut Algérien de Normalisation), Alger, 2026</w:t>
      </w:r>
    </w:p>
  </w:footnote>
  <w:footnote w:id="19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Perfect Conseil</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Sécurité Alimentaire en Algérie : Décrets Exécutifs Importants</w:t>
      </w:r>
      <w:r w:rsidRPr="00AD764A">
        <w:rPr>
          <w:rFonts w:asciiTheme="majorBidi" w:hAnsiTheme="majorBidi" w:cstheme="majorBidi"/>
          <w:color w:val="0F1115"/>
          <w:shd w:val="clear" w:color="auto" w:fill="FFFFFF"/>
        </w:rPr>
        <w:t>, Perfect Conseil, Alger, 2024.</w:t>
      </w:r>
    </w:p>
  </w:footnote>
  <w:footnote w:id="191">
    <w:p w:rsidR="00B54D3C" w:rsidRPr="00AD764A" w:rsidRDefault="00B54D3C" w:rsidP="007A677E">
      <w:pPr>
        <w:spacing w:after="0"/>
        <w:rPr>
          <w:rFonts w:asciiTheme="majorBidi" w:hAnsiTheme="majorBidi" w:cstheme="majorBidi"/>
          <w:i/>
          <w:iCs/>
          <w:sz w:val="20"/>
          <w:szCs w:val="20"/>
        </w:rPr>
      </w:pPr>
      <w:r w:rsidRPr="00AD764A">
        <w:rPr>
          <w:rStyle w:val="Appelnotedebasdep"/>
          <w:rFonts w:asciiTheme="majorBidi" w:hAnsiTheme="majorBidi" w:cstheme="majorBidi"/>
          <w:i/>
          <w:iCs/>
          <w:sz w:val="20"/>
          <w:szCs w:val="20"/>
        </w:rPr>
        <w:footnoteRef/>
      </w:r>
      <w:r w:rsidRPr="00AD764A">
        <w:rPr>
          <w:rFonts w:asciiTheme="majorBidi" w:hAnsiTheme="majorBidi" w:cstheme="majorBidi"/>
          <w:b/>
          <w:bCs/>
          <w:i/>
          <w:iCs/>
          <w:sz w:val="20"/>
          <w:szCs w:val="20"/>
        </w:rPr>
        <w:t>Bilal Arselane</w:t>
      </w:r>
      <w:r w:rsidRPr="00AD764A">
        <w:rPr>
          <w:rFonts w:asciiTheme="majorBidi" w:hAnsiTheme="majorBidi" w:cstheme="majorBidi"/>
          <w:i/>
          <w:iCs/>
          <w:sz w:val="20"/>
          <w:szCs w:val="20"/>
        </w:rPr>
        <w:t xml:space="preserve">, « Le cadre juridique et normatif de la sécurité alimentaire en Algérie », </w:t>
      </w:r>
      <w:r w:rsidRPr="00AD764A">
        <w:rPr>
          <w:rStyle w:val="Accentuation"/>
          <w:rFonts w:asciiTheme="majorBidi" w:hAnsiTheme="majorBidi" w:cstheme="majorBidi"/>
          <w:i w:val="0"/>
          <w:iCs w:val="0"/>
          <w:sz w:val="20"/>
          <w:szCs w:val="20"/>
        </w:rPr>
        <w:t>Revue du financement, de l’investissement et du développement durable</w:t>
      </w:r>
      <w:r w:rsidRPr="00AD764A">
        <w:rPr>
          <w:rFonts w:asciiTheme="majorBidi" w:hAnsiTheme="majorBidi" w:cstheme="majorBidi"/>
          <w:i/>
          <w:iCs/>
          <w:sz w:val="20"/>
          <w:szCs w:val="20"/>
        </w:rPr>
        <w:t>, vol. 9, n° 1, juin 2024, ISSN : 2507-7244, pp. 728-741.</w:t>
      </w:r>
    </w:p>
  </w:footnote>
  <w:footnote w:id="192">
    <w:p w:rsidR="00B54D3C" w:rsidRPr="00AD764A" w:rsidRDefault="00B54D3C" w:rsidP="007A677E">
      <w:pPr>
        <w:spacing w:after="0"/>
        <w:rPr>
          <w:rFonts w:asciiTheme="majorBidi" w:eastAsia="Times New Roman" w:hAnsiTheme="majorBidi" w:cstheme="majorBidi"/>
          <w:sz w:val="20"/>
          <w:szCs w:val="20"/>
          <w:lang w:eastAsia="fr-FR"/>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shd w:val="clear" w:color="auto" w:fill="FFFFFF"/>
        </w:rPr>
        <w:t>HALIL Nawara</w:t>
      </w:r>
      <w:r w:rsidRPr="00AD764A">
        <w:rPr>
          <w:rFonts w:asciiTheme="majorBidi" w:hAnsiTheme="majorBidi" w:cstheme="majorBidi"/>
          <w:sz w:val="20"/>
          <w:szCs w:val="20"/>
          <w:shd w:val="clear" w:color="auto" w:fill="FFFFFF"/>
        </w:rPr>
        <w:t>, « L’obligation d’étiquetage comme mécanisme d’information et de protection du consommateur », </w:t>
      </w:r>
      <w:r w:rsidRPr="00AD764A">
        <w:rPr>
          <w:rStyle w:val="Accentuation"/>
          <w:rFonts w:asciiTheme="majorBidi" w:hAnsiTheme="majorBidi" w:cstheme="majorBidi"/>
          <w:color w:val="0F1115"/>
          <w:sz w:val="20"/>
          <w:szCs w:val="20"/>
          <w:shd w:val="clear" w:color="auto" w:fill="FFFFFF"/>
        </w:rPr>
        <w:t>Revue des Études et Recherches</w:t>
      </w:r>
      <w:r w:rsidRPr="00AD764A">
        <w:rPr>
          <w:rFonts w:asciiTheme="majorBidi" w:hAnsiTheme="majorBidi" w:cstheme="majorBidi"/>
          <w:sz w:val="20"/>
          <w:szCs w:val="20"/>
          <w:shd w:val="clear" w:color="auto" w:fill="FFFFFF"/>
        </w:rPr>
        <w:t>, vol. 13, n° 4, éditeur non précisé, lieu non précisé, 2021, p. 597.</w:t>
      </w:r>
    </w:p>
  </w:footnote>
  <w:footnote w:id="193">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Jellal Imane, Kounane Kahina, « L’étiquetage dans le monde des produits : une garantie de la sécurité du consommateur et un mécanisme de lutte contre les risques », Revue des Études et Recherches Juridiques, volume 10, numéro 1, ISSN : 2437-1084, Université Mouloud Mammeri de Tizi Ouzou, Algérie, p. 281.</w:t>
      </w:r>
    </w:p>
  </w:footnote>
  <w:footnote w:id="194">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lang w:val="en-GB"/>
        </w:rPr>
        <w:t>PEARCE Richard,</w:t>
      </w:r>
      <w:r w:rsidRPr="00AD764A">
        <w:rPr>
          <w:rFonts w:asciiTheme="majorBidi" w:hAnsiTheme="majorBidi" w:cstheme="majorBidi"/>
          <w:color w:val="0F1115"/>
          <w:shd w:val="clear" w:color="auto" w:fill="FFFFFF"/>
          <w:lang w:val="en-GB"/>
        </w:rPr>
        <w:t> </w:t>
      </w:r>
      <w:r w:rsidRPr="00AD764A">
        <w:rPr>
          <w:rStyle w:val="Accentuation"/>
          <w:rFonts w:asciiTheme="majorBidi" w:hAnsiTheme="majorBidi" w:cstheme="majorBidi"/>
          <w:color w:val="0F1115"/>
          <w:shd w:val="clear" w:color="auto" w:fill="FFFFFF"/>
          <w:lang w:val="en-GB"/>
        </w:rPr>
        <w:t>Social responsibility in the marketplace: asymmetric information in food labelling</w:t>
      </w:r>
      <w:r w:rsidRPr="00AD764A">
        <w:rPr>
          <w:rFonts w:asciiTheme="majorBidi" w:hAnsiTheme="majorBidi" w:cstheme="majorBidi"/>
          <w:color w:val="0F1115"/>
          <w:shd w:val="clear" w:color="auto" w:fill="FFFFFF"/>
          <w:lang w:val="en-GB"/>
        </w:rPr>
        <w:t>, PhilPapers / ResearchGate, 2009.</w:t>
      </w:r>
    </w:p>
  </w:footnote>
  <w:footnote w:id="195">
    <w:p w:rsidR="00B54D3C" w:rsidRPr="00AD764A" w:rsidRDefault="00B54D3C" w:rsidP="007A677E">
      <w:pPr>
        <w:pStyle w:val="ds-markdown-paragraph"/>
        <w:shd w:val="clear" w:color="auto" w:fill="FFFFFF"/>
        <w:spacing w:before="200" w:beforeAutospacing="0" w:after="0" w:afterAutospacing="0"/>
        <w:rPr>
          <w:rFonts w:asciiTheme="majorBidi" w:hAnsiTheme="majorBidi" w:cstheme="majorBidi"/>
          <w:color w:val="0F1115"/>
          <w:sz w:val="20"/>
          <w:szCs w:val="20"/>
          <w:lang w:val="en-GB"/>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color w:val="0F1115"/>
          <w:sz w:val="20"/>
          <w:szCs w:val="20"/>
          <w:lang w:val="en-GB"/>
        </w:rPr>
        <w:t xml:space="preserve">Food and Agriculture Organization (FAO) </w:t>
      </w:r>
      <w:r w:rsidRPr="00AD764A">
        <w:rPr>
          <w:rFonts w:asciiTheme="majorBidi" w:hAnsiTheme="majorBidi" w:cstheme="majorBidi"/>
          <w:color w:val="0F1115"/>
          <w:sz w:val="20"/>
          <w:szCs w:val="20"/>
          <w:lang w:val="en-GB"/>
        </w:rPr>
        <w:t>, </w:t>
      </w:r>
      <w:r w:rsidRPr="00AD764A">
        <w:rPr>
          <w:rStyle w:val="Accentuation"/>
          <w:rFonts w:asciiTheme="majorBidi" w:hAnsiTheme="majorBidi" w:cstheme="majorBidi"/>
          <w:color w:val="0F1115"/>
          <w:sz w:val="20"/>
          <w:szCs w:val="20"/>
          <w:lang w:val="en-GB"/>
        </w:rPr>
        <w:t>Origins of the Codex Alimentarius</w:t>
      </w:r>
      <w:r w:rsidRPr="00AD764A">
        <w:rPr>
          <w:rFonts w:asciiTheme="majorBidi" w:hAnsiTheme="majorBidi" w:cstheme="majorBidi"/>
          <w:color w:val="0F1115"/>
          <w:sz w:val="20"/>
          <w:szCs w:val="20"/>
          <w:lang w:val="en-GB"/>
        </w:rPr>
        <w:t>, FAO, Rome, 2003.</w:t>
      </w:r>
    </w:p>
  </w:footnote>
  <w:footnote w:id="196">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MOUSTIER Paule</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Garantir la sécurité sanitaire des aliments sur les marchés domestiques asiatiques : par la proximité ou par les normes ?</w:t>
      </w:r>
      <w:r w:rsidRPr="00AD764A">
        <w:rPr>
          <w:rFonts w:asciiTheme="majorBidi" w:hAnsiTheme="majorBidi" w:cstheme="majorBidi"/>
          <w:color w:val="0F1115"/>
          <w:shd w:val="clear" w:color="auto" w:fill="FFFFFF"/>
        </w:rPr>
        <w:t>, communication à la conférence de la Société française d'économie rurale (SFER), 2012.</w:t>
      </w:r>
    </w:p>
  </w:footnote>
  <w:footnote w:id="197">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Direction générale de la concurrence, de la consommation et de la répression des fraudes (DGCCRF)</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Denrées alimentaires : quelles sont les règles d'étiquetage ?</w:t>
      </w:r>
      <w:r w:rsidRPr="00AD764A">
        <w:rPr>
          <w:rFonts w:asciiTheme="majorBidi" w:hAnsiTheme="majorBidi" w:cstheme="majorBidi"/>
          <w:color w:val="0F1115"/>
          <w:shd w:val="clear" w:color="auto" w:fill="FFFFFF"/>
        </w:rPr>
        <w:t>, </w:t>
      </w:r>
      <w:hyperlink r:id="rId78" w:tgtFrame="_blank" w:history="1">
        <w:r w:rsidRPr="00AD764A">
          <w:rPr>
            <w:rFonts w:asciiTheme="majorBidi" w:hAnsiTheme="majorBidi" w:cstheme="majorBidi"/>
          </w:rPr>
          <w:t>economie.gouv.fr</w:t>
        </w:r>
      </w:hyperlink>
      <w:r w:rsidRPr="00AD764A">
        <w:rPr>
          <w:rFonts w:asciiTheme="majorBidi" w:hAnsiTheme="majorBidi" w:cstheme="majorBidi"/>
          <w:color w:val="0F1115"/>
          <w:shd w:val="clear" w:color="auto" w:fill="FFFFFF"/>
        </w:rPr>
        <w:t>, 2025.</w:t>
      </w:r>
    </w:p>
  </w:footnote>
  <w:footnote w:id="198">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lang w:val="en-GB"/>
        </w:rPr>
        <w:t>Cargill,</w:t>
      </w:r>
      <w:r w:rsidRPr="00AD764A">
        <w:rPr>
          <w:rFonts w:asciiTheme="majorBidi" w:hAnsiTheme="majorBidi" w:cstheme="majorBidi"/>
          <w:color w:val="0F1115"/>
          <w:shd w:val="clear" w:color="auto" w:fill="FFFFFF"/>
          <w:lang w:val="en-GB"/>
        </w:rPr>
        <w:t> </w:t>
      </w:r>
      <w:r w:rsidRPr="00AD764A">
        <w:rPr>
          <w:rStyle w:val="Accentuation"/>
          <w:rFonts w:asciiTheme="majorBidi" w:hAnsiTheme="majorBidi" w:cstheme="majorBidi"/>
          <w:color w:val="0F1115"/>
          <w:shd w:val="clear" w:color="auto" w:fill="FFFFFF"/>
          <w:lang w:val="en-GB"/>
        </w:rPr>
        <w:t>Why Ingredient Strategy Is Now Core to Food Innovation in Asia</w:t>
      </w:r>
      <w:r w:rsidRPr="00AD764A">
        <w:rPr>
          <w:rFonts w:asciiTheme="majorBidi" w:hAnsiTheme="majorBidi" w:cstheme="majorBidi"/>
          <w:color w:val="0F1115"/>
          <w:shd w:val="clear" w:color="auto" w:fill="FFFFFF"/>
          <w:lang w:val="en-GB"/>
        </w:rPr>
        <w:t>, NUFFOODS Spectrum ASIA, 2026.</w:t>
      </w:r>
    </w:p>
  </w:footnote>
  <w:footnote w:id="199">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shd w:val="clear" w:color="auto" w:fill="FFFFFF"/>
        </w:rPr>
        <w:t>Organisation des Nations Unies pour l'alimentation et l'agriculture (FAO) et Organisation mondiale de la santé (OMS),</w:t>
      </w:r>
      <w:r w:rsidRPr="00AD764A">
        <w:rPr>
          <w:rFonts w:asciiTheme="majorBidi" w:hAnsiTheme="majorBidi" w:cstheme="majorBidi"/>
          <w:color w:val="0F1115"/>
          <w:sz w:val="20"/>
          <w:szCs w:val="20"/>
          <w:shd w:val="clear" w:color="auto" w:fill="FFFFFF"/>
        </w:rPr>
        <w:t> </w:t>
      </w:r>
      <w:r w:rsidRPr="00AD764A">
        <w:rPr>
          <w:rStyle w:val="Accentuation"/>
          <w:rFonts w:asciiTheme="majorBidi" w:hAnsiTheme="majorBidi" w:cstheme="majorBidi"/>
          <w:color w:val="0F1115"/>
          <w:sz w:val="20"/>
          <w:szCs w:val="20"/>
          <w:shd w:val="clear" w:color="auto" w:fill="FFFFFF"/>
        </w:rPr>
        <w:t>FAO and WHO introduce a new approach to allergen management</w:t>
      </w:r>
      <w:r w:rsidRPr="00AD764A">
        <w:rPr>
          <w:rFonts w:asciiTheme="majorBidi" w:hAnsiTheme="majorBidi" w:cstheme="majorBidi"/>
          <w:color w:val="0F1115"/>
          <w:sz w:val="20"/>
          <w:szCs w:val="20"/>
          <w:shd w:val="clear" w:color="auto" w:fill="FFFFFF"/>
        </w:rPr>
        <w:t>, FAO, Rome, 2025.</w:t>
      </w:r>
    </w:p>
  </w:footnote>
  <w:footnote w:id="20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Autorité de sécurité sanitaire et de normalisation des aliments de l'Inde (FSSAI)</w:t>
      </w:r>
      <w:r w:rsidRPr="00AD764A">
        <w:rPr>
          <w:rFonts w:asciiTheme="majorBidi" w:hAnsiTheme="majorBidi" w:cstheme="majorBidi"/>
          <w:color w:val="0F1115"/>
          <w:shd w:val="clear" w:color="auto" w:fill="FFFFFF"/>
        </w:rPr>
        <w:t>, </w:t>
      </w:r>
      <w:r w:rsidRPr="00AD764A">
        <w:rPr>
          <w:rStyle w:val="Accentuation"/>
          <w:rFonts w:asciiTheme="majorBidi" w:hAnsiTheme="majorBidi" w:cstheme="majorBidi"/>
          <w:color w:val="0F1115"/>
          <w:shd w:val="clear" w:color="auto" w:fill="FFFFFF"/>
        </w:rPr>
        <w:t>Consultation nationale des parties prenantes sur l'étiquetage, la publicité et les allégations relatives aux aliments</w:t>
      </w:r>
      <w:r w:rsidRPr="00AD764A">
        <w:rPr>
          <w:rFonts w:asciiTheme="majorBidi" w:hAnsiTheme="majorBidi" w:cstheme="majorBidi"/>
          <w:color w:val="0F1115"/>
          <w:shd w:val="clear" w:color="auto" w:fill="FFFFFF"/>
        </w:rPr>
        <w:t>, Ministère de la Santé et du Bien-être familial, New Delhi, 2025.</w:t>
      </w:r>
    </w:p>
  </w:footnote>
  <w:footnote w:id="201">
    <w:p w:rsidR="00B54D3C" w:rsidRPr="00AD764A" w:rsidRDefault="00B54D3C" w:rsidP="007A677E">
      <w:pPr>
        <w:pStyle w:val="ds-markdown-paragraph"/>
        <w:shd w:val="clear" w:color="auto" w:fill="FFFFFF"/>
        <w:spacing w:before="200" w:beforeAutospacing="0" w:after="0" w:afterAutospacing="0"/>
        <w:rPr>
          <w:rFonts w:asciiTheme="majorBidi" w:hAnsiTheme="majorBidi" w:cstheme="majorBidi"/>
          <w:color w:val="0F1115"/>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rPr>
        <w:t>Food Safety and Standards Authority of India (FSSAI)</w:t>
      </w:r>
      <w:r w:rsidRPr="00AD764A">
        <w:rPr>
          <w:rFonts w:asciiTheme="majorBidi" w:hAnsiTheme="majorBidi" w:cstheme="majorBidi"/>
          <w:color w:val="0F1115"/>
          <w:sz w:val="20"/>
          <w:szCs w:val="20"/>
        </w:rPr>
        <w:t>, </w:t>
      </w:r>
      <w:r w:rsidRPr="00AD764A">
        <w:rPr>
          <w:rStyle w:val="Accentuation"/>
          <w:rFonts w:asciiTheme="majorBidi" w:hAnsiTheme="majorBidi" w:cstheme="majorBidi"/>
          <w:color w:val="0F1115"/>
          <w:sz w:val="20"/>
          <w:szCs w:val="20"/>
        </w:rPr>
        <w:t>National Stakeholder Consultation on Food Labe</w:t>
      </w:r>
      <w:r w:rsidRPr="00AD764A">
        <w:rPr>
          <w:rStyle w:val="Accentuation"/>
          <w:rFonts w:asciiTheme="majorBidi" w:hAnsiTheme="majorBidi" w:cstheme="majorBidi"/>
          <w:color w:val="0F1115"/>
          <w:sz w:val="20"/>
          <w:szCs w:val="20"/>
        </w:rPr>
        <w:t>l</w:t>
      </w:r>
      <w:r w:rsidRPr="00AD764A">
        <w:rPr>
          <w:rStyle w:val="Accentuation"/>
          <w:rFonts w:asciiTheme="majorBidi" w:hAnsiTheme="majorBidi" w:cstheme="majorBidi"/>
          <w:color w:val="0F1115"/>
          <w:sz w:val="20"/>
          <w:szCs w:val="20"/>
        </w:rPr>
        <w:t>ling, Advertisement and Claims</w:t>
      </w:r>
      <w:r w:rsidRPr="00AD764A">
        <w:rPr>
          <w:rFonts w:asciiTheme="majorBidi" w:hAnsiTheme="majorBidi" w:cstheme="majorBidi"/>
          <w:color w:val="0F1115"/>
          <w:sz w:val="20"/>
          <w:szCs w:val="20"/>
        </w:rPr>
        <w:t>, Ministère de la Santé et du Bien-être familial, New Delhi, 2025.</w:t>
      </w:r>
    </w:p>
  </w:footnote>
  <w:footnote w:id="202">
    <w:p w:rsidR="00B54D3C" w:rsidRPr="00AD764A" w:rsidRDefault="00B54D3C" w:rsidP="007A677E">
      <w:pPr>
        <w:spacing w:after="0"/>
        <w:rPr>
          <w:rFonts w:asciiTheme="majorBidi" w:hAnsiTheme="majorBidi" w:cstheme="majorBidi"/>
          <w:sz w:val="20"/>
          <w:szCs w:val="20"/>
          <w:lang w:val="en-US"/>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rPr>
        <w:t xml:space="preserve"> le rôle des gouvernements, de l’industrie alimentaire et des consommateurs dans l’étiquetage alimentaire Organisation des Nations Unies pour l’alimentation et l’agriculture</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Manuel sur l’étiquetage des denrées alimentaires pour la protection des consommateurs</w:t>
      </w:r>
      <w:r w:rsidRPr="00AD764A">
        <w:rPr>
          <w:rFonts w:asciiTheme="majorBidi" w:hAnsiTheme="majorBidi" w:cstheme="majorBidi"/>
          <w:sz w:val="20"/>
          <w:szCs w:val="20"/>
        </w:rPr>
        <w:t xml:space="preserve">. </w:t>
      </w:r>
      <w:r w:rsidRPr="00AD764A">
        <w:rPr>
          <w:rFonts w:asciiTheme="majorBidi" w:hAnsiTheme="majorBidi" w:cstheme="majorBidi"/>
          <w:sz w:val="20"/>
          <w:szCs w:val="20"/>
          <w:lang w:val="en-US"/>
        </w:rPr>
        <w:t>Rome : FAO, 2014.</w:t>
      </w:r>
    </w:p>
  </w:footnote>
  <w:footnote w:id="203">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lang w:val="en-GB"/>
        </w:rPr>
        <w:t>MOHAMED Shukri F., KARUGI Caroline H., IDDI Samuel et al.,</w:t>
      </w:r>
      <w:r w:rsidRPr="00AD764A">
        <w:rPr>
          <w:rFonts w:asciiTheme="majorBidi" w:hAnsiTheme="majorBidi" w:cstheme="majorBidi"/>
          <w:color w:val="0F1115"/>
          <w:shd w:val="clear" w:color="auto" w:fill="FFFFFF"/>
          <w:lang w:val="en-GB"/>
        </w:rPr>
        <w:t xml:space="preserve"> « Effectiveness of Three Front-of-Pack Food Labels in Guiding Consumer Identification of Nutrients of Concern and Purchase Intentions in Kenya: A Randomized Controlled Trial », </w:t>
      </w:r>
      <w:r w:rsidRPr="00AD764A">
        <w:rPr>
          <w:rStyle w:val="Accentuation"/>
          <w:rFonts w:asciiTheme="majorBidi" w:hAnsiTheme="majorBidi" w:cstheme="majorBidi"/>
          <w:color w:val="0F1115"/>
          <w:shd w:val="clear" w:color="auto" w:fill="FFFFFF"/>
          <w:lang w:val="en-GB"/>
        </w:rPr>
        <w:t>Nutrients</w:t>
      </w:r>
      <w:r w:rsidRPr="00AD764A">
        <w:rPr>
          <w:rFonts w:asciiTheme="majorBidi" w:hAnsiTheme="majorBidi" w:cstheme="majorBidi"/>
          <w:color w:val="0F1115"/>
          <w:shd w:val="clear" w:color="auto" w:fill="FFFFFF"/>
          <w:lang w:val="en-GB"/>
        </w:rPr>
        <w:t>, vol. 16, n° 22, MDPI, novembre 2024, p. 3846.</w:t>
      </w:r>
    </w:p>
  </w:footnote>
  <w:footnote w:id="204">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rPr>
        <w:t>Food Safety Magazine</w:t>
      </w:r>
      <w:r w:rsidRPr="00AD764A">
        <w:rPr>
          <w:rFonts w:asciiTheme="majorBidi" w:hAnsiTheme="majorBidi" w:cstheme="majorBidi"/>
          <w:color w:val="0F1115"/>
          <w:shd w:val="clear" w:color="auto" w:fill="FFFFFF"/>
        </w:rPr>
        <w:t>, « Étiquetage alimentaire : les normes sont-elles assouplies ou rétablies ? », </w:t>
      </w:r>
      <w:r w:rsidRPr="00AD764A">
        <w:rPr>
          <w:rStyle w:val="Accentuation"/>
          <w:rFonts w:asciiTheme="majorBidi" w:hAnsiTheme="majorBidi" w:cstheme="majorBidi"/>
          <w:color w:val="0F1115"/>
          <w:shd w:val="clear" w:color="auto" w:fill="FFFFFF"/>
        </w:rPr>
        <w:t>Édition numérique</w:t>
      </w:r>
      <w:r w:rsidRPr="00AD764A">
        <w:rPr>
          <w:rFonts w:asciiTheme="majorBidi" w:hAnsiTheme="majorBidi" w:cstheme="majorBidi"/>
          <w:color w:val="0F1115"/>
          <w:shd w:val="clear" w:color="auto" w:fill="FFFFFF"/>
        </w:rPr>
        <w:t>, août-septembre 2025</w:t>
      </w:r>
    </w:p>
  </w:footnote>
  <w:footnote w:id="205">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u w:val="single"/>
          <w:shd w:val="clear" w:color="auto" w:fill="FFFFFF"/>
        </w:rPr>
        <w:t>Règlement (UE) n° 1169/2011 du Parlement européen et du Conseil du 25 octobre 2011 concernant l’information des consommateurs sur les denrées alimentaires</w:t>
      </w:r>
      <w:r w:rsidRPr="00AD764A">
        <w:rPr>
          <w:rFonts w:asciiTheme="majorBidi" w:hAnsiTheme="majorBidi" w:cstheme="majorBidi"/>
          <w:color w:val="0F1115"/>
          <w:shd w:val="clear" w:color="auto" w:fill="FFFFFF"/>
        </w:rPr>
        <w:t>, article 7, paragraphe 2, Journal officiel de l’Union européenne L 304, 2011, p. 18.</w:t>
      </w:r>
    </w:p>
  </w:footnote>
  <w:footnote w:id="206">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lang w:val="en-GB"/>
        </w:rPr>
        <w:t>LEMMON B., GRUMMON A. H., MARQUEZ A. et al.,</w:t>
      </w:r>
      <w:r w:rsidRPr="00AD764A">
        <w:rPr>
          <w:rFonts w:asciiTheme="majorBidi" w:hAnsiTheme="majorBidi" w:cstheme="majorBidi"/>
          <w:color w:val="0F1115"/>
          <w:shd w:val="clear" w:color="auto" w:fill="FFFFFF"/>
          <w:lang w:val="en-GB"/>
        </w:rPr>
        <w:t xml:space="preserve"> « Efficacy of front-of-package nutrient labels designed for mandatory implementation in the USA: an online randomised controlled trial », </w:t>
      </w:r>
      <w:r w:rsidRPr="00AD764A">
        <w:rPr>
          <w:rStyle w:val="Accentuation"/>
          <w:rFonts w:asciiTheme="majorBidi" w:hAnsiTheme="majorBidi" w:cstheme="majorBidi"/>
          <w:color w:val="0F1115"/>
          <w:shd w:val="clear" w:color="auto" w:fill="FFFFFF"/>
          <w:lang w:val="en-GB"/>
        </w:rPr>
        <w:t>The Lancet</w:t>
      </w:r>
      <w:r w:rsidRPr="00AD764A">
        <w:rPr>
          <w:rFonts w:asciiTheme="majorBidi" w:hAnsiTheme="majorBidi" w:cstheme="majorBidi"/>
          <w:color w:val="0F1115"/>
          <w:shd w:val="clear" w:color="auto" w:fill="FFFFFF"/>
          <w:lang w:val="en-GB"/>
        </w:rPr>
        <w:t>, Elsevier, 2026.</w:t>
      </w:r>
    </w:p>
  </w:footnote>
  <w:footnote w:id="207">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rPr>
        <w:t>Parlement européen et Conseil de l’Union européenne,</w:t>
      </w:r>
      <w:r w:rsidRPr="00AD764A">
        <w:rPr>
          <w:rFonts w:asciiTheme="majorBidi" w:hAnsiTheme="majorBidi" w:cstheme="majorBidi"/>
          <w:color w:val="0F1115"/>
          <w:shd w:val="clear" w:color="auto" w:fill="FFFFFF"/>
        </w:rPr>
        <w:t xml:space="preserve"> « Directive 2005/29/CE relative aux pratiques commerciales déloyales des entreprises vis-à-vis des consommateurs dans le marché intérieur », article 7, paragraphes 1 et 2, Journal officiel de l’Union européenne L 149, Bruxelles, 11 mai 2005, pp. 22-39.</w:t>
      </w:r>
    </w:p>
  </w:footnote>
  <w:footnote w:id="208">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shd w:val="clear" w:color="auto" w:fill="FFFFFF"/>
        </w:rPr>
        <w:t>Codex Alimentarius Commission,</w:t>
      </w:r>
      <w:r w:rsidRPr="00AD764A">
        <w:rPr>
          <w:rFonts w:asciiTheme="majorBidi" w:hAnsiTheme="majorBidi" w:cstheme="majorBidi"/>
          <w:color w:val="0F1115"/>
          <w:sz w:val="20"/>
          <w:szCs w:val="20"/>
          <w:shd w:val="clear" w:color="auto" w:fill="FFFFFF"/>
        </w:rPr>
        <w:t xml:space="preserve"> « Directives pour l’utilisation des allégations nutritionnelles », CAC/GL 23-1997, révisé en 2013, FAO/OMS, Rome, 2013.</w:t>
      </w:r>
    </w:p>
  </w:footnote>
  <w:footnote w:id="209">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AJIBADE T.B., BELEWU K.Y., SALAMI M.F. et al.,</w:t>
      </w:r>
      <w:r w:rsidRPr="00AD764A">
        <w:rPr>
          <w:rFonts w:asciiTheme="majorBidi" w:hAnsiTheme="majorBidi" w:cstheme="majorBidi"/>
          <w:color w:val="0F1115"/>
          <w:shd w:val="clear" w:color="auto" w:fill="FFFFFF"/>
        </w:rPr>
        <w:t xml:space="preserve"> « Compréhension et utilisation des étiquettes alimentaires par les consommateurs dans leurs décisions d'achat dans l'État de Kwara, au Nigeria », </w:t>
      </w:r>
      <w:r w:rsidRPr="00AD764A">
        <w:rPr>
          <w:rStyle w:val="Accentuation"/>
          <w:rFonts w:asciiTheme="majorBidi" w:hAnsiTheme="majorBidi" w:cstheme="majorBidi"/>
          <w:color w:val="0F1115"/>
          <w:shd w:val="clear" w:color="auto" w:fill="FFFFFF"/>
        </w:rPr>
        <w:t>Agrosearch</w:t>
      </w:r>
      <w:r w:rsidRPr="00AD764A">
        <w:rPr>
          <w:rFonts w:asciiTheme="majorBidi" w:hAnsiTheme="majorBidi" w:cstheme="majorBidi"/>
          <w:color w:val="0F1115"/>
          <w:shd w:val="clear" w:color="auto" w:fill="FFFFFF"/>
        </w:rPr>
        <w:t>, vol. 24, n° 1, Ed AJOL, Ibadan, 2025.</w:t>
      </w:r>
    </w:p>
  </w:footnote>
  <w:footnote w:id="21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Parlement européen et Conseil de l’Union européenne</w:t>
      </w:r>
      <w:r w:rsidRPr="00AD764A">
        <w:rPr>
          <w:rFonts w:asciiTheme="majorBidi" w:hAnsiTheme="majorBidi" w:cstheme="majorBidi"/>
          <w:color w:val="0F1115"/>
          <w:shd w:val="clear" w:color="auto" w:fill="FFFFFF"/>
        </w:rPr>
        <w:t>, « Règlement (UE) n° 1169/2011 concernant l’information des consommateurs sur les denrées alimentaires », article 7, Journal officiel de l’Union européenne L 304, Bruxelles, 25 octobre 2011.</w:t>
      </w:r>
    </w:p>
  </w:footnote>
  <w:footnote w:id="211">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rPr>
        <w:t>Cour des comptes européenne</w:t>
      </w:r>
      <w:r w:rsidRPr="00AD764A">
        <w:rPr>
          <w:rFonts w:asciiTheme="majorBidi" w:hAnsiTheme="majorBidi" w:cstheme="majorBidi"/>
          <w:color w:val="0F1115"/>
          <w:shd w:val="clear" w:color="auto" w:fill="FFFFFF"/>
        </w:rPr>
        <w:t>, rapport cité dans « Les étiquettes alimentaires, source de confusion pour le consommateur », </w:t>
      </w:r>
      <w:r w:rsidRPr="00AD764A">
        <w:rPr>
          <w:rStyle w:val="Accentuation"/>
          <w:rFonts w:asciiTheme="majorBidi" w:hAnsiTheme="majorBidi" w:cstheme="majorBidi"/>
          <w:color w:val="0F1115"/>
          <w:shd w:val="clear" w:color="auto" w:fill="FFFFFF"/>
        </w:rPr>
        <w:t>Réussir</w:t>
      </w:r>
      <w:r w:rsidRPr="00AD764A">
        <w:rPr>
          <w:rFonts w:asciiTheme="majorBidi" w:hAnsiTheme="majorBidi" w:cstheme="majorBidi"/>
          <w:color w:val="0F1115"/>
          <w:shd w:val="clear" w:color="auto" w:fill="FFFFFF"/>
        </w:rPr>
        <w:t>, novembre 2024.</w:t>
      </w:r>
    </w:p>
  </w:footnote>
  <w:footnote w:id="212">
    <w:p w:rsidR="00B54D3C" w:rsidRPr="00AD764A" w:rsidRDefault="00B54D3C" w:rsidP="007A677E">
      <w:pPr>
        <w:spacing w:after="0"/>
        <w:rPr>
          <w:rFonts w:asciiTheme="majorBidi" w:hAnsiTheme="majorBidi" w:cstheme="majorBidi"/>
          <w:sz w:val="20"/>
          <w:szCs w:val="20"/>
          <w:lang w:val="en-US"/>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sz w:val="20"/>
          <w:szCs w:val="20"/>
        </w:rPr>
        <w:t xml:space="preserve"> Organisation des Nations Unies pour l’alimentation et l’agriculture.</w:t>
      </w:r>
      <w:r w:rsidRPr="00AD764A">
        <w:rPr>
          <w:rStyle w:val="Accentuation"/>
          <w:rFonts w:asciiTheme="majorBidi" w:hAnsiTheme="majorBidi" w:cstheme="majorBidi"/>
          <w:sz w:val="20"/>
          <w:szCs w:val="20"/>
        </w:rPr>
        <w:t>Manuel sur l’étiquetage des denrées alimentaires pour la protection des consommateurs</w:t>
      </w:r>
      <w:r w:rsidRPr="00AD764A">
        <w:rPr>
          <w:rFonts w:asciiTheme="majorBidi" w:hAnsiTheme="majorBidi" w:cstheme="majorBidi"/>
          <w:sz w:val="20"/>
          <w:szCs w:val="20"/>
        </w:rPr>
        <w:t xml:space="preserve">. </w:t>
      </w:r>
      <w:r w:rsidRPr="00AD764A">
        <w:rPr>
          <w:rFonts w:asciiTheme="majorBidi" w:hAnsiTheme="majorBidi" w:cstheme="majorBidi"/>
          <w:sz w:val="20"/>
          <w:szCs w:val="20"/>
          <w:lang w:val="en-US"/>
        </w:rPr>
        <w:t>Rome : FAO, 2014.</w:t>
      </w:r>
    </w:p>
  </w:footnote>
  <w:footnote w:id="213">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b/>
          <w:bCs/>
        </w:rPr>
        <w:footnoteRef/>
      </w:r>
      <w:r w:rsidRPr="00AD764A">
        <w:rPr>
          <w:rFonts w:asciiTheme="majorBidi" w:hAnsiTheme="majorBidi" w:cstheme="majorBidi"/>
          <w:color w:val="0F1115"/>
          <w:shd w:val="clear" w:color="auto" w:fill="FFFFFF"/>
          <w:lang w:val="en-GB"/>
        </w:rPr>
        <w:t>« Feeling the squeeze: National food labelling legislation in a WTO World: Case studies from France, Canada and Ghana », </w:t>
      </w:r>
      <w:r w:rsidRPr="00AD764A">
        <w:rPr>
          <w:rStyle w:val="Accentuation"/>
          <w:rFonts w:asciiTheme="majorBidi" w:hAnsiTheme="majorBidi" w:cstheme="majorBidi"/>
          <w:color w:val="0F1115"/>
          <w:shd w:val="clear" w:color="auto" w:fill="FFFFFF"/>
          <w:lang w:val="en-GB"/>
        </w:rPr>
        <w:t>uO Research</w:t>
      </w:r>
      <w:r w:rsidRPr="00AD764A">
        <w:rPr>
          <w:rFonts w:asciiTheme="majorBidi" w:hAnsiTheme="majorBidi" w:cstheme="majorBidi"/>
          <w:color w:val="0F1115"/>
          <w:shd w:val="clear" w:color="auto" w:fill="FFFFFF"/>
          <w:lang w:val="en-GB"/>
        </w:rPr>
        <w:t>, Université d’Ottawa. </w:t>
      </w:r>
    </w:p>
  </w:footnote>
  <w:footnote w:id="214">
    <w:p w:rsidR="00B54D3C" w:rsidRPr="00AD764A" w:rsidRDefault="00B54D3C" w:rsidP="00C13EE0">
      <w:pPr>
        <w:pStyle w:val="NormalWeb"/>
        <w:spacing w:after="0"/>
        <w:rPr>
          <w:rFonts w:asciiTheme="majorBidi" w:hAnsiTheme="majorBidi" w:cstheme="majorBidi"/>
          <w:sz w:val="20"/>
          <w:szCs w:val="20"/>
          <w:rtl/>
          <w:lang w:bidi="ar-DZ"/>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Agence canadienne d’inspection des aliments, « Cadre législatif de l’étiquetage », Gouvernement du C</w:t>
      </w:r>
      <w:r w:rsidRPr="00AD764A">
        <w:rPr>
          <w:rStyle w:val="lev"/>
          <w:rFonts w:asciiTheme="majorBidi" w:hAnsiTheme="majorBidi" w:cstheme="majorBidi"/>
          <w:sz w:val="20"/>
          <w:szCs w:val="20"/>
        </w:rPr>
        <w:t>a</w:t>
      </w:r>
      <w:r w:rsidRPr="00AD764A">
        <w:rPr>
          <w:rStyle w:val="lev"/>
          <w:rFonts w:asciiTheme="majorBidi" w:hAnsiTheme="majorBidi" w:cstheme="majorBidi"/>
          <w:sz w:val="20"/>
          <w:szCs w:val="20"/>
        </w:rPr>
        <w:t>nada, inspection.canada.ca.</w:t>
      </w:r>
    </w:p>
  </w:footnote>
  <w:footnote w:id="21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Organisation des Nations Unies pour l’alimentation et l’agriculture</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Manuel sur l’étiquetage des denrées alimentaires pour la protection des consommateurs</w:t>
      </w:r>
      <w:r w:rsidRPr="00AD764A">
        <w:rPr>
          <w:rFonts w:asciiTheme="majorBidi" w:hAnsiTheme="majorBidi" w:cstheme="majorBidi"/>
          <w:sz w:val="20"/>
          <w:szCs w:val="20"/>
        </w:rPr>
        <w:t>. Rome : FAO, 2014.</w:t>
      </w:r>
    </w:p>
  </w:footnote>
  <w:footnote w:id="216">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Ministère du Commerce et de la Promotion des Exportations (Algérie)</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Étiquetage et présentation des denrées alimentaires</w:t>
      </w:r>
      <w:r w:rsidRPr="00AD764A">
        <w:rPr>
          <w:rFonts w:asciiTheme="majorBidi" w:hAnsiTheme="majorBidi" w:cstheme="majorBidi"/>
          <w:sz w:val="20"/>
          <w:szCs w:val="20"/>
        </w:rPr>
        <w:t xml:space="preserve">, Disponible sur : </w:t>
      </w:r>
      <w:hyperlink r:id="rId79" w:tgtFrame="_new" w:history="1">
        <w:r w:rsidRPr="00AD764A">
          <w:rPr>
            <w:rStyle w:val="Lienhypertexte"/>
            <w:rFonts w:asciiTheme="majorBidi" w:hAnsiTheme="majorBidi" w:cstheme="majorBidi"/>
            <w:sz w:val="20"/>
            <w:szCs w:val="20"/>
          </w:rPr>
          <w:t>Consulter la page officielle</w:t>
        </w:r>
      </w:hyperlink>
      <w:r w:rsidRPr="00AD764A">
        <w:rPr>
          <w:rFonts w:asciiTheme="majorBidi" w:hAnsiTheme="majorBidi" w:cstheme="majorBidi"/>
          <w:sz w:val="20"/>
          <w:szCs w:val="20"/>
        </w:rPr>
        <w:br/>
        <w:t>(consulté le 31 mars 2026).</w:t>
      </w:r>
    </w:p>
    <w:p w:rsidR="00B54D3C" w:rsidRPr="00AD764A" w:rsidRDefault="00B54D3C" w:rsidP="007A677E">
      <w:pPr>
        <w:spacing w:after="0"/>
        <w:rPr>
          <w:rFonts w:asciiTheme="majorBidi" w:hAnsiTheme="majorBidi" w:cstheme="majorBidi"/>
          <w:sz w:val="20"/>
          <w:szCs w:val="20"/>
        </w:rPr>
      </w:pPr>
    </w:p>
  </w:footnote>
  <w:footnote w:id="21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Lazreg, L</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Traçabilité des aliments</w:t>
      </w:r>
      <w:r w:rsidRPr="00AD764A">
        <w:rPr>
          <w:rFonts w:asciiTheme="majorBidi" w:hAnsiTheme="majorBidi" w:cstheme="majorBidi"/>
          <w:sz w:val="20"/>
          <w:szCs w:val="20"/>
        </w:rPr>
        <w:t xml:space="preserve">. Polycopié de cours destiné aux étudiants de première année Master Qualité des Produits et Sécurité Alimentaire, Université des Sciences et de la Technologie d’Oran Mohamed Boudiaf, Faculté des Sciences de la Nature et de la Vie, Département de Biotechnologie, Algérie, s.d. </w:t>
      </w:r>
    </w:p>
  </w:footnote>
  <w:footnote w:id="218">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lang w:val="en-GB"/>
        </w:rPr>
        <w:t>MONTET Didier et RAY Ramesh C., sous la dir. de,</w:t>
      </w:r>
      <w:r w:rsidRPr="00AD764A">
        <w:rPr>
          <w:rFonts w:asciiTheme="majorBidi" w:hAnsiTheme="majorBidi" w:cstheme="majorBidi"/>
          <w:color w:val="0F1115"/>
          <w:shd w:val="clear" w:color="auto" w:fill="FFFFFF"/>
          <w:lang w:val="en-GB"/>
        </w:rPr>
        <w:t> </w:t>
      </w:r>
      <w:r w:rsidRPr="00AD764A">
        <w:rPr>
          <w:rStyle w:val="Accentuation"/>
          <w:rFonts w:asciiTheme="majorBidi" w:hAnsiTheme="majorBidi" w:cstheme="majorBidi"/>
          <w:color w:val="0F1115"/>
          <w:shd w:val="clear" w:color="auto" w:fill="FFFFFF"/>
          <w:lang w:val="en-GB"/>
        </w:rPr>
        <w:t>Food traceability and authenticity: analytical techniques</w:t>
      </w:r>
      <w:r w:rsidRPr="00AD764A">
        <w:rPr>
          <w:rFonts w:asciiTheme="majorBidi" w:hAnsiTheme="majorBidi" w:cstheme="majorBidi"/>
          <w:color w:val="0F1115"/>
          <w:shd w:val="clear" w:color="auto" w:fill="FFFFFF"/>
          <w:lang w:val="en-GB"/>
        </w:rPr>
        <w:t>, coll. Food Biology Series, CRC Press, Boca Raton, 2018.</w:t>
      </w:r>
    </w:p>
  </w:footnote>
  <w:footnote w:id="219">
    <w:p w:rsidR="00B54D3C" w:rsidRPr="00AD764A" w:rsidRDefault="00B54D3C" w:rsidP="007A677E">
      <w:pPr>
        <w:pStyle w:val="ds-markdown-paragraph"/>
        <w:shd w:val="clear" w:color="auto" w:fill="FFFFFF"/>
        <w:spacing w:before="240" w:beforeAutospacing="0" w:after="0" w:afterAutospacing="0" w:line="420" w:lineRule="atLeast"/>
        <w:rPr>
          <w:rFonts w:asciiTheme="majorBidi" w:hAnsiTheme="majorBidi" w:cstheme="majorBidi"/>
          <w:color w:val="0F1115"/>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rPr>
        <w:t>SIG</w:t>
      </w:r>
      <w:r w:rsidRPr="00AD764A">
        <w:rPr>
          <w:rFonts w:asciiTheme="majorBidi" w:hAnsiTheme="majorBidi" w:cstheme="majorBidi"/>
          <w:color w:val="0F1115"/>
          <w:sz w:val="20"/>
          <w:szCs w:val="20"/>
        </w:rPr>
        <w:t>, « Les types de traçabilité dans la fabrication », </w:t>
      </w:r>
      <w:r w:rsidRPr="00AD764A">
        <w:rPr>
          <w:rStyle w:val="Accentuation"/>
          <w:rFonts w:asciiTheme="majorBidi" w:hAnsiTheme="majorBidi" w:cstheme="majorBidi"/>
          <w:color w:val="0F1115"/>
          <w:sz w:val="20"/>
          <w:szCs w:val="20"/>
        </w:rPr>
        <w:t>SIG Blog</w:t>
      </w:r>
      <w:r w:rsidRPr="00AD764A">
        <w:rPr>
          <w:rFonts w:asciiTheme="majorBidi" w:hAnsiTheme="majorBidi" w:cstheme="majorBidi"/>
          <w:color w:val="0F1115"/>
          <w:sz w:val="20"/>
          <w:szCs w:val="20"/>
        </w:rPr>
        <w:t>, 2023.</w:t>
      </w:r>
    </w:p>
  </w:footnote>
  <w:footnote w:id="220">
    <w:p w:rsidR="00B54D3C" w:rsidRPr="00AD764A" w:rsidRDefault="00B54D3C" w:rsidP="007A677E">
      <w:pPr>
        <w:pStyle w:val="Notedebasdepage"/>
        <w:rPr>
          <w:rFonts w:asciiTheme="majorBidi" w:hAnsiTheme="majorBidi" w:cstheme="majorBidi"/>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rPr>
        <w:t>EHL Hospitality Insights,</w:t>
      </w:r>
      <w:r w:rsidRPr="00AD764A">
        <w:rPr>
          <w:rFonts w:asciiTheme="majorBidi" w:hAnsiTheme="majorBidi" w:cstheme="majorBidi"/>
          <w:color w:val="0F1115"/>
          <w:shd w:val="clear" w:color="auto" w:fill="FFFFFF"/>
        </w:rPr>
        <w:t xml:space="preserve"> « La traçabilité des produits dans l'industrie agroalimentaire », </w:t>
      </w:r>
      <w:hyperlink r:id="rId80" w:tgtFrame="_blank" w:history="1">
        <w:r w:rsidRPr="00AD764A">
          <w:rPr>
            <w:rStyle w:val="Lienhypertexte"/>
            <w:rFonts w:asciiTheme="majorBidi" w:hAnsiTheme="majorBidi" w:cstheme="majorBidi"/>
            <w:i/>
            <w:iCs/>
            <w:color w:val="3964FE"/>
            <w:bdr w:val="single" w:sz="12" w:space="0" w:color="auto"/>
            <w:shd w:val="clear" w:color="auto" w:fill="FFFFFF"/>
          </w:rPr>
          <w:t>ehl.edu</w:t>
        </w:r>
      </w:hyperlink>
      <w:r w:rsidRPr="00AD764A">
        <w:rPr>
          <w:rFonts w:asciiTheme="majorBidi" w:hAnsiTheme="majorBidi" w:cstheme="majorBidi"/>
          <w:color w:val="0F1115"/>
          <w:shd w:val="clear" w:color="auto" w:fill="FFFFFF"/>
        </w:rPr>
        <w:t>, 2020.</w:t>
      </w:r>
    </w:p>
  </w:footnote>
  <w:footnote w:id="221">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Lazreg, L</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Traçabilité des aliments</w:t>
      </w:r>
      <w:r w:rsidRPr="00AD764A">
        <w:rPr>
          <w:rFonts w:asciiTheme="majorBidi" w:hAnsiTheme="majorBidi" w:cstheme="majorBidi"/>
          <w:sz w:val="20"/>
          <w:szCs w:val="20"/>
        </w:rPr>
        <w:t xml:space="preserve">. Polycopié de cours destiné aux étudiants de première année Master Qualité des Produits et Sécurité Alimentaire, Université des Sciences et de la Technologie d’Oran Mohamed Boudiaf, Faculté des Sciences de la Nature et de la Vie, Département de Biotechnologie, Algérie, s.d. </w:t>
      </w:r>
    </w:p>
    <w:p w:rsidR="00B54D3C" w:rsidRPr="00AD764A" w:rsidRDefault="00B54D3C" w:rsidP="007A677E">
      <w:pPr>
        <w:spacing w:after="0"/>
        <w:rPr>
          <w:rFonts w:asciiTheme="majorBidi" w:hAnsiTheme="majorBidi" w:cstheme="majorBidi"/>
          <w:sz w:val="20"/>
          <w:szCs w:val="20"/>
        </w:rPr>
      </w:pPr>
    </w:p>
  </w:footnote>
  <w:footnote w:id="222">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rPr>
        <w:t>GONZÁLEZ R., GONZÁLEZ L.,</w:t>
      </w:r>
      <w:r w:rsidRPr="00AD764A">
        <w:rPr>
          <w:rFonts w:asciiTheme="majorBidi" w:hAnsiTheme="majorBidi" w:cstheme="majorBidi"/>
          <w:sz w:val="20"/>
          <w:szCs w:val="20"/>
        </w:rPr>
        <w:t xml:space="preserve"> « </w:t>
      </w:r>
      <w:r w:rsidRPr="00AD764A">
        <w:rPr>
          <w:rStyle w:val="Accentuation"/>
          <w:rFonts w:asciiTheme="majorBidi" w:hAnsiTheme="majorBidi" w:cstheme="majorBidi"/>
          <w:sz w:val="20"/>
          <w:szCs w:val="20"/>
        </w:rPr>
        <w:t>La trazabilidad y la seguridad sanitaria de los alimentos</w:t>
      </w:r>
      <w:r w:rsidRPr="00AD764A">
        <w:rPr>
          <w:rFonts w:asciiTheme="majorBidi" w:hAnsiTheme="majorBidi" w:cstheme="majorBidi"/>
          <w:sz w:val="20"/>
          <w:szCs w:val="20"/>
        </w:rPr>
        <w:t xml:space="preserve"> », </w:t>
      </w:r>
      <w:r w:rsidRPr="00AD764A">
        <w:rPr>
          <w:rStyle w:val="Accentuation"/>
          <w:rFonts w:asciiTheme="majorBidi" w:hAnsiTheme="majorBidi" w:cstheme="majorBidi"/>
          <w:sz w:val="20"/>
          <w:szCs w:val="20"/>
        </w:rPr>
        <w:t>Revista Virtual de Estudios de la Ciencia y Tecnología</w:t>
      </w:r>
      <w:r w:rsidRPr="00AD764A">
        <w:rPr>
          <w:rFonts w:asciiTheme="majorBidi" w:hAnsiTheme="majorBidi" w:cstheme="majorBidi"/>
          <w:sz w:val="20"/>
          <w:szCs w:val="20"/>
        </w:rPr>
        <w:t xml:space="preserve">, vol. 2, N° 2, Ed. SciELO, Caracas, 2002, pp. 12–25, disponible sur : </w:t>
      </w:r>
      <w:hyperlink r:id="rId81" w:tgtFrame="_new" w:history="1">
        <w:r w:rsidRPr="00AD764A">
          <w:rPr>
            <w:rStyle w:val="Lienhypertexte"/>
            <w:rFonts w:asciiTheme="majorBidi" w:hAnsiTheme="majorBidi" w:cstheme="majorBidi"/>
            <w:sz w:val="20"/>
            <w:szCs w:val="20"/>
          </w:rPr>
          <w:t>https://ve.scielo.org/scielo.php?script=sci_arttext&amp;pid=S1316-03542002000200002</w:t>
        </w:r>
      </w:hyperlink>
      <w:r w:rsidRPr="00AD764A">
        <w:rPr>
          <w:rFonts w:asciiTheme="majorBidi" w:hAnsiTheme="majorBidi" w:cstheme="majorBidi"/>
          <w:sz w:val="20"/>
          <w:szCs w:val="20"/>
        </w:rPr>
        <w:t xml:space="preserve"> (consulté le 07/04/2026)..</w:t>
      </w:r>
    </w:p>
  </w:footnote>
  <w:footnote w:id="223">
    <w:p w:rsidR="00B54D3C" w:rsidRPr="00AD764A" w:rsidRDefault="00B54D3C" w:rsidP="00C13EE0">
      <w:pPr>
        <w:pStyle w:val="ds-markdown-paragraph"/>
        <w:shd w:val="clear" w:color="auto" w:fill="FFFFFF"/>
        <w:spacing w:before="0" w:beforeAutospacing="0" w:after="0" w:afterAutospacing="0" w:line="351" w:lineRule="atLeast"/>
        <w:rPr>
          <w:rFonts w:asciiTheme="majorBidi" w:hAnsiTheme="majorBidi" w:cstheme="majorBidi"/>
          <w:color w:val="0F1115"/>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rPr>
        <w:t>McENTIRE Jennifer et KENNEDY Andrew W. (dir.)</w:t>
      </w:r>
      <w:r w:rsidRPr="00AD764A">
        <w:rPr>
          <w:rFonts w:asciiTheme="majorBidi" w:hAnsiTheme="majorBidi" w:cstheme="majorBidi"/>
          <w:color w:val="0F1115"/>
          <w:sz w:val="20"/>
          <w:szCs w:val="20"/>
        </w:rPr>
        <w:t>, </w:t>
      </w:r>
      <w:r w:rsidRPr="00AD764A">
        <w:rPr>
          <w:rStyle w:val="Accentuation"/>
          <w:rFonts w:asciiTheme="majorBidi" w:hAnsiTheme="majorBidi" w:cstheme="majorBidi"/>
          <w:color w:val="0F1115"/>
          <w:sz w:val="20"/>
          <w:szCs w:val="20"/>
        </w:rPr>
        <w:t>Traçabilité alimentaire : des classeurs à la bloc</w:t>
      </w:r>
      <w:r w:rsidRPr="00AD764A">
        <w:rPr>
          <w:rStyle w:val="Accentuation"/>
          <w:rFonts w:asciiTheme="majorBidi" w:hAnsiTheme="majorBidi" w:cstheme="majorBidi"/>
          <w:color w:val="0F1115"/>
          <w:sz w:val="20"/>
          <w:szCs w:val="20"/>
        </w:rPr>
        <w:t>k</w:t>
      </w:r>
      <w:r w:rsidRPr="00AD764A">
        <w:rPr>
          <w:rStyle w:val="Accentuation"/>
          <w:rFonts w:asciiTheme="majorBidi" w:hAnsiTheme="majorBidi" w:cstheme="majorBidi"/>
          <w:color w:val="0F1115"/>
          <w:sz w:val="20"/>
          <w:szCs w:val="20"/>
        </w:rPr>
        <w:t>chain</w:t>
      </w:r>
      <w:r w:rsidRPr="00AD764A">
        <w:rPr>
          <w:rFonts w:asciiTheme="majorBidi" w:hAnsiTheme="majorBidi" w:cstheme="majorBidi"/>
          <w:color w:val="0F1115"/>
          <w:sz w:val="20"/>
          <w:szCs w:val="20"/>
        </w:rPr>
        <w:t>, Springer, Cham, 2019.</w:t>
      </w:r>
    </w:p>
  </w:footnote>
  <w:footnote w:id="224">
    <w:p w:rsidR="00B54D3C" w:rsidRPr="00AD764A" w:rsidRDefault="00B54D3C" w:rsidP="007A677E">
      <w:pPr>
        <w:pStyle w:val="Notedebasdepage"/>
        <w:rPr>
          <w:rFonts w:asciiTheme="majorBidi" w:hAnsiTheme="majorBidi" w:cstheme="majorBidi"/>
          <w:lang w:val="en-GB"/>
        </w:rPr>
      </w:pPr>
      <w:r w:rsidRPr="00AD764A">
        <w:rPr>
          <w:rStyle w:val="Appelnotedebasdep"/>
          <w:rFonts w:asciiTheme="majorBidi" w:hAnsiTheme="majorBidi" w:cstheme="majorBidi"/>
          <w:b/>
          <w:bCs/>
        </w:rPr>
        <w:footnoteRef/>
      </w:r>
      <w:r w:rsidRPr="00AD764A">
        <w:rPr>
          <w:rFonts w:asciiTheme="majorBidi" w:hAnsiTheme="majorBidi" w:cstheme="majorBidi"/>
          <w:b/>
          <w:bCs/>
          <w:color w:val="0F1115"/>
          <w:shd w:val="clear" w:color="auto" w:fill="FFFFFF"/>
          <w:lang w:val="en-GB"/>
        </w:rPr>
        <w:t>AgroTRACE Consortium,</w:t>
      </w:r>
      <w:r w:rsidRPr="00AD764A">
        <w:rPr>
          <w:rFonts w:asciiTheme="majorBidi" w:hAnsiTheme="majorBidi" w:cstheme="majorBidi"/>
          <w:color w:val="0F1115"/>
          <w:shd w:val="clear" w:color="auto" w:fill="FFFFFF"/>
          <w:lang w:val="en-GB"/>
        </w:rPr>
        <w:t xml:space="preserve"> « AgroTRACE: A Complete Fresh Fruits and Vegetables Traceability System », actes de conférence, 2023.</w:t>
      </w:r>
    </w:p>
  </w:footnote>
  <w:footnote w:id="225">
    <w:p w:rsidR="00B54D3C" w:rsidRPr="00AD764A" w:rsidRDefault="00B54D3C" w:rsidP="00C13EE0">
      <w:pPr>
        <w:pStyle w:val="Notedebasdepage"/>
        <w:rPr>
          <w:rFonts w:asciiTheme="majorBidi" w:hAnsiTheme="majorBidi" w:cstheme="majorBidi"/>
          <w:lang w:val="en-GB"/>
        </w:rPr>
      </w:pPr>
      <w:r w:rsidRPr="00AD764A">
        <w:rPr>
          <w:rStyle w:val="Appelnotedebasdep"/>
          <w:rFonts w:asciiTheme="majorBidi" w:hAnsiTheme="majorBidi" w:cstheme="majorBidi"/>
        </w:rPr>
        <w:footnoteRef/>
      </w:r>
      <w:r w:rsidRPr="00AD764A">
        <w:rPr>
          <w:rFonts w:asciiTheme="majorBidi" w:hAnsiTheme="majorBidi" w:cstheme="majorBidi"/>
          <w:b/>
          <w:bCs/>
          <w:color w:val="0F1115"/>
          <w:shd w:val="clear" w:color="auto" w:fill="FFFFFF"/>
          <w:lang w:val="en-GB"/>
        </w:rPr>
        <w:t>LIU Caiyue, WANG Youhua, TANG Qiaoling, LI Ning, WANG Zhixing, TAN Tan et WANG Xujing</w:t>
      </w:r>
      <w:r w:rsidRPr="00AD764A">
        <w:rPr>
          <w:rFonts w:asciiTheme="majorBidi" w:hAnsiTheme="majorBidi" w:cstheme="majorBidi"/>
          <w:color w:val="0F1115"/>
          <w:shd w:val="clear" w:color="auto" w:fill="FFFFFF"/>
          <w:lang w:val="en-GB"/>
        </w:rPr>
        <w:t>, « Analysis of International Coexistence Management of Genetically Modified and Non-Genetically Modified Crops », </w:t>
      </w:r>
      <w:r w:rsidRPr="00AD764A">
        <w:rPr>
          <w:rStyle w:val="Accentuation"/>
          <w:rFonts w:asciiTheme="majorBidi" w:hAnsiTheme="majorBidi" w:cstheme="majorBidi"/>
          <w:color w:val="0F1115"/>
          <w:shd w:val="clear" w:color="auto" w:fill="FFFFFF"/>
          <w:lang w:val="en-GB"/>
        </w:rPr>
        <w:t>Plants</w:t>
      </w:r>
      <w:r w:rsidRPr="00AD764A">
        <w:rPr>
          <w:rFonts w:asciiTheme="majorBidi" w:hAnsiTheme="majorBidi" w:cstheme="majorBidi"/>
          <w:color w:val="0F1115"/>
          <w:shd w:val="clear" w:color="auto" w:fill="FFFFFF"/>
          <w:lang w:val="en-GB"/>
        </w:rPr>
        <w:t>, vol. 14, n° 6, MDPI, Bâle, 13 mars 2025, pp. 895-912</w:t>
      </w:r>
    </w:p>
  </w:footnote>
  <w:footnote w:id="226">
    <w:p w:rsidR="00B54D3C" w:rsidRPr="00AD764A" w:rsidRDefault="00B54D3C" w:rsidP="00C13EE0">
      <w:pPr>
        <w:pStyle w:val="ds-markdown-paragraph"/>
        <w:shd w:val="clear" w:color="auto" w:fill="FFFFFF"/>
        <w:spacing w:before="0" w:beforeAutospacing="0" w:after="0" w:afterAutospacing="0" w:line="351" w:lineRule="atLeast"/>
        <w:rPr>
          <w:rFonts w:asciiTheme="majorBidi" w:hAnsiTheme="majorBidi" w:cstheme="majorBidi"/>
          <w:color w:val="0F1115"/>
          <w:sz w:val="20"/>
          <w:szCs w:val="20"/>
        </w:rPr>
      </w:pPr>
      <w:r w:rsidRPr="00AD764A">
        <w:rPr>
          <w:rStyle w:val="Appelnotedebasdep"/>
          <w:rFonts w:asciiTheme="majorBidi" w:hAnsiTheme="majorBidi" w:cstheme="majorBidi"/>
          <w:b/>
          <w:bCs/>
          <w:sz w:val="20"/>
          <w:szCs w:val="20"/>
        </w:rPr>
        <w:footnoteRef/>
      </w:r>
      <w:r w:rsidRPr="00AD764A">
        <w:rPr>
          <w:rFonts w:asciiTheme="majorBidi" w:hAnsiTheme="majorBidi" w:cstheme="majorBidi"/>
          <w:b/>
          <w:bCs/>
          <w:color w:val="0F1115"/>
          <w:sz w:val="20"/>
          <w:szCs w:val="20"/>
        </w:rPr>
        <w:t>GOLDSMITH Peter D. et BENDER Karen,</w:t>
      </w:r>
      <w:r w:rsidRPr="00AD764A">
        <w:rPr>
          <w:rFonts w:asciiTheme="majorBidi" w:hAnsiTheme="majorBidi" w:cstheme="majorBidi"/>
          <w:color w:val="0F1115"/>
          <w:sz w:val="20"/>
          <w:szCs w:val="20"/>
        </w:rPr>
        <w:t xml:space="preserve"> « Dix conversations sur la préservation de l'identité : implic</w:t>
      </w:r>
      <w:r w:rsidRPr="00AD764A">
        <w:rPr>
          <w:rFonts w:asciiTheme="majorBidi" w:hAnsiTheme="majorBidi" w:cstheme="majorBidi"/>
          <w:color w:val="0F1115"/>
          <w:sz w:val="20"/>
          <w:szCs w:val="20"/>
        </w:rPr>
        <w:t>a</w:t>
      </w:r>
      <w:r w:rsidRPr="00AD764A">
        <w:rPr>
          <w:rFonts w:asciiTheme="majorBidi" w:hAnsiTheme="majorBidi" w:cstheme="majorBidi"/>
          <w:color w:val="0F1115"/>
          <w:sz w:val="20"/>
          <w:szCs w:val="20"/>
        </w:rPr>
        <w:t>tions pour les coopératives », FAO/AGRIS, Rome, 2003.</w:t>
      </w:r>
    </w:p>
    <w:p w:rsidR="00B54D3C" w:rsidRPr="00AD764A" w:rsidRDefault="00B54D3C" w:rsidP="007A677E">
      <w:pPr>
        <w:pStyle w:val="Notedebasdepage"/>
        <w:rPr>
          <w:rFonts w:asciiTheme="majorBidi" w:hAnsiTheme="majorBidi" w:cstheme="majorBidi"/>
        </w:rPr>
      </w:pPr>
    </w:p>
  </w:footnote>
  <w:footnote w:id="227">
    <w:p w:rsidR="00B54D3C" w:rsidRPr="00AD764A" w:rsidRDefault="00B54D3C" w:rsidP="00C13EE0">
      <w:pPr>
        <w:pStyle w:val="Notedebasdepage"/>
        <w:rPr>
          <w:rFonts w:asciiTheme="majorBidi" w:hAnsiTheme="majorBidi" w:cstheme="majorBidi"/>
          <w:lang w:val="en-GB"/>
        </w:rPr>
      </w:pPr>
      <w:r w:rsidRPr="00AD764A">
        <w:rPr>
          <w:rStyle w:val="Appelnotedebasdep"/>
          <w:rFonts w:asciiTheme="majorBidi" w:hAnsiTheme="majorBidi" w:cstheme="majorBidi"/>
          <w:b/>
          <w:bCs/>
        </w:rPr>
        <w:footnoteRef/>
      </w:r>
      <w:r w:rsidRPr="00AD764A">
        <w:rPr>
          <w:rFonts w:asciiTheme="majorBidi" w:hAnsiTheme="majorBidi" w:cstheme="majorBidi"/>
          <w:b/>
          <w:bCs/>
          <w:lang w:val="en-GB"/>
        </w:rPr>
        <w:t>Lees Michèle (dir.),</w:t>
      </w:r>
      <w:r w:rsidRPr="00AD764A">
        <w:rPr>
          <w:rFonts w:asciiTheme="majorBidi" w:hAnsiTheme="majorBidi" w:cstheme="majorBidi"/>
          <w:lang w:val="en-GB"/>
        </w:rPr>
        <w:t xml:space="preserve"> Food authenticity and traceability, Woodhead Publishing / CRC Press, Cambridge / Boca Raton, 2003, pp. xvii, 612.</w:t>
      </w:r>
    </w:p>
  </w:footnote>
  <w:footnote w:id="228">
    <w:p w:rsidR="00B54D3C" w:rsidRPr="00AD764A" w:rsidRDefault="00B54D3C" w:rsidP="00C13EE0">
      <w:pPr>
        <w:pStyle w:val="ds-markdown-paragraph"/>
        <w:shd w:val="clear" w:color="auto" w:fill="FFFFFF"/>
        <w:spacing w:before="0" w:beforeAutospacing="0" w:after="0" w:afterAutospacing="0"/>
        <w:rPr>
          <w:rFonts w:asciiTheme="majorBidi" w:hAnsiTheme="majorBidi" w:cstheme="majorBidi"/>
          <w:color w:val="0F1115"/>
          <w:sz w:val="20"/>
          <w:szCs w:val="20"/>
          <w:lang w:val="en-GB"/>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lang w:val="en-GB"/>
        </w:rPr>
        <w:t>AgTechNavigator, « Suspected feed link under investigation in UK cattle botulism outbreaks », </w:t>
      </w:r>
      <w:hyperlink r:id="rId82" w:tgtFrame="_blank" w:history="1">
        <w:r w:rsidRPr="00AD764A">
          <w:rPr>
            <w:rFonts w:asciiTheme="majorBidi" w:hAnsiTheme="majorBidi" w:cstheme="majorBidi"/>
            <w:sz w:val="20"/>
            <w:szCs w:val="20"/>
            <w:lang w:val="en-GB"/>
          </w:rPr>
          <w:t>agtechnavigator.com</w:t>
        </w:r>
      </w:hyperlink>
      <w:r w:rsidRPr="00AD764A">
        <w:rPr>
          <w:rFonts w:asciiTheme="majorBidi" w:hAnsiTheme="majorBidi" w:cstheme="majorBidi"/>
          <w:sz w:val="20"/>
          <w:szCs w:val="20"/>
          <w:lang w:val="en-GB"/>
        </w:rPr>
        <w:t>,</w:t>
      </w:r>
      <w:r w:rsidRPr="00AD764A">
        <w:rPr>
          <w:rStyle w:val="lev"/>
          <w:rFonts w:asciiTheme="majorBidi" w:hAnsiTheme="majorBidi" w:cstheme="majorBidi"/>
          <w:color w:val="0F1115"/>
          <w:sz w:val="20"/>
          <w:szCs w:val="20"/>
          <w:lang w:val="en-GB"/>
        </w:rPr>
        <w:t xml:space="preserve"> septembre 2025.</w:t>
      </w:r>
    </w:p>
  </w:footnote>
  <w:footnote w:id="229">
    <w:p w:rsidR="00B54D3C" w:rsidRPr="00AD764A" w:rsidRDefault="00B54D3C" w:rsidP="00C13EE0">
      <w:pPr>
        <w:pStyle w:val="ds-markdown-paragraph"/>
        <w:shd w:val="clear" w:color="auto" w:fill="FFFFFF"/>
        <w:spacing w:before="0" w:beforeAutospacing="0" w:after="0" w:afterAutospacing="0"/>
        <w:rPr>
          <w:rFonts w:asciiTheme="majorBidi" w:hAnsiTheme="majorBidi" w:cstheme="majorBidi"/>
          <w:color w:val="0F1115"/>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color w:val="0F1115"/>
          <w:sz w:val="20"/>
          <w:szCs w:val="20"/>
        </w:rPr>
        <w:t>Organisation des Nations Unies pour l’alimentation et l’agriculture (FAO), « Food traceability », FAO, Rome, 2006.</w:t>
      </w:r>
    </w:p>
    <w:p w:rsidR="00B54D3C" w:rsidRPr="00AD764A" w:rsidRDefault="00B54D3C" w:rsidP="007A677E">
      <w:pPr>
        <w:pStyle w:val="Notedebasdepage"/>
        <w:rPr>
          <w:rFonts w:asciiTheme="majorBidi" w:hAnsiTheme="majorBidi" w:cstheme="majorBidi"/>
        </w:rPr>
      </w:pPr>
    </w:p>
  </w:footnote>
  <w:footnote w:id="230">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FAREZ, Rachida</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Mémoire de fin d'étude : Marketing des services.</w:t>
      </w:r>
      <w:r w:rsidRPr="00AD764A">
        <w:rPr>
          <w:rFonts w:asciiTheme="majorBidi" w:hAnsiTheme="majorBidi" w:cstheme="majorBidi"/>
          <w:sz w:val="20"/>
          <w:szCs w:val="20"/>
        </w:rPr>
        <w:t xml:space="preserve"> Master en Sciences commerciales, Département des Sciences Commerciales, Faculté des Sciences Économiques, Commerciales et des Sciences de Gestion, Université Mouloud Mammeri, Tizi-Ouzou, 2024, p22.</w:t>
      </w:r>
    </w:p>
  </w:footnote>
  <w:footnote w:id="231">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lang w:val="en-GB"/>
        </w:rPr>
        <w:t>ZHANG Z., ABDULLAH H., GHAZALI A.H.A., D’SILVA J.L., ISMAIL I.A., HUANG Z.,</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The influence of health awareness on university students’ healthy lifestyles: The chain mediating role of self-esteem and social support</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PLoS ONE</w:t>
      </w:r>
      <w:r w:rsidRPr="00AD764A">
        <w:rPr>
          <w:rFonts w:asciiTheme="majorBidi" w:hAnsiTheme="majorBidi" w:cstheme="majorBidi"/>
          <w:sz w:val="20"/>
          <w:szCs w:val="20"/>
          <w:lang w:val="en-GB"/>
        </w:rPr>
        <w:t xml:space="preserve">, vol. 19, N° 10, Ed. </w:t>
      </w:r>
      <w:r w:rsidRPr="00AD764A">
        <w:rPr>
          <w:rFonts w:asciiTheme="majorBidi" w:hAnsiTheme="majorBidi" w:cstheme="majorBidi"/>
          <w:sz w:val="20"/>
          <w:szCs w:val="20"/>
        </w:rPr>
        <w:t>Public Library of Science, San Francisco, 2024, e0311886.</w:t>
      </w:r>
    </w:p>
  </w:footnote>
  <w:footnote w:id="232">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rPr>
        <w:t>FAREZ, Rachida</w:t>
      </w:r>
      <w:r w:rsidRPr="00AD764A">
        <w:rPr>
          <w:rFonts w:asciiTheme="majorBidi" w:hAnsiTheme="majorBidi" w:cstheme="majorBidi"/>
          <w:sz w:val="20"/>
          <w:szCs w:val="20"/>
        </w:rPr>
        <w:t xml:space="preserve">. </w:t>
      </w:r>
      <w:r w:rsidRPr="00AD764A">
        <w:rPr>
          <w:rStyle w:val="Accentuation"/>
          <w:rFonts w:asciiTheme="majorBidi" w:hAnsiTheme="majorBidi" w:cstheme="majorBidi"/>
          <w:sz w:val="20"/>
          <w:szCs w:val="20"/>
        </w:rPr>
        <w:t>Mémoire de fin d'étude : Marketing des services.</w:t>
      </w:r>
      <w:r w:rsidRPr="00AD764A">
        <w:rPr>
          <w:rFonts w:asciiTheme="majorBidi" w:hAnsiTheme="majorBidi" w:cstheme="majorBidi"/>
          <w:sz w:val="20"/>
          <w:szCs w:val="20"/>
        </w:rPr>
        <w:t xml:space="preserve"> Master en Sciences commerciales, Département des Sciences Commerciales, Faculté des Sciences Économiques, Commerciales et des Sciences de Gestion, Université Mouloud Mammeri, Tizi-Ouzou, 2024, p22.</w:t>
      </w:r>
    </w:p>
  </w:footnote>
  <w:footnote w:id="233">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lang w:val="en-GB"/>
        </w:rPr>
        <w:t>ZHANG Z., ABDULLAH H., GHAZALI A.H.A., D’SILVA J.L., ISMAIL I.A., HUANG Z.,</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The influence of health awareness on university students’ healthy lifestyles: The chain mediating role of self-esteem and social support</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PLoS ONE</w:t>
      </w:r>
      <w:r w:rsidRPr="00AD764A">
        <w:rPr>
          <w:rFonts w:asciiTheme="majorBidi" w:hAnsiTheme="majorBidi" w:cstheme="majorBidi"/>
          <w:sz w:val="20"/>
          <w:szCs w:val="20"/>
          <w:lang w:val="en-GB"/>
        </w:rPr>
        <w:t>, vol. 19, N° 10, Ed. Public Library of Science, San Francisco, 2024, e0311886.</w:t>
      </w:r>
    </w:p>
  </w:footnote>
  <w:footnote w:id="234">
    <w:p w:rsidR="00B54D3C" w:rsidRPr="00AD764A" w:rsidRDefault="00B54D3C" w:rsidP="007A677E">
      <w:pPr>
        <w:spacing w:after="0"/>
        <w:rPr>
          <w:rFonts w:asciiTheme="majorBidi" w:hAnsiTheme="majorBidi" w:cstheme="majorBidi"/>
          <w:sz w:val="20"/>
          <w:szCs w:val="20"/>
          <w:lang w:val="en-GB"/>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lang w:val="en-GB"/>
        </w:rPr>
        <w:t>Organisation mondiale de la santé (OMS),</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Driven to End Malaria: Now We Can. Now We Must</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World Malaria Day 2026</w:t>
      </w:r>
      <w:r w:rsidRPr="00AD764A">
        <w:rPr>
          <w:rFonts w:asciiTheme="majorBidi" w:hAnsiTheme="majorBidi" w:cstheme="majorBidi"/>
          <w:sz w:val="20"/>
          <w:szCs w:val="20"/>
          <w:lang w:val="en-GB"/>
        </w:rPr>
        <w:t xml:space="preserve">, OMS, 25 avril 2026, disponible sur : </w:t>
      </w:r>
      <w:hyperlink r:id="rId83" w:tgtFrame="_new" w:history="1">
        <w:r w:rsidRPr="00AD764A">
          <w:rPr>
            <w:rStyle w:val="Lienhypertexte"/>
            <w:rFonts w:asciiTheme="majorBidi" w:hAnsiTheme="majorBidi" w:cstheme="majorBidi"/>
            <w:sz w:val="20"/>
            <w:szCs w:val="20"/>
            <w:lang w:val="en-GB"/>
          </w:rPr>
          <w:t>https://www.emro.who.int/world-malaria-day/2026/</w:t>
        </w:r>
      </w:hyperlink>
      <w:r w:rsidRPr="00AD764A">
        <w:rPr>
          <w:rFonts w:asciiTheme="majorBidi" w:hAnsiTheme="majorBidi" w:cstheme="majorBidi"/>
          <w:sz w:val="20"/>
          <w:szCs w:val="20"/>
          <w:lang w:val="en-GB"/>
        </w:rPr>
        <w:t xml:space="preserve"> (consulté le 07/04/2026).</w:t>
      </w:r>
    </w:p>
  </w:footnote>
  <w:footnote w:id="235">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whitespace-normal"/>
          <w:rFonts w:asciiTheme="majorBidi" w:hAnsiTheme="majorBidi" w:cstheme="majorBidi"/>
          <w:b/>
          <w:bCs/>
          <w:sz w:val="20"/>
          <w:szCs w:val="20"/>
        </w:rPr>
        <w:t>Autorité européenne de sécurité des aliments</w:t>
      </w:r>
      <w:r w:rsidRPr="00AD764A">
        <w:rPr>
          <w:rStyle w:val="lev"/>
          <w:rFonts w:asciiTheme="majorBidi" w:hAnsiTheme="majorBidi" w:cstheme="majorBidi"/>
          <w:sz w:val="20"/>
          <w:szCs w:val="20"/>
        </w:rPr>
        <w:t>,</w:t>
      </w:r>
      <w:r w:rsidRPr="00AD764A">
        <w:rPr>
          <w:rFonts w:asciiTheme="majorBidi" w:hAnsiTheme="majorBidi" w:cstheme="majorBidi"/>
          <w:sz w:val="20"/>
          <w:szCs w:val="20"/>
        </w:rPr>
        <w:t xml:space="preserve"> « </w:t>
      </w:r>
      <w:r w:rsidRPr="00AD764A">
        <w:rPr>
          <w:rStyle w:val="Accentuation"/>
          <w:rFonts w:asciiTheme="majorBidi" w:hAnsiTheme="majorBidi" w:cstheme="majorBidi"/>
          <w:sz w:val="20"/>
          <w:szCs w:val="20"/>
        </w:rPr>
        <w:t>Safe2Eat in 2026 – Science-backed guidance for all Europeans!</w:t>
      </w:r>
      <w:r w:rsidRPr="00AD764A">
        <w:rPr>
          <w:rFonts w:asciiTheme="majorBidi" w:hAnsiTheme="majorBidi" w:cstheme="majorBidi"/>
          <w:sz w:val="20"/>
          <w:szCs w:val="20"/>
        </w:rPr>
        <w:t xml:space="preserve"> », site officiel EFSA, 16 avril 2026, disponible sur : </w:t>
      </w:r>
      <w:hyperlink r:id="rId84" w:tgtFrame="_new" w:history="1">
        <w:r w:rsidRPr="00AD764A">
          <w:rPr>
            <w:rStyle w:val="Lienhypertexte"/>
            <w:rFonts w:asciiTheme="majorBidi" w:hAnsiTheme="majorBidi" w:cstheme="majorBidi"/>
            <w:sz w:val="20"/>
            <w:szCs w:val="20"/>
          </w:rPr>
          <w:t>https://www.efsa.europa.eu/en/news/safe2eat-2026-science-backed-guidance-all-europeans</w:t>
        </w:r>
      </w:hyperlink>
      <w:r w:rsidRPr="00AD764A">
        <w:rPr>
          <w:rFonts w:asciiTheme="majorBidi" w:hAnsiTheme="majorBidi" w:cstheme="majorBidi"/>
          <w:sz w:val="20"/>
          <w:szCs w:val="20"/>
        </w:rPr>
        <w:t xml:space="preserve"> (consulté le 07/04/2026). </w:t>
      </w:r>
    </w:p>
  </w:footnote>
  <w:footnote w:id="236">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Style w:val="lev"/>
          <w:rFonts w:asciiTheme="majorBidi" w:hAnsiTheme="majorBidi" w:cstheme="majorBidi"/>
          <w:sz w:val="20"/>
          <w:szCs w:val="20"/>
          <w:lang w:val="en-GB"/>
        </w:rPr>
        <w:t>LEE C. L., LEE M. H., LEE J. H.,</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Food crisis: How to define it statistically?</w:t>
      </w:r>
      <w:r w:rsidRPr="00AD764A">
        <w:rPr>
          <w:rFonts w:asciiTheme="majorBidi" w:hAnsiTheme="majorBidi" w:cstheme="majorBidi"/>
          <w:sz w:val="20"/>
          <w:szCs w:val="20"/>
          <w:lang w:val="en-GB"/>
        </w:rPr>
        <w:t xml:space="preserve"> », </w:t>
      </w:r>
      <w:r w:rsidRPr="00AD764A">
        <w:rPr>
          <w:rStyle w:val="Accentuation"/>
          <w:rFonts w:asciiTheme="majorBidi" w:hAnsiTheme="majorBidi" w:cstheme="majorBidi"/>
          <w:sz w:val="20"/>
          <w:szCs w:val="20"/>
          <w:lang w:val="en-GB"/>
        </w:rPr>
        <w:t>WIT Transactions on Ecology and the Environment</w:t>
      </w:r>
      <w:r w:rsidRPr="00AD764A">
        <w:rPr>
          <w:rFonts w:asciiTheme="majorBidi" w:hAnsiTheme="majorBidi" w:cstheme="majorBidi"/>
          <w:sz w:val="20"/>
          <w:szCs w:val="20"/>
          <w:lang w:val="en-GB"/>
        </w:rPr>
        <w:t xml:space="preserve">, N° 162, Ed. </w:t>
      </w:r>
      <w:r w:rsidRPr="00AD764A">
        <w:rPr>
          <w:rFonts w:asciiTheme="majorBidi" w:hAnsiTheme="majorBidi" w:cstheme="majorBidi"/>
          <w:sz w:val="20"/>
          <w:szCs w:val="20"/>
        </w:rPr>
        <w:t>WIT Press, Southampton, 2012, pp. 303–312.</w:t>
      </w:r>
    </w:p>
  </w:footnote>
  <w:footnote w:id="237">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b/>
          <w:bCs/>
          <w:sz w:val="20"/>
          <w:szCs w:val="20"/>
          <w:shd w:val="clear" w:color="auto" w:fill="FFFFFF"/>
        </w:rPr>
        <w:t>PR Daily</w:t>
      </w:r>
      <w:r w:rsidRPr="00AD764A">
        <w:rPr>
          <w:rFonts w:asciiTheme="majorBidi" w:hAnsiTheme="majorBidi" w:cstheme="majorBidi"/>
          <w:sz w:val="20"/>
          <w:szCs w:val="20"/>
          <w:shd w:val="clear" w:color="auto" w:fill="FFFFFF"/>
        </w:rPr>
        <w:t xml:space="preserve"> (organisme : Ragan Communications), « Ce qui change dans les communications sur la sécurité sanitaire des aliments » [en ligne], 27 août 2025. Disponible sur : </w:t>
      </w:r>
      <w:hyperlink r:id="rId85" w:tgtFrame="_blank" w:history="1">
        <w:r w:rsidRPr="00AD764A">
          <w:rPr>
            <w:rFonts w:asciiTheme="majorBidi" w:hAnsiTheme="majorBidi" w:cstheme="majorBidi"/>
            <w:sz w:val="20"/>
            <w:szCs w:val="20"/>
          </w:rPr>
          <w:t>https://www.prdaily.com/whats-changing-in-food-safety-communications/</w:t>
        </w:r>
      </w:hyperlink>
      <w:r w:rsidRPr="00AD764A">
        <w:rPr>
          <w:rFonts w:asciiTheme="majorBidi" w:hAnsiTheme="majorBidi" w:cstheme="majorBidi"/>
          <w:sz w:val="20"/>
          <w:szCs w:val="20"/>
          <w:shd w:val="clear" w:color="auto" w:fill="FFFFFF"/>
        </w:rPr>
        <w:t> (consulté le 2 mai 2026).</w:t>
      </w:r>
    </w:p>
  </w:footnote>
  <w:footnote w:id="238">
    <w:p w:rsidR="00B54D3C" w:rsidRPr="00AD764A" w:rsidRDefault="00B54D3C" w:rsidP="00D1049F">
      <w:pPr>
        <w:spacing w:after="0"/>
        <w:rPr>
          <w:rFonts w:asciiTheme="majorBidi" w:eastAsia="Times New Roman" w:hAnsiTheme="majorBidi" w:cstheme="majorBidi"/>
          <w:sz w:val="20"/>
          <w:szCs w:val="20"/>
          <w:rtl/>
          <w:lang w:eastAsia="fr-FR" w:bidi="ar-DZ"/>
        </w:rPr>
      </w:pPr>
      <w:r w:rsidRPr="00AD764A">
        <w:rPr>
          <w:rStyle w:val="Appelnotedebasdep"/>
          <w:rFonts w:asciiTheme="majorBidi" w:hAnsiTheme="majorBidi" w:cstheme="majorBidi"/>
          <w:sz w:val="20"/>
          <w:szCs w:val="20"/>
        </w:rPr>
        <w:footnoteRef/>
      </w:r>
      <w:r w:rsidRPr="00AD764A">
        <w:rPr>
          <w:rFonts w:asciiTheme="majorBidi" w:eastAsia="Times New Roman" w:hAnsiTheme="majorBidi" w:cstheme="majorBidi"/>
          <w:sz w:val="20"/>
          <w:szCs w:val="20"/>
          <w:lang w:eastAsia="fr-FR"/>
        </w:rPr>
        <w:t>Salha Laazali, Cours de méthodologie de la recherche pédagogique, Université Djilali Bounaama de Khemis Miliana, Faculté des sciences humaines et sociales, Algérie, 2019-2020, p. 3.</w:t>
      </w:r>
    </w:p>
  </w:footnote>
  <w:footnote w:id="239">
    <w:p w:rsidR="00B54D3C" w:rsidRPr="00AD764A" w:rsidRDefault="00B54D3C" w:rsidP="00D1049F">
      <w:pPr>
        <w:spacing w:after="0"/>
        <w:rPr>
          <w:rFonts w:asciiTheme="majorBidi" w:eastAsia="Times New Roman" w:hAnsiTheme="majorBidi" w:cstheme="majorBidi"/>
          <w:sz w:val="20"/>
          <w:szCs w:val="20"/>
          <w:rtl/>
          <w:lang w:eastAsia="fr-FR" w:bidi="ar-DZ"/>
        </w:rPr>
      </w:pPr>
      <w:r w:rsidRPr="00AD764A">
        <w:rPr>
          <w:rStyle w:val="Appelnotedebasdep"/>
          <w:rFonts w:asciiTheme="majorBidi" w:hAnsiTheme="majorBidi" w:cstheme="majorBidi"/>
          <w:sz w:val="20"/>
          <w:szCs w:val="20"/>
        </w:rPr>
        <w:footnoteRef/>
      </w:r>
      <w:r w:rsidRPr="00AD764A">
        <w:rPr>
          <w:rFonts w:asciiTheme="majorBidi" w:eastAsia="Times New Roman" w:hAnsiTheme="majorBidi" w:cstheme="majorBidi"/>
          <w:sz w:val="20"/>
          <w:szCs w:val="20"/>
          <w:lang w:eastAsia="fr-FR"/>
        </w:rPr>
        <w:t>Al-Malahadha al-‘ilmiyya, Revue El-Nasiriya des études sociales et historiques, vol. 15, n° 02, décembre 2024, p. 255.</w:t>
      </w:r>
    </w:p>
  </w:footnote>
  <w:footnote w:id="240">
    <w:p w:rsidR="00B54D3C" w:rsidRPr="00AD764A" w:rsidRDefault="00B54D3C" w:rsidP="007A677E">
      <w:pPr>
        <w:spacing w:after="0"/>
        <w:rPr>
          <w:rFonts w:asciiTheme="majorBidi" w:eastAsia="Times New Roman" w:hAnsiTheme="majorBidi" w:cstheme="majorBidi"/>
          <w:sz w:val="20"/>
          <w:szCs w:val="20"/>
          <w:lang w:eastAsia="fr-FR"/>
        </w:rPr>
      </w:pPr>
      <w:r w:rsidRPr="00AD764A">
        <w:rPr>
          <w:rStyle w:val="Appelnotedebasdep"/>
          <w:rFonts w:asciiTheme="majorBidi" w:hAnsiTheme="majorBidi" w:cstheme="majorBidi"/>
          <w:sz w:val="20"/>
          <w:szCs w:val="20"/>
        </w:rPr>
        <w:footnoteRef/>
      </w:r>
      <w:r w:rsidRPr="00AD764A">
        <w:rPr>
          <w:rFonts w:asciiTheme="majorBidi" w:eastAsia="Times New Roman" w:hAnsiTheme="majorBidi" w:cstheme="majorBidi"/>
          <w:sz w:val="20"/>
          <w:szCs w:val="20"/>
          <w:lang w:eastAsia="fr-FR"/>
        </w:rPr>
        <w:t>Hafida Zourtouti, « Technique de l’observation et ses applications méthodologiques dans les recherches en linguistique appliquée », Revue de linguistique appliquée, Laboratoire de linguistique appliquée et didactique des langues, Université d’Alger 2 Abou El Kacem Saâdallah, n° 2, décembre 2017, p. 66.</w:t>
      </w:r>
    </w:p>
    <w:p w:rsidR="00B54D3C" w:rsidRPr="00AD764A" w:rsidRDefault="00B54D3C" w:rsidP="007A677E">
      <w:pPr>
        <w:pStyle w:val="Notedebasdepage"/>
        <w:rPr>
          <w:rFonts w:asciiTheme="majorBidi" w:hAnsiTheme="majorBidi" w:cstheme="majorBidi"/>
          <w:rtl/>
          <w:lang w:bidi="ar-DZ"/>
        </w:rPr>
      </w:pPr>
    </w:p>
  </w:footnote>
  <w:footnote w:id="241">
    <w:p w:rsidR="00B54D3C" w:rsidRPr="00AD764A" w:rsidRDefault="00B54D3C" w:rsidP="00D1049F">
      <w:pPr>
        <w:spacing w:after="0" w:line="360" w:lineRule="auto"/>
        <w:rPr>
          <w:rFonts w:asciiTheme="majorBidi" w:hAnsiTheme="majorBidi" w:cstheme="majorBidi"/>
          <w:sz w:val="20"/>
          <w:szCs w:val="20"/>
          <w:rtl/>
          <w:lang w:bidi="ar-DZ"/>
        </w:rPr>
      </w:pPr>
      <w:r w:rsidRPr="00AD764A">
        <w:rPr>
          <w:rStyle w:val="Appelnotedebasdep"/>
          <w:rFonts w:asciiTheme="majorBidi" w:hAnsiTheme="majorBidi" w:cstheme="majorBidi"/>
          <w:sz w:val="20"/>
          <w:szCs w:val="20"/>
        </w:rPr>
        <w:footnoteRef/>
      </w:r>
      <w:r w:rsidRPr="00AD764A">
        <w:rPr>
          <w:rFonts w:asciiTheme="majorBidi" w:hAnsiTheme="majorBidi" w:cstheme="majorBidi"/>
          <w:sz w:val="20"/>
          <w:szCs w:val="20"/>
        </w:rPr>
        <w:t xml:space="preserve">YDROUDJ Lakhdar, « Aspects techniques et psychologiques du questionnaire », </w:t>
      </w:r>
      <w:r w:rsidRPr="00AD764A">
        <w:rPr>
          <w:rStyle w:val="whitespace-normal"/>
          <w:rFonts w:asciiTheme="majorBidi" w:hAnsiTheme="majorBidi" w:cstheme="majorBidi"/>
          <w:sz w:val="20"/>
          <w:szCs w:val="20"/>
        </w:rPr>
        <w:t>Revue de l'Information Scientifique et Technique</w:t>
      </w:r>
      <w:r w:rsidRPr="00AD764A">
        <w:rPr>
          <w:rFonts w:asciiTheme="majorBidi" w:hAnsiTheme="majorBidi" w:cstheme="majorBidi"/>
          <w:sz w:val="20"/>
          <w:szCs w:val="20"/>
        </w:rPr>
        <w:t>, vol. 1, n° 2, ISSN 1111-0015, CERIST, Alger, pp. 110–116</w:t>
      </w:r>
    </w:p>
  </w:footnote>
  <w:footnote w:id="242">
    <w:p w:rsidR="00B54D3C" w:rsidRPr="00AD764A" w:rsidRDefault="00B54D3C" w:rsidP="007A677E">
      <w:pPr>
        <w:pStyle w:val="NormalWeb"/>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sz w:val="20"/>
          <w:szCs w:val="20"/>
        </w:rPr>
        <w:t>Boukhrissa F. Nesrine, Benfriha Rachid, « L’entretien qualitatif et son impact sur la qualité de la recherche sociale », Revue de l’Académie des recherches en sciences sociales, Université Abdelhamid Ibn Badis de Most</w:t>
      </w:r>
      <w:r w:rsidRPr="00AD764A">
        <w:rPr>
          <w:rFonts w:asciiTheme="majorBidi" w:hAnsiTheme="majorBidi" w:cstheme="majorBidi"/>
          <w:sz w:val="20"/>
          <w:szCs w:val="20"/>
        </w:rPr>
        <w:t>a</w:t>
      </w:r>
      <w:r w:rsidRPr="00AD764A">
        <w:rPr>
          <w:rFonts w:asciiTheme="majorBidi" w:hAnsiTheme="majorBidi" w:cstheme="majorBidi"/>
          <w:sz w:val="20"/>
          <w:szCs w:val="20"/>
        </w:rPr>
        <w:t>ganem, vol. 01, n° 01, juin 2019, p. 53.</w:t>
      </w:r>
    </w:p>
  </w:footnote>
  <w:footnote w:id="243">
    <w:p w:rsidR="00B54D3C" w:rsidRPr="00AD764A" w:rsidRDefault="00B54D3C" w:rsidP="007A677E">
      <w:pPr>
        <w:pStyle w:val="NormalWeb"/>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sz w:val="20"/>
          <w:szCs w:val="20"/>
        </w:rPr>
        <w:t>Ghouazni Malika, « L’entretien comme outil de collecte des données », vol. 05, n° 02, 2021, p. 180.</w:t>
      </w:r>
    </w:p>
  </w:footnote>
  <w:footnote w:id="244">
    <w:p w:rsidR="00B54D3C" w:rsidRPr="00AD764A" w:rsidRDefault="00B54D3C" w:rsidP="007A677E">
      <w:pPr>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sz w:val="20"/>
          <w:szCs w:val="20"/>
        </w:rPr>
        <w:t>Hamicha Nabil, « L’entretien dans la recherche sociale », Revue des sciences humaines et sociales, Université de Skikda, n° 01, juin 2012, p. 99.</w:t>
      </w:r>
    </w:p>
  </w:footnote>
  <w:footnote w:id="245">
    <w:p w:rsidR="00B54D3C" w:rsidRPr="00AD764A" w:rsidRDefault="00B54D3C" w:rsidP="007A677E">
      <w:pPr>
        <w:pStyle w:val="NormalWeb"/>
        <w:spacing w:after="0"/>
        <w:rPr>
          <w:rFonts w:asciiTheme="majorBidi" w:hAnsiTheme="majorBidi" w:cstheme="majorBidi"/>
          <w:sz w:val="20"/>
          <w:szCs w:val="20"/>
        </w:rPr>
      </w:pPr>
      <w:r w:rsidRPr="00AD764A">
        <w:rPr>
          <w:rStyle w:val="Appelnotedebasdep"/>
          <w:rFonts w:asciiTheme="majorBidi" w:hAnsiTheme="majorBidi" w:cstheme="majorBidi"/>
          <w:sz w:val="20"/>
          <w:szCs w:val="20"/>
        </w:rPr>
        <w:footnoteRef/>
      </w:r>
      <w:r w:rsidRPr="00AD764A">
        <w:rPr>
          <w:rFonts w:asciiTheme="majorBidi" w:hAnsiTheme="majorBidi" w:cstheme="majorBidi"/>
          <w:sz w:val="20"/>
          <w:szCs w:val="20"/>
        </w:rPr>
        <w:t>Boukhrissa F. Nesrine, Benfriha Rachid, « L’entretien qualitatif et son impact sur la qualité de la recherche sociale », Revue de l’Académie des recherches en sciences sociales, Université Abdelhamid Ibn Badis de Most</w:t>
      </w:r>
      <w:r w:rsidRPr="00AD764A">
        <w:rPr>
          <w:rFonts w:asciiTheme="majorBidi" w:hAnsiTheme="majorBidi" w:cstheme="majorBidi"/>
          <w:sz w:val="20"/>
          <w:szCs w:val="20"/>
        </w:rPr>
        <w:t>a</w:t>
      </w:r>
      <w:r w:rsidRPr="00AD764A">
        <w:rPr>
          <w:rFonts w:asciiTheme="majorBidi" w:hAnsiTheme="majorBidi" w:cstheme="majorBidi"/>
          <w:sz w:val="20"/>
          <w:szCs w:val="20"/>
        </w:rPr>
        <w:t>ganem, vol. 01, n° 01, juin 2019, p. 53.</w:t>
      </w:r>
    </w:p>
    <w:p w:rsidR="00B54D3C" w:rsidRPr="00AD764A" w:rsidRDefault="00B54D3C" w:rsidP="007A677E">
      <w:pPr>
        <w:pStyle w:val="Notedebasdepage"/>
        <w:rPr>
          <w:rFonts w:asciiTheme="majorBidi" w:hAnsiTheme="majorBidi" w:cstheme="majorBidi"/>
        </w:rPr>
      </w:pPr>
    </w:p>
  </w:footnote>
  <w:footnote w:id="246">
    <w:p w:rsidR="00B54D3C" w:rsidRPr="0062204A" w:rsidRDefault="00B54D3C" w:rsidP="007A677E">
      <w:pPr>
        <w:pStyle w:val="Notedebasdepage"/>
        <w:rPr>
          <w:rFonts w:asciiTheme="majorBidi" w:hAnsiTheme="majorBidi" w:cstheme="majorBidi"/>
        </w:rPr>
      </w:pPr>
      <w:r>
        <w:rPr>
          <w:rStyle w:val="Appelnotedebasdep"/>
        </w:rPr>
        <w:footnoteRef/>
      </w:r>
      <w:r w:rsidRPr="0062204A">
        <w:rPr>
          <w:rFonts w:asciiTheme="majorBidi" w:hAnsiTheme="majorBidi" w:cstheme="majorBidi"/>
        </w:rPr>
        <w:t xml:space="preserve">Hakim Alileche, fondateur de Dahbia, cité par P. DeAndreis dans l’article « Au cœur de l’Argovie algérienne, Dahbia produit une huile d’olive primée », </w:t>
      </w:r>
      <w:r w:rsidRPr="0062204A">
        <w:rPr>
          <w:rFonts w:asciiTheme="majorBidi" w:hAnsiTheme="majorBidi" w:cstheme="majorBidi"/>
          <w:i/>
          <w:iCs/>
        </w:rPr>
        <w:t>Olive Oil Times</w:t>
      </w:r>
      <w:r w:rsidRPr="0062204A">
        <w:rPr>
          <w:rFonts w:asciiTheme="majorBidi" w:hAnsiTheme="majorBidi" w:cstheme="majorBidi"/>
        </w:rPr>
        <w:t xml:space="preserve">, 16 avril 2026, disponible sur : </w:t>
      </w:r>
      <w:hyperlink r:id="rId86" w:history="1">
        <w:r w:rsidRPr="0062204A">
          <w:rPr>
            <w:rStyle w:val="Lienhypertexte"/>
            <w:rFonts w:asciiTheme="majorBidi" w:hAnsiTheme="majorBidi" w:cstheme="majorBidi"/>
          </w:rPr>
          <w:t>Olive Oil Times</w:t>
        </w:r>
      </w:hyperlink>
      <w:r w:rsidRPr="0062204A">
        <w:rPr>
          <w:rFonts w:asciiTheme="majorBidi" w:hAnsiTheme="majorBidi" w:cstheme="majorBidi"/>
        </w:rPr>
        <w:t>, consulté le 16 mai 2026.</w:t>
      </w:r>
    </w:p>
    <w:p w:rsidR="00B54D3C" w:rsidRDefault="00B54D3C" w:rsidP="007A677E">
      <w:pPr>
        <w:pStyle w:val="Notedebasdepage"/>
        <w:rPr>
          <w:rtl/>
          <w:lang w:bidi="ar-DZ"/>
        </w:rPr>
      </w:pPr>
    </w:p>
  </w:footnote>
  <w:footnote w:id="247">
    <w:p w:rsidR="00B54D3C" w:rsidRPr="0062204A" w:rsidRDefault="00B54D3C" w:rsidP="007A677E">
      <w:pPr>
        <w:pStyle w:val="Notedebasdepage"/>
        <w:rPr>
          <w:rFonts w:asciiTheme="majorBidi" w:hAnsiTheme="majorBidi" w:cstheme="majorBidi"/>
        </w:rPr>
      </w:pPr>
      <w:r>
        <w:rPr>
          <w:rStyle w:val="Appelnotedebasdep"/>
        </w:rPr>
        <w:footnoteRef/>
      </w:r>
      <w:r w:rsidRPr="0062204A">
        <w:rPr>
          <w:rFonts w:asciiTheme="majorBidi" w:hAnsiTheme="majorBidi" w:cstheme="majorBidi"/>
        </w:rPr>
        <w:t xml:space="preserve">Hakim Alileche, fondateur de Dahbia, entretien accordé au journal </w:t>
      </w:r>
      <w:r w:rsidRPr="0062204A">
        <w:rPr>
          <w:rFonts w:asciiTheme="majorBidi" w:hAnsiTheme="majorBidi" w:cstheme="majorBidi"/>
          <w:i/>
          <w:iCs/>
        </w:rPr>
        <w:t>El Watan</w:t>
      </w:r>
      <w:r w:rsidRPr="0062204A">
        <w:rPr>
          <w:rFonts w:asciiTheme="majorBidi" w:hAnsiTheme="majorBidi" w:cstheme="majorBidi"/>
        </w:rPr>
        <w:t xml:space="preserve">, « Notre cible, c’est le marché premium », disponible sur : </w:t>
      </w:r>
      <w:hyperlink r:id="rId87" w:tgtFrame="_blank" w:history="1">
        <w:r w:rsidRPr="0062204A">
          <w:rPr>
            <w:rStyle w:val="Lienhypertexte"/>
            <w:rFonts w:asciiTheme="majorBidi" w:hAnsiTheme="majorBidi" w:cstheme="majorBidi"/>
          </w:rPr>
          <w:t>El Watan</w:t>
        </w:r>
      </w:hyperlink>
      <w:r w:rsidRPr="0062204A">
        <w:rPr>
          <w:rFonts w:asciiTheme="majorBidi" w:hAnsiTheme="majorBidi" w:cstheme="majorBidi"/>
        </w:rPr>
        <w:t>, consulté le 16 mai 2026.</w:t>
      </w:r>
    </w:p>
    <w:p w:rsidR="00B54D3C" w:rsidRDefault="00B54D3C" w:rsidP="007A677E">
      <w:pPr>
        <w:pStyle w:val="Notedebasdepage"/>
        <w:rPr>
          <w:rtl/>
          <w:lang w:bidi="ar-DZ"/>
        </w:rPr>
      </w:pPr>
    </w:p>
  </w:footnote>
  <w:footnote w:id="248">
    <w:p w:rsidR="00B54D3C" w:rsidRPr="0062204A" w:rsidRDefault="00B54D3C" w:rsidP="007A677E">
      <w:pPr>
        <w:pStyle w:val="Notedebasdepage"/>
        <w:rPr>
          <w:rFonts w:asciiTheme="majorBidi" w:hAnsiTheme="majorBidi" w:cstheme="majorBidi"/>
        </w:rPr>
      </w:pPr>
      <w:r>
        <w:rPr>
          <w:rStyle w:val="Appelnotedebasdep"/>
        </w:rPr>
        <w:footnoteRef/>
      </w:r>
      <w:r w:rsidRPr="0062204A">
        <w:rPr>
          <w:rFonts w:asciiTheme="majorBidi" w:hAnsiTheme="majorBidi" w:cstheme="majorBidi"/>
        </w:rPr>
        <w:t xml:space="preserve">Hakim Alileche, fondateur de Dahbia, entretien accordé au journal </w:t>
      </w:r>
      <w:r w:rsidRPr="0062204A">
        <w:rPr>
          <w:rFonts w:asciiTheme="majorBidi" w:hAnsiTheme="majorBidi" w:cstheme="majorBidi"/>
          <w:i/>
          <w:iCs/>
        </w:rPr>
        <w:t>El Watan</w:t>
      </w:r>
      <w:r w:rsidRPr="0062204A">
        <w:rPr>
          <w:rFonts w:asciiTheme="majorBidi" w:hAnsiTheme="majorBidi" w:cstheme="majorBidi"/>
        </w:rPr>
        <w:t xml:space="preserve">, « Notre cible, c’est le marché premium », disponible sur : </w:t>
      </w:r>
      <w:hyperlink r:id="rId88" w:tgtFrame="_blank" w:history="1">
        <w:r w:rsidRPr="0062204A">
          <w:rPr>
            <w:rStyle w:val="Lienhypertexte"/>
            <w:rFonts w:asciiTheme="majorBidi" w:hAnsiTheme="majorBidi" w:cstheme="majorBidi"/>
          </w:rPr>
          <w:t>El Watan</w:t>
        </w:r>
      </w:hyperlink>
      <w:r w:rsidRPr="0062204A">
        <w:rPr>
          <w:rFonts w:asciiTheme="majorBidi" w:hAnsiTheme="majorBidi" w:cstheme="majorBidi"/>
        </w:rPr>
        <w:t>, consulté le 16 mai 2026.</w:t>
      </w:r>
    </w:p>
    <w:p w:rsidR="00B54D3C" w:rsidRDefault="00B54D3C" w:rsidP="007A677E">
      <w:pPr>
        <w:pStyle w:val="Notedebasdepage"/>
        <w:rPr>
          <w:rtl/>
          <w:lang w:bidi="ar-DZ"/>
        </w:rPr>
      </w:pPr>
    </w:p>
  </w:footnote>
  <w:footnote w:id="249">
    <w:p w:rsidR="00B54D3C" w:rsidRPr="0062204A" w:rsidRDefault="00B54D3C" w:rsidP="007A677E">
      <w:pPr>
        <w:pStyle w:val="Notedebasdepage"/>
        <w:rPr>
          <w:rFonts w:asciiTheme="majorBidi" w:hAnsiTheme="majorBidi" w:cstheme="majorBidi"/>
        </w:rPr>
      </w:pPr>
      <w:r>
        <w:rPr>
          <w:rStyle w:val="Appelnotedebasdep"/>
        </w:rPr>
        <w:footnoteRef/>
      </w:r>
      <w:r w:rsidRPr="0062204A">
        <w:rPr>
          <w:rFonts w:asciiTheme="majorBidi" w:hAnsiTheme="majorBidi" w:cstheme="majorBidi"/>
        </w:rPr>
        <w:t xml:space="preserve">Hakim Alileche, fondateur de Dahbia, cité par P. DeAndreis dans l’article « Au cœur de l’Argovie algérienne, Dahbia produit une huile d’olive primée », </w:t>
      </w:r>
      <w:r w:rsidRPr="00BF3B4A">
        <w:rPr>
          <w:rFonts w:asciiTheme="majorBidi" w:hAnsiTheme="majorBidi" w:cstheme="majorBidi"/>
        </w:rPr>
        <w:t>Olive Oil Times,</w:t>
      </w:r>
      <w:r w:rsidRPr="0062204A">
        <w:rPr>
          <w:rFonts w:asciiTheme="majorBidi" w:hAnsiTheme="majorBidi" w:cstheme="majorBidi"/>
        </w:rPr>
        <w:t xml:space="preserve"> 16 avril 2026, disponible sur : </w:t>
      </w:r>
      <w:hyperlink r:id="rId89" w:history="1">
        <w:r w:rsidRPr="0062204A">
          <w:rPr>
            <w:rStyle w:val="Lienhypertexte"/>
            <w:rFonts w:asciiTheme="majorBidi" w:hAnsiTheme="majorBidi" w:cstheme="majorBidi"/>
          </w:rPr>
          <w:t>Olive Oil Times</w:t>
        </w:r>
      </w:hyperlink>
      <w:r w:rsidRPr="0062204A">
        <w:rPr>
          <w:rFonts w:asciiTheme="majorBidi" w:hAnsiTheme="majorBidi" w:cstheme="majorBidi"/>
        </w:rPr>
        <w:t>, consulté le 16 mai 2026.</w:t>
      </w:r>
    </w:p>
    <w:p w:rsidR="00B54D3C" w:rsidRDefault="00B54D3C" w:rsidP="007A677E">
      <w:pPr>
        <w:pStyle w:val="Notedebasdepag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0B478A" w:rsidRDefault="00B54D3C" w:rsidP="000B478A">
    <w:pPr>
      <w:pStyle w:val="En-tte"/>
      <w:jc w:val="center"/>
      <w:rPr>
        <w:rFonts w:asciiTheme="majorBidi" w:hAnsiTheme="majorBidi" w:cstheme="majorBidi"/>
        <w:b/>
        <w:bCs/>
        <w:sz w:val="20"/>
        <w:szCs w:val="20"/>
      </w:rPr>
    </w:pPr>
    <w:r>
      <w:rPr>
        <w:rFonts w:asciiTheme="majorBidi" w:hAnsiTheme="majorBidi" w:cstheme="majorBidi"/>
        <w:b/>
        <w:bCs/>
        <w:noProof/>
        <w:sz w:val="20"/>
        <w:szCs w:val="20"/>
        <w:lang w:eastAsia="fr-FR"/>
      </w:rPr>
      <w:pict>
        <v:line id="_x0000_s4103" style="position:absolute;left:0;text-align:left;flip:y;z-index:251671552;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" strokecolor="#c45911 [2405]" strokeweight="3pt">
          <v:stroke joinstyle="miter"/>
          <w10:wrap anchorx="margin"/>
        </v:line>
      </w:pict>
    </w:r>
    <w:r w:rsidRPr="000B478A">
      <w:rPr>
        <w:rFonts w:asciiTheme="majorBidi" w:hAnsiTheme="majorBidi" w:cstheme="majorBidi"/>
        <w:b/>
        <w:bCs/>
        <w:sz w:val="20"/>
        <w:szCs w:val="20"/>
      </w:rPr>
      <w:t>Introduction Générale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0B478A" w:rsidRDefault="00B54D3C" w:rsidP="000B478A">
    <w:pPr>
      <w:pStyle w:val="En-tte"/>
      <w:jc w:val="center"/>
      <w:rPr>
        <w:rFonts w:asciiTheme="majorBidi" w:hAnsiTheme="majorBidi" w:cstheme="majorBidi"/>
        <w:b/>
        <w:bCs/>
        <w:sz w:val="20"/>
        <w:szCs w:val="20"/>
      </w:rPr>
    </w:pPr>
    <w:r>
      <w:rPr>
        <w:rFonts w:asciiTheme="majorBidi" w:hAnsiTheme="majorBidi" w:cstheme="majorBidi"/>
        <w:b/>
        <w:bCs/>
        <w:noProof/>
        <w:sz w:val="20"/>
        <w:szCs w:val="20"/>
        <w:lang w:eastAsia="fr-FR"/>
      </w:rPr>
      <w:pict>
        <v:line id="_x0000_s4102" style="position:absolute;left:0;text-align:left;flip:y;z-index:251667456;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" strokecolor="#c45911 [2405]" strokeweight="3pt">
          <v:stroke joinstyle="miter"/>
          <w10:wrap anchorx="margin"/>
        </v:line>
      </w:pict>
    </w:r>
    <w:r w:rsidRPr="000B478A">
      <w:rPr>
        <w:rFonts w:asciiTheme="majorBidi" w:hAnsiTheme="majorBidi" w:cstheme="majorBidi"/>
        <w:b/>
        <w:bCs/>
        <w:sz w:val="20"/>
        <w:szCs w:val="20"/>
      </w:rPr>
      <w:t>Introduction Générale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607D3F" w:rsidRDefault="00B54D3C" w:rsidP="0076672F">
    <w:pPr>
      <w:pStyle w:val="En-tte"/>
      <w:tabs>
        <w:tab w:val="clear" w:pos="4536"/>
        <w:tab w:val="clear" w:pos="9072"/>
        <w:tab w:val="left" w:pos="5593"/>
      </w:tabs>
      <w:rPr>
        <w:rFonts w:asciiTheme="majorBidi" w:hAnsiTheme="majorBidi" w:cstheme="majorBidi"/>
        <w:b/>
        <w:bCs/>
        <w:sz w:val="20"/>
        <w:szCs w:val="20"/>
      </w:rPr>
    </w:pPr>
    <w:r w:rsidRPr="007B5998">
      <w:rPr>
        <w:rFonts w:asciiTheme="majorBidi" w:hAnsiTheme="majorBidi" w:cstheme="majorBidi"/>
        <w:b/>
        <w:bCs/>
        <w:noProof/>
        <w:sz w:val="24"/>
        <w:szCs w:val="24"/>
        <w:lang w:eastAsia="fr-FR"/>
      </w:rPr>
      <w:pict>
        <v:line id="_x0000_s4101" style="position:absolute;flip:y;z-index:251669504;visibility:visible;mso-position-horizontal:center;mso-position-horizontal-relative:margin" from="0,21.05pt" to="531.1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" strokecolor="#c45911 [2405]" strokeweight="3pt">
          <v:stroke joinstyle="miter"/>
          <w10:wrap anchorx="margin"/>
        </v:line>
      </w:pict>
    </w:r>
    <w:r w:rsidRPr="00607D3F">
      <w:rPr>
        <w:rFonts w:asciiTheme="majorBidi" w:hAnsiTheme="majorBidi" w:cstheme="majorBidi"/>
        <w:b/>
        <w:bCs/>
        <w:sz w:val="24"/>
        <w:szCs w:val="24"/>
      </w:rPr>
      <w:t>Chapitre</w:t>
    </w:r>
    <w:r>
      <w:rPr>
        <w:rFonts w:asciiTheme="majorBidi" w:hAnsiTheme="majorBidi" w:cstheme="majorBidi"/>
        <w:b/>
        <w:bCs/>
        <w:sz w:val="24"/>
        <w:szCs w:val="24"/>
      </w:rPr>
      <w:t xml:space="preserve"> 1            </w:t>
    </w:r>
    <w:r w:rsidRPr="00607D3F">
      <w:rPr>
        <w:rFonts w:asciiTheme="majorBidi" w:hAnsiTheme="majorBidi" w:cstheme="majorBidi"/>
        <w:b/>
        <w:bCs/>
        <w:sz w:val="20"/>
        <w:szCs w:val="20"/>
      </w:rPr>
      <w:t>Cadre conceptuel du marketing biologique et spécificité des produits</w:t>
    </w:r>
    <w:r>
      <w:rPr>
        <w:rFonts w:asciiTheme="majorBidi" w:hAnsiTheme="majorBidi" w:cstheme="majorBidi"/>
        <w:b/>
        <w:bCs/>
        <w:sz w:val="20"/>
        <w:szCs w:val="20"/>
      </w:rPr>
      <w:t xml:space="preserve"> biologiques</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Default="00B54D3C">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8823E3" w:rsidRDefault="00B54D3C" w:rsidP="00377748">
    <w:pPr>
      <w:spacing w:line="360" w:lineRule="auto"/>
      <w:jc w:val="center"/>
      <w:rPr>
        <w:rFonts w:asciiTheme="majorBidi" w:hAnsiTheme="majorBidi" w:cstheme="majorBidi"/>
        <w:color w:val="000000" w:themeColor="text1"/>
        <w:sz w:val="20"/>
        <w:szCs w:val="20"/>
      </w:rPr>
    </w:pPr>
    <w:r w:rsidRPr="007B5998">
      <w:rPr>
        <w:rFonts w:asciiTheme="majorBidi" w:hAnsiTheme="majorBidi" w:cstheme="majorBidi"/>
        <w:b/>
        <w:bCs/>
        <w:noProof/>
        <w:sz w:val="24"/>
        <w:szCs w:val="24"/>
        <w:lang w:eastAsia="fr-FR"/>
      </w:rPr>
      <w:pict>
        <v:line id="Connecteur droit 15" o:spid="_x0000_s4100" style="position:absolute;left:0;text-align:left;flip:y;z-index:251663360;visibility:visible;mso-position-horizontal:center;mso-position-horizontal-relative:margin" from="0,16.95pt" to="531.1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" strokecolor="#c45911 [2405]" strokeweight="3pt">
          <v:stroke joinstyle="miter"/>
          <w10:wrap anchorx="margin"/>
        </v:line>
      </w:pict>
    </w:r>
    <w:r w:rsidRPr="0076672F">
      <w:rPr>
        <w:rFonts w:asciiTheme="majorBidi" w:hAnsiTheme="majorBidi" w:cstheme="majorBidi"/>
        <w:b/>
        <w:bCs/>
        <w:color w:val="000000" w:themeColor="text1"/>
        <w:sz w:val="20"/>
        <w:szCs w:val="20"/>
      </w:rPr>
      <w:t>Chapitre II</w:t>
    </w:r>
    <w:r w:rsidRPr="0076672F">
      <w:rPr>
        <w:rFonts w:asciiTheme="majorBidi" w:hAnsiTheme="majorBidi" w:cstheme="majorBidi"/>
        <w:color w:val="000000" w:themeColor="text1"/>
        <w:sz w:val="20"/>
        <w:szCs w:val="20"/>
      </w:rPr>
      <w:t>Le rôle stratégique du marketing dans le renforcement de la sécurité sanitaire des aliments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8823E3" w:rsidRDefault="00B54D3C" w:rsidP="007F2397">
    <w:pPr>
      <w:spacing w:line="360" w:lineRule="auto"/>
      <w:rPr>
        <w:rFonts w:asciiTheme="majorBidi" w:hAnsiTheme="majorBidi" w:cstheme="majorBidi"/>
        <w:color w:val="000000" w:themeColor="text1"/>
        <w:sz w:val="20"/>
        <w:szCs w:val="20"/>
      </w:rPr>
    </w:pPr>
    <w:r w:rsidRPr="007B5998">
      <w:rPr>
        <w:rFonts w:asciiTheme="majorBidi" w:hAnsiTheme="majorBidi" w:cstheme="majorBidi"/>
        <w:b/>
        <w:bCs/>
        <w:noProof/>
        <w:sz w:val="24"/>
        <w:szCs w:val="24"/>
        <w:lang w:eastAsia="fr-FR"/>
      </w:rPr>
      <w:pict>
        <v:line id="_x0000_s4099" style="position:absolute;flip:y;z-index:251665408;visibility:visible;mso-position-horizontal:center;mso-position-horizontal-relative:margin" from="0,21.45pt" to="531.1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" strokecolor="#c45911 [2405]" strokeweight="3pt">
          <v:stroke joinstyle="miter"/>
          <w10:wrap anchorx="margin"/>
        </v:line>
      </w:pict>
    </w:r>
    <w:r w:rsidRPr="0076672F">
      <w:rPr>
        <w:rFonts w:asciiTheme="majorBidi" w:hAnsiTheme="majorBidi" w:cstheme="majorBidi"/>
        <w:b/>
        <w:bCs/>
        <w:color w:val="000000" w:themeColor="text1"/>
        <w:sz w:val="20"/>
        <w:szCs w:val="20"/>
      </w:rPr>
      <w:t xml:space="preserve">Chapitre </w:t>
    </w:r>
    <w:r>
      <w:rPr>
        <w:rFonts w:asciiTheme="majorBidi" w:hAnsiTheme="majorBidi" w:cstheme="majorBidi"/>
        <w:b/>
        <w:bCs/>
        <w:color w:val="000000" w:themeColor="text1"/>
        <w:sz w:val="20"/>
        <w:szCs w:val="20"/>
      </w:rPr>
      <w:t xml:space="preserve">03                                 </w:t>
    </w:r>
    <w:r w:rsidRPr="007F2397">
      <w:rPr>
        <w:rFonts w:asciiTheme="majorBidi" w:hAnsiTheme="majorBidi" w:cstheme="majorBidi"/>
        <w:b/>
        <w:bCs/>
        <w:color w:val="000000" w:themeColor="text1"/>
        <w:sz w:val="20"/>
        <w:szCs w:val="20"/>
      </w:rPr>
      <w:t>Étude de terrain : marketing biologique et sécurité sanitaire – Cas Dahbia</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337683" w:rsidRDefault="00B54D3C" w:rsidP="00337683">
    <w:pPr>
      <w:spacing w:line="360" w:lineRule="auto"/>
      <w:jc w:val="center"/>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pict>
        <v:line id="_x0000_s4098" style="position:absolute;left:0;text-align:left;flip:y;z-index:251675648;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" strokecolor="#c45911 [2405]" strokeweight="3pt">
          <v:stroke joinstyle="miter"/>
          <w10:wrap anchorx="margin"/>
        </v:line>
      </w:pict>
    </w:r>
    <w:r w:rsidRPr="00337683">
      <w:rPr>
        <w:rFonts w:asciiTheme="majorBidi" w:hAnsiTheme="majorBidi" w:cstheme="majorBidi"/>
        <w:b/>
        <w:bCs/>
        <w:color w:val="000000" w:themeColor="text1"/>
        <w:sz w:val="20"/>
        <w:szCs w:val="20"/>
      </w:rPr>
      <w:t>Conclusion générale</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FC3E0A" w:rsidRDefault="00B54D3C" w:rsidP="00FC3E0A">
    <w:pPr>
      <w:pStyle w:val="En-tte"/>
      <w:jc w:val="center"/>
      <w:rPr>
        <w:b/>
        <w:bCs/>
        <w:color w:val="FFFFFF" w:themeColor="background1"/>
      </w:rPr>
    </w:pPr>
    <w:r>
      <w:rPr>
        <w:b/>
        <w:bCs/>
        <w:color w:val="FFFFFF" w:themeColor="background1"/>
      </w:rPr>
      <w:pict>
        <v:line id="_x0000_s4097" style="position:absolute;left:0;text-align:left;flip:y;z-index:251677696;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" stroked="f" strokeweight="3pt">
          <v:stroke joinstyle="miter"/>
          <w10:wrap anchorx="margin"/>
        </v:line>
      </w:pict>
    </w:r>
    <w:r w:rsidRPr="00FC3E0A">
      <w:rPr>
        <w:b/>
        <w:bCs/>
        <w:color w:val="FFFFFF" w:themeColor="background1"/>
      </w:rPr>
      <w:t>Conclusion générale</w:t>
    </w:r>
  </w:p>
  <w:p w:rsidR="00B54D3C" w:rsidRPr="00FC3E0A" w:rsidRDefault="00B54D3C">
    <w:pPr>
      <w:pStyle w:val="En-tte"/>
      <w:rPr>
        <w:color w:val="FFFFFF" w:themeColor="background1"/>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337683" w:rsidRDefault="00B54D3C" w:rsidP="00140168">
    <w:pPr>
      <w:spacing w:line="360" w:lineRule="auto"/>
      <w:jc w:val="center"/>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pict>
        <v:line id="_x0000_s4107" style="position:absolute;left:0;text-align:left;flip:y;z-index:251685888;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" strokecolor="#c45911 [2405]" strokeweight="3pt">
          <v:stroke joinstyle="miter"/>
          <w10:wrap anchorx="margin"/>
        </v:line>
      </w:pict>
    </w:r>
    <w:r>
      <w:rPr>
        <w:rFonts w:asciiTheme="majorBidi" w:hAnsiTheme="majorBidi" w:cstheme="majorBidi"/>
        <w:b/>
        <w:bCs/>
        <w:color w:val="000000" w:themeColor="text1"/>
        <w:sz w:val="20"/>
        <w:szCs w:val="20"/>
      </w:rPr>
      <w:t>Bibliographie</w:t>
    </w:r>
  </w:p>
  <w:p w:rsidR="00B54D3C" w:rsidRPr="00140168" w:rsidRDefault="00B54D3C" w:rsidP="00140168">
    <w:pPr>
      <w:pStyle w:val="En-tte"/>
      <w:rPr>
        <w:szCs w:val="20"/>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FC3E0A" w:rsidRDefault="00B54D3C" w:rsidP="00FC3E0A">
    <w:pPr>
      <w:pStyle w:val="En-tte"/>
      <w:jc w:val="center"/>
      <w:rPr>
        <w:b/>
        <w:bCs/>
        <w:color w:val="FFFFFF" w:themeColor="background1"/>
      </w:rPr>
    </w:pPr>
    <w:r>
      <w:rPr>
        <w:b/>
        <w:bCs/>
        <w:color w:val="FFFFFF" w:themeColor="background1"/>
      </w:rPr>
      <w:pict>
        <v:line id="_x0000_s4105" style="position:absolute;left:0;text-align:left;flip:y;z-index:251681792;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" stroked="f" strokeweight="3pt">
          <v:stroke joinstyle="miter"/>
          <w10:wrap anchorx="margin"/>
        </v:line>
      </w:pict>
    </w:r>
    <w:r w:rsidRPr="00FC3E0A">
      <w:rPr>
        <w:b/>
        <w:bCs/>
        <w:color w:val="FFFFFF" w:themeColor="background1"/>
      </w:rPr>
      <w:t>Conclusion générale</w:t>
    </w:r>
  </w:p>
  <w:p w:rsidR="00B54D3C" w:rsidRPr="00337683" w:rsidRDefault="00B54D3C" w:rsidP="00140168">
    <w:pPr>
      <w:spacing w:line="360" w:lineRule="auto"/>
      <w:jc w:val="center"/>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pict>
        <v:line id="_x0000_s4106" style="position:absolute;left:0;text-align:left;flip:y;z-index:251683840;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" strokecolor="#c45911 [2405]" strokeweight="3pt">
          <v:stroke joinstyle="miter"/>
          <w10:wrap anchorx="margin"/>
        </v:line>
      </w:pict>
    </w:r>
    <w:r>
      <w:rPr>
        <w:rFonts w:asciiTheme="majorBidi" w:hAnsiTheme="majorBidi" w:cstheme="majorBidi"/>
        <w:b/>
        <w:bCs/>
        <w:color w:val="000000" w:themeColor="text1"/>
        <w:sz w:val="20"/>
        <w:szCs w:val="20"/>
      </w:rPr>
      <w:t>Bibliographie</w:t>
    </w:r>
  </w:p>
  <w:p w:rsidR="00B54D3C" w:rsidRPr="00FC3E0A" w:rsidRDefault="00B54D3C">
    <w:pPr>
      <w:pStyle w:val="En-tte"/>
      <w:rPr>
        <w:color w:val="FFFFFF" w:themeColor="background1"/>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337683" w:rsidRDefault="00B54D3C" w:rsidP="004B52FF">
    <w:pPr>
      <w:spacing w:line="360" w:lineRule="auto"/>
      <w:jc w:val="center"/>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pict>
        <v:line id="_x0000_s4111" style="position:absolute;left:0;text-align:left;flip:y;z-index:251691008;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" strokecolor="#c45911 [2405]" strokeweight="3pt">
          <v:stroke joinstyle="miter"/>
          <w10:wrap anchorx="margin"/>
        </v:line>
      </w:pict>
    </w:r>
    <w:r>
      <w:rPr>
        <w:rFonts w:asciiTheme="majorBidi" w:hAnsiTheme="majorBidi" w:cstheme="majorBidi"/>
        <w:b/>
        <w:bCs/>
        <w:color w:val="000000" w:themeColor="text1"/>
        <w:sz w:val="20"/>
        <w:szCs w:val="20"/>
      </w:rPr>
      <w:t xml:space="preserve">Annex </w:t>
    </w:r>
  </w:p>
  <w:p w:rsidR="00B54D3C" w:rsidRPr="00140168" w:rsidRDefault="00B54D3C" w:rsidP="00140168">
    <w:pPr>
      <w:pStyle w:val="En-tte"/>
      <w:rPr>
        <w:szCs w:val="2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FC3E0A" w:rsidRDefault="00B54D3C" w:rsidP="00FC3E0A">
    <w:pPr>
      <w:pStyle w:val="En-tte"/>
      <w:jc w:val="center"/>
      <w:rPr>
        <w:b/>
        <w:bCs/>
        <w:color w:val="FFFFFF" w:themeColor="background1"/>
      </w:rPr>
    </w:pPr>
    <w:r>
      <w:rPr>
        <w:b/>
        <w:bCs/>
        <w:color w:val="FFFFFF" w:themeColor="background1"/>
      </w:rPr>
      <w:pict>
        <v:line id="_x0000_s4108" style="position:absolute;left:0;text-align:left;flip:y;z-index:251687936;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" stroked="f" strokeweight="3pt">
          <v:stroke joinstyle="miter"/>
          <w10:wrap anchorx="margin"/>
        </v:line>
      </w:pict>
    </w:r>
    <w:r w:rsidRPr="00FC3E0A">
      <w:rPr>
        <w:b/>
        <w:bCs/>
        <w:color w:val="FFFFFF" w:themeColor="background1"/>
      </w:rPr>
      <w:t>Conclusion générale</w:t>
    </w:r>
  </w:p>
  <w:p w:rsidR="00B54D3C" w:rsidRPr="00337683" w:rsidRDefault="00B54D3C" w:rsidP="00140168">
    <w:pPr>
      <w:spacing w:line="360" w:lineRule="auto"/>
      <w:jc w:val="center"/>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pict>
        <v:line id="_x0000_s4109" style="position:absolute;left:0;text-align:left;flip:y;z-index:251688960;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" strokecolor="#c45911 [2405]" strokeweight="3pt">
          <v:stroke joinstyle="miter"/>
          <w10:wrap anchorx="margin"/>
        </v:line>
      </w:pict>
    </w:r>
    <w:r>
      <w:rPr>
        <w:rFonts w:asciiTheme="majorBidi" w:hAnsiTheme="majorBidi" w:cstheme="majorBidi"/>
        <w:b/>
        <w:bCs/>
        <w:color w:val="000000" w:themeColor="text1"/>
        <w:sz w:val="20"/>
        <w:szCs w:val="20"/>
      </w:rPr>
      <w:t xml:space="preserve">Annex </w:t>
    </w:r>
  </w:p>
  <w:p w:rsidR="00B54D3C" w:rsidRPr="00FC3E0A" w:rsidRDefault="00B54D3C">
    <w:pPr>
      <w:pStyle w:val="En-tte"/>
      <w:rPr>
        <w:color w:val="FFFFFF" w:themeColor="background1"/>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140168" w:rsidRDefault="00B54D3C" w:rsidP="00140168">
    <w:pPr>
      <w:pStyle w:val="En-tte"/>
      <w:rPr>
        <w:szCs w:val="20"/>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3C" w:rsidRPr="00FC3E0A" w:rsidRDefault="00B54D3C" w:rsidP="00FC3E0A">
    <w:pPr>
      <w:pStyle w:val="En-tte"/>
      <w:jc w:val="center"/>
      <w:rPr>
        <w:b/>
        <w:bCs/>
        <w:color w:val="FFFFFF" w:themeColor="background1"/>
      </w:rPr>
    </w:pPr>
    <w:r>
      <w:rPr>
        <w:b/>
        <w:bCs/>
        <w:color w:val="FFFFFF" w:themeColor="background1"/>
      </w:rPr>
      <w:pict>
        <v:line id="_x0000_s4112" style="position:absolute;left:0;text-align:left;flip:y;z-index:251693056;visibility:visible;mso-position-horizontal-relative:margin" from="-33.65pt,22.65pt" to="4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" stroked="f" strokeweight="3pt">
          <v:stroke joinstyle="miter"/>
          <w10:wrap anchorx="margin"/>
        </v:line>
      </w:pict>
    </w:r>
    <w:r w:rsidRPr="00FC3E0A">
      <w:rPr>
        <w:b/>
        <w:bCs/>
        <w:color w:val="FFFFFF" w:themeColor="background1"/>
      </w:rPr>
      <w:t>Conclusion générale</w:t>
    </w:r>
  </w:p>
  <w:p w:rsidR="00B54D3C" w:rsidRPr="00FC3E0A" w:rsidRDefault="00B54D3C">
    <w:pPr>
      <w:pStyle w:val="En-tte"/>
      <w:rPr>
        <w:color w:val="FFFFFF" w:themeColor="background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4362"/>
    <w:multiLevelType w:val="multilevel"/>
    <w:tmpl w:val="015843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D71840"/>
    <w:multiLevelType w:val="multilevel"/>
    <w:tmpl w:val="1BDE7E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80255DD"/>
    <w:multiLevelType w:val="multilevel"/>
    <w:tmpl w:val="A254F6CE"/>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3">
    <w:nsid w:val="08611A18"/>
    <w:multiLevelType w:val="hybridMultilevel"/>
    <w:tmpl w:val="24424BC2"/>
    <w:lvl w:ilvl="0" w:tplc="040C0001">
      <w:start w:val="1"/>
      <w:numFmt w:val="bullet"/>
      <w:lvlText w:val=""/>
      <w:lvlJc w:val="left"/>
      <w:pPr>
        <w:ind w:left="766" w:hanging="360"/>
      </w:pPr>
      <w:rPr>
        <w:rFonts w:ascii="Symbol" w:hAnsi="Symbol"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4">
    <w:nsid w:val="09441B21"/>
    <w:multiLevelType w:val="multilevel"/>
    <w:tmpl w:val="D7323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09B7708A"/>
    <w:multiLevelType w:val="multilevel"/>
    <w:tmpl w:val="703E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482720"/>
    <w:multiLevelType w:val="multilevel"/>
    <w:tmpl w:val="F7203E60"/>
    <w:lvl w:ilvl="0">
      <w:start w:val="1"/>
      <w:numFmt w:val="decimal"/>
      <w:lvlText w:val="%1."/>
      <w:lvlJc w:val="left"/>
      <w:pPr>
        <w:ind w:left="360" w:hanging="360"/>
      </w:pPr>
      <w:rPr>
        <w:rFonts w:ascii="markup-bold" w:hAnsi="markup-bold" w:hint="default"/>
      </w:rPr>
    </w:lvl>
    <w:lvl w:ilvl="1">
      <w:start w:val="1"/>
      <w:numFmt w:val="decimal"/>
      <w:isLgl/>
      <w:lvlText w:val="%1.%2"/>
      <w:lvlJc w:val="left"/>
      <w:pPr>
        <w:ind w:left="360" w:hanging="360"/>
      </w:pPr>
      <w:rPr>
        <w:rFonts w:asciiTheme="majorBidi" w:hAnsiTheme="majorBidi" w:cstheme="majorBidi" w:hint="default"/>
        <w:sz w:val="24"/>
      </w:rPr>
    </w:lvl>
    <w:lvl w:ilvl="2">
      <w:start w:val="1"/>
      <w:numFmt w:val="decimal"/>
      <w:isLgl/>
      <w:lvlText w:val="%1.%2.%3"/>
      <w:lvlJc w:val="left"/>
      <w:pPr>
        <w:ind w:left="720" w:hanging="720"/>
      </w:pPr>
      <w:rPr>
        <w:rFonts w:asciiTheme="majorBidi" w:hAnsiTheme="majorBidi" w:cstheme="majorBidi" w:hint="default"/>
        <w:sz w:val="24"/>
      </w:rPr>
    </w:lvl>
    <w:lvl w:ilvl="3">
      <w:start w:val="1"/>
      <w:numFmt w:val="decimal"/>
      <w:isLgl/>
      <w:lvlText w:val="%1.%2.%3.%4"/>
      <w:lvlJc w:val="left"/>
      <w:pPr>
        <w:ind w:left="1080" w:hanging="1080"/>
      </w:pPr>
      <w:rPr>
        <w:rFonts w:asciiTheme="majorBidi" w:hAnsiTheme="majorBidi" w:cstheme="majorBidi" w:hint="default"/>
        <w:sz w:val="24"/>
      </w:rPr>
    </w:lvl>
    <w:lvl w:ilvl="4">
      <w:start w:val="1"/>
      <w:numFmt w:val="decimal"/>
      <w:isLgl/>
      <w:lvlText w:val="%1.%2.%3.%4.%5"/>
      <w:lvlJc w:val="left"/>
      <w:pPr>
        <w:ind w:left="1080" w:hanging="1080"/>
      </w:pPr>
      <w:rPr>
        <w:rFonts w:asciiTheme="majorBidi" w:hAnsiTheme="majorBidi" w:cstheme="majorBidi" w:hint="default"/>
        <w:sz w:val="24"/>
      </w:rPr>
    </w:lvl>
    <w:lvl w:ilvl="5">
      <w:start w:val="1"/>
      <w:numFmt w:val="decimal"/>
      <w:isLgl/>
      <w:lvlText w:val="%1.%2.%3.%4.%5.%6"/>
      <w:lvlJc w:val="left"/>
      <w:pPr>
        <w:ind w:left="1440" w:hanging="1440"/>
      </w:pPr>
      <w:rPr>
        <w:rFonts w:asciiTheme="majorBidi" w:hAnsiTheme="majorBidi" w:cstheme="majorBidi" w:hint="default"/>
        <w:sz w:val="24"/>
      </w:rPr>
    </w:lvl>
    <w:lvl w:ilvl="6">
      <w:start w:val="1"/>
      <w:numFmt w:val="decimal"/>
      <w:isLgl/>
      <w:lvlText w:val="%1.%2.%3.%4.%5.%6.%7"/>
      <w:lvlJc w:val="left"/>
      <w:pPr>
        <w:ind w:left="1440" w:hanging="1440"/>
      </w:pPr>
      <w:rPr>
        <w:rFonts w:asciiTheme="majorBidi" w:hAnsiTheme="majorBidi" w:cstheme="majorBidi" w:hint="default"/>
        <w:sz w:val="24"/>
      </w:rPr>
    </w:lvl>
    <w:lvl w:ilvl="7">
      <w:start w:val="1"/>
      <w:numFmt w:val="decimal"/>
      <w:isLgl/>
      <w:lvlText w:val="%1.%2.%3.%4.%5.%6.%7.%8"/>
      <w:lvlJc w:val="left"/>
      <w:pPr>
        <w:ind w:left="1800" w:hanging="1800"/>
      </w:pPr>
      <w:rPr>
        <w:rFonts w:asciiTheme="majorBidi" w:hAnsiTheme="majorBidi" w:cstheme="majorBidi" w:hint="default"/>
        <w:sz w:val="24"/>
      </w:rPr>
    </w:lvl>
    <w:lvl w:ilvl="8">
      <w:start w:val="1"/>
      <w:numFmt w:val="decimal"/>
      <w:isLgl/>
      <w:lvlText w:val="%1.%2.%3.%4.%5.%6.%7.%8.%9"/>
      <w:lvlJc w:val="left"/>
      <w:pPr>
        <w:ind w:left="2160" w:hanging="2160"/>
      </w:pPr>
      <w:rPr>
        <w:rFonts w:asciiTheme="majorBidi" w:hAnsiTheme="majorBidi" w:cstheme="majorBidi" w:hint="default"/>
        <w:sz w:val="24"/>
      </w:rPr>
    </w:lvl>
  </w:abstractNum>
  <w:abstractNum w:abstractNumId="7">
    <w:nsid w:val="0ACB4C23"/>
    <w:multiLevelType w:val="multilevel"/>
    <w:tmpl w:val="4EB4B9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B5C765B"/>
    <w:multiLevelType w:val="multilevel"/>
    <w:tmpl w:val="0B5C765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upperRoman"/>
      <w:lvlText w:val="%3."/>
      <w:lvlJc w:val="left"/>
      <w:pPr>
        <w:ind w:left="2520" w:hanging="720"/>
      </w:pPr>
      <w:rPr>
        <w:rFonts w:hint="default"/>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F323046"/>
    <w:multiLevelType w:val="multilevel"/>
    <w:tmpl w:val="0F323046"/>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0">
    <w:nsid w:val="11CB3A9F"/>
    <w:multiLevelType w:val="multilevel"/>
    <w:tmpl w:val="64EC13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E47BD6"/>
    <w:multiLevelType w:val="multilevel"/>
    <w:tmpl w:val="4C6C2B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924F62"/>
    <w:multiLevelType w:val="multilevel"/>
    <w:tmpl w:val="3570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933950"/>
    <w:multiLevelType w:val="multilevel"/>
    <w:tmpl w:val="1A933950"/>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4">
    <w:nsid w:val="25D80FD9"/>
    <w:multiLevelType w:val="multilevel"/>
    <w:tmpl w:val="6AF2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5D0198"/>
    <w:multiLevelType w:val="multilevel"/>
    <w:tmpl w:val="C4CA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F2647D"/>
    <w:multiLevelType w:val="multilevel"/>
    <w:tmpl w:val="2DF2647D"/>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7">
    <w:nsid w:val="32441A50"/>
    <w:multiLevelType w:val="multilevel"/>
    <w:tmpl w:val="391EA8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3FB66501"/>
    <w:multiLevelType w:val="multilevel"/>
    <w:tmpl w:val="3FB66501"/>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9">
    <w:nsid w:val="43C5137B"/>
    <w:multiLevelType w:val="multilevel"/>
    <w:tmpl w:val="70EA4D2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44471631"/>
    <w:multiLevelType w:val="hybridMultilevel"/>
    <w:tmpl w:val="C756D0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8E9500A"/>
    <w:multiLevelType w:val="multilevel"/>
    <w:tmpl w:val="931ADA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nsid w:val="4C8A126C"/>
    <w:multiLevelType w:val="multilevel"/>
    <w:tmpl w:val="F5684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A72398"/>
    <w:multiLevelType w:val="multilevel"/>
    <w:tmpl w:val="4AD2D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1C5328D"/>
    <w:multiLevelType w:val="multilevel"/>
    <w:tmpl w:val="1A90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604C68"/>
    <w:multiLevelType w:val="multilevel"/>
    <w:tmpl w:val="B798E910"/>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360" w:hanging="360"/>
      </w:pPr>
      <w:rPr>
        <w:rFonts w:ascii="Symbol" w:hAnsi="Symbol"/>
        <w:b w:val="0"/>
        <w:bCs/>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nsid w:val="5C7C4BE3"/>
    <w:multiLevelType w:val="multilevel"/>
    <w:tmpl w:val="1B14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211B3C"/>
    <w:multiLevelType w:val="multilevel"/>
    <w:tmpl w:val="0C4E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E462B3"/>
    <w:multiLevelType w:val="hybridMultilevel"/>
    <w:tmpl w:val="56B49F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4AC7173"/>
    <w:multiLevelType w:val="multilevel"/>
    <w:tmpl w:val="3E025F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64CF3099"/>
    <w:multiLevelType w:val="multilevel"/>
    <w:tmpl w:val="4512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F43B1D"/>
    <w:multiLevelType w:val="hybridMultilevel"/>
    <w:tmpl w:val="445261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8054496"/>
    <w:multiLevelType w:val="multilevel"/>
    <w:tmpl w:val="400802A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asciiTheme="majorBidi" w:hAnsiTheme="majorBidi" w:cstheme="majorBidi" w:hint="default"/>
        <w:b/>
      </w:rPr>
    </w:lvl>
    <w:lvl w:ilvl="2">
      <w:start w:val="1"/>
      <w:numFmt w:val="decimal"/>
      <w:isLgl/>
      <w:lvlText w:val="%1.%2.%3."/>
      <w:lvlJc w:val="left"/>
      <w:pPr>
        <w:ind w:left="1080" w:hanging="720"/>
      </w:pPr>
      <w:rPr>
        <w:rFonts w:asciiTheme="majorBidi" w:hAnsiTheme="majorBidi" w:cstheme="majorBidi" w:hint="default"/>
        <w:b/>
      </w:rPr>
    </w:lvl>
    <w:lvl w:ilvl="3">
      <w:start w:val="1"/>
      <w:numFmt w:val="decimal"/>
      <w:isLgl/>
      <w:lvlText w:val="%1.%2.%3.%4."/>
      <w:lvlJc w:val="left"/>
      <w:pPr>
        <w:ind w:left="1080" w:hanging="720"/>
      </w:pPr>
      <w:rPr>
        <w:rFonts w:asciiTheme="majorBidi" w:hAnsiTheme="majorBidi" w:cstheme="majorBidi" w:hint="default"/>
        <w:b/>
      </w:rPr>
    </w:lvl>
    <w:lvl w:ilvl="4">
      <w:start w:val="1"/>
      <w:numFmt w:val="decimal"/>
      <w:isLgl/>
      <w:lvlText w:val="%1.%2.%3.%4.%5."/>
      <w:lvlJc w:val="left"/>
      <w:pPr>
        <w:ind w:left="1440" w:hanging="1080"/>
      </w:pPr>
      <w:rPr>
        <w:rFonts w:asciiTheme="majorBidi" w:hAnsiTheme="majorBidi" w:cstheme="majorBidi" w:hint="default"/>
        <w:b/>
      </w:rPr>
    </w:lvl>
    <w:lvl w:ilvl="5">
      <w:start w:val="1"/>
      <w:numFmt w:val="decimal"/>
      <w:isLgl/>
      <w:lvlText w:val="%1.%2.%3.%4.%5.%6."/>
      <w:lvlJc w:val="left"/>
      <w:pPr>
        <w:ind w:left="1440" w:hanging="1080"/>
      </w:pPr>
      <w:rPr>
        <w:rFonts w:asciiTheme="majorBidi" w:hAnsiTheme="majorBidi" w:cstheme="majorBidi" w:hint="default"/>
        <w:b/>
      </w:rPr>
    </w:lvl>
    <w:lvl w:ilvl="6">
      <w:start w:val="1"/>
      <w:numFmt w:val="decimal"/>
      <w:isLgl/>
      <w:lvlText w:val="%1.%2.%3.%4.%5.%6.%7."/>
      <w:lvlJc w:val="left"/>
      <w:pPr>
        <w:ind w:left="1800" w:hanging="1440"/>
      </w:pPr>
      <w:rPr>
        <w:rFonts w:asciiTheme="majorBidi" w:hAnsiTheme="majorBidi" w:cstheme="majorBidi" w:hint="default"/>
        <w:b/>
      </w:rPr>
    </w:lvl>
    <w:lvl w:ilvl="7">
      <w:start w:val="1"/>
      <w:numFmt w:val="decimal"/>
      <w:isLgl/>
      <w:lvlText w:val="%1.%2.%3.%4.%5.%6.%7.%8."/>
      <w:lvlJc w:val="left"/>
      <w:pPr>
        <w:ind w:left="1800" w:hanging="1440"/>
      </w:pPr>
      <w:rPr>
        <w:rFonts w:asciiTheme="majorBidi" w:hAnsiTheme="majorBidi" w:cstheme="majorBidi" w:hint="default"/>
        <w:b/>
      </w:rPr>
    </w:lvl>
    <w:lvl w:ilvl="8">
      <w:start w:val="1"/>
      <w:numFmt w:val="decimal"/>
      <w:isLgl/>
      <w:lvlText w:val="%1.%2.%3.%4.%5.%6.%7.%8.%9."/>
      <w:lvlJc w:val="left"/>
      <w:pPr>
        <w:ind w:left="2160" w:hanging="1800"/>
      </w:pPr>
      <w:rPr>
        <w:rFonts w:asciiTheme="majorBidi" w:hAnsiTheme="majorBidi" w:cstheme="majorBidi" w:hint="default"/>
        <w:b/>
      </w:rPr>
    </w:lvl>
  </w:abstractNum>
  <w:abstractNum w:abstractNumId="33">
    <w:nsid w:val="6B724E6C"/>
    <w:multiLevelType w:val="multilevel"/>
    <w:tmpl w:val="AD24B1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BB3042B"/>
    <w:multiLevelType w:val="multilevel"/>
    <w:tmpl w:val="3BAEF8A8"/>
    <w:lvl w:ilvl="0">
      <w:start w:val="1"/>
      <w:numFmt w:val="decimal"/>
      <w:lvlText w:val="%1."/>
      <w:lvlJc w:val="left"/>
      <w:pPr>
        <w:ind w:left="360" w:hanging="360"/>
      </w:pPr>
      <w:rPr>
        <w:rFonts w:asciiTheme="majorBidi" w:hAnsiTheme="majorBidi" w:cstheme="majorBidi" w:hint="default"/>
        <w:b/>
        <w:i w:val="0"/>
        <w:color w:val="auto"/>
        <w:sz w:val="24"/>
      </w:rPr>
    </w:lvl>
    <w:lvl w:ilvl="1">
      <w:start w:val="3"/>
      <w:numFmt w:val="decimal"/>
      <w:lvlText w:val="%1.%2."/>
      <w:lvlJc w:val="left"/>
      <w:pPr>
        <w:ind w:left="360" w:hanging="360"/>
      </w:pPr>
      <w:rPr>
        <w:rFonts w:asciiTheme="majorBidi" w:hAnsiTheme="majorBidi" w:cstheme="majorBidi" w:hint="default"/>
        <w:b/>
        <w:i w:val="0"/>
        <w:color w:val="auto"/>
        <w:sz w:val="24"/>
      </w:rPr>
    </w:lvl>
    <w:lvl w:ilvl="2">
      <w:start w:val="1"/>
      <w:numFmt w:val="decimal"/>
      <w:lvlText w:val="%1.%2.%3."/>
      <w:lvlJc w:val="left"/>
      <w:pPr>
        <w:ind w:left="720" w:hanging="720"/>
      </w:pPr>
      <w:rPr>
        <w:rFonts w:asciiTheme="majorBidi" w:hAnsiTheme="majorBidi" w:cstheme="majorBidi" w:hint="default"/>
        <w:b/>
        <w:i w:val="0"/>
        <w:color w:val="auto"/>
        <w:sz w:val="24"/>
      </w:rPr>
    </w:lvl>
    <w:lvl w:ilvl="3">
      <w:start w:val="1"/>
      <w:numFmt w:val="decimal"/>
      <w:lvlText w:val="%1.%2.%3.%4."/>
      <w:lvlJc w:val="left"/>
      <w:pPr>
        <w:ind w:left="720" w:hanging="720"/>
      </w:pPr>
      <w:rPr>
        <w:rFonts w:asciiTheme="majorBidi" w:hAnsiTheme="majorBidi" w:cstheme="majorBidi" w:hint="default"/>
        <w:b/>
        <w:i w:val="0"/>
        <w:color w:val="auto"/>
        <w:sz w:val="24"/>
      </w:rPr>
    </w:lvl>
    <w:lvl w:ilvl="4">
      <w:start w:val="1"/>
      <w:numFmt w:val="decimal"/>
      <w:lvlText w:val="%1.%2.%3.%4.%5."/>
      <w:lvlJc w:val="left"/>
      <w:pPr>
        <w:ind w:left="1080" w:hanging="1080"/>
      </w:pPr>
      <w:rPr>
        <w:rFonts w:asciiTheme="majorBidi" w:hAnsiTheme="majorBidi" w:cstheme="majorBidi" w:hint="default"/>
        <w:b/>
        <w:i w:val="0"/>
        <w:color w:val="auto"/>
        <w:sz w:val="24"/>
      </w:rPr>
    </w:lvl>
    <w:lvl w:ilvl="5">
      <w:start w:val="1"/>
      <w:numFmt w:val="decimal"/>
      <w:lvlText w:val="%1.%2.%3.%4.%5.%6."/>
      <w:lvlJc w:val="left"/>
      <w:pPr>
        <w:ind w:left="1080" w:hanging="1080"/>
      </w:pPr>
      <w:rPr>
        <w:rFonts w:asciiTheme="majorBidi" w:hAnsiTheme="majorBidi" w:cstheme="majorBidi" w:hint="default"/>
        <w:b/>
        <w:i w:val="0"/>
        <w:color w:val="auto"/>
        <w:sz w:val="24"/>
      </w:rPr>
    </w:lvl>
    <w:lvl w:ilvl="6">
      <w:start w:val="1"/>
      <w:numFmt w:val="decimal"/>
      <w:lvlText w:val="%1.%2.%3.%4.%5.%6.%7."/>
      <w:lvlJc w:val="left"/>
      <w:pPr>
        <w:ind w:left="1440" w:hanging="1440"/>
      </w:pPr>
      <w:rPr>
        <w:rFonts w:asciiTheme="majorBidi" w:hAnsiTheme="majorBidi" w:cstheme="majorBidi" w:hint="default"/>
        <w:b/>
        <w:i w:val="0"/>
        <w:color w:val="auto"/>
        <w:sz w:val="24"/>
      </w:rPr>
    </w:lvl>
    <w:lvl w:ilvl="7">
      <w:start w:val="1"/>
      <w:numFmt w:val="decimal"/>
      <w:lvlText w:val="%1.%2.%3.%4.%5.%6.%7.%8."/>
      <w:lvlJc w:val="left"/>
      <w:pPr>
        <w:ind w:left="1440" w:hanging="1440"/>
      </w:pPr>
      <w:rPr>
        <w:rFonts w:asciiTheme="majorBidi" w:hAnsiTheme="majorBidi" w:cstheme="majorBidi" w:hint="default"/>
        <w:b/>
        <w:i w:val="0"/>
        <w:color w:val="auto"/>
        <w:sz w:val="24"/>
      </w:rPr>
    </w:lvl>
    <w:lvl w:ilvl="8">
      <w:start w:val="1"/>
      <w:numFmt w:val="decimal"/>
      <w:lvlText w:val="%1.%2.%3.%4.%5.%6.%7.%8.%9."/>
      <w:lvlJc w:val="left"/>
      <w:pPr>
        <w:ind w:left="1800" w:hanging="1800"/>
      </w:pPr>
      <w:rPr>
        <w:rFonts w:asciiTheme="majorBidi" w:hAnsiTheme="majorBidi" w:cstheme="majorBidi" w:hint="default"/>
        <w:b/>
        <w:i w:val="0"/>
        <w:color w:val="auto"/>
        <w:sz w:val="24"/>
      </w:rPr>
    </w:lvl>
  </w:abstractNum>
  <w:abstractNum w:abstractNumId="35">
    <w:nsid w:val="712D2DEA"/>
    <w:multiLevelType w:val="multilevel"/>
    <w:tmpl w:val="4312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A740FD"/>
    <w:multiLevelType w:val="multilevel"/>
    <w:tmpl w:val="72A740FD"/>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37">
    <w:nsid w:val="74886220"/>
    <w:multiLevelType w:val="multilevel"/>
    <w:tmpl w:val="74886220"/>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38">
    <w:nsid w:val="779721D9"/>
    <w:multiLevelType w:val="multilevel"/>
    <w:tmpl w:val="5AD2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D565DC"/>
    <w:multiLevelType w:val="multilevel"/>
    <w:tmpl w:val="057E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CC12C2"/>
    <w:multiLevelType w:val="multilevel"/>
    <w:tmpl w:val="7BCC12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7D625CD4"/>
    <w:multiLevelType w:val="multilevel"/>
    <w:tmpl w:val="7D625CD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5"/>
  </w:num>
  <w:num w:numId="2">
    <w:abstractNumId w:val="3"/>
  </w:num>
  <w:num w:numId="3">
    <w:abstractNumId w:val="6"/>
  </w:num>
  <w:num w:numId="4">
    <w:abstractNumId w:val="16"/>
  </w:num>
  <w:num w:numId="5">
    <w:abstractNumId w:val="18"/>
  </w:num>
  <w:num w:numId="6">
    <w:abstractNumId w:val="0"/>
  </w:num>
  <w:num w:numId="7">
    <w:abstractNumId w:val="13"/>
  </w:num>
  <w:num w:numId="8">
    <w:abstractNumId w:val="37"/>
  </w:num>
  <w:num w:numId="9">
    <w:abstractNumId w:val="9"/>
  </w:num>
  <w:num w:numId="10">
    <w:abstractNumId w:val="8"/>
  </w:num>
  <w:num w:numId="11">
    <w:abstractNumId w:val="41"/>
  </w:num>
  <w:num w:numId="12">
    <w:abstractNumId w:val="36"/>
  </w:num>
  <w:num w:numId="13">
    <w:abstractNumId w:val="40"/>
  </w:num>
  <w:num w:numId="14">
    <w:abstractNumId w:val="31"/>
  </w:num>
  <w:num w:numId="15">
    <w:abstractNumId w:val="19"/>
  </w:num>
  <w:num w:numId="16">
    <w:abstractNumId w:val="10"/>
  </w:num>
  <w:num w:numId="17">
    <w:abstractNumId w:val="4"/>
  </w:num>
  <w:num w:numId="18">
    <w:abstractNumId w:val="1"/>
  </w:num>
  <w:num w:numId="19">
    <w:abstractNumId w:val="5"/>
  </w:num>
  <w:num w:numId="20">
    <w:abstractNumId w:val="14"/>
  </w:num>
  <w:num w:numId="21">
    <w:abstractNumId w:val="24"/>
  </w:num>
  <w:num w:numId="22">
    <w:abstractNumId w:val="12"/>
  </w:num>
  <w:num w:numId="23">
    <w:abstractNumId w:val="22"/>
  </w:num>
  <w:num w:numId="24">
    <w:abstractNumId w:val="38"/>
  </w:num>
  <w:num w:numId="25">
    <w:abstractNumId w:val="39"/>
  </w:num>
  <w:num w:numId="26">
    <w:abstractNumId w:val="35"/>
  </w:num>
  <w:num w:numId="27">
    <w:abstractNumId w:val="26"/>
  </w:num>
  <w:num w:numId="28">
    <w:abstractNumId w:val="15"/>
  </w:num>
  <w:num w:numId="29">
    <w:abstractNumId w:val="33"/>
  </w:num>
  <w:num w:numId="30">
    <w:abstractNumId w:val="11"/>
  </w:num>
  <w:num w:numId="31">
    <w:abstractNumId w:val="29"/>
  </w:num>
  <w:num w:numId="32">
    <w:abstractNumId w:val="21"/>
  </w:num>
  <w:num w:numId="33">
    <w:abstractNumId w:val="17"/>
  </w:num>
  <w:num w:numId="34">
    <w:abstractNumId w:val="27"/>
  </w:num>
  <w:num w:numId="35">
    <w:abstractNumId w:val="28"/>
  </w:num>
  <w:num w:numId="36">
    <w:abstractNumId w:val="7"/>
  </w:num>
  <w:num w:numId="37">
    <w:abstractNumId w:val="34"/>
  </w:num>
  <w:num w:numId="38">
    <w:abstractNumId w:val="32"/>
  </w:num>
  <w:num w:numId="39">
    <w:abstractNumId w:val="20"/>
  </w:num>
  <w:num w:numId="40">
    <w:abstractNumId w:val="2"/>
  </w:num>
  <w:num w:numId="41">
    <w:abstractNumId w:val="23"/>
  </w:num>
  <w:num w:numId="42">
    <w:abstractNumId w:val="30"/>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hdrShapeDefaults>
    <o:shapedefaults v:ext="edit" spidmax="9218"/>
    <o:shapelayout v:ext="edit">
      <o:idmap v:ext="edit" data="4"/>
    </o:shapelayout>
  </w:hdrShapeDefaults>
  <w:footnotePr>
    <w:numRestart w:val="eachPage"/>
    <w:footnote w:id="0"/>
    <w:footnote w:id="1"/>
  </w:footnotePr>
  <w:endnotePr>
    <w:endnote w:id="0"/>
    <w:endnote w:id="1"/>
  </w:endnotePr>
  <w:compat/>
  <w:rsids>
    <w:rsidRoot w:val="00D55197"/>
    <w:rsid w:val="000052F0"/>
    <w:rsid w:val="00007593"/>
    <w:rsid w:val="000113F1"/>
    <w:rsid w:val="00014461"/>
    <w:rsid w:val="00015778"/>
    <w:rsid w:val="00016D60"/>
    <w:rsid w:val="00033626"/>
    <w:rsid w:val="0003518D"/>
    <w:rsid w:val="0003572A"/>
    <w:rsid w:val="000534C6"/>
    <w:rsid w:val="000549E0"/>
    <w:rsid w:val="0005654B"/>
    <w:rsid w:val="0005673C"/>
    <w:rsid w:val="000642B0"/>
    <w:rsid w:val="000745B6"/>
    <w:rsid w:val="00080A13"/>
    <w:rsid w:val="00083433"/>
    <w:rsid w:val="00093D97"/>
    <w:rsid w:val="00095A88"/>
    <w:rsid w:val="00096C0F"/>
    <w:rsid w:val="000A0823"/>
    <w:rsid w:val="000A20AE"/>
    <w:rsid w:val="000B478A"/>
    <w:rsid w:val="000B74BA"/>
    <w:rsid w:val="000C117E"/>
    <w:rsid w:val="000D38C7"/>
    <w:rsid w:val="000D513E"/>
    <w:rsid w:val="000F6529"/>
    <w:rsid w:val="00134DDC"/>
    <w:rsid w:val="00137B5B"/>
    <w:rsid w:val="00140168"/>
    <w:rsid w:val="0014408D"/>
    <w:rsid w:val="00147113"/>
    <w:rsid w:val="00174035"/>
    <w:rsid w:val="001817BA"/>
    <w:rsid w:val="00181953"/>
    <w:rsid w:val="00190A59"/>
    <w:rsid w:val="001936D1"/>
    <w:rsid w:val="001A140D"/>
    <w:rsid w:val="001B3502"/>
    <w:rsid w:val="001C06BD"/>
    <w:rsid w:val="001C08B7"/>
    <w:rsid w:val="001C3AC4"/>
    <w:rsid w:val="001D5B0C"/>
    <w:rsid w:val="001F50F3"/>
    <w:rsid w:val="00200BF8"/>
    <w:rsid w:val="00226F23"/>
    <w:rsid w:val="00231FB5"/>
    <w:rsid w:val="00234F25"/>
    <w:rsid w:val="00254187"/>
    <w:rsid w:val="002562F1"/>
    <w:rsid w:val="00256B6D"/>
    <w:rsid w:val="002667D2"/>
    <w:rsid w:val="00292809"/>
    <w:rsid w:val="002928D6"/>
    <w:rsid w:val="002A0D82"/>
    <w:rsid w:val="002D5A00"/>
    <w:rsid w:val="002E0D1B"/>
    <w:rsid w:val="002E7E57"/>
    <w:rsid w:val="002F26DB"/>
    <w:rsid w:val="003253D8"/>
    <w:rsid w:val="00337683"/>
    <w:rsid w:val="00345819"/>
    <w:rsid w:val="003557FE"/>
    <w:rsid w:val="00377748"/>
    <w:rsid w:val="00380249"/>
    <w:rsid w:val="00382544"/>
    <w:rsid w:val="00383CD1"/>
    <w:rsid w:val="003876C3"/>
    <w:rsid w:val="00387BE5"/>
    <w:rsid w:val="0039400F"/>
    <w:rsid w:val="003A2362"/>
    <w:rsid w:val="003A2573"/>
    <w:rsid w:val="003A29EB"/>
    <w:rsid w:val="003B04F1"/>
    <w:rsid w:val="003C4135"/>
    <w:rsid w:val="003C4898"/>
    <w:rsid w:val="003C56C1"/>
    <w:rsid w:val="003D023C"/>
    <w:rsid w:val="00401375"/>
    <w:rsid w:val="004030F8"/>
    <w:rsid w:val="004119F0"/>
    <w:rsid w:val="00411B2B"/>
    <w:rsid w:val="00412AAB"/>
    <w:rsid w:val="00416D87"/>
    <w:rsid w:val="0042107E"/>
    <w:rsid w:val="004447BB"/>
    <w:rsid w:val="004543E3"/>
    <w:rsid w:val="0045680E"/>
    <w:rsid w:val="00463364"/>
    <w:rsid w:val="00471318"/>
    <w:rsid w:val="004811AA"/>
    <w:rsid w:val="004818DD"/>
    <w:rsid w:val="00486555"/>
    <w:rsid w:val="004871BE"/>
    <w:rsid w:val="004877C9"/>
    <w:rsid w:val="00496B07"/>
    <w:rsid w:val="004B2A2E"/>
    <w:rsid w:val="004B52FF"/>
    <w:rsid w:val="004D1E9C"/>
    <w:rsid w:val="004D3061"/>
    <w:rsid w:val="004D5ED2"/>
    <w:rsid w:val="004E6E7E"/>
    <w:rsid w:val="00515B25"/>
    <w:rsid w:val="00516205"/>
    <w:rsid w:val="005200B3"/>
    <w:rsid w:val="005236B6"/>
    <w:rsid w:val="00523F6D"/>
    <w:rsid w:val="00533A11"/>
    <w:rsid w:val="00540359"/>
    <w:rsid w:val="00560D4A"/>
    <w:rsid w:val="0056423F"/>
    <w:rsid w:val="00572D22"/>
    <w:rsid w:val="00576950"/>
    <w:rsid w:val="00581B13"/>
    <w:rsid w:val="00597EB4"/>
    <w:rsid w:val="005A638F"/>
    <w:rsid w:val="005C0810"/>
    <w:rsid w:val="005C15F8"/>
    <w:rsid w:val="005C5261"/>
    <w:rsid w:val="005D0B7E"/>
    <w:rsid w:val="005D1B1C"/>
    <w:rsid w:val="005E1245"/>
    <w:rsid w:val="005F2D2B"/>
    <w:rsid w:val="006044D4"/>
    <w:rsid w:val="00606E4A"/>
    <w:rsid w:val="00607D3F"/>
    <w:rsid w:val="006231FA"/>
    <w:rsid w:val="006337C3"/>
    <w:rsid w:val="00633AE9"/>
    <w:rsid w:val="00650768"/>
    <w:rsid w:val="00660383"/>
    <w:rsid w:val="006617B9"/>
    <w:rsid w:val="0066256C"/>
    <w:rsid w:val="00670DAA"/>
    <w:rsid w:val="006860B1"/>
    <w:rsid w:val="00690B08"/>
    <w:rsid w:val="00697DE2"/>
    <w:rsid w:val="006A7554"/>
    <w:rsid w:val="006B07A9"/>
    <w:rsid w:val="006B2E3E"/>
    <w:rsid w:val="006C730D"/>
    <w:rsid w:val="006D4FF5"/>
    <w:rsid w:val="006E0CCF"/>
    <w:rsid w:val="006E1B03"/>
    <w:rsid w:val="006E2C45"/>
    <w:rsid w:val="006E2FEE"/>
    <w:rsid w:val="006E799B"/>
    <w:rsid w:val="006F0013"/>
    <w:rsid w:val="006F0846"/>
    <w:rsid w:val="006F51A5"/>
    <w:rsid w:val="00717186"/>
    <w:rsid w:val="00734009"/>
    <w:rsid w:val="00735F1D"/>
    <w:rsid w:val="00741C74"/>
    <w:rsid w:val="00750218"/>
    <w:rsid w:val="007600AC"/>
    <w:rsid w:val="00764EA6"/>
    <w:rsid w:val="0076672F"/>
    <w:rsid w:val="00771DF1"/>
    <w:rsid w:val="007878B9"/>
    <w:rsid w:val="00792AF6"/>
    <w:rsid w:val="007A3346"/>
    <w:rsid w:val="007A677E"/>
    <w:rsid w:val="007A7E20"/>
    <w:rsid w:val="007B5998"/>
    <w:rsid w:val="007C3D9F"/>
    <w:rsid w:val="007C5538"/>
    <w:rsid w:val="007D3A7F"/>
    <w:rsid w:val="007E2534"/>
    <w:rsid w:val="007E41F0"/>
    <w:rsid w:val="007E48A5"/>
    <w:rsid w:val="007F2397"/>
    <w:rsid w:val="007F6A30"/>
    <w:rsid w:val="00802693"/>
    <w:rsid w:val="00806286"/>
    <w:rsid w:val="00833F6D"/>
    <w:rsid w:val="00834775"/>
    <w:rsid w:val="00851107"/>
    <w:rsid w:val="00851169"/>
    <w:rsid w:val="00851723"/>
    <w:rsid w:val="00851C6A"/>
    <w:rsid w:val="008561AE"/>
    <w:rsid w:val="008577F3"/>
    <w:rsid w:val="008715C8"/>
    <w:rsid w:val="008773AD"/>
    <w:rsid w:val="008823E3"/>
    <w:rsid w:val="0089129D"/>
    <w:rsid w:val="00892BD3"/>
    <w:rsid w:val="00893377"/>
    <w:rsid w:val="008934C4"/>
    <w:rsid w:val="008B6A92"/>
    <w:rsid w:val="008C5F4D"/>
    <w:rsid w:val="008D4031"/>
    <w:rsid w:val="008E60F7"/>
    <w:rsid w:val="00921E3A"/>
    <w:rsid w:val="00931913"/>
    <w:rsid w:val="00933742"/>
    <w:rsid w:val="00945042"/>
    <w:rsid w:val="00950D60"/>
    <w:rsid w:val="00951ACA"/>
    <w:rsid w:val="0095325B"/>
    <w:rsid w:val="0095459C"/>
    <w:rsid w:val="0095532C"/>
    <w:rsid w:val="00957A9A"/>
    <w:rsid w:val="00964FF4"/>
    <w:rsid w:val="009766E9"/>
    <w:rsid w:val="00981E6F"/>
    <w:rsid w:val="00982267"/>
    <w:rsid w:val="0098240E"/>
    <w:rsid w:val="00995269"/>
    <w:rsid w:val="00996144"/>
    <w:rsid w:val="009A0BED"/>
    <w:rsid w:val="009A582D"/>
    <w:rsid w:val="009C68E0"/>
    <w:rsid w:val="009C69BB"/>
    <w:rsid w:val="009D0249"/>
    <w:rsid w:val="009D60EB"/>
    <w:rsid w:val="009D64D2"/>
    <w:rsid w:val="009F6DF2"/>
    <w:rsid w:val="00A10685"/>
    <w:rsid w:val="00A216AA"/>
    <w:rsid w:val="00A22FB6"/>
    <w:rsid w:val="00A25C4F"/>
    <w:rsid w:val="00A427C0"/>
    <w:rsid w:val="00A43337"/>
    <w:rsid w:val="00A44CFB"/>
    <w:rsid w:val="00A46670"/>
    <w:rsid w:val="00A511C9"/>
    <w:rsid w:val="00A70DE2"/>
    <w:rsid w:val="00A737E4"/>
    <w:rsid w:val="00A8027D"/>
    <w:rsid w:val="00A91837"/>
    <w:rsid w:val="00A96A8F"/>
    <w:rsid w:val="00AA4944"/>
    <w:rsid w:val="00AA6044"/>
    <w:rsid w:val="00AD69FD"/>
    <w:rsid w:val="00AD764A"/>
    <w:rsid w:val="00AF5D18"/>
    <w:rsid w:val="00B011EF"/>
    <w:rsid w:val="00B05C04"/>
    <w:rsid w:val="00B20DAD"/>
    <w:rsid w:val="00B24E9B"/>
    <w:rsid w:val="00B40036"/>
    <w:rsid w:val="00B54D3C"/>
    <w:rsid w:val="00B6548F"/>
    <w:rsid w:val="00B745F2"/>
    <w:rsid w:val="00B8064A"/>
    <w:rsid w:val="00BA2E16"/>
    <w:rsid w:val="00BC157F"/>
    <w:rsid w:val="00BE5B03"/>
    <w:rsid w:val="00BF6076"/>
    <w:rsid w:val="00C04D2F"/>
    <w:rsid w:val="00C13EE0"/>
    <w:rsid w:val="00C1405E"/>
    <w:rsid w:val="00C14287"/>
    <w:rsid w:val="00C34AD9"/>
    <w:rsid w:val="00C50FD4"/>
    <w:rsid w:val="00C66484"/>
    <w:rsid w:val="00C74DB8"/>
    <w:rsid w:val="00C81D92"/>
    <w:rsid w:val="00C84B74"/>
    <w:rsid w:val="00CA0685"/>
    <w:rsid w:val="00CC0DFF"/>
    <w:rsid w:val="00CC6696"/>
    <w:rsid w:val="00CD023B"/>
    <w:rsid w:val="00CD0DEF"/>
    <w:rsid w:val="00CD3D14"/>
    <w:rsid w:val="00CD53FC"/>
    <w:rsid w:val="00CD74BC"/>
    <w:rsid w:val="00CE2D91"/>
    <w:rsid w:val="00CE607F"/>
    <w:rsid w:val="00CF2BE9"/>
    <w:rsid w:val="00CF6EAE"/>
    <w:rsid w:val="00D0124E"/>
    <w:rsid w:val="00D02542"/>
    <w:rsid w:val="00D078CC"/>
    <w:rsid w:val="00D078FF"/>
    <w:rsid w:val="00D1049F"/>
    <w:rsid w:val="00D20F44"/>
    <w:rsid w:val="00D21274"/>
    <w:rsid w:val="00D2179D"/>
    <w:rsid w:val="00D30DC9"/>
    <w:rsid w:val="00D30E5E"/>
    <w:rsid w:val="00D31D8F"/>
    <w:rsid w:val="00D36180"/>
    <w:rsid w:val="00D37276"/>
    <w:rsid w:val="00D4625E"/>
    <w:rsid w:val="00D55197"/>
    <w:rsid w:val="00D64344"/>
    <w:rsid w:val="00D66C46"/>
    <w:rsid w:val="00D83B38"/>
    <w:rsid w:val="00D850BE"/>
    <w:rsid w:val="00DC1548"/>
    <w:rsid w:val="00DC1F88"/>
    <w:rsid w:val="00DC3CBA"/>
    <w:rsid w:val="00DD02C3"/>
    <w:rsid w:val="00DD47AF"/>
    <w:rsid w:val="00DF10D6"/>
    <w:rsid w:val="00E00726"/>
    <w:rsid w:val="00E06313"/>
    <w:rsid w:val="00E13A65"/>
    <w:rsid w:val="00E34A37"/>
    <w:rsid w:val="00E43EEF"/>
    <w:rsid w:val="00E52A17"/>
    <w:rsid w:val="00E55BED"/>
    <w:rsid w:val="00E57CD5"/>
    <w:rsid w:val="00E62153"/>
    <w:rsid w:val="00E65041"/>
    <w:rsid w:val="00E726AD"/>
    <w:rsid w:val="00E73154"/>
    <w:rsid w:val="00EA0836"/>
    <w:rsid w:val="00EA7833"/>
    <w:rsid w:val="00EC7780"/>
    <w:rsid w:val="00ED4D65"/>
    <w:rsid w:val="00EE2342"/>
    <w:rsid w:val="00EE36A0"/>
    <w:rsid w:val="00EF0221"/>
    <w:rsid w:val="00EF42E4"/>
    <w:rsid w:val="00F0619E"/>
    <w:rsid w:val="00F13C9A"/>
    <w:rsid w:val="00F17917"/>
    <w:rsid w:val="00F45722"/>
    <w:rsid w:val="00F5414D"/>
    <w:rsid w:val="00F577B5"/>
    <w:rsid w:val="00F57DD8"/>
    <w:rsid w:val="00F7157D"/>
    <w:rsid w:val="00F7493D"/>
    <w:rsid w:val="00F7606E"/>
    <w:rsid w:val="00F91BAC"/>
    <w:rsid w:val="00F95EB1"/>
    <w:rsid w:val="00FB19FB"/>
    <w:rsid w:val="00FB58EA"/>
    <w:rsid w:val="00FC1F06"/>
    <w:rsid w:val="00FC3E0A"/>
    <w:rsid w:val="00FE643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1" type="connector" idref="#Connecteur droit avec flèche 48"/>
        <o:r id="V:Rule22" type="connector" idref="#Connecteur droit avec flèche 45"/>
        <o:r id="V:Rule23" type="connector" idref="#Connecteur droit avec flèche 47"/>
        <o:r id="V:Rule24" type="connector" idref="#Connecteur droit avec flèche 26"/>
        <o:r id="V:Rule25" type="connector" idref="#Connecteur droit avec flèche 46"/>
        <o:r id="V:Rule26" type="connector" idref="#Connecteur droit avec flèche 5"/>
        <o:r id="V:Rule27" type="connector" idref="#Connecteur droit avec flèche 30"/>
        <o:r id="V:Rule28" type="connector" idref="#Connecteur droit avec flèche 10"/>
        <o:r id="V:Rule29" type="connector" idref="#Connecteur droit avec flèche 22"/>
        <o:r id="V:Rule30" type="connector" idref="#Connecteur droit avec flèche 25"/>
        <o:r id="V:Rule31" type="connector" idref="#Connecteur droit avec flèche 6"/>
        <o:r id="V:Rule32" type="connector" idref="#Connecteur droit avec flèche 42"/>
        <o:r id="V:Rule33" type="connector" idref="#Connecteur droit avec flèche 27"/>
        <o:r id="V:Rule34" type="connector" idref="#Connecteur droit avec flèche 8"/>
        <o:r id="V:Rule35" type="connector" idref="#Connecteur droit avec flèche 24"/>
        <o:r id="V:Rule36" type="connector" idref="#Connecteur droit avec flèche 43"/>
        <o:r id="V:Rule37" type="connector" idref="#Connecteur droit avec flèche 7"/>
        <o:r id="V:Rule38" type="connector" idref="#Connecteur droit avec flèche 44"/>
        <o:r id="V:Rule39" type="connector" idref="#Connecteur droit avec flèche 23"/>
        <o:r id="V:Rule40" type="connector" idref="#Connecteur droit avec flèch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kern w:val="3"/>
        <w:sz w:val="22"/>
        <w:szCs w:val="22"/>
        <w:lang w:val="fr-FR"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C6A"/>
    <w:pPr>
      <w:suppressAutoHyphens/>
    </w:pPr>
  </w:style>
  <w:style w:type="paragraph" w:styleId="Titre1">
    <w:name w:val="heading 1"/>
    <w:basedOn w:val="Normal"/>
    <w:next w:val="Normal"/>
    <w:uiPriority w:val="9"/>
    <w:qFormat/>
    <w:rsid w:val="00C1405E"/>
    <w:pPr>
      <w:keepNext/>
      <w:keepLines/>
      <w:spacing w:before="360" w:after="80"/>
      <w:outlineLvl w:val="0"/>
    </w:pPr>
    <w:rPr>
      <w:rFonts w:ascii="Calibri Light" w:eastAsia="Times New Roman" w:hAnsi="Calibri Light" w:cs="Times New Roman"/>
      <w:color w:val="2E74B5"/>
      <w:sz w:val="40"/>
      <w:szCs w:val="40"/>
    </w:rPr>
  </w:style>
  <w:style w:type="paragraph" w:styleId="Titre2">
    <w:name w:val="heading 2"/>
    <w:basedOn w:val="Normal"/>
    <w:next w:val="Normal"/>
    <w:uiPriority w:val="9"/>
    <w:unhideWhenUsed/>
    <w:qFormat/>
    <w:rsid w:val="00C1405E"/>
    <w:pPr>
      <w:keepNext/>
      <w:keepLines/>
      <w:spacing w:before="160" w:after="80"/>
      <w:outlineLvl w:val="1"/>
    </w:pPr>
    <w:rPr>
      <w:rFonts w:ascii="Calibri Light" w:eastAsia="Times New Roman" w:hAnsi="Calibri Light" w:cs="Times New Roman"/>
      <w:color w:val="2E74B5"/>
      <w:sz w:val="32"/>
      <w:szCs w:val="32"/>
    </w:rPr>
  </w:style>
  <w:style w:type="paragraph" w:styleId="Titre3">
    <w:name w:val="heading 3"/>
    <w:basedOn w:val="Normal"/>
    <w:next w:val="Normal"/>
    <w:uiPriority w:val="9"/>
    <w:unhideWhenUsed/>
    <w:qFormat/>
    <w:rsid w:val="00C1405E"/>
    <w:pPr>
      <w:keepNext/>
      <w:keepLines/>
      <w:spacing w:before="160" w:after="80"/>
      <w:outlineLvl w:val="2"/>
    </w:pPr>
    <w:rPr>
      <w:rFonts w:eastAsia="Times New Roman" w:cs="Times New Roman"/>
      <w:color w:val="2E74B5"/>
      <w:sz w:val="28"/>
      <w:szCs w:val="28"/>
    </w:rPr>
  </w:style>
  <w:style w:type="paragraph" w:styleId="Titre4">
    <w:name w:val="heading 4"/>
    <w:basedOn w:val="Normal"/>
    <w:next w:val="Normal"/>
    <w:uiPriority w:val="9"/>
    <w:unhideWhenUsed/>
    <w:qFormat/>
    <w:rsid w:val="00C1405E"/>
    <w:pPr>
      <w:keepNext/>
      <w:keepLines/>
      <w:spacing w:before="80" w:after="40"/>
      <w:outlineLvl w:val="3"/>
    </w:pPr>
    <w:rPr>
      <w:rFonts w:eastAsia="Times New Roman" w:cs="Times New Roman"/>
      <w:i/>
      <w:iCs/>
      <w:color w:val="2E74B5"/>
    </w:rPr>
  </w:style>
  <w:style w:type="paragraph" w:styleId="Titre5">
    <w:name w:val="heading 5"/>
    <w:basedOn w:val="Normal"/>
    <w:next w:val="Normal"/>
    <w:uiPriority w:val="9"/>
    <w:unhideWhenUsed/>
    <w:qFormat/>
    <w:rsid w:val="00C1405E"/>
    <w:pPr>
      <w:keepNext/>
      <w:keepLines/>
      <w:spacing w:before="80" w:after="40"/>
      <w:outlineLvl w:val="4"/>
    </w:pPr>
    <w:rPr>
      <w:rFonts w:eastAsia="Times New Roman" w:cs="Times New Roman"/>
      <w:color w:val="2E74B5"/>
    </w:rPr>
  </w:style>
  <w:style w:type="paragraph" w:styleId="Titre6">
    <w:name w:val="heading 6"/>
    <w:basedOn w:val="Normal"/>
    <w:next w:val="Normal"/>
    <w:uiPriority w:val="9"/>
    <w:semiHidden/>
    <w:unhideWhenUsed/>
    <w:qFormat/>
    <w:rsid w:val="00C1405E"/>
    <w:pPr>
      <w:keepNext/>
      <w:keepLines/>
      <w:spacing w:before="40" w:after="0"/>
      <w:outlineLvl w:val="5"/>
    </w:pPr>
    <w:rPr>
      <w:rFonts w:eastAsia="Times New Roman" w:cs="Times New Roman"/>
      <w:i/>
      <w:iCs/>
      <w:color w:val="595959"/>
    </w:rPr>
  </w:style>
  <w:style w:type="paragraph" w:styleId="Titre7">
    <w:name w:val="heading 7"/>
    <w:basedOn w:val="Normal"/>
    <w:next w:val="Normal"/>
    <w:uiPriority w:val="9"/>
    <w:qFormat/>
    <w:rsid w:val="00C1405E"/>
    <w:pPr>
      <w:keepNext/>
      <w:keepLines/>
      <w:spacing w:before="40" w:after="0"/>
      <w:outlineLvl w:val="6"/>
    </w:pPr>
    <w:rPr>
      <w:rFonts w:eastAsia="Times New Roman" w:cs="Times New Roman"/>
      <w:color w:val="595959"/>
    </w:rPr>
  </w:style>
  <w:style w:type="paragraph" w:styleId="Titre8">
    <w:name w:val="heading 8"/>
    <w:basedOn w:val="Normal"/>
    <w:next w:val="Normal"/>
    <w:uiPriority w:val="9"/>
    <w:qFormat/>
    <w:rsid w:val="00C1405E"/>
    <w:pPr>
      <w:keepNext/>
      <w:keepLines/>
      <w:spacing w:after="0"/>
      <w:outlineLvl w:val="7"/>
    </w:pPr>
    <w:rPr>
      <w:rFonts w:eastAsia="Times New Roman" w:cs="Times New Roman"/>
      <w:i/>
      <w:iCs/>
      <w:color w:val="272727"/>
    </w:rPr>
  </w:style>
  <w:style w:type="paragraph" w:styleId="Titre9">
    <w:name w:val="heading 9"/>
    <w:basedOn w:val="Normal"/>
    <w:next w:val="Normal"/>
    <w:uiPriority w:val="9"/>
    <w:qFormat/>
    <w:rsid w:val="00C1405E"/>
    <w:pPr>
      <w:keepNext/>
      <w:keepLines/>
      <w:spacing w:after="0"/>
      <w:outlineLvl w:val="8"/>
    </w:pPr>
    <w:rPr>
      <w:rFonts w:eastAsia="Times New Roman" w:cs="Times New Roman"/>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uiPriority w:val="9"/>
    <w:rsid w:val="00C1405E"/>
    <w:rPr>
      <w:rFonts w:ascii="Calibri Light" w:eastAsia="Times New Roman" w:hAnsi="Calibri Light" w:cs="Times New Roman"/>
      <w:color w:val="2E74B5"/>
      <w:sz w:val="40"/>
      <w:szCs w:val="40"/>
    </w:rPr>
  </w:style>
  <w:style w:type="character" w:customStyle="1" w:styleId="Titre2Car">
    <w:name w:val="Titre 2 Car"/>
    <w:basedOn w:val="Policepardfaut"/>
    <w:uiPriority w:val="9"/>
    <w:rsid w:val="00C1405E"/>
    <w:rPr>
      <w:rFonts w:ascii="Calibri Light" w:eastAsia="Times New Roman" w:hAnsi="Calibri Light" w:cs="Times New Roman"/>
      <w:color w:val="2E74B5"/>
      <w:sz w:val="32"/>
      <w:szCs w:val="32"/>
    </w:rPr>
  </w:style>
  <w:style w:type="character" w:customStyle="1" w:styleId="Titre3Car">
    <w:name w:val="Titre 3 Car"/>
    <w:basedOn w:val="Policepardfaut"/>
    <w:uiPriority w:val="9"/>
    <w:qFormat/>
    <w:rsid w:val="00C1405E"/>
    <w:rPr>
      <w:rFonts w:eastAsia="Times New Roman" w:cs="Times New Roman"/>
      <w:color w:val="2E74B5"/>
      <w:sz w:val="28"/>
      <w:szCs w:val="28"/>
    </w:rPr>
  </w:style>
  <w:style w:type="character" w:customStyle="1" w:styleId="Titre4Car">
    <w:name w:val="Titre 4 Car"/>
    <w:basedOn w:val="Policepardfaut"/>
    <w:uiPriority w:val="9"/>
    <w:rsid w:val="00C1405E"/>
    <w:rPr>
      <w:rFonts w:eastAsia="Times New Roman" w:cs="Times New Roman"/>
      <w:i/>
      <w:iCs/>
      <w:color w:val="2E74B5"/>
    </w:rPr>
  </w:style>
  <w:style w:type="character" w:customStyle="1" w:styleId="Titre5Car">
    <w:name w:val="Titre 5 Car"/>
    <w:basedOn w:val="Policepardfaut"/>
    <w:uiPriority w:val="9"/>
    <w:rsid w:val="00C1405E"/>
    <w:rPr>
      <w:rFonts w:eastAsia="Times New Roman" w:cs="Times New Roman"/>
      <w:color w:val="2E74B5"/>
    </w:rPr>
  </w:style>
  <w:style w:type="character" w:customStyle="1" w:styleId="Titre6Car">
    <w:name w:val="Titre 6 Car"/>
    <w:basedOn w:val="Policepardfaut"/>
    <w:uiPriority w:val="9"/>
    <w:rsid w:val="00C1405E"/>
    <w:rPr>
      <w:rFonts w:eastAsia="Times New Roman" w:cs="Times New Roman"/>
      <w:i/>
      <w:iCs/>
      <w:color w:val="595959"/>
    </w:rPr>
  </w:style>
  <w:style w:type="character" w:customStyle="1" w:styleId="Titre7Car">
    <w:name w:val="Titre 7 Car"/>
    <w:basedOn w:val="Policepardfaut"/>
    <w:uiPriority w:val="9"/>
    <w:rsid w:val="00C1405E"/>
    <w:rPr>
      <w:rFonts w:eastAsia="Times New Roman" w:cs="Times New Roman"/>
      <w:color w:val="595959"/>
    </w:rPr>
  </w:style>
  <w:style w:type="character" w:customStyle="1" w:styleId="Titre8Car">
    <w:name w:val="Titre 8 Car"/>
    <w:basedOn w:val="Policepardfaut"/>
    <w:uiPriority w:val="9"/>
    <w:rsid w:val="00C1405E"/>
    <w:rPr>
      <w:rFonts w:eastAsia="Times New Roman" w:cs="Times New Roman"/>
      <w:i/>
      <w:iCs/>
      <w:color w:val="272727"/>
    </w:rPr>
  </w:style>
  <w:style w:type="character" w:customStyle="1" w:styleId="Titre9Car">
    <w:name w:val="Titre 9 Car"/>
    <w:basedOn w:val="Policepardfaut"/>
    <w:uiPriority w:val="9"/>
    <w:rsid w:val="00C1405E"/>
    <w:rPr>
      <w:rFonts w:eastAsia="Times New Roman" w:cs="Times New Roman"/>
      <w:color w:val="272727"/>
    </w:rPr>
  </w:style>
  <w:style w:type="paragraph" w:styleId="Titre">
    <w:name w:val="Title"/>
    <w:basedOn w:val="Normal"/>
    <w:next w:val="Normal"/>
    <w:uiPriority w:val="10"/>
    <w:qFormat/>
    <w:rsid w:val="00C1405E"/>
    <w:pPr>
      <w:spacing w:after="80" w:line="240" w:lineRule="auto"/>
    </w:pPr>
    <w:rPr>
      <w:rFonts w:ascii="Calibri Light" w:eastAsia="Times New Roman" w:hAnsi="Calibri Light" w:cs="Times New Roman"/>
      <w:spacing w:val="-10"/>
      <w:sz w:val="56"/>
      <w:szCs w:val="56"/>
    </w:rPr>
  </w:style>
  <w:style w:type="character" w:customStyle="1" w:styleId="TitreCar">
    <w:name w:val="Titre Car"/>
    <w:basedOn w:val="Policepardfaut"/>
    <w:uiPriority w:val="10"/>
    <w:rsid w:val="00C1405E"/>
    <w:rPr>
      <w:rFonts w:ascii="Calibri Light" w:eastAsia="Times New Roman" w:hAnsi="Calibri Light" w:cs="Times New Roman"/>
      <w:spacing w:val="-10"/>
      <w:kern w:val="3"/>
      <w:sz w:val="56"/>
      <w:szCs w:val="56"/>
    </w:rPr>
  </w:style>
  <w:style w:type="paragraph" w:styleId="Sous-titre">
    <w:name w:val="Subtitle"/>
    <w:basedOn w:val="Normal"/>
    <w:next w:val="Normal"/>
    <w:uiPriority w:val="11"/>
    <w:qFormat/>
    <w:rsid w:val="00C1405E"/>
    <w:rPr>
      <w:rFonts w:eastAsia="Times New Roman" w:cs="Times New Roman"/>
      <w:color w:val="595959"/>
      <w:spacing w:val="15"/>
      <w:sz w:val="28"/>
      <w:szCs w:val="28"/>
    </w:rPr>
  </w:style>
  <w:style w:type="character" w:customStyle="1" w:styleId="Sous-titreCar">
    <w:name w:val="Sous-titre Car"/>
    <w:basedOn w:val="Policepardfaut"/>
    <w:uiPriority w:val="11"/>
    <w:rsid w:val="00C1405E"/>
    <w:rPr>
      <w:rFonts w:eastAsia="Times New Roman" w:cs="Times New Roman"/>
      <w:color w:val="595959"/>
      <w:spacing w:val="15"/>
      <w:sz w:val="28"/>
      <w:szCs w:val="28"/>
    </w:rPr>
  </w:style>
  <w:style w:type="paragraph" w:styleId="Citation">
    <w:name w:val="Quote"/>
    <w:basedOn w:val="Normal"/>
    <w:next w:val="Normal"/>
    <w:uiPriority w:val="29"/>
    <w:qFormat/>
    <w:rsid w:val="00C1405E"/>
    <w:pPr>
      <w:spacing w:before="160"/>
      <w:jc w:val="center"/>
    </w:pPr>
    <w:rPr>
      <w:i/>
      <w:iCs/>
      <w:color w:val="404040"/>
    </w:rPr>
  </w:style>
  <w:style w:type="character" w:customStyle="1" w:styleId="CitationCar">
    <w:name w:val="Citation Car"/>
    <w:basedOn w:val="Policepardfaut"/>
    <w:uiPriority w:val="29"/>
    <w:rsid w:val="00C1405E"/>
    <w:rPr>
      <w:i/>
      <w:iCs/>
      <w:color w:val="404040"/>
    </w:rPr>
  </w:style>
  <w:style w:type="paragraph" w:styleId="Paragraphedeliste">
    <w:name w:val="List Paragraph"/>
    <w:basedOn w:val="Normal"/>
    <w:link w:val="ParagraphedelisteCar"/>
    <w:uiPriority w:val="34"/>
    <w:qFormat/>
    <w:rsid w:val="00C1405E"/>
    <w:pPr>
      <w:ind w:left="720"/>
    </w:pPr>
  </w:style>
  <w:style w:type="character" w:styleId="Emphaseintense">
    <w:name w:val="Intense Emphasis"/>
    <w:basedOn w:val="Policepardfaut"/>
    <w:uiPriority w:val="21"/>
    <w:qFormat/>
    <w:rsid w:val="00C1405E"/>
    <w:rPr>
      <w:i/>
      <w:iCs/>
      <w:color w:val="2E74B5"/>
    </w:rPr>
  </w:style>
  <w:style w:type="paragraph" w:styleId="Citationintense">
    <w:name w:val="Intense Quote"/>
    <w:basedOn w:val="Normal"/>
    <w:next w:val="Normal"/>
    <w:uiPriority w:val="30"/>
    <w:qFormat/>
    <w:rsid w:val="00C1405E"/>
    <w:pPr>
      <w:pBdr>
        <w:top w:val="single" w:sz="4" w:space="10" w:color="2E74B5"/>
        <w:bottom w:val="single" w:sz="4" w:space="10" w:color="2E74B5"/>
      </w:pBdr>
      <w:spacing w:before="360" w:after="360"/>
      <w:ind w:left="864" w:right="864"/>
      <w:jc w:val="center"/>
    </w:pPr>
    <w:rPr>
      <w:i/>
      <w:iCs/>
      <w:color w:val="2E74B5"/>
    </w:rPr>
  </w:style>
  <w:style w:type="character" w:customStyle="1" w:styleId="CitationintenseCar">
    <w:name w:val="Citation intense Car"/>
    <w:basedOn w:val="Policepardfaut"/>
    <w:uiPriority w:val="30"/>
    <w:rsid w:val="00C1405E"/>
    <w:rPr>
      <w:i/>
      <w:iCs/>
      <w:color w:val="2E74B5"/>
    </w:rPr>
  </w:style>
  <w:style w:type="character" w:styleId="Rfrenceintense">
    <w:name w:val="Intense Reference"/>
    <w:basedOn w:val="Policepardfaut"/>
    <w:uiPriority w:val="32"/>
    <w:qFormat/>
    <w:rsid w:val="00C1405E"/>
    <w:rPr>
      <w:b/>
      <w:bCs/>
      <w:smallCaps/>
      <w:color w:val="2E74B5"/>
      <w:spacing w:val="5"/>
    </w:rPr>
  </w:style>
  <w:style w:type="paragraph" w:styleId="En-tte">
    <w:name w:val="header"/>
    <w:basedOn w:val="Normal"/>
    <w:uiPriority w:val="99"/>
    <w:rsid w:val="00C1405E"/>
    <w:pPr>
      <w:tabs>
        <w:tab w:val="center" w:pos="4536"/>
        <w:tab w:val="right" w:pos="9072"/>
      </w:tabs>
      <w:spacing w:after="0" w:line="240" w:lineRule="auto"/>
    </w:pPr>
  </w:style>
  <w:style w:type="character" w:customStyle="1" w:styleId="En-tteCar">
    <w:name w:val="En-tête Car"/>
    <w:basedOn w:val="Policepardfaut"/>
    <w:uiPriority w:val="99"/>
    <w:rsid w:val="00C1405E"/>
  </w:style>
  <w:style w:type="paragraph" w:styleId="Pieddepage">
    <w:name w:val="footer"/>
    <w:basedOn w:val="Normal"/>
    <w:uiPriority w:val="99"/>
    <w:rsid w:val="00C1405E"/>
    <w:pPr>
      <w:tabs>
        <w:tab w:val="center" w:pos="4536"/>
        <w:tab w:val="right" w:pos="9072"/>
      </w:tabs>
      <w:spacing w:after="0" w:line="240" w:lineRule="auto"/>
    </w:pPr>
  </w:style>
  <w:style w:type="character" w:customStyle="1" w:styleId="PieddepageCar">
    <w:name w:val="Pied de page Car"/>
    <w:basedOn w:val="Policepardfaut"/>
    <w:uiPriority w:val="99"/>
    <w:rsid w:val="00C1405E"/>
  </w:style>
  <w:style w:type="paragraph" w:styleId="Notedebasdepage">
    <w:name w:val="footnote text"/>
    <w:basedOn w:val="Normal"/>
    <w:link w:val="NotedebasdepageCar"/>
    <w:uiPriority w:val="99"/>
    <w:unhideWhenUsed/>
    <w:qFormat/>
    <w:rsid w:val="00533A11"/>
    <w:pPr>
      <w:spacing w:after="0" w:line="240" w:lineRule="auto"/>
    </w:pPr>
    <w:rPr>
      <w:sz w:val="20"/>
      <w:szCs w:val="20"/>
    </w:rPr>
  </w:style>
  <w:style w:type="character" w:customStyle="1" w:styleId="NotedebasdepageCar">
    <w:name w:val="Note de bas de page Car"/>
    <w:basedOn w:val="Policepardfaut"/>
    <w:link w:val="Notedebasdepage"/>
    <w:uiPriority w:val="99"/>
    <w:qFormat/>
    <w:rsid w:val="00533A11"/>
    <w:rPr>
      <w:sz w:val="20"/>
      <w:szCs w:val="20"/>
    </w:rPr>
  </w:style>
  <w:style w:type="character" w:styleId="Appelnotedebasdep">
    <w:name w:val="footnote reference"/>
    <w:basedOn w:val="Policepardfaut"/>
    <w:uiPriority w:val="99"/>
    <w:semiHidden/>
    <w:unhideWhenUsed/>
    <w:qFormat/>
    <w:rsid w:val="00533A11"/>
    <w:rPr>
      <w:vertAlign w:val="superscript"/>
    </w:rPr>
  </w:style>
  <w:style w:type="character" w:styleId="Lienhypertexte">
    <w:name w:val="Hyperlink"/>
    <w:basedOn w:val="Policepardfaut"/>
    <w:uiPriority w:val="99"/>
    <w:unhideWhenUsed/>
    <w:qFormat/>
    <w:rsid w:val="008561AE"/>
    <w:rPr>
      <w:color w:val="0563C1" w:themeColor="hyperlink"/>
      <w:u w:val="single"/>
    </w:rPr>
  </w:style>
  <w:style w:type="character" w:customStyle="1" w:styleId="UnresolvedMention">
    <w:name w:val="Unresolved Mention"/>
    <w:basedOn w:val="Policepardfaut"/>
    <w:uiPriority w:val="99"/>
    <w:semiHidden/>
    <w:unhideWhenUsed/>
    <w:rsid w:val="00CF6EAE"/>
    <w:rPr>
      <w:color w:val="605E5C"/>
      <w:shd w:val="clear" w:color="auto" w:fill="E1DFDD"/>
    </w:rPr>
  </w:style>
  <w:style w:type="paragraph" w:styleId="PrformatHTML">
    <w:name w:val="HTML Preformatted"/>
    <w:basedOn w:val="Normal"/>
    <w:link w:val="PrformatHTMLCar"/>
    <w:uiPriority w:val="99"/>
    <w:semiHidden/>
    <w:unhideWhenUsed/>
    <w:rsid w:val="005A638F"/>
    <w:pPr>
      <w:suppressAutoHyphens w:val="0"/>
      <w:autoSpaceDN/>
      <w:spacing w:after="0" w:line="240" w:lineRule="auto"/>
      <w:textAlignment w:val="auto"/>
    </w:pPr>
    <w:rPr>
      <w:rFonts w:ascii="Consolas" w:eastAsiaTheme="minorHAnsi" w:hAnsi="Consolas" w:cstheme="minorBidi"/>
      <w:kern w:val="2"/>
      <w:sz w:val="20"/>
      <w:szCs w:val="20"/>
    </w:rPr>
  </w:style>
  <w:style w:type="character" w:customStyle="1" w:styleId="PrformatHTMLCar">
    <w:name w:val="Préformaté HTML Car"/>
    <w:basedOn w:val="Policepardfaut"/>
    <w:link w:val="PrformatHTML"/>
    <w:uiPriority w:val="99"/>
    <w:semiHidden/>
    <w:rsid w:val="005A638F"/>
    <w:rPr>
      <w:rFonts w:ascii="Consolas" w:eastAsiaTheme="minorHAnsi" w:hAnsi="Consolas" w:cstheme="minorBidi"/>
      <w:kern w:val="2"/>
      <w:sz w:val="20"/>
      <w:szCs w:val="20"/>
    </w:rPr>
  </w:style>
  <w:style w:type="character" w:customStyle="1" w:styleId="token">
    <w:name w:val="token"/>
    <w:basedOn w:val="Policepardfaut"/>
    <w:rsid w:val="005A638F"/>
  </w:style>
  <w:style w:type="character" w:customStyle="1" w:styleId="is-markup">
    <w:name w:val="is-markup"/>
    <w:basedOn w:val="Policepardfaut"/>
    <w:rsid w:val="005A638F"/>
  </w:style>
  <w:style w:type="paragraph" w:styleId="NormalWeb">
    <w:name w:val="Normal (Web)"/>
    <w:basedOn w:val="Normal"/>
    <w:uiPriority w:val="99"/>
    <w:unhideWhenUsed/>
    <w:qFormat/>
    <w:rsid w:val="005A638F"/>
    <w:pPr>
      <w:suppressAutoHyphens w:val="0"/>
      <w:autoSpaceDN/>
      <w:spacing w:line="259" w:lineRule="auto"/>
      <w:textAlignment w:val="auto"/>
    </w:pPr>
    <w:rPr>
      <w:rFonts w:ascii="Times New Roman" w:eastAsiaTheme="minorHAnsi" w:hAnsi="Times New Roman" w:cs="Times New Roman"/>
      <w:kern w:val="2"/>
      <w:sz w:val="24"/>
      <w:szCs w:val="24"/>
    </w:rPr>
  </w:style>
  <w:style w:type="table" w:styleId="Grilledutableau">
    <w:name w:val="Table Grid"/>
    <w:aliases w:val="CV1"/>
    <w:basedOn w:val="TableauNormal"/>
    <w:uiPriority w:val="59"/>
    <w:qFormat/>
    <w:rsid w:val="005A63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ev">
    <w:name w:val="Strong"/>
    <w:basedOn w:val="Policepardfaut"/>
    <w:uiPriority w:val="22"/>
    <w:qFormat/>
    <w:rsid w:val="00F57DD8"/>
    <w:rPr>
      <w:b/>
      <w:bCs/>
    </w:rPr>
  </w:style>
  <w:style w:type="character" w:styleId="Accentuation">
    <w:name w:val="Emphasis"/>
    <w:basedOn w:val="Policepardfaut"/>
    <w:uiPriority w:val="20"/>
    <w:qFormat/>
    <w:rsid w:val="00F57DD8"/>
    <w:rPr>
      <w:i/>
      <w:iCs/>
    </w:rPr>
  </w:style>
  <w:style w:type="character" w:customStyle="1" w:styleId="whitespace-normal">
    <w:name w:val="whitespace-normal"/>
    <w:basedOn w:val="Policepardfaut"/>
    <w:qFormat/>
    <w:rsid w:val="00F57DD8"/>
  </w:style>
  <w:style w:type="character" w:customStyle="1" w:styleId="Accentuationlgre1">
    <w:name w:val="Accentuation légère1"/>
    <w:basedOn w:val="Policepardfaut"/>
    <w:uiPriority w:val="19"/>
    <w:qFormat/>
    <w:rsid w:val="00F57DD8"/>
    <w:rPr>
      <w:i/>
      <w:iCs/>
      <w:color w:val="808080" w:themeColor="text1" w:themeTint="7F"/>
    </w:rPr>
  </w:style>
  <w:style w:type="character" w:customStyle="1" w:styleId="diff-highlight">
    <w:name w:val="diff-highlight"/>
    <w:basedOn w:val="Policepardfaut"/>
    <w:qFormat/>
    <w:rsid w:val="00F57DD8"/>
  </w:style>
  <w:style w:type="paragraph" w:customStyle="1" w:styleId="ds-markdown-paragraph">
    <w:name w:val="ds-markdown-paragraph"/>
    <w:basedOn w:val="Normal"/>
    <w:qFormat/>
    <w:rsid w:val="00F57DD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fr-FR"/>
    </w:rPr>
  </w:style>
  <w:style w:type="character" w:customStyle="1" w:styleId="ParagraphedelisteCar">
    <w:name w:val="Paragraphe de liste Car"/>
    <w:basedOn w:val="Policepardfaut"/>
    <w:link w:val="Paragraphedeliste"/>
    <w:uiPriority w:val="34"/>
    <w:rsid w:val="005236B6"/>
  </w:style>
  <w:style w:type="table" w:customStyle="1" w:styleId="CV11">
    <w:name w:val="CV11"/>
    <w:basedOn w:val="TableauNormal"/>
    <w:next w:val="Grilledutableau"/>
    <w:uiPriority w:val="39"/>
    <w:rsid w:val="005236B6"/>
    <w:pPr>
      <w:autoSpaceDN/>
      <w:spacing w:after="0" w:line="240" w:lineRule="auto"/>
      <w:textAlignment w:val="auto"/>
    </w:pPr>
    <w:rPr>
      <w:rFonts w:asciiTheme="minorHAnsi" w:eastAsiaTheme="minorHAnsi" w:hAnsiTheme="minorHAnsi" w:cstheme="min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V12">
    <w:name w:val="CV12"/>
    <w:basedOn w:val="TableauNormal"/>
    <w:next w:val="Grilledutableau"/>
    <w:uiPriority w:val="39"/>
    <w:rsid w:val="005236B6"/>
    <w:pPr>
      <w:autoSpaceDN/>
      <w:spacing w:after="0" w:line="240" w:lineRule="auto"/>
      <w:textAlignment w:val="auto"/>
    </w:pPr>
    <w:rPr>
      <w:rFonts w:asciiTheme="minorHAnsi" w:eastAsiaTheme="minorHAnsi" w:hAnsiTheme="minorHAnsi" w:cstheme="min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V13">
    <w:name w:val="CV13"/>
    <w:basedOn w:val="TableauNormal"/>
    <w:next w:val="Grilledutableau"/>
    <w:uiPriority w:val="39"/>
    <w:rsid w:val="005236B6"/>
    <w:pPr>
      <w:autoSpaceDN/>
      <w:spacing w:after="0" w:line="240" w:lineRule="auto"/>
      <w:textAlignment w:val="auto"/>
    </w:pPr>
    <w:rPr>
      <w:rFonts w:asciiTheme="minorHAnsi" w:eastAsiaTheme="minorHAnsi" w:hAnsiTheme="minorHAnsi" w:cstheme="min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V14">
    <w:name w:val="CV14"/>
    <w:basedOn w:val="TableauNormal"/>
    <w:next w:val="Grilledutableau"/>
    <w:uiPriority w:val="39"/>
    <w:rsid w:val="005236B6"/>
    <w:pPr>
      <w:autoSpaceDN/>
      <w:spacing w:after="0" w:line="240" w:lineRule="auto"/>
      <w:textAlignment w:val="auto"/>
    </w:pPr>
    <w:rPr>
      <w:rFonts w:asciiTheme="minorHAnsi" w:eastAsiaTheme="minorHAnsi" w:hAnsiTheme="minorHAnsi" w:cstheme="min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V15">
    <w:name w:val="CV15"/>
    <w:basedOn w:val="TableauNormal"/>
    <w:next w:val="Grilledutableau"/>
    <w:uiPriority w:val="39"/>
    <w:rsid w:val="005236B6"/>
    <w:pPr>
      <w:autoSpaceDN/>
      <w:spacing w:after="0" w:line="240" w:lineRule="auto"/>
      <w:textAlignment w:val="auto"/>
    </w:pPr>
    <w:rPr>
      <w:rFonts w:asciiTheme="minorHAnsi" w:eastAsiaTheme="minorHAnsi" w:hAnsiTheme="minorHAnsi" w:cstheme="min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h-inline">
    <w:name w:val="math-inline"/>
    <w:basedOn w:val="Policepardfaut"/>
    <w:rsid w:val="005236B6"/>
  </w:style>
  <w:style w:type="paragraph" w:styleId="Lgende">
    <w:name w:val="caption"/>
    <w:basedOn w:val="Normal"/>
    <w:next w:val="Normal"/>
    <w:uiPriority w:val="35"/>
    <w:unhideWhenUsed/>
    <w:qFormat/>
    <w:rsid w:val="005236B6"/>
    <w:pPr>
      <w:suppressAutoHyphens w:val="0"/>
      <w:autoSpaceDN/>
      <w:spacing w:after="200" w:line="240" w:lineRule="auto"/>
      <w:textAlignment w:val="auto"/>
    </w:pPr>
    <w:rPr>
      <w:rFonts w:asciiTheme="minorHAnsi" w:eastAsiaTheme="minorHAnsi" w:hAnsiTheme="minorHAnsi" w:cstheme="minorBidi"/>
      <w:i/>
      <w:iCs/>
      <w:color w:val="44546A" w:themeColor="text2"/>
      <w:kern w:val="0"/>
      <w:sz w:val="18"/>
      <w:szCs w:val="18"/>
    </w:rPr>
  </w:style>
  <w:style w:type="paragraph" w:styleId="Tabledesillustrations">
    <w:name w:val="table of figures"/>
    <w:basedOn w:val="Normal"/>
    <w:next w:val="Normal"/>
    <w:uiPriority w:val="99"/>
    <w:unhideWhenUsed/>
    <w:rsid w:val="004D3061"/>
    <w:pPr>
      <w:spacing w:after="0"/>
    </w:pPr>
  </w:style>
  <w:style w:type="paragraph" w:styleId="TM1">
    <w:name w:val="toc 1"/>
    <w:basedOn w:val="Normal"/>
    <w:next w:val="Normal"/>
    <w:autoRedefine/>
    <w:uiPriority w:val="39"/>
    <w:unhideWhenUsed/>
    <w:rsid w:val="002D5A00"/>
    <w:pPr>
      <w:tabs>
        <w:tab w:val="right" w:leader="dot" w:pos="9062"/>
      </w:tabs>
      <w:spacing w:after="100"/>
      <w:jc w:val="both"/>
    </w:pPr>
    <w:rPr>
      <w:rFonts w:asciiTheme="majorBidi" w:hAnsiTheme="majorBidi" w:cstheme="majorBidi"/>
      <w:sz w:val="28"/>
      <w:szCs w:val="28"/>
    </w:rPr>
  </w:style>
  <w:style w:type="paragraph" w:styleId="TM2">
    <w:name w:val="toc 2"/>
    <w:basedOn w:val="Normal"/>
    <w:next w:val="Normal"/>
    <w:autoRedefine/>
    <w:uiPriority w:val="39"/>
    <w:unhideWhenUsed/>
    <w:rsid w:val="00226F23"/>
    <w:pPr>
      <w:spacing w:after="100"/>
      <w:ind w:left="220"/>
    </w:pPr>
  </w:style>
  <w:style w:type="paragraph" w:styleId="TM3">
    <w:name w:val="toc 3"/>
    <w:basedOn w:val="Normal"/>
    <w:next w:val="Normal"/>
    <w:autoRedefine/>
    <w:uiPriority w:val="39"/>
    <w:unhideWhenUsed/>
    <w:rsid w:val="00560D4A"/>
    <w:pPr>
      <w:spacing w:after="100"/>
      <w:ind w:left="440"/>
    </w:pPr>
  </w:style>
  <w:style w:type="paragraph" w:styleId="TM4">
    <w:name w:val="toc 4"/>
    <w:basedOn w:val="Normal"/>
    <w:next w:val="Normal"/>
    <w:autoRedefine/>
    <w:uiPriority w:val="39"/>
    <w:unhideWhenUsed/>
    <w:rsid w:val="00560D4A"/>
    <w:pPr>
      <w:spacing w:after="100"/>
      <w:ind w:left="660"/>
    </w:pPr>
  </w:style>
  <w:style w:type="paragraph" w:styleId="TM5">
    <w:name w:val="toc 5"/>
    <w:basedOn w:val="Normal"/>
    <w:next w:val="Normal"/>
    <w:autoRedefine/>
    <w:uiPriority w:val="39"/>
    <w:unhideWhenUsed/>
    <w:rsid w:val="00560D4A"/>
    <w:pPr>
      <w:spacing w:after="100"/>
      <w:ind w:left="880"/>
    </w:pPr>
  </w:style>
  <w:style w:type="paragraph" w:styleId="TM6">
    <w:name w:val="toc 6"/>
    <w:basedOn w:val="Normal"/>
    <w:next w:val="Normal"/>
    <w:autoRedefine/>
    <w:uiPriority w:val="39"/>
    <w:unhideWhenUsed/>
    <w:rsid w:val="00560D4A"/>
    <w:pPr>
      <w:suppressAutoHyphens w:val="0"/>
      <w:autoSpaceDN/>
      <w:spacing w:after="100" w:line="278" w:lineRule="auto"/>
      <w:ind w:left="1200"/>
      <w:textAlignment w:val="auto"/>
    </w:pPr>
    <w:rPr>
      <w:rFonts w:asciiTheme="minorHAnsi" w:eastAsiaTheme="minorEastAsia" w:hAnsiTheme="minorHAnsi" w:cstheme="minorBidi"/>
      <w:kern w:val="2"/>
      <w:sz w:val="24"/>
      <w:szCs w:val="24"/>
      <w:lang w:eastAsia="fr-FR"/>
    </w:rPr>
  </w:style>
  <w:style w:type="paragraph" w:styleId="TM7">
    <w:name w:val="toc 7"/>
    <w:basedOn w:val="Normal"/>
    <w:next w:val="Normal"/>
    <w:autoRedefine/>
    <w:uiPriority w:val="39"/>
    <w:unhideWhenUsed/>
    <w:rsid w:val="00560D4A"/>
    <w:pPr>
      <w:suppressAutoHyphens w:val="0"/>
      <w:autoSpaceDN/>
      <w:spacing w:after="100" w:line="278" w:lineRule="auto"/>
      <w:ind w:left="1440"/>
      <w:textAlignment w:val="auto"/>
    </w:pPr>
    <w:rPr>
      <w:rFonts w:asciiTheme="minorHAnsi" w:eastAsiaTheme="minorEastAsia" w:hAnsiTheme="minorHAnsi" w:cstheme="minorBidi"/>
      <w:kern w:val="2"/>
      <w:sz w:val="24"/>
      <w:szCs w:val="24"/>
      <w:lang w:eastAsia="fr-FR"/>
    </w:rPr>
  </w:style>
  <w:style w:type="paragraph" w:styleId="TM8">
    <w:name w:val="toc 8"/>
    <w:basedOn w:val="Normal"/>
    <w:next w:val="Normal"/>
    <w:autoRedefine/>
    <w:uiPriority w:val="39"/>
    <w:unhideWhenUsed/>
    <w:rsid w:val="00560D4A"/>
    <w:pPr>
      <w:suppressAutoHyphens w:val="0"/>
      <w:autoSpaceDN/>
      <w:spacing w:after="100" w:line="278" w:lineRule="auto"/>
      <w:ind w:left="1680"/>
      <w:textAlignment w:val="auto"/>
    </w:pPr>
    <w:rPr>
      <w:rFonts w:asciiTheme="minorHAnsi" w:eastAsiaTheme="minorEastAsia" w:hAnsiTheme="minorHAnsi" w:cstheme="minorBidi"/>
      <w:kern w:val="2"/>
      <w:sz w:val="24"/>
      <w:szCs w:val="24"/>
      <w:lang w:eastAsia="fr-FR"/>
    </w:rPr>
  </w:style>
  <w:style w:type="paragraph" w:styleId="TM9">
    <w:name w:val="toc 9"/>
    <w:basedOn w:val="Normal"/>
    <w:next w:val="Normal"/>
    <w:autoRedefine/>
    <w:uiPriority w:val="39"/>
    <w:unhideWhenUsed/>
    <w:rsid w:val="00560D4A"/>
    <w:pPr>
      <w:suppressAutoHyphens w:val="0"/>
      <w:autoSpaceDN/>
      <w:spacing w:after="100" w:line="278" w:lineRule="auto"/>
      <w:ind w:left="1920"/>
      <w:textAlignment w:val="auto"/>
    </w:pPr>
    <w:rPr>
      <w:rFonts w:asciiTheme="minorHAnsi" w:eastAsiaTheme="minorEastAsia" w:hAnsiTheme="minorHAnsi" w:cstheme="minorBidi"/>
      <w:kern w:val="2"/>
      <w:sz w:val="24"/>
      <w:szCs w:val="24"/>
      <w:lang w:eastAsia="fr-FR"/>
    </w:rPr>
  </w:style>
  <w:style w:type="paragraph" w:styleId="Textedebulles">
    <w:name w:val="Balloon Text"/>
    <w:basedOn w:val="Normal"/>
    <w:link w:val="TextedebullesCar"/>
    <w:uiPriority w:val="99"/>
    <w:semiHidden/>
    <w:unhideWhenUsed/>
    <w:rsid w:val="00EC778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77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972889">
      <w:bodyDiv w:val="1"/>
      <w:marLeft w:val="0"/>
      <w:marRight w:val="0"/>
      <w:marTop w:val="0"/>
      <w:marBottom w:val="0"/>
      <w:divBdr>
        <w:top w:val="none" w:sz="0" w:space="0" w:color="auto"/>
        <w:left w:val="none" w:sz="0" w:space="0" w:color="auto"/>
        <w:bottom w:val="none" w:sz="0" w:space="0" w:color="auto"/>
        <w:right w:val="none" w:sz="0" w:space="0" w:color="auto"/>
      </w:divBdr>
    </w:div>
    <w:div w:id="569778525">
      <w:bodyDiv w:val="1"/>
      <w:marLeft w:val="0"/>
      <w:marRight w:val="0"/>
      <w:marTop w:val="0"/>
      <w:marBottom w:val="0"/>
      <w:divBdr>
        <w:top w:val="none" w:sz="0" w:space="0" w:color="auto"/>
        <w:left w:val="none" w:sz="0" w:space="0" w:color="auto"/>
        <w:bottom w:val="none" w:sz="0" w:space="0" w:color="auto"/>
        <w:right w:val="none" w:sz="0" w:space="0" w:color="auto"/>
      </w:divBdr>
    </w:div>
    <w:div w:id="641664623">
      <w:bodyDiv w:val="1"/>
      <w:marLeft w:val="0"/>
      <w:marRight w:val="0"/>
      <w:marTop w:val="0"/>
      <w:marBottom w:val="0"/>
      <w:divBdr>
        <w:top w:val="none" w:sz="0" w:space="0" w:color="auto"/>
        <w:left w:val="none" w:sz="0" w:space="0" w:color="auto"/>
        <w:bottom w:val="none" w:sz="0" w:space="0" w:color="auto"/>
        <w:right w:val="none" w:sz="0" w:space="0" w:color="auto"/>
      </w:divBdr>
    </w:div>
    <w:div w:id="745997049">
      <w:bodyDiv w:val="1"/>
      <w:marLeft w:val="0"/>
      <w:marRight w:val="0"/>
      <w:marTop w:val="0"/>
      <w:marBottom w:val="0"/>
      <w:divBdr>
        <w:top w:val="none" w:sz="0" w:space="0" w:color="auto"/>
        <w:left w:val="none" w:sz="0" w:space="0" w:color="auto"/>
        <w:bottom w:val="none" w:sz="0" w:space="0" w:color="auto"/>
        <w:right w:val="none" w:sz="0" w:space="0" w:color="auto"/>
      </w:divBdr>
    </w:div>
    <w:div w:id="1041898367">
      <w:bodyDiv w:val="1"/>
      <w:marLeft w:val="0"/>
      <w:marRight w:val="0"/>
      <w:marTop w:val="0"/>
      <w:marBottom w:val="0"/>
      <w:divBdr>
        <w:top w:val="none" w:sz="0" w:space="0" w:color="auto"/>
        <w:left w:val="none" w:sz="0" w:space="0" w:color="auto"/>
        <w:bottom w:val="none" w:sz="0" w:space="0" w:color="auto"/>
        <w:right w:val="none" w:sz="0" w:space="0" w:color="auto"/>
      </w:divBdr>
    </w:div>
    <w:div w:id="1058555738">
      <w:bodyDiv w:val="1"/>
      <w:marLeft w:val="0"/>
      <w:marRight w:val="0"/>
      <w:marTop w:val="0"/>
      <w:marBottom w:val="0"/>
      <w:divBdr>
        <w:top w:val="none" w:sz="0" w:space="0" w:color="auto"/>
        <w:left w:val="none" w:sz="0" w:space="0" w:color="auto"/>
        <w:bottom w:val="none" w:sz="0" w:space="0" w:color="auto"/>
        <w:right w:val="none" w:sz="0" w:space="0" w:color="auto"/>
      </w:divBdr>
    </w:div>
    <w:div w:id="1397819118">
      <w:bodyDiv w:val="1"/>
      <w:marLeft w:val="0"/>
      <w:marRight w:val="0"/>
      <w:marTop w:val="0"/>
      <w:marBottom w:val="0"/>
      <w:divBdr>
        <w:top w:val="none" w:sz="0" w:space="0" w:color="auto"/>
        <w:left w:val="none" w:sz="0" w:space="0" w:color="auto"/>
        <w:bottom w:val="none" w:sz="0" w:space="0" w:color="auto"/>
        <w:right w:val="none" w:sz="0" w:space="0" w:color="auto"/>
      </w:divBdr>
    </w:div>
    <w:div w:id="1468282518">
      <w:bodyDiv w:val="1"/>
      <w:marLeft w:val="0"/>
      <w:marRight w:val="0"/>
      <w:marTop w:val="0"/>
      <w:marBottom w:val="0"/>
      <w:divBdr>
        <w:top w:val="none" w:sz="0" w:space="0" w:color="auto"/>
        <w:left w:val="none" w:sz="0" w:space="0" w:color="auto"/>
        <w:bottom w:val="none" w:sz="0" w:space="0" w:color="auto"/>
        <w:right w:val="none" w:sz="0" w:space="0" w:color="auto"/>
      </w:divBdr>
      <w:divsChild>
        <w:div w:id="7008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0539176">
      <w:bodyDiv w:val="1"/>
      <w:marLeft w:val="0"/>
      <w:marRight w:val="0"/>
      <w:marTop w:val="0"/>
      <w:marBottom w:val="0"/>
      <w:divBdr>
        <w:top w:val="none" w:sz="0" w:space="0" w:color="auto"/>
        <w:left w:val="none" w:sz="0" w:space="0" w:color="auto"/>
        <w:bottom w:val="none" w:sz="0" w:space="0" w:color="auto"/>
        <w:right w:val="none" w:sz="0" w:space="0" w:color="auto"/>
      </w:divBdr>
    </w:div>
    <w:div w:id="1520317705">
      <w:bodyDiv w:val="1"/>
      <w:marLeft w:val="0"/>
      <w:marRight w:val="0"/>
      <w:marTop w:val="0"/>
      <w:marBottom w:val="0"/>
      <w:divBdr>
        <w:top w:val="none" w:sz="0" w:space="0" w:color="auto"/>
        <w:left w:val="none" w:sz="0" w:space="0" w:color="auto"/>
        <w:bottom w:val="none" w:sz="0" w:space="0" w:color="auto"/>
        <w:right w:val="none" w:sz="0" w:space="0" w:color="auto"/>
      </w:divBdr>
    </w:div>
    <w:div w:id="1528563169">
      <w:bodyDiv w:val="1"/>
      <w:marLeft w:val="0"/>
      <w:marRight w:val="0"/>
      <w:marTop w:val="0"/>
      <w:marBottom w:val="0"/>
      <w:divBdr>
        <w:top w:val="none" w:sz="0" w:space="0" w:color="auto"/>
        <w:left w:val="none" w:sz="0" w:space="0" w:color="auto"/>
        <w:bottom w:val="none" w:sz="0" w:space="0" w:color="auto"/>
        <w:right w:val="none" w:sz="0" w:space="0" w:color="auto"/>
      </w:divBdr>
    </w:div>
    <w:div w:id="1817136798">
      <w:bodyDiv w:val="1"/>
      <w:marLeft w:val="0"/>
      <w:marRight w:val="0"/>
      <w:marTop w:val="0"/>
      <w:marBottom w:val="0"/>
      <w:divBdr>
        <w:top w:val="none" w:sz="0" w:space="0" w:color="auto"/>
        <w:left w:val="none" w:sz="0" w:space="0" w:color="auto"/>
        <w:bottom w:val="none" w:sz="0" w:space="0" w:color="auto"/>
        <w:right w:val="none" w:sz="0" w:space="0" w:color="auto"/>
      </w:divBdr>
    </w:div>
    <w:div w:id="1912544344">
      <w:bodyDiv w:val="1"/>
      <w:marLeft w:val="0"/>
      <w:marRight w:val="0"/>
      <w:marTop w:val="0"/>
      <w:marBottom w:val="0"/>
      <w:divBdr>
        <w:top w:val="none" w:sz="0" w:space="0" w:color="auto"/>
        <w:left w:val="none" w:sz="0" w:space="0" w:color="auto"/>
        <w:bottom w:val="none" w:sz="0" w:space="0" w:color="auto"/>
        <w:right w:val="none" w:sz="0" w:space="0" w:color="auto"/>
      </w:divBdr>
      <w:divsChild>
        <w:div w:id="1278367319">
          <w:marLeft w:val="524"/>
          <w:marRight w:val="524"/>
          <w:marTop w:val="0"/>
          <w:marBottom w:val="0"/>
          <w:divBdr>
            <w:top w:val="none" w:sz="0" w:space="0" w:color="auto"/>
            <w:left w:val="none" w:sz="0" w:space="0" w:color="auto"/>
            <w:bottom w:val="none" w:sz="0" w:space="0" w:color="auto"/>
            <w:right w:val="none" w:sz="0" w:space="0" w:color="auto"/>
          </w:divBdr>
          <w:divsChild>
            <w:div w:id="1891917119">
              <w:marLeft w:val="0"/>
              <w:marRight w:val="0"/>
              <w:marTop w:val="0"/>
              <w:marBottom w:val="0"/>
              <w:divBdr>
                <w:top w:val="none" w:sz="0" w:space="0" w:color="auto"/>
                <w:left w:val="none" w:sz="0" w:space="0" w:color="auto"/>
                <w:bottom w:val="none" w:sz="0" w:space="0" w:color="auto"/>
                <w:right w:val="none" w:sz="0" w:space="0" w:color="auto"/>
              </w:divBdr>
              <w:divsChild>
                <w:div w:id="306400634">
                  <w:marLeft w:val="0"/>
                  <w:marRight w:val="0"/>
                  <w:marTop w:val="0"/>
                  <w:marBottom w:val="0"/>
                  <w:divBdr>
                    <w:top w:val="none" w:sz="0" w:space="0" w:color="auto"/>
                    <w:left w:val="none" w:sz="0" w:space="0" w:color="auto"/>
                    <w:bottom w:val="none" w:sz="0" w:space="0" w:color="auto"/>
                    <w:right w:val="none" w:sz="0" w:space="0" w:color="auto"/>
                  </w:divBdr>
                  <w:divsChild>
                    <w:div w:id="201752108">
                      <w:marLeft w:val="0"/>
                      <w:marRight w:val="0"/>
                      <w:marTop w:val="0"/>
                      <w:marBottom w:val="0"/>
                      <w:divBdr>
                        <w:top w:val="none" w:sz="0" w:space="0" w:color="auto"/>
                        <w:left w:val="none" w:sz="0" w:space="0" w:color="auto"/>
                        <w:bottom w:val="none" w:sz="0" w:space="0" w:color="auto"/>
                        <w:right w:val="none" w:sz="0" w:space="0" w:color="auto"/>
                      </w:divBdr>
                      <w:divsChild>
                        <w:div w:id="18975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033765">
      <w:bodyDiv w:val="1"/>
      <w:marLeft w:val="0"/>
      <w:marRight w:val="0"/>
      <w:marTop w:val="0"/>
      <w:marBottom w:val="0"/>
      <w:divBdr>
        <w:top w:val="none" w:sz="0" w:space="0" w:color="auto"/>
        <w:left w:val="none" w:sz="0" w:space="0" w:color="auto"/>
        <w:bottom w:val="none" w:sz="0" w:space="0" w:color="auto"/>
        <w:right w:val="none" w:sz="0" w:space="0" w:color="auto"/>
      </w:divBdr>
    </w:div>
    <w:div w:id="2013221536">
      <w:bodyDiv w:val="1"/>
      <w:marLeft w:val="0"/>
      <w:marRight w:val="0"/>
      <w:marTop w:val="0"/>
      <w:marBottom w:val="0"/>
      <w:divBdr>
        <w:top w:val="none" w:sz="0" w:space="0" w:color="auto"/>
        <w:left w:val="none" w:sz="0" w:space="0" w:color="auto"/>
        <w:bottom w:val="none" w:sz="0" w:space="0" w:color="auto"/>
        <w:right w:val="none" w:sz="0" w:space="0" w:color="auto"/>
      </w:divBdr>
      <w:divsChild>
        <w:div w:id="781924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5691523">
      <w:bodyDiv w:val="1"/>
      <w:marLeft w:val="0"/>
      <w:marRight w:val="0"/>
      <w:marTop w:val="0"/>
      <w:marBottom w:val="0"/>
      <w:divBdr>
        <w:top w:val="none" w:sz="0" w:space="0" w:color="auto"/>
        <w:left w:val="none" w:sz="0" w:space="0" w:color="auto"/>
        <w:bottom w:val="none" w:sz="0" w:space="0" w:color="auto"/>
        <w:right w:val="none" w:sz="0" w:space="0" w:color="auto"/>
      </w:divBdr>
    </w:div>
    <w:div w:id="2044209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4.xml"/><Relationship Id="rId39" Type="http://schemas.openxmlformats.org/officeDocument/2006/relationships/image" Target="media/image8.jpeg"/><Relationship Id="rId21" Type="http://schemas.openxmlformats.org/officeDocument/2006/relationships/footer" Target="footer11.xml"/><Relationship Id="rId34" Type="http://schemas.openxmlformats.org/officeDocument/2006/relationships/hyperlink" Target="https://agriculture.ec.europa.eu/farming/organic-farming/organic-logo_en" TargetMode="External"/><Relationship Id="rId42" Type="http://schemas.openxmlformats.org/officeDocument/2006/relationships/header" Target="header3.xml"/><Relationship Id="rId47" Type="http://schemas.openxmlformats.org/officeDocument/2006/relationships/hyperlink" Target="http://www.efsa.europa.eu/fr" TargetMode="External"/><Relationship Id="rId50" Type="http://schemas.openxmlformats.org/officeDocument/2006/relationships/header" Target="header5.xml"/><Relationship Id="rId55" Type="http://schemas.openxmlformats.org/officeDocument/2006/relationships/image" Target="media/image14.png"/><Relationship Id="rId63" Type="http://schemas.openxmlformats.org/officeDocument/2006/relationships/image" Target="media/image22.png"/><Relationship Id="rId68" Type="http://schemas.openxmlformats.org/officeDocument/2006/relationships/header" Target="header7.xml"/><Relationship Id="rId76" Type="http://schemas.openxmlformats.org/officeDocument/2006/relationships/header" Target="header12.xml"/><Relationship Id="rId7" Type="http://schemas.openxmlformats.org/officeDocument/2006/relationships/endnotes" Target="endnotes.xml"/><Relationship Id="rId71"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hyperlink" Target="https://www.certipaq.com/certification-bio-agriculture-biologique/" TargetMode="External"/><Relationship Id="rId11" Type="http://schemas.openxmlformats.org/officeDocument/2006/relationships/image" Target="media/image3.jpeg"/><Relationship Id="rId24" Type="http://schemas.openxmlformats.org/officeDocument/2006/relationships/footer" Target="footer13.xml"/><Relationship Id="rId32" Type="http://schemas.openxmlformats.org/officeDocument/2006/relationships/hyperlink" Target="https://hgic.clemson.edu/factsheet/organic-labeling-of-multi-ingredient-food-products/" TargetMode="External"/><Relationship Id="rId37" Type="http://schemas.openxmlformats.org/officeDocument/2006/relationships/hyperlink" Target="https://agriculture.gouv.fr/la-certification-en-agriculture-biologique" TargetMode="External"/><Relationship Id="rId40" Type="http://schemas.openxmlformats.org/officeDocument/2006/relationships/hyperlink" Target="https://researchandmarkets.com/" TargetMode="External"/><Relationship Id="rId45" Type="http://schemas.openxmlformats.org/officeDocument/2006/relationships/image" Target="media/image9.emf"/><Relationship Id="rId53" Type="http://schemas.openxmlformats.org/officeDocument/2006/relationships/image" Target="media/image12.png"/><Relationship Id="rId58" Type="http://schemas.openxmlformats.org/officeDocument/2006/relationships/image" Target="media/image17.png"/><Relationship Id="rId66" Type="http://schemas.openxmlformats.org/officeDocument/2006/relationships/image" Target="media/image25.png"/><Relationship Id="rId74" Type="http://schemas.openxmlformats.org/officeDocument/2006/relationships/footer" Target="footer18.xml"/><Relationship Id="rId79" Type="http://schemas.openxmlformats.org/officeDocument/2006/relationships/footer" Target="footer19.xml"/><Relationship Id="rId5" Type="http://schemas.openxmlformats.org/officeDocument/2006/relationships/webSettings" Target="webSettings.xml"/><Relationship Id="rId61"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footer" Target="footer9.xml"/><Relationship Id="rId31" Type="http://schemas.openxmlformats.org/officeDocument/2006/relationships/image" Target="media/image5.jpeg"/><Relationship Id="rId44" Type="http://schemas.openxmlformats.org/officeDocument/2006/relationships/footer" Target="footer15.xml"/><Relationship Id="rId52" Type="http://schemas.openxmlformats.org/officeDocument/2006/relationships/image" Target="media/image11.png"/><Relationship Id="rId60" Type="http://schemas.openxmlformats.org/officeDocument/2006/relationships/image" Target="media/image19.png"/><Relationship Id="rId65" Type="http://schemas.openxmlformats.org/officeDocument/2006/relationships/image" Target="media/image24.png"/><Relationship Id="rId73" Type="http://schemas.openxmlformats.org/officeDocument/2006/relationships/header" Target="header10.xml"/><Relationship Id="rId78" Type="http://schemas.openxmlformats.org/officeDocument/2006/relationships/header" Target="header14.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image" Target="media/image4.png"/><Relationship Id="rId30" Type="http://schemas.openxmlformats.org/officeDocument/2006/relationships/hyperlink" Target="https://hgic.clemson.edu/factsheet/organic-labeling-of-multi-ingredient-food-products/" TargetMode="External"/><Relationship Id="rId35" Type="http://schemas.openxmlformats.org/officeDocument/2006/relationships/hyperlink" Target="https://www.agrocert.fr/difference-label-agriculture-biologique-bio-europeen.html" TargetMode="External"/><Relationship Id="rId43" Type="http://schemas.openxmlformats.org/officeDocument/2006/relationships/header" Target="header4.xml"/><Relationship Id="rId48" Type="http://schemas.openxmlformats.org/officeDocument/2006/relationships/hyperlink" Target="https://www.anses.fr/fr" TargetMode="External"/><Relationship Id="rId56" Type="http://schemas.openxmlformats.org/officeDocument/2006/relationships/image" Target="media/image15.png"/><Relationship Id="rId64" Type="http://schemas.openxmlformats.org/officeDocument/2006/relationships/image" Target="media/image23.png"/><Relationship Id="rId69" Type="http://schemas.openxmlformats.org/officeDocument/2006/relationships/header" Target="header8.xml"/><Relationship Id="rId77" Type="http://schemas.openxmlformats.org/officeDocument/2006/relationships/header" Target="header13.xml"/><Relationship Id="rId8" Type="http://schemas.openxmlformats.org/officeDocument/2006/relationships/image" Target="media/image1.jpeg"/><Relationship Id="rId51" Type="http://schemas.openxmlformats.org/officeDocument/2006/relationships/image" Target="media/image10.png"/><Relationship Id="rId72" Type="http://schemas.openxmlformats.org/officeDocument/2006/relationships/footer" Target="footer17.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header" Target="header2.xml"/><Relationship Id="rId33" Type="http://schemas.openxmlformats.org/officeDocument/2006/relationships/image" Target="media/image6.png"/><Relationship Id="rId38" Type="http://schemas.openxmlformats.org/officeDocument/2006/relationships/hyperlink" Target="https://www.agrocert.fr/difference-label-agriculture-biologique-bio-europeen.html" TargetMode="External"/><Relationship Id="rId46" Type="http://schemas.openxmlformats.org/officeDocument/2006/relationships/hyperlink" Target="https://www.generations-futures.fr/wp-content/uploads/2017/05/doc_menubio_151211.pdf" TargetMode="External"/><Relationship Id="rId59" Type="http://schemas.openxmlformats.org/officeDocument/2006/relationships/image" Target="media/image18.png"/><Relationship Id="rId67" Type="http://schemas.openxmlformats.org/officeDocument/2006/relationships/header" Target="header6.xml"/><Relationship Id="rId20" Type="http://schemas.openxmlformats.org/officeDocument/2006/relationships/footer" Target="footer10.xml"/><Relationship Id="rId41" Type="http://schemas.openxmlformats.org/officeDocument/2006/relationships/hyperlink" Target="https://uk.finance.yahoo.com/news/organic-food-market-report-2025-100800326.html" TargetMode="External"/><Relationship Id="rId54" Type="http://schemas.openxmlformats.org/officeDocument/2006/relationships/image" Target="media/image13.png"/><Relationship Id="rId62" Type="http://schemas.openxmlformats.org/officeDocument/2006/relationships/image" Target="media/image21.png"/><Relationship Id="rId70" Type="http://schemas.openxmlformats.org/officeDocument/2006/relationships/footer" Target="footer16.xml"/><Relationship Id="rId75"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1.xml"/><Relationship Id="rId28" Type="http://schemas.openxmlformats.org/officeDocument/2006/relationships/hyperlink" Target="https://organic.apeda.gov.in/Organic-Certification-Bodies" TargetMode="External"/><Relationship Id="rId36" Type="http://schemas.openxmlformats.org/officeDocument/2006/relationships/image" Target="media/image7.png"/><Relationship Id="rId49" Type="http://schemas.openxmlformats.org/officeDocument/2006/relationships/hyperlink" Target="https://ec.europa.eu/food/safety/rasff_en" TargetMode="External"/><Relationship Id="rId57" Type="http://schemas.openxmlformats.org/officeDocument/2006/relationships/image" Target="media/image16.png"/></Relationships>
</file>

<file path=word/_rels/footnotes.xml.rels><?xml version="1.0" encoding="UTF-8" standalone="yes"?>
<Relationships xmlns="http://schemas.openxmlformats.org/package/2006/relationships"><Relationship Id="rId13" Type="http://schemas.openxmlformats.org/officeDocument/2006/relationships/hyperlink" Target="https://www.ecfr.gov/current/title-7/subtitle-B/chapter-I/subchapter-M/part-205/subpart-D/section-205.301" TargetMode="External"/><Relationship Id="rId18" Type="http://schemas.openxmlformats.org/officeDocument/2006/relationships/hyperlink" Target="http://organicfederation.ca/resource/organic-science-canada-spring-2022/do-organic-soils-need-regeneration/" TargetMode="External"/><Relationship Id="rId26" Type="http://schemas.openxmlformats.org/officeDocument/2006/relationships/hyperlink" Target="https://www.ecocert.com/en-US/article/who-issues-organic-labels-5092510" TargetMode="External"/><Relationship Id="rId39" Type="http://schemas.openxmlformats.org/officeDocument/2006/relationships/hyperlink" Target="https://www.agrocert.fr/difference-label-agriculture-biologique-bio-europeen.html" TargetMode="External"/><Relationship Id="rId21" Type="http://schemas.openxmlformats.org/officeDocument/2006/relationships/hyperlink" Target="https://www.federalregister.gov/documents/2022/04/05/2022-06957/national-organic-program-origin-of-livestock" TargetMode="External"/><Relationship Id="rId34" Type="http://schemas.openxmlformats.org/officeDocument/2006/relationships/hyperlink" Target="https://www.ecfr.gov/current/title-7/subtitle-B/chapter-I/subchapter-M/part-205/subpart-D/section-205.301" TargetMode="External"/><Relationship Id="rId42" Type="http://schemas.openxmlformats.org/officeDocument/2006/relationships/hyperlink" Target="https://www.fortunebusinessinsights.com/zh/industry-reports/organic-foods-market-101470" TargetMode="External"/><Relationship Id="rId47" Type="http://schemas.openxmlformats.org/officeDocument/2006/relationships/hyperlink" Target="https://www.fao.org/4/AB788F/ab788f07.htm" TargetMode="External"/><Relationship Id="rId50" Type="http://schemas.openxmlformats.org/officeDocument/2006/relationships/hyperlink" Target="https://www.nelinkia.com/blog/normes/securite-alimentaire-et-securite-sanitaire.html" TargetMode="External"/><Relationship Id="rId55" Type="http://schemas.openxmlformats.org/officeDocument/2006/relationships/hyperlink" Target="https://www.fao.org/4/AB788F/ab788f07.htm" TargetMode="External"/><Relationship Id="rId63" Type="http://schemas.openxmlformats.org/officeDocument/2006/relationships/hyperlink" Target="https://www.who.int/fr/news-room/fact-sheets/detail/food-safety" TargetMode="External"/><Relationship Id="rId68" Type="http://schemas.openxmlformats.org/officeDocument/2006/relationships/hyperlink" Target="https://www.biosecurite.be/content/evaluation-des-risques-biologiques" TargetMode="External"/><Relationship Id="rId76" Type="http://schemas.openxmlformats.org/officeDocument/2006/relationships/hyperlink" Target="https://www.sti-group.com/fr/sti-group/management-de-la-qualite/management-de-lhygiene.html" TargetMode="External"/><Relationship Id="rId84" Type="http://schemas.openxmlformats.org/officeDocument/2006/relationships/hyperlink" Target="https://www.efsa.europa.eu/en/news/safe2eat-2026-science-backed-guidance-all-europeans" TargetMode="External"/><Relationship Id="rId89" Type="http://schemas.openxmlformats.org/officeDocument/2006/relationships/hyperlink" Target="https://fr.oliveoiltimes.com/business/africa-middle-east/in-algerias-harsh-interior-dahbia-builds-an-award-winning-olive-oil/143944?utm_source=chatgpt.com" TargetMode="External"/><Relationship Id="rId7" Type="http://schemas.openxmlformats.org/officeDocument/2006/relationships/hyperlink" Target="https://www.ebsco.com/research-starters/marketing/green-marketing" TargetMode="External"/><Relationship Id="rId71" Type="http://schemas.openxmlformats.org/officeDocument/2006/relationships/hyperlink" Target="https://eur-lex.europa.eu/legal-content/FR/TXT/?uri=CELEX%3A32002R0178" TargetMode="External"/><Relationship Id="rId2" Type="http://schemas.openxmlformats.org/officeDocument/2006/relationships/hyperlink" Target="https://tel.archives-ouvertes.fr/tel-01357344/document" TargetMode="External"/><Relationship Id="rId16" Type="http://schemas.openxmlformats.org/officeDocument/2006/relationships/hyperlink" Target="https://www.ams.usda.gov/grades-standards/organic-standards" TargetMode="External"/><Relationship Id="rId29" Type="http://schemas.openxmlformats.org/officeDocument/2006/relationships/hyperlink" Target="https://megagriculture.gov.in/public/organic_agriculture_behind_organic_label.aspx" TargetMode="External"/><Relationship Id="rId11" Type="http://schemas.openxmlformats.org/officeDocument/2006/relationships/hyperlink" Target="https://agriculture.institute/entrepreneurship-and-marketing/promotion-role-advertising-marketing/" TargetMode="External"/><Relationship Id="rId24" Type="http://schemas.openxmlformats.org/officeDocument/2006/relationships/hyperlink" Target="https://www.ttb.gov/faqs/alcohol?keyword&amp;tid=10" TargetMode="External"/><Relationship Id="rId32" Type="http://schemas.openxmlformats.org/officeDocument/2006/relationships/hyperlink" Target="https://www.nsf.org/consumer-resources/articles/organic-product-labels" TargetMode="External"/><Relationship Id="rId37" Type="http://schemas.openxmlformats.org/officeDocument/2006/relationships/hyperlink" Target="https://agriculture.ec.europa.eu/farming/organic-farming/organic-logo_en" TargetMode="External"/><Relationship Id="rId40" Type="http://schemas.openxmlformats.org/officeDocument/2006/relationships/hyperlink" Target="https://researchandmarkets.com/" TargetMode="External"/><Relationship Id="rId45" Type="http://schemas.openxmlformats.org/officeDocument/2006/relationships/hyperlink" Target="https://www.fortunebusinessinsights.com/zh/industry-reports/organic-foods-market-101470" TargetMode="External"/><Relationship Id="rId53" Type="http://schemas.openxmlformats.org/officeDocument/2006/relationships/hyperlink" Target="https://www.nelinkia.com/blog/normes/securite-alimentaire-et-securite-sanitaire.html" TargetMode="External"/><Relationship Id="rId58" Type="http://schemas.openxmlformats.org/officeDocument/2006/relationships/hyperlink" Target="https://www.fao.org/food-safety/about/fr?utm_source=chatgpt.com" TargetMode="External"/><Relationship Id="rId66" Type="http://schemas.openxmlformats.org/officeDocument/2006/relationships/hyperlink" Target="https://www.who.int/news-room/questions-and-answers/item/food-safety-pesticide-residue" TargetMode="External"/><Relationship Id="rId74" Type="http://schemas.openxmlformats.org/officeDocument/2006/relationships/hyperlink" Target="https://www.iso.org/obp/ui/en/" TargetMode="External"/><Relationship Id="rId79" Type="http://schemas.openxmlformats.org/officeDocument/2006/relationships/hyperlink" Target="https://www.commerce.gov.dz/fr/etiquetage-et-presentation-des-denrees-alimentaires?utm_source=chatgpt.com" TargetMode="External"/><Relationship Id="rId87" Type="http://schemas.openxmlformats.org/officeDocument/2006/relationships/hyperlink" Target="https://elwatan.dz/hakim-alileche-proprietaire-de-lhuile-dolive-dahbia-notre-cible-cest-le-marche-premium/?utm_source=chatgpt.com" TargetMode="External"/><Relationship Id="rId5" Type="http://schemas.openxmlformats.org/officeDocument/2006/relationships/hyperlink" Target="https://www.ama.org/the-definition-of-marketing-what-is-marketing/" TargetMode="External"/><Relationship Id="rId61" Type="http://schemas.openxmlformats.org/officeDocument/2006/relationships/hyperlink" Target="https://orgprints.org/id/eprint/25655/1/Italy_article_final_2006.pdf" TargetMode="External"/><Relationship Id="rId82" Type="http://schemas.openxmlformats.org/officeDocument/2006/relationships/hyperlink" Target="https://agtechnavigator.com/" TargetMode="External"/><Relationship Id="rId19" Type="http://schemas.openxmlformats.org/officeDocument/2006/relationships/hyperlink" Target="https://www.ams.usda.gov/grades-standards/organic-standards" TargetMode="External"/><Relationship Id="rId4" Type="http://schemas.openxmlformats.org/officeDocument/2006/relationships/hyperlink" Target="https://www.unido.org/sites/default/files/files/2020-02/UNIDO%20FSA_brochure_EN_FINAL.pdf" TargetMode="External"/><Relationship Id="rId9" Type="http://schemas.openxmlformats.org/officeDocument/2006/relationships/hyperlink" Target="https://www.investopedia.com/terms/g/green-marketing.asp" TargetMode="External"/><Relationship Id="rId14" Type="http://schemas.openxmlformats.org/officeDocument/2006/relationships/hyperlink" Target="https://www.iso.org/committee/54998.html" TargetMode="External"/><Relationship Id="rId22" Type="http://schemas.openxmlformats.org/officeDocument/2006/relationships/hyperlink" Target="https://www.ams.usda.gov/rules-regulations/organic/handbook/5030" TargetMode="External"/><Relationship Id="rId27" Type="http://schemas.openxmlformats.org/officeDocument/2006/relationships/hyperlink" Target="https://www.ams.usda.gov/services/organic-certification/becoming-certified" TargetMode="External"/><Relationship Id="rId30" Type="http://schemas.openxmlformats.org/officeDocument/2006/relationships/hyperlink" Target="https://megagriculture.gov.in/public/organic_agriculture_behind_organic_label.aspx" TargetMode="External"/><Relationship Id="rId35" Type="http://schemas.openxmlformats.org/officeDocument/2006/relationships/hyperlink" Target="https://www.ams.usda.gov/services/organic-certification/organic-basics" TargetMode="External"/><Relationship Id="rId43" Type="http://schemas.openxmlformats.org/officeDocument/2006/relationships/hyperlink" Target="https://organicgrower.info/news/us-organic-sales-2025-ota-report/" TargetMode="External"/><Relationship Id="rId48" Type="http://schemas.openxmlformats.org/officeDocument/2006/relationships/hyperlink" Target="https://www.fao.org/4/AB788F/ab788f07.htm" TargetMode="External"/><Relationship Id="rId56" Type="http://schemas.openxmlformats.org/officeDocument/2006/relationships/hyperlink" Target="https://www.nelinkia.com/blog/normes/securite-alimentaire-et-securite-sanitaire.html" TargetMode="External"/><Relationship Id="rId64" Type="http://schemas.openxmlformats.org/officeDocument/2006/relationships/hyperlink" Target="https://www.who.int/fr/news-room/fact-sheets/detail/food-safety" TargetMode="External"/><Relationship Id="rId69" Type="http://schemas.openxmlformats.org/officeDocument/2006/relationships/hyperlink" Target="https://www.generations-futures.fr/wp-content/uploads/2017/05/doc_menubio_151211.pdf" TargetMode="External"/><Relationship Id="rId77" Type="http://schemas.openxmlformats.org/officeDocument/2006/relationships/hyperlink" Target="https://standards.iteh.ai/catalog/standards/sist/21259215-0754-42be-b207-226f72e07acc/sist-en-15593-2008" TargetMode="External"/><Relationship Id="rId8" Type="http://schemas.openxmlformats.org/officeDocument/2006/relationships/hyperlink" Target="https://www.cueforgood.com/blog/sustainable-vs-green-marketing/" TargetMode="External"/><Relationship Id="rId51" Type="http://schemas.openxmlformats.org/officeDocument/2006/relationships/hyperlink" Target="https://www.fao.org/food-safety/fr?utm_source=chatgpt.com" TargetMode="External"/><Relationship Id="rId72" Type="http://schemas.openxmlformats.org/officeDocument/2006/relationships/hyperlink" Target="https://agriculture.gouv.fr/la-reglementation-sur-lhygiene-des-aliments" TargetMode="External"/><Relationship Id="rId80" Type="http://schemas.openxmlformats.org/officeDocument/2006/relationships/hyperlink" Target="https://ehl.edu/" TargetMode="External"/><Relationship Id="rId85" Type="http://schemas.openxmlformats.org/officeDocument/2006/relationships/hyperlink" Target="https://www.prdaily.com/whats-changing-in-food-safety-communications/" TargetMode="External"/><Relationship Id="rId3" Type="http://schemas.openxmlformats.org/officeDocument/2006/relationships/hyperlink" Target="https://www.fao.org/4/Y8705E/y8705e00.htm" TargetMode="External"/><Relationship Id="rId12" Type="http://schemas.openxmlformats.org/officeDocument/2006/relationships/hyperlink" Target="https://www.legislation.govt.nz/" TargetMode="External"/><Relationship Id="rId17" Type="http://schemas.openxmlformats.org/officeDocument/2006/relationships/hyperlink" Target="https://www.extension.purdue.edu/anr/_teams/dffs/organic_ag/resources/organic-transition-and-certification-resources.html" TargetMode="External"/><Relationship Id="rId25" Type="http://schemas.openxmlformats.org/officeDocument/2006/relationships/hyperlink" Target="https://natexpo.com/groupe-ecocert-30-ans-daction-pour-un-monde-durable/" TargetMode="External"/><Relationship Id="rId33" Type="http://schemas.openxmlformats.org/officeDocument/2006/relationships/hyperlink" Target="https://hgic.clemson.edu/factsheet/organic-labeling-of-multi-ingredient-food-products/" TargetMode="External"/><Relationship Id="rId38" Type="http://schemas.openxmlformats.org/officeDocument/2006/relationships/hyperlink" Target="https://agriculture.ec.europa.eu/farming/organic-farming/organic-logo_en" TargetMode="External"/><Relationship Id="rId46" Type="http://schemas.openxmlformats.org/officeDocument/2006/relationships/hyperlink" Target="https://www.djazagro.com/fr-FR/actualites-tendances/actualites/tendances-des-marches-alimentaires-en-algerie-2025" TargetMode="External"/><Relationship Id="rId59" Type="http://schemas.openxmlformats.org/officeDocument/2006/relationships/hyperlink" Target="https://www.fao.org/food-safety/emergencies/fr/?utm_source=chatgpt.com" TargetMode="External"/><Relationship Id="rId67" Type="http://schemas.openxmlformats.org/officeDocument/2006/relationships/hyperlink" Target="https://pmc.ncbi.nlm.nih.gov/articles/PMC11843168/" TargetMode="External"/><Relationship Id="rId20" Type="http://schemas.openxmlformats.org/officeDocument/2006/relationships/hyperlink" Target="https://www.ams.usda.gov/rules-regulations/organic/handbook/5029" TargetMode="External"/><Relationship Id="rId41" Type="http://schemas.openxmlformats.org/officeDocument/2006/relationships/hyperlink" Target="https://uk.finance.yahoo.com/news/organic-food-market-report-2025-100800326.html" TargetMode="External"/><Relationship Id="rId54" Type="http://schemas.openxmlformats.org/officeDocument/2006/relationships/hyperlink" Target="https://www.who.int/fr/news-room/fact-sheets/detail/food-safety?utm_source=chatgpt.com" TargetMode="External"/><Relationship Id="rId62" Type="http://schemas.openxmlformats.org/officeDocument/2006/relationships/hyperlink" Target="https://www.fao.org/4/a0822f/a0822f.pdf" TargetMode="External"/><Relationship Id="rId70" Type="http://schemas.openxmlformats.org/officeDocument/2006/relationships/hyperlink" Target="https://www.fao.org/fao-who-codexalimentarius/fr/?utm_source=chatgpt.com" TargetMode="External"/><Relationship Id="rId75" Type="http://schemas.openxmlformats.org/officeDocument/2006/relationships/hyperlink" Target="https://www.iso.org/obp/ui/en/" TargetMode="External"/><Relationship Id="rId83" Type="http://schemas.openxmlformats.org/officeDocument/2006/relationships/hyperlink" Target="https://www.emro.who.int/world-malaria-day/2026/" TargetMode="External"/><Relationship Id="rId88" Type="http://schemas.openxmlformats.org/officeDocument/2006/relationships/hyperlink" Target="https://elwatan.dz/hakim-alileche-proprietaire-de-lhuile-dolive-dahbia-notre-cible-cest-le-marche-premium/?utm_source=chatgpt.com" TargetMode="External"/><Relationship Id="rId1" Type="http://schemas.openxmlformats.org/officeDocument/2006/relationships/hyperlink" Target="https://en.ppt-online.org/1263294/" TargetMode="External"/><Relationship Id="rId6" Type="http://schemas.openxmlformats.org/officeDocument/2006/relationships/hyperlink" Target="https://www.productmarketingalliance.com/the-4-ps-of-marketing-and-the-marketing-mix/" TargetMode="External"/><Relationship Id="rId15" Type="http://schemas.openxmlformats.org/officeDocument/2006/relationships/hyperlink" Target="https://organic.apeda.gov.in/Organic-Certification-Bodies" TargetMode="External"/><Relationship Id="rId23" Type="http://schemas.openxmlformats.org/officeDocument/2006/relationships/hyperlink" Target="https://www.ams.usda.gov/grades-standards/organic-standards" TargetMode="External"/><Relationship Id="rId28" Type="http://schemas.openxmlformats.org/officeDocument/2006/relationships/hyperlink" Target="https://theconversation.com/pourquoi-les-labels-bio-ne-se-valent-pas-dun-pays-a-lautre-267037" TargetMode="External"/><Relationship Id="rId36" Type="http://schemas.openxmlformats.org/officeDocument/2006/relationships/hyperlink" Target="https://www.ams.usda.gov/services/organic-certification/organic-basics" TargetMode="External"/><Relationship Id="rId49" Type="http://schemas.openxmlformats.org/officeDocument/2006/relationships/hyperlink" Target="https://legal-doctrine.com/edition/La-s%C3%A9curit%C3%A9-alimentaire-en-Alg%C3%A9rie" TargetMode="External"/><Relationship Id="rId57" Type="http://schemas.openxmlformats.org/officeDocument/2006/relationships/hyperlink" Target="https://www.who.int/fr/news-room/fact-sheets/detail/food-safety?utm_source=chatgpt.com" TargetMode="External"/><Relationship Id="rId10" Type="http://schemas.openxmlformats.org/officeDocument/2006/relationships/hyperlink" Target="https://www.aletihad.ae/article/46919/2006" TargetMode="External"/><Relationship Id="rId31" Type="http://schemas.openxmlformats.org/officeDocument/2006/relationships/hyperlink" Target="https://www.nsf.org/consumer-resources/articles/organic-product-labels" TargetMode="External"/><Relationship Id="rId44" Type="http://schemas.openxmlformats.org/officeDocument/2006/relationships/hyperlink" Target="https://deepmarketinsights.com/vista/insights/organic-foods-market/asia-pacific" TargetMode="External"/><Relationship Id="rId52" Type="http://schemas.openxmlformats.org/officeDocument/2006/relationships/hyperlink" Target="https://www.fao.org/4/AB788F/ab788f07.htm" TargetMode="External"/><Relationship Id="rId60" Type="http://schemas.openxmlformats.org/officeDocument/2006/relationships/hyperlink" Target="https://www.ub.edu.bi/assets/syllabus/1764402951_S%C3%A9curit%C3%A9%20sanitaire%20des%20aliments.pdf?utm_source=chatgpt.com" TargetMode="External"/><Relationship Id="rId65" Type="http://schemas.openxmlformats.org/officeDocument/2006/relationships/hyperlink" Target="https://pmc.ncbi.nlm.nih.gov/articles/PMC6885314/" TargetMode="External"/><Relationship Id="rId73" Type="http://schemas.openxmlformats.org/officeDocument/2006/relationships/hyperlink" Target="https://www.commerce.gov.dz/media/guide/source/doc-dgcerf/loi09-03/Travail-final-AR-laib.pdf?utm_source=chatgpt.com" TargetMode="External"/><Relationship Id="rId78" Type="http://schemas.openxmlformats.org/officeDocument/2006/relationships/hyperlink" Target="https://economie.gouv.fr/" TargetMode="External"/><Relationship Id="rId81" Type="http://schemas.openxmlformats.org/officeDocument/2006/relationships/hyperlink" Target="https://ve.scielo.org/scielo.php?script=sci_arttext&amp;pid=S1316-03542002000200002" TargetMode="External"/><Relationship Id="rId86" Type="http://schemas.openxmlformats.org/officeDocument/2006/relationships/hyperlink" Target="https://fr.oliveoiltimes.com/business/africa-middle-east/in-algerias-harsh-interior-dahbia-builds-an-award-winning-olive-oil/143944?utm_source=chatgpt.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5F4F4-E387-452C-A3CC-943412888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3201</TotalTime>
  <Pages>228</Pages>
  <Words>63625</Words>
  <Characters>349939</Characters>
  <Application>Microsoft Office Word</Application>
  <DocSecurity>0</DocSecurity>
  <Lines>2916</Lines>
  <Paragraphs>825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pharmacie</dc:creator>
  <cp:lastModifiedBy>Lenov0</cp:lastModifiedBy>
  <cp:revision>16</cp:revision>
  <cp:lastPrinted>2026-06-24T12:51:00Z</cp:lastPrinted>
  <dcterms:created xsi:type="dcterms:W3CDTF">2026-06-24T13:09:00Z</dcterms:created>
  <dcterms:modified xsi:type="dcterms:W3CDTF">2026-06-28T00:15:00Z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925475993</vt:i4>
  </property>
</Properties>
</file>